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CB94" w14:textId="6AB40F4C" w:rsidR="00C1563E" w:rsidRDefault="000B648B">
      <w:pPr>
        <w:jc w:val="center"/>
      </w:pPr>
      <w:r>
        <w:rPr>
          <w:rFonts w:ascii="Times New Roman" w:eastAsia="宋体" w:hAnsi="Times New Roman"/>
          <w:b/>
          <w:bCs/>
          <w:color w:val="000000"/>
          <w:sz w:val="20"/>
          <w:szCs w:val="20"/>
          <w:shd w:val="clear" w:color="auto" w:fill="FFFFFF"/>
        </w:rPr>
        <w:t xml:space="preserve"> </w:t>
      </w:r>
      <w:r>
        <w:rPr>
          <w:rFonts w:ascii="Times New Roman" w:eastAsia="宋体" w:hAnsi="Times New Roman"/>
          <w:b/>
          <w:bCs/>
          <w:color w:val="000000"/>
          <w:sz w:val="20"/>
          <w:szCs w:val="20"/>
          <w:shd w:val="clear" w:color="auto" w:fill="FFFFFF"/>
        </w:rPr>
        <w:t>UNITED STATES</w:t>
      </w:r>
    </w:p>
    <w:p w14:paraId="7DCFCB95" w14:textId="77777777" w:rsidR="00C1563E" w:rsidRDefault="000B648B">
      <w:pPr>
        <w:jc w:val="center"/>
      </w:pPr>
      <w:r>
        <w:rPr>
          <w:rFonts w:ascii="Times New Roman" w:eastAsia="宋体" w:hAnsi="Times New Roman"/>
          <w:b/>
          <w:bCs/>
          <w:color w:val="000000"/>
          <w:sz w:val="20"/>
          <w:szCs w:val="20"/>
          <w:shd w:val="clear" w:color="auto" w:fill="FFFFFF"/>
        </w:rPr>
        <w:t>SECURITIES AND EXCHANGE COMMISSION</w:t>
      </w:r>
    </w:p>
    <w:p w14:paraId="7DCFCB96" w14:textId="77777777" w:rsidR="00C1563E" w:rsidRDefault="000B648B">
      <w:pPr>
        <w:jc w:val="center"/>
      </w:pPr>
      <w:r>
        <w:rPr>
          <w:rFonts w:ascii="Times New Roman" w:eastAsia="宋体" w:hAnsi="Times New Roman"/>
          <w:b/>
          <w:bCs/>
          <w:color w:val="000000"/>
          <w:sz w:val="20"/>
          <w:szCs w:val="20"/>
          <w:shd w:val="clear" w:color="auto" w:fill="FFFFFF"/>
        </w:rPr>
        <w:t>Washington, D.C. 20549</w:t>
      </w:r>
    </w:p>
    <w:p w14:paraId="7DCFCB97" w14:textId="77777777" w:rsidR="00C1563E" w:rsidRDefault="000B648B">
      <w:pPr>
        <w:spacing w:before="60"/>
      </w:pPr>
      <w:r>
        <w:rPr>
          <w:rFonts w:ascii="Times New Roman" w:eastAsia="宋体" w:hAnsi="Times New Roman"/>
          <w:color w:val="000000"/>
          <w:sz w:val="2"/>
          <w:szCs w:val="2"/>
        </w:rPr>
        <w:t> </w:t>
      </w:r>
    </w:p>
    <w:p w14:paraId="7DCFCB98" w14:textId="77777777" w:rsidR="00C1563E" w:rsidRDefault="000B648B">
      <w:pPr>
        <w:jc w:val="center"/>
      </w:pPr>
      <w:r>
        <w:rPr>
          <w:rFonts w:ascii="Times New Roman" w:eastAsia="宋体" w:hAnsi="Times New Roman"/>
          <w:b/>
          <w:bCs/>
          <w:color w:val="000000"/>
          <w:sz w:val="28"/>
          <w:szCs w:val="28"/>
          <w:shd w:val="clear" w:color="auto" w:fill="FFFFFF"/>
        </w:rPr>
        <w:t xml:space="preserve">Form 10-K </w:t>
      </w:r>
    </w:p>
    <w:p w14:paraId="7DCFCB99" w14:textId="77777777" w:rsidR="00C1563E" w:rsidRDefault="000B648B">
      <w:pPr>
        <w:spacing w:before="60"/>
      </w:pPr>
      <w:r>
        <w:rPr>
          <w:rFonts w:ascii="Times New Roman" w:eastAsia="宋体" w:hAnsi="Times New Roman"/>
          <w:color w:val="000000"/>
          <w:sz w:val="2"/>
          <w:szCs w:val="2"/>
        </w:rPr>
        <w:t> </w:t>
      </w:r>
    </w:p>
    <w:tbl>
      <w:tblPr>
        <w:tblW w:w="10185" w:type="dxa"/>
        <w:jc w:val="center"/>
        <w:tblCellMar>
          <w:top w:w="15" w:type="dxa"/>
          <w:left w:w="15" w:type="dxa"/>
          <w:bottom w:w="15" w:type="dxa"/>
          <w:right w:w="15" w:type="dxa"/>
        </w:tblCellMar>
        <w:tblLook w:val="04A0" w:firstRow="1" w:lastRow="0" w:firstColumn="1" w:lastColumn="0" w:noHBand="0" w:noVBand="1"/>
      </w:tblPr>
      <w:tblGrid>
        <w:gridCol w:w="36"/>
        <w:gridCol w:w="925"/>
        <w:gridCol w:w="36"/>
        <w:gridCol w:w="36"/>
        <w:gridCol w:w="241"/>
        <w:gridCol w:w="36"/>
        <w:gridCol w:w="36"/>
        <w:gridCol w:w="4339"/>
        <w:gridCol w:w="36"/>
        <w:gridCol w:w="36"/>
        <w:gridCol w:w="1870"/>
        <w:gridCol w:w="36"/>
        <w:gridCol w:w="36"/>
        <w:gridCol w:w="2450"/>
        <w:gridCol w:w="36"/>
      </w:tblGrid>
      <w:tr w:rsidR="00C1563E" w14:paraId="7DCFCBA9" w14:textId="77777777">
        <w:trPr>
          <w:jc w:val="center"/>
        </w:trPr>
        <w:tc>
          <w:tcPr>
            <w:tcW w:w="20" w:type="dxa"/>
            <w:shd w:val="clear" w:color="auto" w:fill="auto"/>
          </w:tcPr>
          <w:p w14:paraId="7DCFCB9A" w14:textId="77777777" w:rsidR="00C1563E" w:rsidRDefault="00C1563E">
            <w:pPr>
              <w:rPr>
                <w:rFonts w:ascii="宋体"/>
              </w:rPr>
            </w:pPr>
          </w:p>
        </w:tc>
        <w:tc>
          <w:tcPr>
            <w:tcW w:w="935" w:type="dxa"/>
            <w:shd w:val="clear" w:color="auto" w:fill="auto"/>
          </w:tcPr>
          <w:p w14:paraId="7DCFCB9B" w14:textId="77777777" w:rsidR="00C1563E" w:rsidRDefault="00C1563E">
            <w:pPr>
              <w:rPr>
                <w:rFonts w:ascii="宋体"/>
              </w:rPr>
            </w:pPr>
          </w:p>
        </w:tc>
        <w:tc>
          <w:tcPr>
            <w:tcW w:w="20" w:type="dxa"/>
            <w:shd w:val="clear" w:color="auto" w:fill="auto"/>
          </w:tcPr>
          <w:p w14:paraId="7DCFCB9C" w14:textId="77777777" w:rsidR="00C1563E" w:rsidRDefault="00C1563E">
            <w:pPr>
              <w:rPr>
                <w:rFonts w:ascii="宋体"/>
              </w:rPr>
            </w:pPr>
          </w:p>
        </w:tc>
        <w:tc>
          <w:tcPr>
            <w:tcW w:w="20" w:type="dxa"/>
            <w:shd w:val="clear" w:color="auto" w:fill="auto"/>
          </w:tcPr>
          <w:p w14:paraId="7DCFCB9D" w14:textId="77777777" w:rsidR="00C1563E" w:rsidRDefault="00C1563E">
            <w:pPr>
              <w:rPr>
                <w:rFonts w:ascii="宋体"/>
              </w:rPr>
            </w:pPr>
          </w:p>
        </w:tc>
        <w:tc>
          <w:tcPr>
            <w:tcW w:w="245" w:type="dxa"/>
            <w:shd w:val="clear" w:color="auto" w:fill="auto"/>
          </w:tcPr>
          <w:p w14:paraId="7DCFCB9E" w14:textId="77777777" w:rsidR="00C1563E" w:rsidRDefault="00C1563E">
            <w:pPr>
              <w:rPr>
                <w:rFonts w:ascii="宋体"/>
              </w:rPr>
            </w:pPr>
          </w:p>
        </w:tc>
        <w:tc>
          <w:tcPr>
            <w:tcW w:w="20" w:type="dxa"/>
            <w:shd w:val="clear" w:color="auto" w:fill="auto"/>
          </w:tcPr>
          <w:p w14:paraId="7DCFCB9F" w14:textId="77777777" w:rsidR="00C1563E" w:rsidRDefault="00C1563E">
            <w:pPr>
              <w:rPr>
                <w:rFonts w:ascii="宋体"/>
              </w:rPr>
            </w:pPr>
          </w:p>
        </w:tc>
        <w:tc>
          <w:tcPr>
            <w:tcW w:w="20" w:type="dxa"/>
            <w:shd w:val="clear" w:color="auto" w:fill="auto"/>
          </w:tcPr>
          <w:p w14:paraId="7DCFCBA0" w14:textId="77777777" w:rsidR="00C1563E" w:rsidRDefault="00C1563E">
            <w:pPr>
              <w:rPr>
                <w:rFonts w:ascii="宋体"/>
              </w:rPr>
            </w:pPr>
          </w:p>
        </w:tc>
        <w:tc>
          <w:tcPr>
            <w:tcW w:w="4415" w:type="dxa"/>
            <w:shd w:val="clear" w:color="auto" w:fill="auto"/>
          </w:tcPr>
          <w:p w14:paraId="7DCFCBA1" w14:textId="77777777" w:rsidR="00C1563E" w:rsidRDefault="00C1563E">
            <w:pPr>
              <w:rPr>
                <w:rFonts w:ascii="宋体"/>
              </w:rPr>
            </w:pPr>
          </w:p>
        </w:tc>
        <w:tc>
          <w:tcPr>
            <w:tcW w:w="20" w:type="dxa"/>
            <w:shd w:val="clear" w:color="auto" w:fill="auto"/>
          </w:tcPr>
          <w:p w14:paraId="7DCFCBA2" w14:textId="77777777" w:rsidR="00C1563E" w:rsidRDefault="00C1563E">
            <w:pPr>
              <w:rPr>
                <w:rFonts w:ascii="宋体"/>
              </w:rPr>
            </w:pPr>
          </w:p>
        </w:tc>
        <w:tc>
          <w:tcPr>
            <w:tcW w:w="20" w:type="dxa"/>
            <w:shd w:val="clear" w:color="auto" w:fill="auto"/>
          </w:tcPr>
          <w:p w14:paraId="7DCFCBA3" w14:textId="77777777" w:rsidR="00C1563E" w:rsidRDefault="00C1563E">
            <w:pPr>
              <w:rPr>
                <w:rFonts w:ascii="宋体"/>
              </w:rPr>
            </w:pPr>
          </w:p>
        </w:tc>
        <w:tc>
          <w:tcPr>
            <w:tcW w:w="1895" w:type="dxa"/>
            <w:shd w:val="clear" w:color="auto" w:fill="auto"/>
          </w:tcPr>
          <w:p w14:paraId="7DCFCBA4" w14:textId="77777777" w:rsidR="00C1563E" w:rsidRDefault="00C1563E">
            <w:pPr>
              <w:rPr>
                <w:rFonts w:ascii="宋体"/>
              </w:rPr>
            </w:pPr>
          </w:p>
        </w:tc>
        <w:tc>
          <w:tcPr>
            <w:tcW w:w="20" w:type="dxa"/>
            <w:shd w:val="clear" w:color="auto" w:fill="auto"/>
          </w:tcPr>
          <w:p w14:paraId="7DCFCBA5" w14:textId="77777777" w:rsidR="00C1563E" w:rsidRDefault="00C1563E">
            <w:pPr>
              <w:rPr>
                <w:rFonts w:ascii="宋体"/>
              </w:rPr>
            </w:pPr>
          </w:p>
        </w:tc>
        <w:tc>
          <w:tcPr>
            <w:tcW w:w="20" w:type="dxa"/>
            <w:shd w:val="clear" w:color="auto" w:fill="auto"/>
          </w:tcPr>
          <w:p w14:paraId="7DCFCBA6" w14:textId="77777777" w:rsidR="00C1563E" w:rsidRDefault="00C1563E">
            <w:pPr>
              <w:rPr>
                <w:rFonts w:ascii="宋体"/>
              </w:rPr>
            </w:pPr>
          </w:p>
        </w:tc>
        <w:tc>
          <w:tcPr>
            <w:tcW w:w="2495" w:type="dxa"/>
            <w:shd w:val="clear" w:color="auto" w:fill="auto"/>
          </w:tcPr>
          <w:p w14:paraId="7DCFCBA7" w14:textId="77777777" w:rsidR="00C1563E" w:rsidRDefault="00C1563E">
            <w:pPr>
              <w:rPr>
                <w:rFonts w:ascii="宋体"/>
              </w:rPr>
            </w:pPr>
          </w:p>
        </w:tc>
        <w:tc>
          <w:tcPr>
            <w:tcW w:w="20" w:type="dxa"/>
            <w:shd w:val="clear" w:color="auto" w:fill="auto"/>
          </w:tcPr>
          <w:p w14:paraId="7DCFCBA8" w14:textId="77777777" w:rsidR="00C1563E" w:rsidRDefault="00C1563E">
            <w:pPr>
              <w:rPr>
                <w:rFonts w:ascii="宋体"/>
              </w:rPr>
            </w:pPr>
          </w:p>
        </w:tc>
      </w:tr>
      <w:tr w:rsidR="00C1563E" w14:paraId="7DCFCBAF" w14:textId="77777777">
        <w:trPr>
          <w:trHeight w:val="280"/>
          <w:jc w:val="center"/>
        </w:trPr>
        <w:tc>
          <w:tcPr>
            <w:tcW w:w="0" w:type="auto"/>
            <w:gridSpan w:val="3"/>
            <w:shd w:val="clear" w:color="auto" w:fill="auto"/>
            <w:tcMar>
              <w:top w:w="40" w:type="dxa"/>
              <w:left w:w="20" w:type="dxa"/>
              <w:bottom w:w="40" w:type="dxa"/>
              <w:right w:w="20" w:type="dxa"/>
            </w:tcMar>
            <w:vAlign w:val="bottom"/>
          </w:tcPr>
          <w:p w14:paraId="7DCFCBAA" w14:textId="77777777" w:rsidR="00C1563E" w:rsidRDefault="000B648B">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7DCFCBAB" w14:textId="77777777" w:rsidR="00C1563E" w:rsidRDefault="000B648B">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DCFCBAC" w14:textId="77777777" w:rsidR="00C1563E" w:rsidRDefault="000B648B">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7DCFCBA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BAE" w14:textId="77777777" w:rsidR="00C1563E" w:rsidRDefault="00C1563E">
            <w:pPr>
              <w:rPr>
                <w:rFonts w:ascii="宋体"/>
              </w:rPr>
            </w:pPr>
          </w:p>
        </w:tc>
      </w:tr>
      <w:tr w:rsidR="00C1563E" w14:paraId="7DCFCBB3" w14:textId="77777777">
        <w:trPr>
          <w:trHeight w:val="460"/>
          <w:jc w:val="center"/>
        </w:trPr>
        <w:tc>
          <w:tcPr>
            <w:tcW w:w="0" w:type="auto"/>
            <w:gridSpan w:val="3"/>
            <w:shd w:val="clear" w:color="auto" w:fill="auto"/>
            <w:tcMar>
              <w:top w:w="40" w:type="dxa"/>
              <w:left w:w="20" w:type="dxa"/>
              <w:bottom w:w="40" w:type="dxa"/>
              <w:right w:w="20" w:type="dxa"/>
            </w:tcMar>
            <w:vAlign w:val="center"/>
          </w:tcPr>
          <w:p w14:paraId="7DCFCBB0" w14:textId="77777777" w:rsidR="00C1563E" w:rsidRDefault="000B648B">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7DCFCBB1" w14:textId="77777777" w:rsidR="00C1563E" w:rsidRDefault="000B648B">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7DCFCBB2" w14:textId="77777777" w:rsidR="00C1563E" w:rsidRDefault="000B648B">
            <w:pPr>
              <w:textAlignment w:val="top"/>
            </w:pPr>
            <w:r>
              <w:rPr>
                <w:rFonts w:ascii="Times New Roman" w:eastAsia="宋体" w:hAnsi="Times New Roman"/>
                <w:b/>
                <w:bCs/>
                <w:color w:val="000000"/>
                <w:sz w:val="18"/>
                <w:szCs w:val="18"/>
              </w:rPr>
              <w:t>ANNUAL REPORT PURSUANT TO SECTION 13 OR 15(d) OF THE SECURITIES</w:t>
            </w:r>
            <w:r>
              <w:rPr>
                <w:rFonts w:ascii="Times New Roman" w:eastAsia="宋体" w:hAnsi="Times New Roman"/>
                <w:b/>
                <w:bCs/>
                <w:color w:val="000000"/>
                <w:sz w:val="18"/>
                <w:szCs w:val="18"/>
              </w:rPr>
              <w:br/>
              <w:t>EXCHANGE ACT OF 1934</w:t>
            </w:r>
          </w:p>
        </w:tc>
      </w:tr>
      <w:tr w:rsidR="00C1563E" w14:paraId="7DCFCBB9" w14:textId="77777777">
        <w:trPr>
          <w:trHeight w:val="300"/>
          <w:jc w:val="center"/>
        </w:trPr>
        <w:tc>
          <w:tcPr>
            <w:tcW w:w="0" w:type="auto"/>
            <w:gridSpan w:val="3"/>
            <w:shd w:val="clear" w:color="auto" w:fill="auto"/>
            <w:tcMar>
              <w:top w:w="0" w:type="dxa"/>
              <w:left w:w="20" w:type="dxa"/>
              <w:bottom w:w="0" w:type="dxa"/>
              <w:right w:w="20" w:type="dxa"/>
            </w:tcMar>
          </w:tcPr>
          <w:p w14:paraId="7DCFCBB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BB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BB6" w14:textId="77777777" w:rsidR="00C1563E" w:rsidRDefault="000B648B">
            <w:pPr>
              <w:jc w:val="right"/>
              <w:textAlignment w:val="bottom"/>
            </w:pPr>
            <w:r>
              <w:rPr>
                <w:rFonts w:ascii="Times New Roman" w:eastAsia="宋体" w:hAnsi="Times New Roman"/>
                <w:b/>
                <w:bCs/>
                <w:color w:val="000000"/>
                <w:sz w:val="18"/>
                <w:szCs w:val="18"/>
              </w:rPr>
              <w:t>For the fiscal year ended</w:t>
            </w:r>
          </w:p>
        </w:tc>
        <w:tc>
          <w:tcPr>
            <w:tcW w:w="0" w:type="auto"/>
            <w:gridSpan w:val="3"/>
            <w:shd w:val="clear" w:color="auto" w:fill="auto"/>
            <w:tcMar>
              <w:top w:w="40" w:type="dxa"/>
              <w:left w:w="20" w:type="dxa"/>
              <w:bottom w:w="40" w:type="dxa"/>
              <w:right w:w="20" w:type="dxa"/>
            </w:tcMar>
            <w:vAlign w:val="bottom"/>
          </w:tcPr>
          <w:p w14:paraId="7DCFCBB7" w14:textId="77777777" w:rsidR="00C1563E" w:rsidRDefault="000B648B">
            <w:pPr>
              <w:textAlignment w:val="bottom"/>
            </w:pPr>
            <w:r>
              <w:rPr>
                <w:rFonts w:ascii="Times New Roman" w:eastAsia="宋体" w:hAnsi="Times New Roman"/>
                <w:b/>
                <w:bCs/>
                <w:color w:val="000000"/>
                <w:sz w:val="18"/>
                <w:szCs w:val="18"/>
              </w:rPr>
              <w:t xml:space="preserve">January 29, </w:t>
            </w:r>
            <w:r>
              <w:rPr>
                <w:rFonts w:ascii="Times New Roman" w:eastAsia="宋体" w:hAnsi="Times New Roman"/>
                <w:b/>
                <w:bCs/>
                <w:color w:val="000000"/>
                <w:sz w:val="18"/>
                <w:szCs w:val="18"/>
              </w:rPr>
              <w:t>2021</w:t>
            </w:r>
          </w:p>
        </w:tc>
        <w:tc>
          <w:tcPr>
            <w:tcW w:w="0" w:type="auto"/>
            <w:gridSpan w:val="3"/>
            <w:shd w:val="clear" w:color="auto" w:fill="auto"/>
            <w:tcMar>
              <w:top w:w="0" w:type="dxa"/>
              <w:left w:w="20" w:type="dxa"/>
              <w:bottom w:w="0" w:type="dxa"/>
              <w:right w:w="20" w:type="dxa"/>
            </w:tcMar>
          </w:tcPr>
          <w:p w14:paraId="7DCFCBB8" w14:textId="77777777" w:rsidR="00C1563E" w:rsidRDefault="00C1563E">
            <w:pPr>
              <w:rPr>
                <w:rFonts w:ascii="宋体"/>
              </w:rPr>
            </w:pPr>
          </w:p>
        </w:tc>
      </w:tr>
      <w:tr w:rsidR="00C1563E" w14:paraId="7DCFCBBB" w14:textId="77777777">
        <w:trPr>
          <w:trHeight w:val="240"/>
          <w:jc w:val="center"/>
        </w:trPr>
        <w:tc>
          <w:tcPr>
            <w:tcW w:w="0" w:type="auto"/>
            <w:gridSpan w:val="15"/>
            <w:shd w:val="clear" w:color="auto" w:fill="auto"/>
            <w:tcMar>
              <w:top w:w="40" w:type="dxa"/>
              <w:left w:w="20" w:type="dxa"/>
              <w:bottom w:w="40" w:type="dxa"/>
              <w:right w:w="20" w:type="dxa"/>
            </w:tcMar>
          </w:tcPr>
          <w:p w14:paraId="7DCFCBBA" w14:textId="77777777" w:rsidR="00C1563E" w:rsidRDefault="000B648B">
            <w:pPr>
              <w:jc w:val="center"/>
              <w:textAlignment w:val="top"/>
            </w:pPr>
            <w:r>
              <w:rPr>
                <w:rFonts w:ascii="Times New Roman" w:eastAsia="宋体" w:hAnsi="Times New Roman"/>
                <w:b/>
                <w:bCs/>
                <w:color w:val="000000"/>
                <w:sz w:val="18"/>
                <w:szCs w:val="18"/>
              </w:rPr>
              <w:t>or</w:t>
            </w:r>
          </w:p>
        </w:tc>
      </w:tr>
      <w:tr w:rsidR="00C1563E" w14:paraId="7DCFCBBF" w14:textId="77777777">
        <w:trPr>
          <w:trHeight w:val="460"/>
          <w:jc w:val="center"/>
        </w:trPr>
        <w:tc>
          <w:tcPr>
            <w:tcW w:w="0" w:type="auto"/>
            <w:gridSpan w:val="3"/>
            <w:shd w:val="clear" w:color="auto" w:fill="auto"/>
            <w:tcMar>
              <w:top w:w="40" w:type="dxa"/>
              <w:left w:w="20" w:type="dxa"/>
              <w:bottom w:w="40" w:type="dxa"/>
              <w:right w:w="20" w:type="dxa"/>
            </w:tcMar>
            <w:vAlign w:val="center"/>
          </w:tcPr>
          <w:p w14:paraId="7DCFCBBC" w14:textId="77777777" w:rsidR="00C1563E" w:rsidRDefault="000B648B">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7DCFCBBD" w14:textId="77777777" w:rsidR="00C1563E" w:rsidRDefault="000B648B">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7DCFCBBE" w14:textId="77777777" w:rsidR="00C1563E" w:rsidRDefault="000B648B">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C1563E" w14:paraId="7DCFCBC1" w14:textId="77777777">
        <w:trPr>
          <w:trHeight w:val="280"/>
          <w:jc w:val="center"/>
        </w:trPr>
        <w:tc>
          <w:tcPr>
            <w:tcW w:w="0" w:type="auto"/>
            <w:gridSpan w:val="15"/>
            <w:shd w:val="clear" w:color="auto" w:fill="auto"/>
            <w:tcMar>
              <w:top w:w="40" w:type="dxa"/>
              <w:left w:w="20" w:type="dxa"/>
              <w:bottom w:w="40" w:type="dxa"/>
              <w:right w:w="20" w:type="dxa"/>
            </w:tcMar>
            <w:vAlign w:val="bottom"/>
          </w:tcPr>
          <w:p w14:paraId="7DCFCBC0" w14:textId="77777777" w:rsidR="00C1563E" w:rsidRDefault="000B648B">
            <w:pP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7DCFCBC2" w14:textId="77777777" w:rsidR="00C1563E" w:rsidRDefault="000B648B">
      <w:pPr>
        <w:spacing w:before="60"/>
      </w:pPr>
      <w:r>
        <w:rPr>
          <w:rFonts w:ascii="Times New Roman" w:eastAsia="宋体" w:hAnsi="Times New Roman"/>
          <w:color w:val="000000"/>
          <w:sz w:val="2"/>
          <w:szCs w:val="2"/>
        </w:rPr>
        <w:t> </w:t>
      </w:r>
    </w:p>
    <w:p w14:paraId="7DCFCBC3" w14:textId="77777777" w:rsidR="00C1563E" w:rsidRDefault="000B648B">
      <w:pPr>
        <w:jc w:val="center"/>
      </w:pPr>
      <w:r>
        <w:rPr>
          <w:rFonts w:ascii="Times New Roman" w:eastAsia="宋体" w:hAnsi="Times New Roman"/>
          <w:b/>
          <w:bCs/>
          <w:color w:val="000000"/>
          <w:sz w:val="18"/>
          <w:szCs w:val="18"/>
          <w:shd w:val="clear" w:color="auto" w:fill="FFFFFF"/>
        </w:rPr>
        <w:t>Commission File Number:</w:t>
      </w:r>
      <w:r>
        <w:rPr>
          <w:rFonts w:ascii="Times New Roman" w:eastAsia="宋体" w:hAnsi="Times New Roman"/>
          <w:b/>
          <w:bCs/>
          <w:color w:val="000000"/>
          <w:sz w:val="18"/>
          <w:szCs w:val="18"/>
        </w:rPr>
        <w:t xml:space="preserve"> 001-37867</w:t>
      </w:r>
      <w:r>
        <w:rPr>
          <w:rFonts w:ascii="Times New Roman" w:eastAsia="宋体" w:hAnsi="Times New Roman"/>
          <w:b/>
          <w:bCs/>
          <w:color w:val="000000"/>
          <w:sz w:val="18"/>
          <w:szCs w:val="18"/>
          <w:shd w:val="clear" w:color="auto" w:fill="FFFFFF"/>
        </w:rPr>
        <w:t xml:space="preserve"> </w:t>
      </w:r>
    </w:p>
    <w:p w14:paraId="7DCFCBC4" w14:textId="77777777" w:rsidR="00C1563E" w:rsidRDefault="000B648B">
      <w:pPr>
        <w:spacing w:before="60"/>
      </w:pPr>
      <w:r>
        <w:rPr>
          <w:rFonts w:ascii="Times New Roman" w:eastAsia="宋体" w:hAnsi="Times New Roman"/>
          <w:color w:val="000000"/>
          <w:sz w:val="2"/>
          <w:szCs w:val="2"/>
        </w:rPr>
        <w:t> </w:t>
      </w:r>
    </w:p>
    <w:p w14:paraId="7DCFCBC5" w14:textId="77777777" w:rsidR="00C1563E" w:rsidRDefault="000B648B">
      <w:pPr>
        <w:spacing w:after="120"/>
        <w:jc w:val="center"/>
      </w:pPr>
      <w:r>
        <w:rPr>
          <w:rFonts w:ascii="Times New Roman" w:eastAsia="宋体" w:hAnsi="Times New Roman"/>
          <w:b/>
          <w:bCs/>
          <w:color w:val="000000"/>
          <w:sz w:val="32"/>
          <w:szCs w:val="32"/>
          <w:shd w:val="clear" w:color="auto" w:fill="FFFFFF"/>
        </w:rPr>
        <w:t xml:space="preserve">Dell Technologies Inc. </w:t>
      </w:r>
    </w:p>
    <w:p w14:paraId="7DCFCBC6" w14:textId="77777777" w:rsidR="00C1563E" w:rsidRDefault="000B648B">
      <w:pPr>
        <w:spacing w:before="60"/>
        <w:jc w:val="center"/>
      </w:pPr>
      <w:r>
        <w:rPr>
          <w:rFonts w:ascii="Times New Roman" w:eastAsia="宋体" w:hAnsi="Times New Roman"/>
          <w:color w:val="000000"/>
          <w:sz w:val="16"/>
          <w:szCs w:val="16"/>
          <w:shd w:val="clear" w:color="auto" w:fill="FFFFFF"/>
        </w:rPr>
        <w:t xml:space="preserve">(Exact name of </w:t>
      </w:r>
      <w:r>
        <w:rPr>
          <w:rFonts w:ascii="Times New Roman" w:eastAsia="宋体" w:hAnsi="Times New Roman"/>
          <w:color w:val="000000"/>
          <w:sz w:val="16"/>
          <w:szCs w:val="16"/>
          <w:shd w:val="clear" w:color="auto" w:fill="FFFFFF"/>
        </w:rPr>
        <w:t>registrant as specified in its charter)</w:t>
      </w:r>
      <w:r>
        <w:rPr>
          <w:rFonts w:ascii="Times New Roman" w:eastAsia="宋体" w:hAnsi="Times New Roman"/>
          <w:color w:val="000000"/>
          <w:sz w:val="2"/>
          <w:szCs w:val="2"/>
        </w:rPr>
        <w:t> </w:t>
      </w:r>
    </w:p>
    <w:p w14:paraId="7DCFCBC7" w14:textId="77777777" w:rsidR="00C1563E" w:rsidRDefault="000B648B">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C1563E" w14:paraId="7DCFCBD1" w14:textId="77777777">
        <w:tc>
          <w:tcPr>
            <w:tcW w:w="50" w:type="pct"/>
            <w:shd w:val="clear" w:color="auto" w:fill="auto"/>
          </w:tcPr>
          <w:p w14:paraId="7DCFCBC8" w14:textId="77777777" w:rsidR="00C1563E" w:rsidRDefault="00C1563E">
            <w:pPr>
              <w:rPr>
                <w:rFonts w:ascii="宋体"/>
              </w:rPr>
            </w:pPr>
          </w:p>
        </w:tc>
        <w:tc>
          <w:tcPr>
            <w:tcW w:w="2371" w:type="pct"/>
            <w:shd w:val="clear" w:color="auto" w:fill="auto"/>
          </w:tcPr>
          <w:p w14:paraId="7DCFCBC9" w14:textId="77777777" w:rsidR="00C1563E" w:rsidRDefault="00C1563E">
            <w:pPr>
              <w:rPr>
                <w:rFonts w:ascii="宋体"/>
              </w:rPr>
            </w:pPr>
          </w:p>
        </w:tc>
        <w:tc>
          <w:tcPr>
            <w:tcW w:w="5" w:type="pct"/>
            <w:shd w:val="clear" w:color="auto" w:fill="auto"/>
          </w:tcPr>
          <w:p w14:paraId="7DCFCBCA" w14:textId="77777777" w:rsidR="00C1563E" w:rsidRDefault="00C1563E">
            <w:pPr>
              <w:rPr>
                <w:rFonts w:ascii="宋体"/>
              </w:rPr>
            </w:pPr>
          </w:p>
        </w:tc>
        <w:tc>
          <w:tcPr>
            <w:tcW w:w="5" w:type="pct"/>
            <w:shd w:val="clear" w:color="auto" w:fill="auto"/>
          </w:tcPr>
          <w:p w14:paraId="7DCFCBCB" w14:textId="77777777" w:rsidR="00C1563E" w:rsidRDefault="00C1563E">
            <w:pPr>
              <w:rPr>
                <w:rFonts w:ascii="宋体"/>
              </w:rPr>
            </w:pPr>
          </w:p>
        </w:tc>
        <w:tc>
          <w:tcPr>
            <w:tcW w:w="136" w:type="pct"/>
            <w:shd w:val="clear" w:color="auto" w:fill="auto"/>
          </w:tcPr>
          <w:p w14:paraId="7DCFCBCC" w14:textId="77777777" w:rsidR="00C1563E" w:rsidRDefault="00C1563E">
            <w:pPr>
              <w:rPr>
                <w:rFonts w:ascii="宋体"/>
              </w:rPr>
            </w:pPr>
          </w:p>
        </w:tc>
        <w:tc>
          <w:tcPr>
            <w:tcW w:w="5" w:type="pct"/>
            <w:shd w:val="clear" w:color="auto" w:fill="auto"/>
          </w:tcPr>
          <w:p w14:paraId="7DCFCBCD" w14:textId="77777777" w:rsidR="00C1563E" w:rsidRDefault="00C1563E">
            <w:pPr>
              <w:rPr>
                <w:rFonts w:ascii="宋体"/>
              </w:rPr>
            </w:pPr>
          </w:p>
        </w:tc>
        <w:tc>
          <w:tcPr>
            <w:tcW w:w="50" w:type="pct"/>
            <w:shd w:val="clear" w:color="auto" w:fill="auto"/>
          </w:tcPr>
          <w:p w14:paraId="7DCFCBCE" w14:textId="77777777" w:rsidR="00C1563E" w:rsidRDefault="00C1563E">
            <w:pPr>
              <w:rPr>
                <w:rFonts w:ascii="宋体"/>
              </w:rPr>
            </w:pPr>
          </w:p>
        </w:tc>
        <w:tc>
          <w:tcPr>
            <w:tcW w:w="2371" w:type="pct"/>
            <w:shd w:val="clear" w:color="auto" w:fill="auto"/>
          </w:tcPr>
          <w:p w14:paraId="7DCFCBCF" w14:textId="77777777" w:rsidR="00C1563E" w:rsidRDefault="00C1563E">
            <w:pPr>
              <w:rPr>
                <w:rFonts w:ascii="宋体"/>
              </w:rPr>
            </w:pPr>
          </w:p>
        </w:tc>
        <w:tc>
          <w:tcPr>
            <w:tcW w:w="5" w:type="pct"/>
            <w:shd w:val="clear" w:color="auto" w:fill="auto"/>
          </w:tcPr>
          <w:p w14:paraId="7DCFCBD0" w14:textId="77777777" w:rsidR="00C1563E" w:rsidRDefault="00C1563E">
            <w:pPr>
              <w:rPr>
                <w:rFonts w:ascii="宋体"/>
              </w:rPr>
            </w:pPr>
          </w:p>
        </w:tc>
      </w:tr>
      <w:tr w:rsidR="00C1563E" w14:paraId="7DCFCBD5" w14:textId="77777777">
        <w:tc>
          <w:tcPr>
            <w:tcW w:w="0" w:type="auto"/>
            <w:gridSpan w:val="3"/>
            <w:shd w:val="clear" w:color="auto" w:fill="auto"/>
            <w:tcMar>
              <w:top w:w="40" w:type="dxa"/>
              <w:left w:w="20" w:type="dxa"/>
              <w:bottom w:w="40" w:type="dxa"/>
              <w:right w:w="20" w:type="dxa"/>
            </w:tcMar>
          </w:tcPr>
          <w:p w14:paraId="7DCFCBD2" w14:textId="77777777" w:rsidR="00C1563E" w:rsidRDefault="000B648B">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7DCFCBD3" w14:textId="77777777" w:rsidR="00C1563E" w:rsidRDefault="000B648B">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tcPr>
          <w:p w14:paraId="7DCFCBD4" w14:textId="77777777" w:rsidR="00C1563E" w:rsidRDefault="000B648B">
            <w:pPr>
              <w:jc w:val="center"/>
              <w:textAlignment w:val="top"/>
            </w:pPr>
            <w:r>
              <w:rPr>
                <w:rFonts w:ascii="Times New Roman" w:eastAsia="宋体" w:hAnsi="Times New Roman"/>
                <w:b/>
                <w:bCs/>
                <w:color w:val="000000"/>
                <w:sz w:val="18"/>
                <w:szCs w:val="18"/>
              </w:rPr>
              <w:t>80-0890963</w:t>
            </w:r>
          </w:p>
        </w:tc>
      </w:tr>
      <w:tr w:rsidR="00C1563E" w14:paraId="7DCFCBD9" w14:textId="77777777">
        <w:tc>
          <w:tcPr>
            <w:tcW w:w="0" w:type="auto"/>
            <w:gridSpan w:val="3"/>
            <w:shd w:val="clear" w:color="auto" w:fill="auto"/>
            <w:tcMar>
              <w:top w:w="40" w:type="dxa"/>
              <w:left w:w="20" w:type="dxa"/>
              <w:bottom w:w="40" w:type="dxa"/>
              <w:right w:w="20" w:type="dxa"/>
            </w:tcMar>
            <w:vAlign w:val="bottom"/>
          </w:tcPr>
          <w:p w14:paraId="7DCFCBD6" w14:textId="77777777" w:rsidR="00C1563E" w:rsidRDefault="000B648B">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7DCFCBD7" w14:textId="77777777" w:rsidR="00C1563E" w:rsidRDefault="000B648B">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7DCFCBD8" w14:textId="77777777" w:rsidR="00C1563E" w:rsidRDefault="000B648B">
            <w:pPr>
              <w:jc w:val="center"/>
              <w:textAlignment w:val="bottom"/>
            </w:pPr>
            <w:r>
              <w:rPr>
                <w:rFonts w:ascii="Times New Roman" w:eastAsia="宋体" w:hAnsi="Times New Roman"/>
                <w:color w:val="000000"/>
                <w:sz w:val="18"/>
                <w:szCs w:val="18"/>
              </w:rPr>
              <w:t>(I.R.S. Employer Identification No.)</w:t>
            </w:r>
          </w:p>
        </w:tc>
      </w:tr>
    </w:tbl>
    <w:p w14:paraId="7DCFCBDA" w14:textId="77777777" w:rsidR="00C1563E" w:rsidRDefault="000B648B">
      <w:pPr>
        <w:spacing w:before="60"/>
        <w:jc w:val="center"/>
      </w:pPr>
      <w:r>
        <w:rPr>
          <w:rFonts w:ascii="Times New Roman" w:eastAsia="宋体" w:hAnsi="Times New Roman"/>
          <w:b/>
          <w:bCs/>
          <w:color w:val="000000"/>
          <w:sz w:val="18"/>
          <w:szCs w:val="18"/>
          <w:shd w:val="clear" w:color="auto" w:fill="FFFFFF"/>
        </w:rPr>
        <w:t xml:space="preserve">One Dell Way, Round Rock, Texas 78682 </w:t>
      </w:r>
    </w:p>
    <w:p w14:paraId="7DCFCBDB" w14:textId="77777777" w:rsidR="00C1563E" w:rsidRDefault="000B648B">
      <w:pPr>
        <w:jc w:val="center"/>
      </w:pPr>
      <w:r>
        <w:rPr>
          <w:rFonts w:ascii="Times New Roman" w:eastAsia="宋体" w:hAnsi="Times New Roman"/>
          <w:color w:val="000000"/>
          <w:sz w:val="18"/>
          <w:szCs w:val="18"/>
          <w:shd w:val="clear" w:color="auto" w:fill="FFFFFF"/>
        </w:rPr>
        <w:t xml:space="preserve">(Address of principal </w:t>
      </w:r>
      <w:r>
        <w:rPr>
          <w:rFonts w:ascii="Times New Roman" w:eastAsia="宋体" w:hAnsi="Times New Roman"/>
          <w:color w:val="000000"/>
          <w:sz w:val="18"/>
          <w:szCs w:val="18"/>
          <w:shd w:val="clear" w:color="auto" w:fill="FFFFFF"/>
        </w:rPr>
        <w:t>executive offices) (Zip Code)</w:t>
      </w:r>
    </w:p>
    <w:p w14:paraId="7DCFCBDC" w14:textId="77777777" w:rsidR="00C1563E" w:rsidRDefault="00C1563E">
      <w:pPr>
        <w:jc w:val="center"/>
      </w:pPr>
    </w:p>
    <w:p w14:paraId="7DCFCBDD" w14:textId="77777777" w:rsidR="00C1563E" w:rsidRDefault="000B648B">
      <w:pPr>
        <w:jc w:val="center"/>
      </w:pPr>
      <w:r>
        <w:rPr>
          <w:rFonts w:ascii="Times New Roman" w:eastAsia="宋体" w:hAnsi="Times New Roman"/>
          <w:b/>
          <w:bCs/>
          <w:color w:val="000000"/>
          <w:sz w:val="18"/>
          <w:szCs w:val="18"/>
          <w:shd w:val="clear" w:color="auto" w:fill="FFFFFF"/>
        </w:rPr>
        <w:t>1-800-289-3355</w:t>
      </w:r>
      <w:r>
        <w:rPr>
          <w:rFonts w:ascii="Times New Roman" w:eastAsia="宋体" w:hAnsi="Times New Roman"/>
          <w:color w:val="000000"/>
          <w:sz w:val="18"/>
          <w:szCs w:val="18"/>
        </w:rPr>
        <w:t> </w:t>
      </w:r>
    </w:p>
    <w:p w14:paraId="7DCFCBDE" w14:textId="77777777" w:rsidR="00C1563E" w:rsidRDefault="000B648B">
      <w:pPr>
        <w:jc w:val="center"/>
      </w:pPr>
      <w:r>
        <w:rPr>
          <w:rFonts w:ascii="Times New Roman" w:eastAsia="宋体" w:hAnsi="Times New Roman"/>
          <w:color w:val="000000"/>
          <w:sz w:val="18"/>
          <w:szCs w:val="18"/>
          <w:shd w:val="clear" w:color="auto" w:fill="FFFFFF"/>
        </w:rPr>
        <w:t>(Registrant’s telephone number, including area code)</w:t>
      </w:r>
    </w:p>
    <w:p w14:paraId="7DCFCBDF" w14:textId="77777777" w:rsidR="00C1563E" w:rsidRDefault="00C1563E">
      <w:pPr>
        <w:jc w:val="center"/>
      </w:pPr>
    </w:p>
    <w:p w14:paraId="7DCFCBE0" w14:textId="77777777" w:rsidR="00C1563E" w:rsidRDefault="000B648B">
      <w:pPr>
        <w:jc w:val="center"/>
      </w:pPr>
      <w:r>
        <w:rPr>
          <w:rFonts w:ascii="Times New Roman" w:eastAsia="宋体" w:hAnsi="Times New Roman"/>
          <w:color w:val="000000"/>
          <w:sz w:val="18"/>
          <w:szCs w:val="18"/>
          <w:shd w:val="clear" w:color="auto" w:fill="FFFFFF"/>
        </w:rPr>
        <w:t>Securities registered pursuant to Section 12(b) of the Act:</w:t>
      </w: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3271"/>
        <w:gridCol w:w="37"/>
        <w:gridCol w:w="69"/>
        <w:gridCol w:w="1405"/>
        <w:gridCol w:w="36"/>
        <w:gridCol w:w="69"/>
        <w:gridCol w:w="3296"/>
        <w:gridCol w:w="36"/>
      </w:tblGrid>
      <w:tr w:rsidR="00C1563E" w14:paraId="7DCFCBEA" w14:textId="77777777">
        <w:trPr>
          <w:jc w:val="center"/>
        </w:trPr>
        <w:tc>
          <w:tcPr>
            <w:tcW w:w="50" w:type="pct"/>
            <w:shd w:val="clear" w:color="auto" w:fill="auto"/>
          </w:tcPr>
          <w:p w14:paraId="7DCFCBE1" w14:textId="77777777" w:rsidR="00C1563E" w:rsidRDefault="00C1563E">
            <w:pPr>
              <w:rPr>
                <w:rFonts w:ascii="宋体"/>
              </w:rPr>
            </w:pPr>
          </w:p>
        </w:tc>
        <w:tc>
          <w:tcPr>
            <w:tcW w:w="1981" w:type="pct"/>
            <w:shd w:val="clear" w:color="auto" w:fill="auto"/>
          </w:tcPr>
          <w:p w14:paraId="7DCFCBE2" w14:textId="77777777" w:rsidR="00C1563E" w:rsidRDefault="00C1563E">
            <w:pPr>
              <w:rPr>
                <w:rFonts w:ascii="宋体"/>
              </w:rPr>
            </w:pPr>
          </w:p>
        </w:tc>
        <w:tc>
          <w:tcPr>
            <w:tcW w:w="5" w:type="pct"/>
            <w:shd w:val="clear" w:color="auto" w:fill="auto"/>
          </w:tcPr>
          <w:p w14:paraId="7DCFCBE3" w14:textId="77777777" w:rsidR="00C1563E" w:rsidRDefault="00C1563E">
            <w:pPr>
              <w:rPr>
                <w:rFonts w:ascii="宋体"/>
              </w:rPr>
            </w:pPr>
          </w:p>
        </w:tc>
        <w:tc>
          <w:tcPr>
            <w:tcW w:w="50" w:type="pct"/>
            <w:shd w:val="clear" w:color="auto" w:fill="auto"/>
          </w:tcPr>
          <w:p w14:paraId="7DCFCBE4" w14:textId="77777777" w:rsidR="00C1563E" w:rsidRDefault="00C1563E">
            <w:pPr>
              <w:rPr>
                <w:rFonts w:ascii="宋体"/>
              </w:rPr>
            </w:pPr>
          </w:p>
        </w:tc>
        <w:tc>
          <w:tcPr>
            <w:tcW w:w="856" w:type="pct"/>
            <w:shd w:val="clear" w:color="auto" w:fill="auto"/>
          </w:tcPr>
          <w:p w14:paraId="7DCFCBE5" w14:textId="77777777" w:rsidR="00C1563E" w:rsidRDefault="00C1563E">
            <w:pPr>
              <w:rPr>
                <w:rFonts w:ascii="宋体"/>
              </w:rPr>
            </w:pPr>
          </w:p>
        </w:tc>
        <w:tc>
          <w:tcPr>
            <w:tcW w:w="5" w:type="pct"/>
            <w:shd w:val="clear" w:color="auto" w:fill="auto"/>
          </w:tcPr>
          <w:p w14:paraId="7DCFCBE6" w14:textId="77777777" w:rsidR="00C1563E" w:rsidRDefault="00C1563E">
            <w:pPr>
              <w:rPr>
                <w:rFonts w:ascii="宋体"/>
              </w:rPr>
            </w:pPr>
          </w:p>
        </w:tc>
        <w:tc>
          <w:tcPr>
            <w:tcW w:w="50" w:type="pct"/>
            <w:shd w:val="clear" w:color="auto" w:fill="auto"/>
          </w:tcPr>
          <w:p w14:paraId="7DCFCBE7" w14:textId="77777777" w:rsidR="00C1563E" w:rsidRDefault="00C1563E">
            <w:pPr>
              <w:rPr>
                <w:rFonts w:ascii="宋体"/>
              </w:rPr>
            </w:pPr>
          </w:p>
        </w:tc>
        <w:tc>
          <w:tcPr>
            <w:tcW w:w="1996" w:type="pct"/>
            <w:shd w:val="clear" w:color="auto" w:fill="auto"/>
          </w:tcPr>
          <w:p w14:paraId="7DCFCBE8" w14:textId="77777777" w:rsidR="00C1563E" w:rsidRDefault="00C1563E">
            <w:pPr>
              <w:rPr>
                <w:rFonts w:ascii="宋体"/>
              </w:rPr>
            </w:pPr>
          </w:p>
        </w:tc>
        <w:tc>
          <w:tcPr>
            <w:tcW w:w="5" w:type="pct"/>
            <w:shd w:val="clear" w:color="auto" w:fill="auto"/>
          </w:tcPr>
          <w:p w14:paraId="7DCFCBE9" w14:textId="77777777" w:rsidR="00C1563E" w:rsidRDefault="00C1563E">
            <w:pPr>
              <w:rPr>
                <w:rFonts w:ascii="宋体"/>
              </w:rPr>
            </w:pPr>
          </w:p>
        </w:tc>
      </w:tr>
      <w:tr w:rsidR="00C1563E" w14:paraId="7DCFCBEE" w14:textId="77777777">
        <w:trPr>
          <w:jc w:val="center"/>
        </w:trPr>
        <w:tc>
          <w:tcPr>
            <w:tcW w:w="0" w:type="auto"/>
            <w:gridSpan w:val="3"/>
            <w:shd w:val="clear" w:color="auto" w:fill="auto"/>
            <w:tcMar>
              <w:top w:w="40" w:type="dxa"/>
              <w:left w:w="20" w:type="dxa"/>
              <w:bottom w:w="40" w:type="dxa"/>
              <w:right w:w="20" w:type="dxa"/>
            </w:tcMar>
            <w:vAlign w:val="bottom"/>
          </w:tcPr>
          <w:p w14:paraId="7DCFCBEB" w14:textId="77777777" w:rsidR="00C1563E" w:rsidRDefault="000B648B">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7DCFCBEC" w14:textId="77777777" w:rsidR="00C1563E" w:rsidRDefault="000B648B">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7DCFCBED" w14:textId="77777777" w:rsidR="00C1563E" w:rsidRDefault="000B648B">
            <w:pPr>
              <w:jc w:val="center"/>
              <w:textAlignment w:val="bottom"/>
            </w:pPr>
            <w:r>
              <w:rPr>
                <w:rFonts w:ascii="Times New Roman" w:eastAsia="宋体" w:hAnsi="Times New Roman"/>
                <w:color w:val="000000"/>
                <w:sz w:val="18"/>
                <w:szCs w:val="18"/>
                <w:u w:val="single"/>
              </w:rPr>
              <w:t xml:space="preserve">Name of each exchange on which </w:t>
            </w:r>
            <w:r>
              <w:rPr>
                <w:rFonts w:ascii="Times New Roman" w:eastAsia="宋体" w:hAnsi="Times New Roman"/>
                <w:color w:val="000000"/>
                <w:sz w:val="18"/>
                <w:szCs w:val="18"/>
                <w:u w:val="single"/>
              </w:rPr>
              <w:t>registered</w:t>
            </w:r>
          </w:p>
        </w:tc>
      </w:tr>
      <w:tr w:rsidR="00C1563E" w14:paraId="7DCFCBF2" w14:textId="77777777">
        <w:trPr>
          <w:jc w:val="center"/>
        </w:trPr>
        <w:tc>
          <w:tcPr>
            <w:tcW w:w="0" w:type="auto"/>
            <w:gridSpan w:val="3"/>
            <w:shd w:val="clear" w:color="auto" w:fill="auto"/>
            <w:tcMar>
              <w:top w:w="40" w:type="dxa"/>
              <w:left w:w="20" w:type="dxa"/>
              <w:bottom w:w="40" w:type="dxa"/>
              <w:right w:w="20" w:type="dxa"/>
            </w:tcMar>
            <w:vAlign w:val="bottom"/>
          </w:tcPr>
          <w:p w14:paraId="7DCFCBEF" w14:textId="77777777" w:rsidR="00C1563E" w:rsidRDefault="000B648B">
            <w:pPr>
              <w:jc w:val="center"/>
              <w:textAlignment w:val="bottom"/>
            </w:pPr>
            <w:r>
              <w:rPr>
                <w:rFonts w:ascii="Times New Roman" w:eastAsia="宋体" w:hAnsi="Times New Roman"/>
                <w:b/>
                <w:bCs/>
                <w:color w:val="000000"/>
                <w:sz w:val="18"/>
                <w:szCs w:val="18"/>
              </w:rPr>
              <w:t>Class C Common Stock, par value of $0.01 per share</w:t>
            </w:r>
          </w:p>
        </w:tc>
        <w:tc>
          <w:tcPr>
            <w:tcW w:w="0" w:type="auto"/>
            <w:gridSpan w:val="3"/>
            <w:shd w:val="clear" w:color="auto" w:fill="auto"/>
            <w:tcMar>
              <w:top w:w="40" w:type="dxa"/>
              <w:left w:w="20" w:type="dxa"/>
              <w:bottom w:w="40" w:type="dxa"/>
              <w:right w:w="20" w:type="dxa"/>
            </w:tcMar>
            <w:vAlign w:val="bottom"/>
          </w:tcPr>
          <w:p w14:paraId="7DCFCBF0" w14:textId="77777777" w:rsidR="00C1563E" w:rsidRDefault="000B648B">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7DCFCBF1" w14:textId="77777777" w:rsidR="00C1563E" w:rsidRDefault="000B648B">
            <w:pPr>
              <w:jc w:val="center"/>
              <w:textAlignment w:val="bottom"/>
            </w:pPr>
            <w:r>
              <w:rPr>
                <w:rFonts w:ascii="Times New Roman" w:eastAsia="宋体" w:hAnsi="Times New Roman"/>
                <w:b/>
                <w:bCs/>
                <w:color w:val="000000"/>
                <w:sz w:val="18"/>
                <w:szCs w:val="18"/>
              </w:rPr>
              <w:t>New York Stock Exchange</w:t>
            </w:r>
          </w:p>
        </w:tc>
      </w:tr>
    </w:tbl>
    <w:p w14:paraId="7DCFCBF3" w14:textId="77777777" w:rsidR="00C1563E" w:rsidRDefault="000B648B">
      <w:pPr>
        <w:spacing w:before="60" w:after="60"/>
        <w:jc w:val="center"/>
      </w:pPr>
      <w:r>
        <w:rPr>
          <w:rFonts w:ascii="Times New Roman" w:eastAsia="宋体" w:hAnsi="Times New Roman"/>
          <w:color w:val="000000"/>
          <w:sz w:val="18"/>
          <w:szCs w:val="18"/>
        </w:rPr>
        <w:t xml:space="preserve">Securities registered pursuant to Section 12(g) of the Act: </w:t>
      </w:r>
      <w:r>
        <w:rPr>
          <w:rFonts w:ascii="Times New Roman" w:eastAsia="宋体" w:hAnsi="Times New Roman"/>
          <w:b/>
          <w:bCs/>
          <w:color w:val="000000"/>
          <w:sz w:val="18"/>
          <w:szCs w:val="18"/>
        </w:rPr>
        <w:t>None</w:t>
      </w:r>
    </w:p>
    <w:p w14:paraId="7DCFCBF4" w14:textId="77777777" w:rsidR="00C1563E" w:rsidRDefault="000B648B">
      <w:pPr>
        <w:spacing w:after="120"/>
      </w:pPr>
      <w:r>
        <w:rPr>
          <w:rFonts w:ascii="Times New Roman" w:eastAsia="宋体" w:hAnsi="Times New Roman"/>
          <w:color w:val="000000"/>
          <w:sz w:val="18"/>
          <w:szCs w:val="18"/>
        </w:rPr>
        <w:t xml:space="preserve">Indicate by check mark if the registrant is a well-known seasoned issuer, as defined in Rule 405 of the Securities Act. Yes </w:t>
      </w:r>
      <w:r>
        <w:rPr>
          <w:rFonts w:ascii="Wingdings" w:eastAsia="宋体" w:hAnsi="Wingdings" w:cs="Wingdings"/>
          <w:color w:val="000000"/>
          <w:sz w:val="18"/>
          <w:szCs w:val="18"/>
        </w:rPr>
        <w:t>þ</w:t>
      </w:r>
      <w:r>
        <w:rPr>
          <w:rFonts w:ascii="Times New Roman" w:eastAsia="宋体" w:hAnsi="Times New Roman"/>
          <w:color w:val="000000"/>
          <w:sz w:val="18"/>
          <w:szCs w:val="18"/>
        </w:rPr>
        <w:t xml:space="preserve"> No </w:t>
      </w:r>
      <w:r>
        <w:rPr>
          <w:rFonts w:ascii="Wingdings" w:eastAsia="宋体" w:hAnsi="Wingdings" w:cs="Wingdings"/>
          <w:color w:val="000000"/>
          <w:sz w:val="18"/>
          <w:szCs w:val="18"/>
          <w:shd w:val="clear" w:color="auto" w:fill="FFFFFF"/>
        </w:rPr>
        <w:t>¨</w:t>
      </w:r>
    </w:p>
    <w:p w14:paraId="7DCFCBF5" w14:textId="77777777" w:rsidR="00C1563E" w:rsidRDefault="000B648B">
      <w:pPr>
        <w:spacing w:after="120"/>
      </w:pPr>
      <w:r>
        <w:rPr>
          <w:rFonts w:ascii="Times New Roman" w:eastAsia="宋体" w:hAnsi="Times New Roman"/>
          <w:color w:val="000000"/>
          <w:sz w:val="18"/>
          <w:szCs w:val="18"/>
        </w:rPr>
        <w:t xml:space="preserve">Indicate by check mark if the registrant is not required to file reports pursuant to Section 13 or Section 15(d) of the Act. </w:t>
      </w:r>
      <w:r>
        <w:rPr>
          <w:rFonts w:ascii="Times New Roman" w:eastAsia="宋体" w:hAnsi="Times New Roman"/>
          <w:color w:val="000000"/>
          <w:sz w:val="18"/>
          <w:szCs w:val="18"/>
        </w:rPr>
        <w:t xml:space="preserve">Yes </w:t>
      </w:r>
      <w:r>
        <w:rPr>
          <w:rFonts w:ascii="Wingdings" w:eastAsia="宋体" w:hAnsi="Wingdings" w:cs="Wingdings"/>
          <w:color w:val="000000"/>
          <w:sz w:val="18"/>
          <w:szCs w:val="18"/>
          <w:shd w:val="clear" w:color="auto" w:fill="FFFFFF"/>
        </w:rPr>
        <w:t>¨</w:t>
      </w:r>
      <w:r>
        <w:rPr>
          <w:rFonts w:ascii="Times New Roman" w:eastAsia="宋体" w:hAnsi="Times New Roman"/>
          <w:color w:val="000000"/>
          <w:sz w:val="18"/>
          <w:szCs w:val="18"/>
        </w:rPr>
        <w:t xml:space="preserve"> No </w:t>
      </w:r>
      <w:r>
        <w:rPr>
          <w:rFonts w:ascii="Wingdings" w:eastAsia="宋体" w:hAnsi="Wingdings" w:cs="Wingdings"/>
          <w:color w:val="000000"/>
          <w:sz w:val="18"/>
          <w:szCs w:val="18"/>
        </w:rPr>
        <w:t>þ</w:t>
      </w:r>
    </w:p>
    <w:p w14:paraId="7DCFCBF6" w14:textId="77777777" w:rsidR="00C1563E" w:rsidRDefault="000B648B">
      <w:pPr>
        <w:spacing w:after="120"/>
      </w:pPr>
      <w:r>
        <w:rPr>
          <w:rFonts w:ascii="Times New Roman" w:eastAsia="宋体" w:hAnsi="Times New Roman"/>
          <w:color w:val="000000"/>
          <w:sz w:val="18"/>
          <w:szCs w:val="18"/>
          <w:shd w:val="clear" w:color="auto" w:fill="FFFFFF"/>
        </w:rPr>
        <w:t>Indicate by check mark whether the registrant (1) has filed all reports required to be filed by Section 13 or 15(d) of the Securities Exchange Act of 1934 during the preceding 12 months (or for such shorter period that the registrant was require</w:t>
      </w:r>
      <w:r>
        <w:rPr>
          <w:rFonts w:ascii="Times New Roman" w:eastAsia="宋体" w:hAnsi="Times New Roman"/>
          <w:color w:val="000000"/>
          <w:sz w:val="18"/>
          <w:szCs w:val="18"/>
          <w:shd w:val="clear" w:color="auto" w:fill="FFFFFF"/>
        </w:rPr>
        <w:t>d to file such reports), and (2) has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7DCFCBF7" w14:textId="77777777" w:rsidR="00C1563E" w:rsidRDefault="000B648B">
      <w:pPr>
        <w:spacing w:after="120"/>
      </w:pPr>
      <w:r>
        <w:rPr>
          <w:rFonts w:ascii="Times New Roman" w:eastAsia="宋体" w:hAnsi="Times New Roman"/>
          <w:color w:val="000000"/>
          <w:sz w:val="18"/>
          <w:szCs w:val="18"/>
          <w:shd w:val="clear" w:color="auto" w:fill="FFFFFF"/>
        </w:rPr>
        <w:t>Indicate by check mark whether the registrant has submitted electronically every Interactive Data File required to be submitted pursuant to Rule </w:t>
      </w:r>
      <w:r>
        <w:rPr>
          <w:rFonts w:ascii="Times New Roman" w:eastAsia="宋体" w:hAnsi="Times New Roman"/>
          <w:color w:val="000000"/>
          <w:sz w:val="18"/>
          <w:szCs w:val="18"/>
          <w:shd w:val="clear" w:color="auto" w:fill="FFFFFF"/>
        </w:rPr>
        <w:t>405 of Regulation S-T during the preceding 12 months (or for such shorter period that the registrant was required to submit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7DCFCBF8" w14:textId="77777777" w:rsidR="00C1563E" w:rsidRDefault="000B648B">
      <w:pPr>
        <w:spacing w:after="120"/>
      </w:pPr>
      <w:r>
        <w:rPr>
          <w:rFonts w:ascii="Times New Roman" w:eastAsia="宋体" w:hAnsi="Times New Roman"/>
          <w:color w:val="000000"/>
          <w:sz w:val="18"/>
          <w:szCs w:val="18"/>
        </w:rPr>
        <w:t>Indicate by check mark whether the registrant is a large accelerated filer, an accelerated filer, a non-acce</w:t>
      </w:r>
      <w:r>
        <w:rPr>
          <w:rFonts w:ascii="Times New Roman" w:eastAsia="宋体" w:hAnsi="Times New Roman"/>
          <w:color w:val="000000"/>
          <w:sz w:val="18"/>
          <w:szCs w:val="18"/>
        </w:rPr>
        <w:t xml:space="preserve">lerated filer, a smaller reporting company, or an emerging growth company. See the definitions of “large accelerated filer,” “accelerated filer,” “smaller reporting company,” and “emerging growth company” in Rule 12b-2 of the Exchange 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1396"/>
        <w:gridCol w:w="37"/>
        <w:gridCol w:w="95"/>
        <w:gridCol w:w="184"/>
        <w:gridCol w:w="36"/>
        <w:gridCol w:w="58"/>
        <w:gridCol w:w="4211"/>
        <w:gridCol w:w="36"/>
        <w:gridCol w:w="36"/>
        <w:gridCol w:w="202"/>
        <w:gridCol w:w="36"/>
        <w:gridCol w:w="58"/>
        <w:gridCol w:w="1589"/>
        <w:gridCol w:w="36"/>
        <w:gridCol w:w="59"/>
        <w:gridCol w:w="164"/>
        <w:gridCol w:w="36"/>
      </w:tblGrid>
      <w:tr w:rsidR="00C1563E" w14:paraId="7DCFCC0B" w14:textId="77777777">
        <w:trPr>
          <w:jc w:val="center"/>
        </w:trPr>
        <w:tc>
          <w:tcPr>
            <w:tcW w:w="50" w:type="pct"/>
            <w:shd w:val="clear" w:color="auto" w:fill="auto"/>
          </w:tcPr>
          <w:p w14:paraId="7DCFCBF9" w14:textId="77777777" w:rsidR="00C1563E" w:rsidRDefault="00C1563E">
            <w:pPr>
              <w:rPr>
                <w:rFonts w:ascii="宋体"/>
              </w:rPr>
            </w:pPr>
          </w:p>
        </w:tc>
        <w:tc>
          <w:tcPr>
            <w:tcW w:w="858" w:type="pct"/>
            <w:shd w:val="clear" w:color="auto" w:fill="auto"/>
          </w:tcPr>
          <w:p w14:paraId="7DCFCBFA" w14:textId="77777777" w:rsidR="00C1563E" w:rsidRDefault="00C1563E">
            <w:pPr>
              <w:rPr>
                <w:rFonts w:ascii="宋体"/>
              </w:rPr>
            </w:pPr>
          </w:p>
        </w:tc>
        <w:tc>
          <w:tcPr>
            <w:tcW w:w="5" w:type="pct"/>
            <w:shd w:val="clear" w:color="auto" w:fill="auto"/>
          </w:tcPr>
          <w:p w14:paraId="7DCFCBFB" w14:textId="77777777" w:rsidR="00C1563E" w:rsidRDefault="00C1563E">
            <w:pPr>
              <w:rPr>
                <w:rFonts w:ascii="宋体"/>
              </w:rPr>
            </w:pPr>
          </w:p>
        </w:tc>
        <w:tc>
          <w:tcPr>
            <w:tcW w:w="50" w:type="pct"/>
            <w:shd w:val="clear" w:color="auto" w:fill="auto"/>
          </w:tcPr>
          <w:p w14:paraId="7DCFCBFC" w14:textId="77777777" w:rsidR="00C1563E" w:rsidRDefault="00C1563E">
            <w:pPr>
              <w:rPr>
                <w:rFonts w:ascii="宋体"/>
              </w:rPr>
            </w:pPr>
          </w:p>
        </w:tc>
        <w:tc>
          <w:tcPr>
            <w:tcW w:w="98" w:type="pct"/>
            <w:shd w:val="clear" w:color="auto" w:fill="auto"/>
          </w:tcPr>
          <w:p w14:paraId="7DCFCBFD" w14:textId="77777777" w:rsidR="00C1563E" w:rsidRDefault="00C1563E">
            <w:pPr>
              <w:rPr>
                <w:rFonts w:ascii="宋体"/>
              </w:rPr>
            </w:pPr>
          </w:p>
        </w:tc>
        <w:tc>
          <w:tcPr>
            <w:tcW w:w="5" w:type="pct"/>
            <w:shd w:val="clear" w:color="auto" w:fill="auto"/>
          </w:tcPr>
          <w:p w14:paraId="7DCFCBFE" w14:textId="77777777" w:rsidR="00C1563E" w:rsidRDefault="00C1563E">
            <w:pPr>
              <w:rPr>
                <w:rFonts w:ascii="宋体"/>
              </w:rPr>
            </w:pPr>
          </w:p>
        </w:tc>
        <w:tc>
          <w:tcPr>
            <w:tcW w:w="50" w:type="pct"/>
            <w:shd w:val="clear" w:color="auto" w:fill="auto"/>
          </w:tcPr>
          <w:p w14:paraId="7DCFCBFF" w14:textId="77777777" w:rsidR="00C1563E" w:rsidRDefault="00C1563E">
            <w:pPr>
              <w:rPr>
                <w:rFonts w:ascii="宋体"/>
              </w:rPr>
            </w:pPr>
          </w:p>
        </w:tc>
        <w:tc>
          <w:tcPr>
            <w:tcW w:w="2540" w:type="pct"/>
            <w:shd w:val="clear" w:color="auto" w:fill="auto"/>
          </w:tcPr>
          <w:p w14:paraId="7DCFCC00" w14:textId="77777777" w:rsidR="00C1563E" w:rsidRDefault="00C1563E">
            <w:pPr>
              <w:rPr>
                <w:rFonts w:ascii="宋体"/>
              </w:rPr>
            </w:pPr>
          </w:p>
        </w:tc>
        <w:tc>
          <w:tcPr>
            <w:tcW w:w="5" w:type="pct"/>
            <w:shd w:val="clear" w:color="auto" w:fill="auto"/>
          </w:tcPr>
          <w:p w14:paraId="7DCFCC01" w14:textId="77777777" w:rsidR="00C1563E" w:rsidRDefault="00C1563E">
            <w:pPr>
              <w:rPr>
                <w:rFonts w:ascii="宋体"/>
              </w:rPr>
            </w:pPr>
          </w:p>
        </w:tc>
        <w:tc>
          <w:tcPr>
            <w:tcW w:w="5" w:type="pct"/>
            <w:shd w:val="clear" w:color="auto" w:fill="auto"/>
          </w:tcPr>
          <w:p w14:paraId="7DCFCC02" w14:textId="77777777" w:rsidR="00C1563E" w:rsidRDefault="00C1563E">
            <w:pPr>
              <w:rPr>
                <w:rFonts w:ascii="宋体"/>
              </w:rPr>
            </w:pPr>
          </w:p>
        </w:tc>
        <w:tc>
          <w:tcPr>
            <w:tcW w:w="136" w:type="pct"/>
            <w:shd w:val="clear" w:color="auto" w:fill="auto"/>
          </w:tcPr>
          <w:p w14:paraId="7DCFCC03" w14:textId="77777777" w:rsidR="00C1563E" w:rsidRDefault="00C1563E">
            <w:pPr>
              <w:rPr>
                <w:rFonts w:ascii="宋体"/>
              </w:rPr>
            </w:pPr>
          </w:p>
        </w:tc>
        <w:tc>
          <w:tcPr>
            <w:tcW w:w="5" w:type="pct"/>
            <w:shd w:val="clear" w:color="auto" w:fill="auto"/>
          </w:tcPr>
          <w:p w14:paraId="7DCFCC04" w14:textId="77777777" w:rsidR="00C1563E" w:rsidRDefault="00C1563E">
            <w:pPr>
              <w:rPr>
                <w:rFonts w:ascii="宋体"/>
              </w:rPr>
            </w:pPr>
          </w:p>
        </w:tc>
        <w:tc>
          <w:tcPr>
            <w:tcW w:w="50" w:type="pct"/>
            <w:shd w:val="clear" w:color="auto" w:fill="auto"/>
          </w:tcPr>
          <w:p w14:paraId="7DCFCC05" w14:textId="77777777" w:rsidR="00C1563E" w:rsidRDefault="00C1563E">
            <w:pPr>
              <w:rPr>
                <w:rFonts w:ascii="宋体"/>
              </w:rPr>
            </w:pPr>
          </w:p>
        </w:tc>
        <w:tc>
          <w:tcPr>
            <w:tcW w:w="968" w:type="pct"/>
            <w:shd w:val="clear" w:color="auto" w:fill="auto"/>
          </w:tcPr>
          <w:p w14:paraId="7DCFCC06" w14:textId="77777777" w:rsidR="00C1563E" w:rsidRDefault="00C1563E">
            <w:pPr>
              <w:rPr>
                <w:rFonts w:ascii="宋体"/>
              </w:rPr>
            </w:pPr>
          </w:p>
        </w:tc>
        <w:tc>
          <w:tcPr>
            <w:tcW w:w="5" w:type="pct"/>
            <w:shd w:val="clear" w:color="auto" w:fill="auto"/>
          </w:tcPr>
          <w:p w14:paraId="7DCFCC07" w14:textId="77777777" w:rsidR="00C1563E" w:rsidRDefault="00C1563E">
            <w:pPr>
              <w:rPr>
                <w:rFonts w:ascii="宋体"/>
              </w:rPr>
            </w:pPr>
          </w:p>
        </w:tc>
        <w:tc>
          <w:tcPr>
            <w:tcW w:w="50" w:type="pct"/>
            <w:shd w:val="clear" w:color="auto" w:fill="auto"/>
          </w:tcPr>
          <w:p w14:paraId="7DCFCC08" w14:textId="77777777" w:rsidR="00C1563E" w:rsidRDefault="00C1563E">
            <w:pPr>
              <w:rPr>
                <w:rFonts w:ascii="宋体"/>
              </w:rPr>
            </w:pPr>
          </w:p>
        </w:tc>
        <w:tc>
          <w:tcPr>
            <w:tcW w:w="113" w:type="pct"/>
            <w:shd w:val="clear" w:color="auto" w:fill="auto"/>
          </w:tcPr>
          <w:p w14:paraId="7DCFCC09" w14:textId="77777777" w:rsidR="00C1563E" w:rsidRDefault="00C1563E">
            <w:pPr>
              <w:rPr>
                <w:rFonts w:ascii="宋体"/>
              </w:rPr>
            </w:pPr>
          </w:p>
        </w:tc>
        <w:tc>
          <w:tcPr>
            <w:tcW w:w="5" w:type="pct"/>
            <w:shd w:val="clear" w:color="auto" w:fill="auto"/>
          </w:tcPr>
          <w:p w14:paraId="7DCFCC0A" w14:textId="77777777" w:rsidR="00C1563E" w:rsidRDefault="00C1563E">
            <w:pPr>
              <w:rPr>
                <w:rFonts w:ascii="宋体"/>
              </w:rPr>
            </w:pPr>
          </w:p>
        </w:tc>
      </w:tr>
      <w:tr w:rsidR="00C1563E" w14:paraId="7DCFCC12" w14:textId="77777777">
        <w:trPr>
          <w:jc w:val="center"/>
        </w:trPr>
        <w:tc>
          <w:tcPr>
            <w:tcW w:w="0" w:type="auto"/>
            <w:gridSpan w:val="3"/>
            <w:shd w:val="clear" w:color="auto" w:fill="auto"/>
            <w:tcMar>
              <w:top w:w="40" w:type="dxa"/>
              <w:left w:w="20" w:type="dxa"/>
              <w:bottom w:w="40" w:type="dxa"/>
              <w:right w:w="20" w:type="dxa"/>
            </w:tcMar>
            <w:vAlign w:val="bottom"/>
          </w:tcPr>
          <w:p w14:paraId="7DCFCC0C" w14:textId="77777777" w:rsidR="00C1563E" w:rsidRDefault="000B648B">
            <w:pPr>
              <w:textAlignment w:val="bottom"/>
            </w:pPr>
            <w:r>
              <w:rPr>
                <w:rFonts w:ascii="Times New Roman" w:eastAsia="宋体" w:hAnsi="Times New Roman"/>
                <w:color w:val="000000"/>
                <w:sz w:val="18"/>
                <w:szCs w:val="18"/>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7DCFCC0D" w14:textId="77777777" w:rsidR="00C1563E" w:rsidRDefault="000B648B">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7DCFCC0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C0F" w14:textId="77777777" w:rsidR="00C1563E" w:rsidRDefault="000B648B">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DCFCC10" w14:textId="77777777" w:rsidR="00C1563E" w:rsidRDefault="000B648B">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7DCFCC11" w14:textId="77777777" w:rsidR="00C1563E" w:rsidRDefault="000B648B">
            <w:pPr>
              <w:textAlignment w:val="bottom"/>
            </w:pPr>
            <w:r>
              <w:rPr>
                <w:rFonts w:ascii="Arial Unicode MS" w:eastAsia="Arial Unicode MS" w:hAnsi="Arial Unicode MS" w:cs="Arial Unicode MS" w:hint="eastAsia"/>
                <w:color w:val="000000"/>
                <w:sz w:val="18"/>
                <w:szCs w:val="18"/>
              </w:rPr>
              <w:t>☐</w:t>
            </w:r>
          </w:p>
        </w:tc>
      </w:tr>
      <w:tr w:rsidR="00C1563E" w14:paraId="7DCFCC19" w14:textId="77777777">
        <w:trPr>
          <w:jc w:val="center"/>
        </w:trPr>
        <w:tc>
          <w:tcPr>
            <w:tcW w:w="0" w:type="auto"/>
            <w:gridSpan w:val="3"/>
            <w:shd w:val="clear" w:color="auto" w:fill="auto"/>
            <w:tcMar>
              <w:top w:w="40" w:type="dxa"/>
              <w:left w:w="20" w:type="dxa"/>
              <w:bottom w:w="40" w:type="dxa"/>
              <w:right w:w="20" w:type="dxa"/>
            </w:tcMar>
            <w:vAlign w:val="bottom"/>
          </w:tcPr>
          <w:p w14:paraId="7DCFCC13" w14:textId="77777777" w:rsidR="00C1563E" w:rsidRDefault="000B648B">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7DCFCC14" w14:textId="77777777" w:rsidR="00C1563E" w:rsidRDefault="000B648B">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7DCFCC1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C16" w14:textId="77777777" w:rsidR="00C1563E" w:rsidRDefault="000B648B">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DCFCC17" w14:textId="77777777" w:rsidR="00C1563E" w:rsidRDefault="000B648B">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7DCFCC18" w14:textId="77777777" w:rsidR="00C1563E" w:rsidRDefault="000B648B">
            <w:pPr>
              <w:textAlignment w:val="bottom"/>
            </w:pPr>
            <w:r>
              <w:rPr>
                <w:rFonts w:ascii="Arial Unicode MS" w:eastAsia="Arial Unicode MS" w:hAnsi="Arial Unicode MS" w:cs="Arial Unicode MS" w:hint="eastAsia"/>
                <w:color w:val="000000"/>
                <w:sz w:val="18"/>
                <w:szCs w:val="18"/>
              </w:rPr>
              <w:t>☐</w:t>
            </w:r>
          </w:p>
        </w:tc>
      </w:tr>
      <w:tr w:rsidR="00C1563E" w14:paraId="7DCFCC20" w14:textId="77777777">
        <w:trPr>
          <w:jc w:val="center"/>
        </w:trPr>
        <w:tc>
          <w:tcPr>
            <w:tcW w:w="0" w:type="auto"/>
            <w:gridSpan w:val="3"/>
            <w:shd w:val="clear" w:color="auto" w:fill="auto"/>
            <w:tcMar>
              <w:top w:w="0" w:type="dxa"/>
              <w:left w:w="20" w:type="dxa"/>
              <w:bottom w:w="0" w:type="dxa"/>
              <w:right w:w="20" w:type="dxa"/>
            </w:tcMar>
          </w:tcPr>
          <w:p w14:paraId="7DCFCC1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1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1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1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C1E" w14:textId="77777777" w:rsidR="00C1563E" w:rsidRDefault="000B648B">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7DCFCC1F" w14:textId="77777777" w:rsidR="00C1563E" w:rsidRDefault="000B648B">
            <w:pPr>
              <w:textAlignment w:val="bottom"/>
            </w:pPr>
            <w:r>
              <w:rPr>
                <w:rFonts w:ascii="Arial Unicode MS" w:eastAsia="Arial Unicode MS" w:hAnsi="Arial Unicode MS" w:cs="Arial Unicode MS" w:hint="eastAsia"/>
                <w:color w:val="000000"/>
                <w:sz w:val="18"/>
                <w:szCs w:val="18"/>
              </w:rPr>
              <w:t>☐</w:t>
            </w:r>
          </w:p>
        </w:tc>
      </w:tr>
    </w:tbl>
    <w:p w14:paraId="7DCFCC21" w14:textId="77777777" w:rsidR="00C1563E" w:rsidRDefault="000B648B">
      <w:pPr>
        <w:spacing w:after="120"/>
      </w:pPr>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shd w:val="clear" w:color="auto" w:fill="FFFFFF"/>
        </w:rPr>
        <w:t>☐</w:t>
      </w:r>
    </w:p>
    <w:p w14:paraId="7DCFCC22" w14:textId="77777777" w:rsidR="00C1563E" w:rsidRDefault="000B648B">
      <w:pPr>
        <w:spacing w:after="120"/>
      </w:pPr>
      <w:r>
        <w:rPr>
          <w:rFonts w:ascii="Times New Roman" w:eastAsia="宋体" w:hAnsi="Times New Roman"/>
          <w:color w:val="000000"/>
          <w:sz w:val="18"/>
          <w:szCs w:val="18"/>
        </w:rPr>
        <w:t>Ind</w:t>
      </w:r>
      <w:r>
        <w:rPr>
          <w:rFonts w:ascii="Times New Roman" w:eastAsia="宋体" w:hAnsi="Times New Roman"/>
          <w:color w:val="000000"/>
          <w:sz w:val="18"/>
          <w:szCs w:val="18"/>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color w:val="000000"/>
          <w:sz w:val="18"/>
          <w:szCs w:val="18"/>
        </w:rPr>
        <w:t xml:space="preserve">registered public accounting firm that prepared or issued its audit report. </w:t>
      </w:r>
      <w:r>
        <w:rPr>
          <w:rFonts w:ascii="Wingdings" w:eastAsia="宋体" w:hAnsi="Wingdings" w:cs="Wingdings"/>
          <w:color w:val="000000"/>
          <w:sz w:val="20"/>
          <w:szCs w:val="20"/>
        </w:rPr>
        <w:t>☑</w:t>
      </w:r>
    </w:p>
    <w:p w14:paraId="7DCFCC23" w14:textId="77777777" w:rsidR="00C1563E" w:rsidRDefault="000B648B">
      <w:pPr>
        <w:spacing w:after="120"/>
      </w:pPr>
      <w:r>
        <w:rPr>
          <w:rFonts w:ascii="Times New Roman" w:eastAsia="宋体" w:hAnsi="Times New Roman"/>
          <w:color w:val="000000"/>
          <w:sz w:val="18"/>
          <w:szCs w:val="18"/>
          <w:shd w:val="clear" w:color="auto" w:fill="FFFFFF"/>
        </w:rPr>
        <w:t>Indicate by check mark whether the registrant is a shell company (as defined in Rule 12b-2 of the Act). Yes </w:t>
      </w:r>
      <w:r>
        <w:rPr>
          <w:rFonts w:ascii="Arial Unicode MS" w:eastAsia="Arial Unicode MS" w:hAnsi="Arial Unicode MS" w:cs="Arial Unicode MS" w:hint="eastAsia"/>
          <w:color w:val="000000"/>
          <w:sz w:val="22"/>
          <w:szCs w:val="22"/>
          <w:shd w:val="clear" w:color="auto" w:fill="FFFFFF"/>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rPr>
        <w:t>þ</w:t>
      </w:r>
    </w:p>
    <w:p w14:paraId="7DCFCC24" w14:textId="77777777" w:rsidR="00C1563E" w:rsidRDefault="00C1563E">
      <w:pPr>
        <w:jc w:val="center"/>
      </w:pPr>
    </w:p>
    <w:p w14:paraId="7DCFCC25" w14:textId="77777777" w:rsidR="00C1563E" w:rsidRDefault="000B648B">
      <w:pPr>
        <w:jc w:val="center"/>
      </w:pPr>
      <w:r>
        <w:rPr>
          <w:rFonts w:ascii="Times New Roman" w:eastAsia="宋体" w:hAnsi="Times New Roman"/>
          <w:color w:val="000000"/>
          <w:sz w:val="20"/>
          <w:szCs w:val="20"/>
        </w:rPr>
        <w:t>1</w:t>
      </w:r>
    </w:p>
    <w:p w14:paraId="7DCFCC26" w14:textId="77777777" w:rsidR="00C1563E" w:rsidRDefault="00C1563E">
      <w:pPr>
        <w:jc w:val="center"/>
      </w:pPr>
    </w:p>
    <w:p w14:paraId="7DCFCC27" w14:textId="77777777" w:rsidR="00C1563E" w:rsidRDefault="000B648B">
      <w:r>
        <w:pict w14:anchorId="7DD02567">
          <v:rect id="_x0000_i1025" style="width:415.3pt;height:1.5pt" o:hralign="center" o:hrstd="t" o:hr="t" fillcolor="#a0a0a0" stroked="f"/>
        </w:pict>
      </w:r>
    </w:p>
    <w:p w14:paraId="7DCFCC28" w14:textId="77777777" w:rsidR="00C1563E" w:rsidRDefault="000B648B">
      <w:hyperlink r:id="rId6" w:anchor="i418e32e4a35149ffbf7d3a25d66881b8_10" w:history="1">
        <w:r>
          <w:rPr>
            <w:rStyle w:val="a5"/>
            <w:rFonts w:ascii="Times New Roman" w:eastAsia="宋体" w:hAnsi="Times New Roman"/>
            <w:sz w:val="20"/>
            <w:szCs w:val="20"/>
          </w:rPr>
          <w:t>Table of Contents</w:t>
        </w:r>
      </w:hyperlink>
    </w:p>
    <w:p w14:paraId="7DCFCC29" w14:textId="77777777" w:rsidR="00C1563E" w:rsidRDefault="000B648B">
      <w:pPr>
        <w:spacing w:after="120"/>
      </w:pPr>
      <w:r>
        <w:rPr>
          <w:rFonts w:ascii="Times New Roman" w:eastAsia="宋体" w:hAnsi="Times New Roman"/>
          <w:color w:val="000000"/>
          <w:sz w:val="18"/>
          <w:szCs w:val="18"/>
        </w:rPr>
        <w:t>As of July 31, 2020, the last business day of the registrant’s most recently complet</w:t>
      </w:r>
      <w:r>
        <w:rPr>
          <w:rFonts w:ascii="Times New Roman" w:eastAsia="宋体" w:hAnsi="Times New Roman"/>
          <w:color w:val="000000"/>
          <w:sz w:val="18"/>
          <w:szCs w:val="18"/>
        </w:rPr>
        <w:t>ed second fiscal quarter, the aggregate market value of the shares of the registrant’s common stock held by non-affiliates was approximately $15.1 billion (based on the closing price of $59.83 per share of Class C Common Stock reported on the New York Stoc</w:t>
      </w:r>
      <w:r>
        <w:rPr>
          <w:rFonts w:ascii="Times New Roman" w:eastAsia="宋体" w:hAnsi="Times New Roman"/>
          <w:color w:val="000000"/>
          <w:sz w:val="18"/>
          <w:szCs w:val="18"/>
        </w:rPr>
        <w:t>k Exchange on that date).</w:t>
      </w:r>
    </w:p>
    <w:p w14:paraId="7DCFCC2A" w14:textId="77777777" w:rsidR="00C1563E" w:rsidRDefault="000B648B">
      <w:pPr>
        <w:spacing w:after="120"/>
      </w:pPr>
      <w:r>
        <w:rPr>
          <w:rFonts w:ascii="Times New Roman" w:eastAsia="宋体" w:hAnsi="Times New Roman"/>
          <w:color w:val="000000"/>
          <w:sz w:val="18"/>
          <w:szCs w:val="18"/>
        </w:rPr>
        <w:t>As of March 23, 2021, there were 762,667,390 shares of the registrant’s common stock outstanding, consisting of 276,565,287</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outstanding shares of Class C Common Stock, 384,416,886 outstanding shares of Class A Common Stock, and 10</w:t>
      </w:r>
      <w:r>
        <w:rPr>
          <w:rFonts w:ascii="Times New Roman" w:eastAsia="宋体" w:hAnsi="Times New Roman"/>
          <w:color w:val="000000"/>
          <w:sz w:val="18"/>
          <w:szCs w:val="18"/>
        </w:rPr>
        <w:t>1,685,217 outstanding shares of Class B Common Stock.</w:t>
      </w:r>
    </w:p>
    <w:p w14:paraId="7DCFCC2B" w14:textId="77777777" w:rsidR="00C1563E" w:rsidRDefault="000B648B">
      <w:pPr>
        <w:spacing w:after="120"/>
        <w:jc w:val="center"/>
      </w:pPr>
      <w:r>
        <w:rPr>
          <w:rFonts w:ascii="Times New Roman" w:eastAsia="宋体" w:hAnsi="Times New Roman"/>
          <w:color w:val="000000"/>
          <w:sz w:val="18"/>
          <w:szCs w:val="18"/>
        </w:rPr>
        <w:t>DOCUMENTS INCORPORATED BY REFERENCE</w:t>
      </w:r>
    </w:p>
    <w:p w14:paraId="7DCFCC2C" w14:textId="77777777" w:rsidR="00C1563E" w:rsidRDefault="000B648B">
      <w:pPr>
        <w:spacing w:after="120"/>
      </w:pPr>
      <w:r>
        <w:rPr>
          <w:rFonts w:ascii="Times New Roman" w:eastAsia="宋体" w:hAnsi="Times New Roman"/>
          <w:color w:val="000000"/>
          <w:sz w:val="18"/>
          <w:szCs w:val="18"/>
        </w:rPr>
        <w:t>The information required by Part III of this report, to the extent not set forth herein, is incorporated by reference from the registrant’s proxy statement relating t</w:t>
      </w:r>
      <w:r>
        <w:rPr>
          <w:rFonts w:ascii="Times New Roman" w:eastAsia="宋体" w:hAnsi="Times New Roman"/>
          <w:color w:val="000000"/>
          <w:sz w:val="18"/>
          <w:szCs w:val="18"/>
        </w:rPr>
        <w:t>o its annual meeting of stockholders to be held in 2021. The proxy statement will be filed with the Securities and Exchange Commission within 120 days after the end of the fiscal year to which this report relates.</w:t>
      </w:r>
    </w:p>
    <w:p w14:paraId="7DCFCC2D" w14:textId="77777777" w:rsidR="00C1563E" w:rsidRDefault="00C1563E"/>
    <w:p w14:paraId="7DCFCC2E" w14:textId="77777777" w:rsidR="00C1563E" w:rsidRDefault="00C1563E">
      <w:pPr>
        <w:jc w:val="center"/>
      </w:pPr>
    </w:p>
    <w:p w14:paraId="7DCFCC2F" w14:textId="77777777" w:rsidR="00C1563E" w:rsidRDefault="000B648B">
      <w:pPr>
        <w:jc w:val="center"/>
      </w:pPr>
      <w:r>
        <w:rPr>
          <w:rFonts w:ascii="Times New Roman" w:eastAsia="宋体" w:hAnsi="Times New Roman"/>
          <w:color w:val="000000"/>
          <w:sz w:val="20"/>
          <w:szCs w:val="20"/>
        </w:rPr>
        <w:t>2</w:t>
      </w:r>
    </w:p>
    <w:p w14:paraId="7DCFCC30" w14:textId="77777777" w:rsidR="00C1563E" w:rsidRDefault="00C1563E">
      <w:pPr>
        <w:jc w:val="center"/>
      </w:pPr>
    </w:p>
    <w:p w14:paraId="7DCFCC31" w14:textId="77777777" w:rsidR="00C1563E" w:rsidRDefault="000B648B">
      <w:r>
        <w:pict w14:anchorId="7DD02568">
          <v:rect id="_x0000_i1026" style="width:415.3pt;height:1.5pt" o:hralign="center" o:hrstd="t" o:hr="t" fillcolor="#a0a0a0" stroked="f"/>
        </w:pict>
      </w:r>
    </w:p>
    <w:p w14:paraId="7DCFCC32" w14:textId="77777777" w:rsidR="00C1563E" w:rsidRDefault="000B648B">
      <w:hyperlink r:id="rId7" w:anchor="i418e32e4a35149ffbf7d3a25d66881b8_10" w:history="1">
        <w:r>
          <w:rPr>
            <w:rStyle w:val="a5"/>
            <w:rFonts w:ascii="Times New Roman" w:eastAsia="宋体" w:hAnsi="Times New Roman"/>
            <w:sz w:val="20"/>
            <w:szCs w:val="20"/>
          </w:rPr>
          <w:t>Table of Contents</w:t>
        </w:r>
      </w:hyperlink>
    </w:p>
    <w:p w14:paraId="7DCFCC33" w14:textId="77777777" w:rsidR="00C1563E" w:rsidRDefault="000B648B">
      <w:pPr>
        <w:spacing w:after="120"/>
        <w:jc w:val="center"/>
      </w:pPr>
      <w:r>
        <w:rPr>
          <w:rFonts w:ascii="Times New Roman" w:eastAsia="宋体" w:hAnsi="Times New Roman"/>
          <w:b/>
          <w:bCs/>
          <w:color w:val="000000"/>
          <w:sz w:val="20"/>
          <w:szCs w:val="20"/>
        </w:rPr>
        <w:t>CAUTIONARY NOTE REGARDING FORWARD-LOOKING STATEMENTS</w:t>
      </w:r>
    </w:p>
    <w:p w14:paraId="7DCFCC34" w14:textId="77777777" w:rsidR="00C1563E" w:rsidRDefault="000B648B">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w:t>
      </w:r>
      <w:r>
        <w:rPr>
          <w:rFonts w:ascii="Times New Roman" w:eastAsia="宋体" w:hAnsi="Times New Roman"/>
          <w:color w:val="000000"/>
          <w:sz w:val="20"/>
          <w:szCs w:val="20"/>
        </w:rPr>
        <w:t>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 us or our management are intended to identify these forward-looking statements. All statements by us regarding our expected financial position, revenues, cash flows and other operating results, business strategy, </w:t>
      </w:r>
      <w:r>
        <w:rPr>
          <w:rFonts w:ascii="Times New Roman" w:eastAsia="宋体" w:hAnsi="Times New Roman"/>
          <w:color w:val="000000"/>
          <w:sz w:val="20"/>
          <w:szCs w:val="20"/>
        </w:rPr>
        <w:t>legal proceedings, future responses to and effects of the coronavirus disease 2019 (“COVID-19”), and similar matters are forward-looking statements. Our expectations expressed or implied in these forward-looking statements may not turn out to be correct. O</w:t>
      </w:r>
      <w:r>
        <w:rPr>
          <w:rFonts w:ascii="Times New Roman" w:eastAsia="宋体" w:hAnsi="Times New Roman"/>
          <w:color w:val="000000"/>
          <w:sz w:val="20"/>
          <w:szCs w:val="20"/>
        </w:rPr>
        <w:t>ur results could be materially different from our expectations because of various risks, including the risks discussed in “Part I — Item 1A — Risk Factors” and in our other periodic and current reports filed with the Securities and Exchange Commission (“SE</w:t>
      </w:r>
      <w:r>
        <w:rPr>
          <w:rFonts w:ascii="Times New Roman" w:eastAsia="宋体" w:hAnsi="Times New Roman"/>
          <w:color w:val="000000"/>
          <w:sz w:val="20"/>
          <w:szCs w:val="20"/>
        </w:rPr>
        <w:t>C”). Any forward-looking statement speaks only as of the date as of which such statement is made, and, except as required by law, we undertake no obligation to update any forward-looking statement after the date as of which such statement was made, whether</w:t>
      </w:r>
      <w:r>
        <w:rPr>
          <w:rFonts w:ascii="Times New Roman" w:eastAsia="宋体" w:hAnsi="Times New Roman"/>
          <w:color w:val="000000"/>
          <w:sz w:val="20"/>
          <w:szCs w:val="20"/>
        </w:rPr>
        <w:t xml:space="preserve"> to reflect changes in circumstances or our expectations, the occurrence of unanticipated events, or otherwise.</w:t>
      </w:r>
    </w:p>
    <w:p w14:paraId="7DCFCC35" w14:textId="77777777" w:rsidR="00C1563E" w:rsidRDefault="00C1563E">
      <w:pPr>
        <w:jc w:val="center"/>
      </w:pPr>
    </w:p>
    <w:p w14:paraId="7DCFCC36" w14:textId="77777777" w:rsidR="00C1563E" w:rsidRDefault="000B648B">
      <w:pPr>
        <w:jc w:val="center"/>
      </w:pPr>
      <w:r>
        <w:rPr>
          <w:rFonts w:ascii="Times New Roman" w:eastAsia="宋体" w:hAnsi="Times New Roman"/>
          <w:color w:val="000000"/>
          <w:sz w:val="20"/>
          <w:szCs w:val="20"/>
        </w:rPr>
        <w:lastRenderedPageBreak/>
        <w:t>3</w:t>
      </w:r>
    </w:p>
    <w:p w14:paraId="7DCFCC37" w14:textId="77777777" w:rsidR="00C1563E" w:rsidRDefault="00C1563E">
      <w:pPr>
        <w:jc w:val="center"/>
      </w:pPr>
    </w:p>
    <w:p w14:paraId="7DCFCC38" w14:textId="77777777" w:rsidR="00C1563E" w:rsidRDefault="000B648B">
      <w:r>
        <w:pict w14:anchorId="7DD02569">
          <v:rect id="_x0000_i1027" style="width:415.3pt;height:1.5pt" o:hralign="center" o:hrstd="t" o:hr="t" fillcolor="#a0a0a0" stroked="f"/>
        </w:pict>
      </w:r>
    </w:p>
    <w:p w14:paraId="7DCFCC39" w14:textId="77777777" w:rsidR="00C1563E" w:rsidRDefault="000B648B">
      <w:hyperlink r:id="rId8" w:anchor="i418e32e4a35149ffbf7d3a25d66881b8_10" w:history="1">
        <w:r>
          <w:rPr>
            <w:rStyle w:val="a5"/>
            <w:rFonts w:ascii="Times New Roman" w:eastAsia="宋体" w:hAnsi="Times New Roman"/>
            <w:sz w:val="20"/>
            <w:szCs w:val="20"/>
          </w:rPr>
          <w:t>Table of Contents</w:t>
        </w:r>
      </w:hyperlink>
    </w:p>
    <w:p w14:paraId="7DCFCC3A" w14:textId="77777777" w:rsidR="00C1563E" w:rsidRDefault="000B648B">
      <w:pPr>
        <w:jc w:val="center"/>
      </w:pPr>
      <w:r>
        <w:rPr>
          <w:rFonts w:ascii="Times New Roman" w:eastAsia="宋体" w:hAnsi="Times New Roman"/>
          <w:b/>
          <w:bCs/>
          <w:color w:val="000000"/>
          <w:sz w:val="20"/>
          <w:szCs w:val="20"/>
        </w:rPr>
        <w:t>DELL TECHNOLOGIES INC.</w:t>
      </w:r>
    </w:p>
    <w:p w14:paraId="7DCFCC3B" w14:textId="77777777" w:rsidR="00C1563E" w:rsidRDefault="00C1563E">
      <w:pPr>
        <w:jc w:val="center"/>
      </w:pPr>
    </w:p>
    <w:p w14:paraId="7DCFCC3C" w14:textId="77777777" w:rsidR="00C1563E" w:rsidRDefault="000B648B">
      <w:pPr>
        <w:jc w:val="center"/>
      </w:pPr>
      <w:r>
        <w:rPr>
          <w:rFonts w:ascii="Times New Roman" w:eastAsia="宋体" w:hAnsi="Times New Roman"/>
          <w:b/>
          <w:bCs/>
          <w:color w:val="000000"/>
          <w:sz w:val="20"/>
          <w:szCs w:val="20"/>
        </w:rPr>
        <w:t>TABLE OF CONTENTS</w:t>
      </w:r>
    </w:p>
    <w:tbl>
      <w:tblPr>
        <w:tblW w:w="4971" w:type="pct"/>
        <w:jc w:val="center"/>
        <w:tblCellMar>
          <w:top w:w="15" w:type="dxa"/>
          <w:left w:w="15" w:type="dxa"/>
          <w:bottom w:w="15" w:type="dxa"/>
          <w:right w:w="15" w:type="dxa"/>
        </w:tblCellMar>
        <w:tblLook w:val="04A0" w:firstRow="1" w:lastRow="0" w:firstColumn="1" w:lastColumn="0" w:noHBand="0" w:noVBand="1"/>
      </w:tblPr>
      <w:tblGrid>
        <w:gridCol w:w="58"/>
        <w:gridCol w:w="1163"/>
        <w:gridCol w:w="36"/>
        <w:gridCol w:w="58"/>
        <w:gridCol w:w="6456"/>
        <w:gridCol w:w="38"/>
        <w:gridCol w:w="86"/>
        <w:gridCol w:w="357"/>
        <w:gridCol w:w="36"/>
      </w:tblGrid>
      <w:tr w:rsidR="00C1563E" w14:paraId="7DCFCC46" w14:textId="77777777">
        <w:trPr>
          <w:jc w:val="center"/>
        </w:trPr>
        <w:tc>
          <w:tcPr>
            <w:tcW w:w="50" w:type="pct"/>
            <w:shd w:val="clear" w:color="auto" w:fill="auto"/>
          </w:tcPr>
          <w:p w14:paraId="7DCFCC3D" w14:textId="77777777" w:rsidR="00C1563E" w:rsidRDefault="00C1563E">
            <w:pPr>
              <w:rPr>
                <w:rFonts w:ascii="宋体"/>
              </w:rPr>
            </w:pPr>
          </w:p>
        </w:tc>
        <w:tc>
          <w:tcPr>
            <w:tcW w:w="717" w:type="pct"/>
            <w:shd w:val="clear" w:color="auto" w:fill="auto"/>
          </w:tcPr>
          <w:p w14:paraId="7DCFCC3E" w14:textId="77777777" w:rsidR="00C1563E" w:rsidRDefault="00C1563E">
            <w:pPr>
              <w:rPr>
                <w:rFonts w:ascii="宋体"/>
              </w:rPr>
            </w:pPr>
          </w:p>
        </w:tc>
        <w:tc>
          <w:tcPr>
            <w:tcW w:w="5" w:type="pct"/>
            <w:shd w:val="clear" w:color="auto" w:fill="auto"/>
          </w:tcPr>
          <w:p w14:paraId="7DCFCC3F" w14:textId="77777777" w:rsidR="00C1563E" w:rsidRDefault="00C1563E">
            <w:pPr>
              <w:rPr>
                <w:rFonts w:ascii="宋体"/>
              </w:rPr>
            </w:pPr>
          </w:p>
        </w:tc>
        <w:tc>
          <w:tcPr>
            <w:tcW w:w="50" w:type="pct"/>
            <w:shd w:val="clear" w:color="auto" w:fill="auto"/>
          </w:tcPr>
          <w:p w14:paraId="7DCFCC40" w14:textId="77777777" w:rsidR="00C1563E" w:rsidRDefault="00C1563E">
            <w:pPr>
              <w:rPr>
                <w:rFonts w:ascii="宋体"/>
              </w:rPr>
            </w:pPr>
          </w:p>
        </w:tc>
        <w:tc>
          <w:tcPr>
            <w:tcW w:w="3908" w:type="pct"/>
            <w:shd w:val="clear" w:color="auto" w:fill="auto"/>
          </w:tcPr>
          <w:p w14:paraId="7DCFCC41" w14:textId="77777777" w:rsidR="00C1563E" w:rsidRDefault="00C1563E">
            <w:pPr>
              <w:rPr>
                <w:rFonts w:ascii="宋体"/>
              </w:rPr>
            </w:pPr>
          </w:p>
        </w:tc>
        <w:tc>
          <w:tcPr>
            <w:tcW w:w="5" w:type="pct"/>
            <w:shd w:val="clear" w:color="auto" w:fill="auto"/>
          </w:tcPr>
          <w:p w14:paraId="7DCFCC42" w14:textId="77777777" w:rsidR="00C1563E" w:rsidRDefault="00C1563E">
            <w:pPr>
              <w:rPr>
                <w:rFonts w:ascii="宋体"/>
              </w:rPr>
            </w:pPr>
          </w:p>
        </w:tc>
        <w:tc>
          <w:tcPr>
            <w:tcW w:w="50" w:type="pct"/>
            <w:shd w:val="clear" w:color="auto" w:fill="auto"/>
          </w:tcPr>
          <w:p w14:paraId="7DCFCC43" w14:textId="77777777" w:rsidR="00C1563E" w:rsidRDefault="00C1563E">
            <w:pPr>
              <w:rPr>
                <w:rFonts w:ascii="宋体"/>
              </w:rPr>
            </w:pPr>
          </w:p>
        </w:tc>
        <w:tc>
          <w:tcPr>
            <w:tcW w:w="209" w:type="pct"/>
            <w:shd w:val="clear" w:color="auto" w:fill="auto"/>
          </w:tcPr>
          <w:p w14:paraId="7DCFCC44" w14:textId="77777777" w:rsidR="00C1563E" w:rsidRDefault="00C1563E">
            <w:pPr>
              <w:rPr>
                <w:rFonts w:ascii="宋体"/>
              </w:rPr>
            </w:pPr>
          </w:p>
        </w:tc>
        <w:tc>
          <w:tcPr>
            <w:tcW w:w="5" w:type="pct"/>
            <w:shd w:val="clear" w:color="auto" w:fill="auto"/>
          </w:tcPr>
          <w:p w14:paraId="7DCFCC45" w14:textId="77777777" w:rsidR="00C1563E" w:rsidRDefault="00C1563E">
            <w:pPr>
              <w:rPr>
                <w:rFonts w:ascii="宋体"/>
              </w:rPr>
            </w:pPr>
          </w:p>
        </w:tc>
      </w:tr>
      <w:tr w:rsidR="00C1563E" w14:paraId="7DCFCC4A" w14:textId="77777777">
        <w:trPr>
          <w:jc w:val="center"/>
        </w:trPr>
        <w:tc>
          <w:tcPr>
            <w:tcW w:w="0" w:type="auto"/>
            <w:gridSpan w:val="3"/>
            <w:shd w:val="clear" w:color="auto" w:fill="auto"/>
            <w:tcMar>
              <w:top w:w="0" w:type="dxa"/>
              <w:left w:w="20" w:type="dxa"/>
              <w:bottom w:w="0" w:type="dxa"/>
              <w:right w:w="20" w:type="dxa"/>
            </w:tcMar>
          </w:tcPr>
          <w:p w14:paraId="7DCFCC4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4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C49" w14:textId="77777777" w:rsidR="00C1563E" w:rsidRDefault="000B648B">
            <w:pPr>
              <w:jc w:val="center"/>
              <w:textAlignment w:val="bottom"/>
            </w:pPr>
            <w:r>
              <w:rPr>
                <w:rFonts w:ascii="Times New Roman" w:eastAsia="宋体" w:hAnsi="Times New Roman"/>
                <w:b/>
                <w:bCs/>
                <w:color w:val="000000"/>
                <w:sz w:val="20"/>
                <w:szCs w:val="20"/>
              </w:rPr>
              <w:t>Page</w:t>
            </w:r>
          </w:p>
        </w:tc>
      </w:tr>
      <w:tr w:rsidR="00C1563E" w14:paraId="7DCFCC4E" w14:textId="77777777">
        <w:trPr>
          <w:jc w:val="center"/>
        </w:trPr>
        <w:tc>
          <w:tcPr>
            <w:tcW w:w="0" w:type="auto"/>
            <w:gridSpan w:val="3"/>
            <w:shd w:val="clear" w:color="auto" w:fill="auto"/>
            <w:tcMar>
              <w:top w:w="40" w:type="dxa"/>
              <w:left w:w="20" w:type="dxa"/>
              <w:bottom w:w="40" w:type="dxa"/>
              <w:right w:w="20" w:type="dxa"/>
            </w:tcMar>
          </w:tcPr>
          <w:p w14:paraId="7DCFCC4B" w14:textId="77777777" w:rsidR="00C1563E" w:rsidRDefault="000B648B">
            <w:pPr>
              <w:textAlignment w:val="top"/>
            </w:pPr>
            <w:hyperlink r:id="rId9" w:anchor="i418e32e4a35149ffbf7d3a25d66881b8_13" w:history="1">
              <w:r>
                <w:rPr>
                  <w:rStyle w:val="a5"/>
                  <w:rFonts w:ascii="Times New Roman" w:eastAsia="宋体" w:hAnsi="Times New Roman"/>
                  <w:b/>
                  <w:bCs/>
                  <w:sz w:val="20"/>
                  <w:szCs w:val="20"/>
                </w:rPr>
                <w:t>PART I</w:t>
              </w:r>
            </w:hyperlink>
          </w:p>
        </w:tc>
        <w:tc>
          <w:tcPr>
            <w:tcW w:w="0" w:type="auto"/>
            <w:gridSpan w:val="3"/>
            <w:shd w:val="clear" w:color="auto" w:fill="auto"/>
            <w:tcMar>
              <w:top w:w="0" w:type="dxa"/>
              <w:left w:w="20" w:type="dxa"/>
              <w:bottom w:w="0" w:type="dxa"/>
              <w:right w:w="20" w:type="dxa"/>
            </w:tcMar>
          </w:tcPr>
          <w:p w14:paraId="7DCFCC4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4D" w14:textId="77777777" w:rsidR="00C1563E" w:rsidRDefault="00C1563E">
            <w:pPr>
              <w:rPr>
                <w:rFonts w:ascii="宋体"/>
              </w:rPr>
            </w:pPr>
          </w:p>
        </w:tc>
      </w:tr>
      <w:tr w:rsidR="00C1563E" w14:paraId="7DCFCC52" w14:textId="77777777">
        <w:trPr>
          <w:jc w:val="center"/>
        </w:trPr>
        <w:tc>
          <w:tcPr>
            <w:tcW w:w="0" w:type="auto"/>
            <w:gridSpan w:val="3"/>
            <w:shd w:val="clear" w:color="auto" w:fill="auto"/>
            <w:tcMar>
              <w:top w:w="40" w:type="dxa"/>
              <w:left w:w="20" w:type="dxa"/>
              <w:bottom w:w="40" w:type="dxa"/>
              <w:right w:w="20" w:type="dxa"/>
            </w:tcMar>
          </w:tcPr>
          <w:p w14:paraId="7DCFCC4F" w14:textId="77777777" w:rsidR="00C1563E" w:rsidRDefault="000B648B">
            <w:pPr>
              <w:textAlignment w:val="top"/>
            </w:pPr>
            <w:hyperlink r:id="rId10" w:anchor="i418e32e4a35149ffbf7d3a25d66881b8_1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7DCFCC50" w14:textId="77777777" w:rsidR="00C1563E" w:rsidRDefault="000B648B">
            <w:pPr>
              <w:textAlignment w:val="top"/>
            </w:pPr>
            <w:hyperlink r:id="rId11" w:anchor="i418e32e4a35149ffbf7d3a25d66881b8_16"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tcPr>
          <w:p w14:paraId="7DCFCC51" w14:textId="77777777" w:rsidR="00C1563E" w:rsidRDefault="000B648B">
            <w:pPr>
              <w:jc w:val="center"/>
              <w:textAlignment w:val="top"/>
            </w:pPr>
            <w:hyperlink r:id="rId12" w:anchor="i418e32e4a35149ffbf7d3a25d66881b8_16" w:history="1">
              <w:r>
                <w:rPr>
                  <w:rStyle w:val="a5"/>
                  <w:rFonts w:ascii="Times New Roman" w:eastAsia="宋体" w:hAnsi="Times New Roman"/>
                  <w:sz w:val="20"/>
                  <w:szCs w:val="20"/>
                </w:rPr>
                <w:t>5</w:t>
              </w:r>
            </w:hyperlink>
          </w:p>
        </w:tc>
      </w:tr>
      <w:tr w:rsidR="00C1563E" w14:paraId="7DCFCC56" w14:textId="77777777">
        <w:trPr>
          <w:jc w:val="center"/>
        </w:trPr>
        <w:tc>
          <w:tcPr>
            <w:tcW w:w="0" w:type="auto"/>
            <w:gridSpan w:val="3"/>
            <w:shd w:val="clear" w:color="auto" w:fill="auto"/>
            <w:tcMar>
              <w:top w:w="40" w:type="dxa"/>
              <w:left w:w="20" w:type="dxa"/>
              <w:bottom w:w="40" w:type="dxa"/>
              <w:right w:w="20" w:type="dxa"/>
            </w:tcMar>
          </w:tcPr>
          <w:p w14:paraId="7DCFCC53" w14:textId="77777777" w:rsidR="00C1563E" w:rsidRDefault="000B648B">
            <w:pPr>
              <w:textAlignment w:val="top"/>
            </w:pPr>
            <w:hyperlink r:id="rId13" w:anchor="i418e32e4a35149ffbf7d3a25d66881b8_19"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tcPr>
          <w:p w14:paraId="7DCFCC54" w14:textId="77777777" w:rsidR="00C1563E" w:rsidRDefault="000B648B">
            <w:pPr>
              <w:textAlignment w:val="top"/>
            </w:pPr>
            <w:hyperlink r:id="rId14" w:anchor="i418e32e4a35149ffbf7d3a25d66881b8_1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7DCFCC55" w14:textId="77777777" w:rsidR="00C1563E" w:rsidRDefault="000B648B">
            <w:pPr>
              <w:jc w:val="center"/>
              <w:textAlignment w:val="top"/>
            </w:pPr>
            <w:hyperlink r:id="rId15" w:anchor="i418e32e4a35149ffbf7d3a25d66881b8_19" w:history="1">
              <w:r>
                <w:rPr>
                  <w:rStyle w:val="a5"/>
                  <w:rFonts w:ascii="Times New Roman" w:eastAsia="宋体" w:hAnsi="Times New Roman"/>
                  <w:sz w:val="20"/>
                  <w:szCs w:val="20"/>
                </w:rPr>
                <w:t>17</w:t>
              </w:r>
            </w:hyperlink>
          </w:p>
        </w:tc>
      </w:tr>
      <w:tr w:rsidR="00C1563E" w14:paraId="7DCFCC5A" w14:textId="77777777">
        <w:trPr>
          <w:jc w:val="center"/>
        </w:trPr>
        <w:tc>
          <w:tcPr>
            <w:tcW w:w="0" w:type="auto"/>
            <w:gridSpan w:val="3"/>
            <w:shd w:val="clear" w:color="auto" w:fill="auto"/>
            <w:tcMar>
              <w:top w:w="40" w:type="dxa"/>
              <w:left w:w="20" w:type="dxa"/>
              <w:bottom w:w="40" w:type="dxa"/>
              <w:right w:w="20" w:type="dxa"/>
            </w:tcMar>
          </w:tcPr>
          <w:p w14:paraId="7DCFCC57" w14:textId="77777777" w:rsidR="00C1563E" w:rsidRDefault="000B648B">
            <w:pPr>
              <w:textAlignment w:val="top"/>
            </w:pPr>
            <w:hyperlink r:id="rId16" w:anchor="i418e32e4a35149ffbf7d3a25d66881b8_22" w:history="1">
              <w:r>
                <w:rPr>
                  <w:rStyle w:val="a5"/>
                  <w:rFonts w:ascii="Times New Roman" w:eastAsia="宋体" w:hAnsi="Times New Roman"/>
                  <w:sz w:val="20"/>
                  <w:szCs w:val="20"/>
                </w:rPr>
                <w:t>Item 1B.</w:t>
              </w:r>
            </w:hyperlink>
          </w:p>
        </w:tc>
        <w:tc>
          <w:tcPr>
            <w:tcW w:w="0" w:type="auto"/>
            <w:gridSpan w:val="3"/>
            <w:shd w:val="clear" w:color="auto" w:fill="auto"/>
            <w:tcMar>
              <w:top w:w="40" w:type="dxa"/>
              <w:left w:w="20" w:type="dxa"/>
              <w:bottom w:w="40" w:type="dxa"/>
              <w:right w:w="20" w:type="dxa"/>
            </w:tcMar>
          </w:tcPr>
          <w:p w14:paraId="7DCFCC58" w14:textId="77777777" w:rsidR="00C1563E" w:rsidRDefault="000B648B">
            <w:pPr>
              <w:textAlignment w:val="top"/>
            </w:pPr>
            <w:hyperlink r:id="rId17" w:anchor="i418e32e4a35149ffbf7d3a25d66881b8_22"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tcPr>
          <w:p w14:paraId="7DCFCC59" w14:textId="77777777" w:rsidR="00C1563E" w:rsidRDefault="000B648B">
            <w:pPr>
              <w:jc w:val="center"/>
              <w:textAlignment w:val="top"/>
            </w:pPr>
            <w:hyperlink r:id="rId18" w:anchor="i418e32e4a35149ffbf7d3a25d66881b8_22" w:history="1">
              <w:r>
                <w:rPr>
                  <w:rStyle w:val="a5"/>
                  <w:rFonts w:ascii="Times New Roman" w:eastAsia="宋体" w:hAnsi="Times New Roman"/>
                  <w:sz w:val="20"/>
                  <w:szCs w:val="20"/>
                </w:rPr>
                <w:t>31</w:t>
              </w:r>
            </w:hyperlink>
          </w:p>
        </w:tc>
      </w:tr>
      <w:tr w:rsidR="00C1563E" w14:paraId="7DCFCC5E" w14:textId="77777777">
        <w:trPr>
          <w:jc w:val="center"/>
        </w:trPr>
        <w:tc>
          <w:tcPr>
            <w:tcW w:w="0" w:type="auto"/>
            <w:gridSpan w:val="3"/>
            <w:shd w:val="clear" w:color="auto" w:fill="auto"/>
            <w:tcMar>
              <w:top w:w="40" w:type="dxa"/>
              <w:left w:w="20" w:type="dxa"/>
              <w:bottom w:w="40" w:type="dxa"/>
              <w:right w:w="20" w:type="dxa"/>
            </w:tcMar>
          </w:tcPr>
          <w:p w14:paraId="7DCFCC5B" w14:textId="77777777" w:rsidR="00C1563E" w:rsidRDefault="000B648B">
            <w:pPr>
              <w:textAlignment w:val="top"/>
            </w:pPr>
            <w:hyperlink r:id="rId19" w:anchor="i418e32e4a35149ffbf7d3a25d66881b8_25"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7DCFCC5C" w14:textId="77777777" w:rsidR="00C1563E" w:rsidRDefault="000B648B">
            <w:pPr>
              <w:textAlignment w:val="top"/>
            </w:pPr>
            <w:hyperlink r:id="rId20" w:anchor="i418e32e4a35149ffbf7d3a25d66881b8_25"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tcPr>
          <w:p w14:paraId="7DCFCC5D" w14:textId="77777777" w:rsidR="00C1563E" w:rsidRDefault="000B648B">
            <w:pPr>
              <w:jc w:val="center"/>
              <w:textAlignment w:val="top"/>
            </w:pPr>
            <w:hyperlink r:id="rId21" w:anchor="i418e32e4a35149ffbf7d3a25d66881b8_25" w:history="1">
              <w:r>
                <w:rPr>
                  <w:rStyle w:val="a5"/>
                  <w:rFonts w:ascii="Times New Roman" w:eastAsia="宋体" w:hAnsi="Times New Roman"/>
                  <w:sz w:val="20"/>
                  <w:szCs w:val="20"/>
                </w:rPr>
                <w:t>31</w:t>
              </w:r>
            </w:hyperlink>
          </w:p>
        </w:tc>
      </w:tr>
      <w:tr w:rsidR="00C1563E" w14:paraId="7DCFCC62" w14:textId="77777777">
        <w:trPr>
          <w:jc w:val="center"/>
        </w:trPr>
        <w:tc>
          <w:tcPr>
            <w:tcW w:w="0" w:type="auto"/>
            <w:gridSpan w:val="3"/>
            <w:shd w:val="clear" w:color="auto" w:fill="auto"/>
            <w:tcMar>
              <w:top w:w="40" w:type="dxa"/>
              <w:left w:w="20" w:type="dxa"/>
              <w:bottom w:w="40" w:type="dxa"/>
              <w:right w:w="20" w:type="dxa"/>
            </w:tcMar>
          </w:tcPr>
          <w:p w14:paraId="7DCFCC5F" w14:textId="77777777" w:rsidR="00C1563E" w:rsidRDefault="000B648B">
            <w:pPr>
              <w:textAlignment w:val="top"/>
            </w:pPr>
            <w:hyperlink r:id="rId22" w:anchor="i418e32e4a35149ffbf7d3a25d66881b8_28"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tcPr>
          <w:p w14:paraId="7DCFCC60" w14:textId="77777777" w:rsidR="00C1563E" w:rsidRDefault="000B648B">
            <w:pPr>
              <w:textAlignment w:val="top"/>
            </w:pPr>
            <w:hyperlink r:id="rId23" w:anchor="i418e32e4a35149ffbf7d3a25d66881b8_28"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7DCFCC61" w14:textId="77777777" w:rsidR="00C1563E" w:rsidRDefault="000B648B">
            <w:pPr>
              <w:jc w:val="center"/>
              <w:textAlignment w:val="top"/>
            </w:pPr>
            <w:hyperlink r:id="rId24" w:anchor="i418e32e4a35149ffbf7d3a25d66881b8_28" w:history="1">
              <w:r>
                <w:rPr>
                  <w:rStyle w:val="a5"/>
                  <w:rFonts w:ascii="Times New Roman" w:eastAsia="宋体" w:hAnsi="Times New Roman"/>
                  <w:sz w:val="20"/>
                  <w:szCs w:val="20"/>
                </w:rPr>
                <w:t>31</w:t>
              </w:r>
            </w:hyperlink>
          </w:p>
        </w:tc>
      </w:tr>
      <w:tr w:rsidR="00C1563E" w14:paraId="7DCFCC66" w14:textId="77777777">
        <w:trPr>
          <w:jc w:val="center"/>
        </w:trPr>
        <w:tc>
          <w:tcPr>
            <w:tcW w:w="0" w:type="auto"/>
            <w:gridSpan w:val="3"/>
            <w:shd w:val="clear" w:color="auto" w:fill="auto"/>
            <w:tcMar>
              <w:top w:w="40" w:type="dxa"/>
              <w:left w:w="20" w:type="dxa"/>
              <w:bottom w:w="40" w:type="dxa"/>
              <w:right w:w="20" w:type="dxa"/>
            </w:tcMar>
          </w:tcPr>
          <w:p w14:paraId="7DCFCC63" w14:textId="77777777" w:rsidR="00C1563E" w:rsidRDefault="000B648B">
            <w:pPr>
              <w:textAlignment w:val="top"/>
            </w:pPr>
            <w:hyperlink r:id="rId25" w:anchor="i418e32e4a35149ffbf7d3a25d66881b8_31" w:history="1">
              <w:r>
                <w:rPr>
                  <w:rStyle w:val="a5"/>
                  <w:rFonts w:ascii="Times New Roman" w:eastAsia="宋体" w:hAnsi="Times New Roman"/>
                  <w:sz w:val="20"/>
                  <w:szCs w:val="20"/>
                </w:rPr>
                <w:t xml:space="preserve">Item 4. </w:t>
              </w:r>
            </w:hyperlink>
          </w:p>
        </w:tc>
        <w:tc>
          <w:tcPr>
            <w:tcW w:w="0" w:type="auto"/>
            <w:gridSpan w:val="3"/>
            <w:shd w:val="clear" w:color="auto" w:fill="auto"/>
            <w:tcMar>
              <w:top w:w="40" w:type="dxa"/>
              <w:left w:w="20" w:type="dxa"/>
              <w:bottom w:w="40" w:type="dxa"/>
              <w:right w:w="20" w:type="dxa"/>
            </w:tcMar>
          </w:tcPr>
          <w:p w14:paraId="7DCFCC64" w14:textId="77777777" w:rsidR="00C1563E" w:rsidRDefault="000B648B">
            <w:pPr>
              <w:textAlignment w:val="top"/>
            </w:pPr>
            <w:hyperlink r:id="rId26" w:anchor="i418e32e4a35149ffbf7d3a25d66881b8_31"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tcPr>
          <w:p w14:paraId="7DCFCC65" w14:textId="77777777" w:rsidR="00C1563E" w:rsidRDefault="000B648B">
            <w:pPr>
              <w:jc w:val="center"/>
              <w:textAlignment w:val="top"/>
            </w:pPr>
            <w:hyperlink r:id="rId27" w:anchor="i418e32e4a35149ffbf7d3a25d66881b8_31" w:history="1">
              <w:r>
                <w:rPr>
                  <w:rStyle w:val="a5"/>
                  <w:rFonts w:ascii="Times New Roman" w:eastAsia="宋体" w:hAnsi="Times New Roman"/>
                  <w:sz w:val="20"/>
                  <w:szCs w:val="20"/>
                </w:rPr>
                <w:t>31</w:t>
              </w:r>
            </w:hyperlink>
          </w:p>
        </w:tc>
      </w:tr>
      <w:tr w:rsidR="00C1563E" w14:paraId="7DCFCC6A" w14:textId="77777777">
        <w:trPr>
          <w:jc w:val="center"/>
        </w:trPr>
        <w:tc>
          <w:tcPr>
            <w:tcW w:w="0" w:type="auto"/>
            <w:gridSpan w:val="3"/>
            <w:shd w:val="clear" w:color="auto" w:fill="auto"/>
            <w:tcMar>
              <w:top w:w="40" w:type="dxa"/>
              <w:left w:w="20" w:type="dxa"/>
              <w:bottom w:w="40" w:type="dxa"/>
              <w:right w:w="20" w:type="dxa"/>
            </w:tcMar>
          </w:tcPr>
          <w:p w14:paraId="7DCFCC67" w14:textId="77777777" w:rsidR="00C1563E" w:rsidRDefault="000B648B">
            <w:pPr>
              <w:textAlignment w:val="top"/>
            </w:pPr>
            <w:hyperlink r:id="rId28" w:anchor="i418e32e4a35149ffbf7d3a25d66881b8_34" w:history="1">
              <w:r>
                <w:rPr>
                  <w:rStyle w:val="a5"/>
                  <w:rFonts w:ascii="Times New Roman" w:eastAsia="宋体" w:hAnsi="Times New Roman"/>
                  <w:b/>
                  <w:bCs/>
                  <w:sz w:val="20"/>
                  <w:szCs w:val="20"/>
                </w:rPr>
                <w:t>PART II</w:t>
              </w:r>
            </w:hyperlink>
          </w:p>
        </w:tc>
        <w:tc>
          <w:tcPr>
            <w:tcW w:w="0" w:type="auto"/>
            <w:gridSpan w:val="3"/>
            <w:shd w:val="clear" w:color="auto" w:fill="auto"/>
            <w:tcMar>
              <w:top w:w="0" w:type="dxa"/>
              <w:left w:w="20" w:type="dxa"/>
              <w:bottom w:w="0" w:type="dxa"/>
              <w:right w:w="20" w:type="dxa"/>
            </w:tcMar>
          </w:tcPr>
          <w:p w14:paraId="7DCFCC6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69" w14:textId="77777777" w:rsidR="00C1563E" w:rsidRDefault="00C1563E">
            <w:pPr>
              <w:rPr>
                <w:rFonts w:ascii="宋体"/>
              </w:rPr>
            </w:pPr>
          </w:p>
        </w:tc>
      </w:tr>
      <w:tr w:rsidR="00C1563E" w14:paraId="7DCFCC6E" w14:textId="77777777">
        <w:trPr>
          <w:jc w:val="center"/>
        </w:trPr>
        <w:tc>
          <w:tcPr>
            <w:tcW w:w="0" w:type="auto"/>
            <w:gridSpan w:val="3"/>
            <w:shd w:val="clear" w:color="auto" w:fill="auto"/>
            <w:tcMar>
              <w:top w:w="40" w:type="dxa"/>
              <w:left w:w="20" w:type="dxa"/>
              <w:bottom w:w="40" w:type="dxa"/>
              <w:right w:w="20" w:type="dxa"/>
            </w:tcMar>
          </w:tcPr>
          <w:p w14:paraId="7DCFCC6B" w14:textId="77777777" w:rsidR="00C1563E" w:rsidRDefault="000B648B">
            <w:pPr>
              <w:textAlignment w:val="top"/>
            </w:pPr>
            <w:hyperlink r:id="rId29" w:anchor="i418e32e4a35149ffbf7d3a25d66881b8_37"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tcPr>
          <w:p w14:paraId="7DCFCC6C" w14:textId="77777777" w:rsidR="00C1563E" w:rsidRDefault="000B648B">
            <w:pPr>
              <w:textAlignment w:val="top"/>
            </w:pPr>
            <w:hyperlink r:id="rId30" w:anchor="i418e32e4a35149ffbf7d3a25d66881b8_37" w:history="1">
              <w:r>
                <w:rPr>
                  <w:rStyle w:val="a5"/>
                  <w:rFonts w:ascii="Times New Roman" w:eastAsia="宋体" w:hAnsi="Times New Roman"/>
                  <w:sz w:val="20"/>
                  <w:szCs w:val="20"/>
                </w:rPr>
                <w:t>Market for Registrant’s Common Equity, Related Stockholder Matters and Issuer Purchases of Equity Securities</w:t>
              </w:r>
            </w:hyperlink>
          </w:p>
        </w:tc>
        <w:tc>
          <w:tcPr>
            <w:tcW w:w="0" w:type="auto"/>
            <w:gridSpan w:val="3"/>
            <w:shd w:val="clear" w:color="auto" w:fill="auto"/>
            <w:tcMar>
              <w:top w:w="40" w:type="dxa"/>
              <w:left w:w="20" w:type="dxa"/>
              <w:bottom w:w="40" w:type="dxa"/>
              <w:right w:w="20" w:type="dxa"/>
            </w:tcMar>
          </w:tcPr>
          <w:p w14:paraId="7DCFCC6D" w14:textId="77777777" w:rsidR="00C1563E" w:rsidRDefault="000B648B">
            <w:pPr>
              <w:jc w:val="center"/>
              <w:textAlignment w:val="top"/>
            </w:pPr>
            <w:hyperlink r:id="rId31" w:anchor="i418e32e4a35149ffbf7d3a25d66881b8_37" w:history="1">
              <w:r>
                <w:rPr>
                  <w:rStyle w:val="a5"/>
                  <w:rFonts w:ascii="Times New Roman" w:eastAsia="宋体" w:hAnsi="Times New Roman"/>
                  <w:sz w:val="20"/>
                  <w:szCs w:val="20"/>
                </w:rPr>
                <w:t>32</w:t>
              </w:r>
            </w:hyperlink>
          </w:p>
        </w:tc>
      </w:tr>
      <w:tr w:rsidR="00C1563E" w14:paraId="7DCFCC72" w14:textId="77777777">
        <w:trPr>
          <w:jc w:val="center"/>
        </w:trPr>
        <w:tc>
          <w:tcPr>
            <w:tcW w:w="0" w:type="auto"/>
            <w:gridSpan w:val="3"/>
            <w:shd w:val="clear" w:color="auto" w:fill="auto"/>
            <w:tcMar>
              <w:top w:w="40" w:type="dxa"/>
              <w:left w:w="20" w:type="dxa"/>
              <w:bottom w:w="40" w:type="dxa"/>
              <w:right w:w="20" w:type="dxa"/>
            </w:tcMar>
          </w:tcPr>
          <w:p w14:paraId="7DCFCC6F" w14:textId="77777777" w:rsidR="00C1563E" w:rsidRDefault="000B648B">
            <w:pPr>
              <w:textAlignment w:val="top"/>
            </w:pPr>
            <w:hyperlink r:id="rId32" w:anchor="i418e32e4a35149ffbf7d3a25d66881b8_40"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tcPr>
          <w:p w14:paraId="7DCFCC70" w14:textId="77777777" w:rsidR="00C1563E" w:rsidRDefault="000B648B">
            <w:pPr>
              <w:textAlignment w:val="top"/>
            </w:pPr>
            <w:hyperlink r:id="rId33" w:anchor="i418e32e4a35149ffbf7d3a25d66881b8_40" w:history="1">
              <w:r>
                <w:rPr>
                  <w:rStyle w:val="a5"/>
                  <w:rFonts w:ascii="Times New Roman" w:eastAsia="宋体" w:hAnsi="Times New Roman"/>
                  <w:sz w:val="20"/>
                  <w:szCs w:val="20"/>
                </w:rPr>
                <w:t>Selected Financial Data</w:t>
              </w:r>
            </w:hyperlink>
          </w:p>
        </w:tc>
        <w:tc>
          <w:tcPr>
            <w:tcW w:w="0" w:type="auto"/>
            <w:gridSpan w:val="3"/>
            <w:shd w:val="clear" w:color="auto" w:fill="auto"/>
            <w:tcMar>
              <w:top w:w="40" w:type="dxa"/>
              <w:left w:w="20" w:type="dxa"/>
              <w:bottom w:w="40" w:type="dxa"/>
              <w:right w:w="20" w:type="dxa"/>
            </w:tcMar>
          </w:tcPr>
          <w:p w14:paraId="7DCFCC71" w14:textId="77777777" w:rsidR="00C1563E" w:rsidRDefault="000B648B">
            <w:pPr>
              <w:jc w:val="center"/>
              <w:textAlignment w:val="top"/>
            </w:pPr>
            <w:hyperlink r:id="rId34" w:anchor="i418e32e4a35149ffbf7d3a25d66881b8_40" w:history="1">
              <w:r>
                <w:rPr>
                  <w:rStyle w:val="a5"/>
                  <w:rFonts w:ascii="Times New Roman" w:eastAsia="宋体" w:hAnsi="Times New Roman"/>
                  <w:sz w:val="20"/>
                  <w:szCs w:val="20"/>
                </w:rPr>
                <w:t>34</w:t>
              </w:r>
            </w:hyperlink>
          </w:p>
        </w:tc>
      </w:tr>
      <w:tr w:rsidR="00C1563E" w14:paraId="7DCFCC76" w14:textId="77777777">
        <w:trPr>
          <w:jc w:val="center"/>
        </w:trPr>
        <w:tc>
          <w:tcPr>
            <w:tcW w:w="0" w:type="auto"/>
            <w:gridSpan w:val="3"/>
            <w:shd w:val="clear" w:color="auto" w:fill="auto"/>
            <w:tcMar>
              <w:top w:w="40" w:type="dxa"/>
              <w:left w:w="20" w:type="dxa"/>
              <w:bottom w:w="40" w:type="dxa"/>
              <w:right w:w="20" w:type="dxa"/>
            </w:tcMar>
          </w:tcPr>
          <w:p w14:paraId="7DCFCC73" w14:textId="77777777" w:rsidR="00C1563E" w:rsidRDefault="000B648B">
            <w:pPr>
              <w:textAlignment w:val="top"/>
            </w:pPr>
            <w:hyperlink r:id="rId35" w:anchor="i418e32e4a35149ffbf7d3a25d66881b8_43" w:history="1">
              <w:r>
                <w:rPr>
                  <w:rStyle w:val="a5"/>
                  <w:rFonts w:ascii="Times New Roman" w:eastAsia="宋体" w:hAnsi="Times New Roman"/>
                  <w:sz w:val="20"/>
                  <w:szCs w:val="20"/>
                </w:rPr>
                <w:t>Item 7.</w:t>
              </w:r>
            </w:hyperlink>
          </w:p>
        </w:tc>
        <w:tc>
          <w:tcPr>
            <w:tcW w:w="0" w:type="auto"/>
            <w:gridSpan w:val="3"/>
            <w:shd w:val="clear" w:color="auto" w:fill="auto"/>
            <w:tcMar>
              <w:top w:w="40" w:type="dxa"/>
              <w:left w:w="20" w:type="dxa"/>
              <w:bottom w:w="40" w:type="dxa"/>
              <w:right w:w="20" w:type="dxa"/>
            </w:tcMar>
          </w:tcPr>
          <w:p w14:paraId="7DCFCC74" w14:textId="77777777" w:rsidR="00C1563E" w:rsidRDefault="000B648B">
            <w:pPr>
              <w:textAlignment w:val="top"/>
            </w:pPr>
            <w:hyperlink r:id="rId36" w:anchor="i418e32e4a35149ffbf7d3a25d66881b8_43"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7DCFCC75" w14:textId="77777777" w:rsidR="00C1563E" w:rsidRDefault="000B648B">
            <w:pPr>
              <w:jc w:val="center"/>
              <w:textAlignment w:val="top"/>
            </w:pPr>
            <w:hyperlink r:id="rId37" w:anchor="i418e32e4a35149ffbf7d3a25d66881b8_43" w:history="1">
              <w:r>
                <w:rPr>
                  <w:rStyle w:val="a5"/>
                  <w:rFonts w:ascii="Times New Roman" w:eastAsia="宋体" w:hAnsi="Times New Roman"/>
                  <w:sz w:val="20"/>
                  <w:szCs w:val="20"/>
                </w:rPr>
                <w:t>35</w:t>
              </w:r>
            </w:hyperlink>
          </w:p>
        </w:tc>
      </w:tr>
      <w:tr w:rsidR="00C1563E" w14:paraId="7DCFCC7A" w14:textId="77777777">
        <w:trPr>
          <w:jc w:val="center"/>
        </w:trPr>
        <w:tc>
          <w:tcPr>
            <w:tcW w:w="0" w:type="auto"/>
            <w:gridSpan w:val="3"/>
            <w:shd w:val="clear" w:color="auto" w:fill="auto"/>
            <w:tcMar>
              <w:top w:w="40" w:type="dxa"/>
              <w:left w:w="20" w:type="dxa"/>
              <w:bottom w:w="40" w:type="dxa"/>
              <w:right w:w="20" w:type="dxa"/>
            </w:tcMar>
          </w:tcPr>
          <w:p w14:paraId="7DCFCC77" w14:textId="77777777" w:rsidR="00C1563E" w:rsidRDefault="000B648B">
            <w:pPr>
              <w:textAlignment w:val="top"/>
            </w:pPr>
            <w:hyperlink r:id="rId38" w:anchor="i418e32e4a35149ffbf7d3a25d66881b8_64" w:history="1">
              <w:r>
                <w:rPr>
                  <w:rStyle w:val="a5"/>
                  <w:rFonts w:ascii="Times New Roman" w:eastAsia="宋体" w:hAnsi="Times New Roman"/>
                  <w:sz w:val="20"/>
                  <w:szCs w:val="20"/>
                </w:rPr>
                <w:t>Item 7A.</w:t>
              </w:r>
            </w:hyperlink>
          </w:p>
        </w:tc>
        <w:tc>
          <w:tcPr>
            <w:tcW w:w="0" w:type="auto"/>
            <w:gridSpan w:val="3"/>
            <w:shd w:val="clear" w:color="auto" w:fill="auto"/>
            <w:tcMar>
              <w:top w:w="40" w:type="dxa"/>
              <w:left w:w="20" w:type="dxa"/>
              <w:bottom w:w="40" w:type="dxa"/>
              <w:right w:w="20" w:type="dxa"/>
            </w:tcMar>
          </w:tcPr>
          <w:p w14:paraId="7DCFCC78" w14:textId="77777777" w:rsidR="00C1563E" w:rsidRDefault="000B648B">
            <w:pPr>
              <w:textAlignment w:val="top"/>
            </w:pPr>
            <w:hyperlink r:id="rId39" w:anchor="i418e32e4a35149ffbf7d3a25d66881b8_64"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tcPr>
          <w:p w14:paraId="7DCFCC79" w14:textId="77777777" w:rsidR="00C1563E" w:rsidRDefault="000B648B">
            <w:pPr>
              <w:jc w:val="center"/>
              <w:textAlignment w:val="top"/>
            </w:pPr>
            <w:hyperlink r:id="rId40" w:anchor="i418e32e4a35149ffbf7d3a25d66881b8_64" w:history="1">
              <w:r>
                <w:rPr>
                  <w:rStyle w:val="a5"/>
                  <w:rFonts w:ascii="Times New Roman" w:eastAsia="宋体" w:hAnsi="Times New Roman"/>
                  <w:sz w:val="20"/>
                  <w:szCs w:val="20"/>
                </w:rPr>
                <w:t>68</w:t>
              </w:r>
            </w:hyperlink>
          </w:p>
        </w:tc>
      </w:tr>
      <w:tr w:rsidR="00C1563E" w14:paraId="7DCFCC7E" w14:textId="77777777">
        <w:trPr>
          <w:jc w:val="center"/>
        </w:trPr>
        <w:tc>
          <w:tcPr>
            <w:tcW w:w="0" w:type="auto"/>
            <w:gridSpan w:val="3"/>
            <w:shd w:val="clear" w:color="auto" w:fill="auto"/>
            <w:tcMar>
              <w:top w:w="40" w:type="dxa"/>
              <w:left w:w="20" w:type="dxa"/>
              <w:bottom w:w="40" w:type="dxa"/>
              <w:right w:w="20" w:type="dxa"/>
            </w:tcMar>
          </w:tcPr>
          <w:p w14:paraId="7DCFCC7B" w14:textId="77777777" w:rsidR="00C1563E" w:rsidRDefault="000B648B">
            <w:pPr>
              <w:textAlignment w:val="top"/>
            </w:pPr>
            <w:hyperlink r:id="rId41" w:anchor="i418e32e4a35149ffbf7d3a25d66881b8_67" w:history="1">
              <w:r>
                <w:rPr>
                  <w:rStyle w:val="a5"/>
                  <w:rFonts w:ascii="Times New Roman" w:eastAsia="宋体" w:hAnsi="Times New Roman"/>
                  <w:sz w:val="20"/>
                  <w:szCs w:val="20"/>
                </w:rPr>
                <w:t>Item 8.</w:t>
              </w:r>
            </w:hyperlink>
          </w:p>
        </w:tc>
        <w:tc>
          <w:tcPr>
            <w:tcW w:w="0" w:type="auto"/>
            <w:gridSpan w:val="3"/>
            <w:shd w:val="clear" w:color="auto" w:fill="auto"/>
            <w:tcMar>
              <w:top w:w="40" w:type="dxa"/>
              <w:left w:w="20" w:type="dxa"/>
              <w:bottom w:w="40" w:type="dxa"/>
              <w:right w:w="20" w:type="dxa"/>
            </w:tcMar>
          </w:tcPr>
          <w:p w14:paraId="7DCFCC7C" w14:textId="77777777" w:rsidR="00C1563E" w:rsidRDefault="000B648B">
            <w:pPr>
              <w:textAlignment w:val="top"/>
            </w:pPr>
            <w:hyperlink r:id="rId42" w:anchor="i418e32e4a35149ffbf7d3a25d66881b8_67"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tcPr>
          <w:p w14:paraId="7DCFCC7D" w14:textId="77777777" w:rsidR="00C1563E" w:rsidRDefault="000B648B">
            <w:pPr>
              <w:jc w:val="center"/>
              <w:textAlignment w:val="top"/>
            </w:pPr>
            <w:hyperlink r:id="rId43" w:anchor="i418e32e4a35149ffbf7d3a25d66881b8_67" w:history="1">
              <w:r>
                <w:rPr>
                  <w:rStyle w:val="a5"/>
                  <w:rFonts w:ascii="Times New Roman" w:eastAsia="宋体" w:hAnsi="Times New Roman"/>
                  <w:sz w:val="20"/>
                  <w:szCs w:val="20"/>
                </w:rPr>
                <w:t>70</w:t>
              </w:r>
            </w:hyperlink>
          </w:p>
        </w:tc>
      </w:tr>
      <w:tr w:rsidR="00C1563E" w14:paraId="7DCFCC82" w14:textId="77777777">
        <w:trPr>
          <w:jc w:val="center"/>
        </w:trPr>
        <w:tc>
          <w:tcPr>
            <w:tcW w:w="0" w:type="auto"/>
            <w:gridSpan w:val="3"/>
            <w:shd w:val="clear" w:color="auto" w:fill="auto"/>
            <w:tcMar>
              <w:top w:w="40" w:type="dxa"/>
              <w:left w:w="20" w:type="dxa"/>
              <w:bottom w:w="40" w:type="dxa"/>
              <w:right w:w="20" w:type="dxa"/>
            </w:tcMar>
          </w:tcPr>
          <w:p w14:paraId="7DCFCC7F" w14:textId="77777777" w:rsidR="00C1563E" w:rsidRDefault="000B648B">
            <w:pPr>
              <w:textAlignment w:val="top"/>
            </w:pPr>
            <w:hyperlink r:id="rId44" w:anchor="i418e32e4a35149ffbf7d3a25d66881b8_202" w:history="1">
              <w:r>
                <w:rPr>
                  <w:rStyle w:val="a5"/>
                  <w:rFonts w:ascii="Times New Roman" w:eastAsia="宋体" w:hAnsi="Times New Roman"/>
                  <w:sz w:val="20"/>
                  <w:szCs w:val="20"/>
                </w:rPr>
                <w:t>Item 9.</w:t>
              </w:r>
            </w:hyperlink>
          </w:p>
        </w:tc>
        <w:tc>
          <w:tcPr>
            <w:tcW w:w="0" w:type="auto"/>
            <w:gridSpan w:val="3"/>
            <w:shd w:val="clear" w:color="auto" w:fill="auto"/>
            <w:tcMar>
              <w:top w:w="40" w:type="dxa"/>
              <w:left w:w="20" w:type="dxa"/>
              <w:bottom w:w="40" w:type="dxa"/>
              <w:right w:w="20" w:type="dxa"/>
            </w:tcMar>
          </w:tcPr>
          <w:p w14:paraId="7DCFCC80" w14:textId="77777777" w:rsidR="00C1563E" w:rsidRDefault="000B648B">
            <w:pPr>
              <w:textAlignment w:val="top"/>
            </w:pPr>
            <w:hyperlink r:id="rId45" w:anchor="i418e32e4a35149ffbf7d3a25d66881b8_202"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7DCFCC81" w14:textId="77777777" w:rsidR="00C1563E" w:rsidRDefault="000B648B">
            <w:pPr>
              <w:jc w:val="center"/>
              <w:textAlignment w:val="top"/>
            </w:pPr>
            <w:hyperlink r:id="rId46" w:anchor="i418e32e4a35149ffbf7d3a25d66881b8_202" w:history="1">
              <w:r>
                <w:rPr>
                  <w:rStyle w:val="a5"/>
                  <w:rFonts w:ascii="Times New Roman" w:eastAsia="宋体" w:hAnsi="Times New Roman"/>
                  <w:sz w:val="20"/>
                  <w:szCs w:val="20"/>
                </w:rPr>
                <w:t>168</w:t>
              </w:r>
            </w:hyperlink>
          </w:p>
        </w:tc>
      </w:tr>
      <w:tr w:rsidR="00C1563E" w14:paraId="7DCFCC86" w14:textId="77777777">
        <w:trPr>
          <w:jc w:val="center"/>
        </w:trPr>
        <w:tc>
          <w:tcPr>
            <w:tcW w:w="0" w:type="auto"/>
            <w:gridSpan w:val="3"/>
            <w:shd w:val="clear" w:color="auto" w:fill="auto"/>
            <w:tcMar>
              <w:top w:w="40" w:type="dxa"/>
              <w:left w:w="20" w:type="dxa"/>
              <w:bottom w:w="40" w:type="dxa"/>
              <w:right w:w="20" w:type="dxa"/>
            </w:tcMar>
          </w:tcPr>
          <w:p w14:paraId="7DCFCC83" w14:textId="77777777" w:rsidR="00C1563E" w:rsidRDefault="000B648B">
            <w:pPr>
              <w:textAlignment w:val="top"/>
            </w:pPr>
            <w:hyperlink r:id="rId47" w:anchor="i418e32e4a35149ffbf7d3a25d66881b8_205" w:history="1">
              <w:r>
                <w:rPr>
                  <w:rStyle w:val="a5"/>
                  <w:rFonts w:ascii="Times New Roman" w:eastAsia="宋体" w:hAnsi="Times New Roman"/>
                  <w:sz w:val="20"/>
                  <w:szCs w:val="20"/>
                </w:rPr>
                <w:t>Item 9A.</w:t>
              </w:r>
            </w:hyperlink>
          </w:p>
        </w:tc>
        <w:tc>
          <w:tcPr>
            <w:tcW w:w="0" w:type="auto"/>
            <w:gridSpan w:val="3"/>
            <w:shd w:val="clear" w:color="auto" w:fill="auto"/>
            <w:tcMar>
              <w:top w:w="40" w:type="dxa"/>
              <w:left w:w="20" w:type="dxa"/>
              <w:bottom w:w="40" w:type="dxa"/>
              <w:right w:w="20" w:type="dxa"/>
            </w:tcMar>
          </w:tcPr>
          <w:p w14:paraId="7DCFCC84" w14:textId="77777777" w:rsidR="00C1563E" w:rsidRDefault="000B648B">
            <w:pPr>
              <w:textAlignment w:val="top"/>
            </w:pPr>
            <w:hyperlink r:id="rId48" w:anchor="i418e32e4a35149ffbf7d3a25d66881b8_205"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7DCFCC85" w14:textId="77777777" w:rsidR="00C1563E" w:rsidRDefault="000B648B">
            <w:pPr>
              <w:jc w:val="center"/>
              <w:textAlignment w:val="top"/>
            </w:pPr>
            <w:hyperlink r:id="rId49" w:anchor="i418e32e4a35149ffbf7d3a25d66881b8_205" w:history="1">
              <w:r>
                <w:rPr>
                  <w:rStyle w:val="a5"/>
                  <w:rFonts w:ascii="Times New Roman" w:eastAsia="宋体" w:hAnsi="Times New Roman"/>
                  <w:sz w:val="20"/>
                  <w:szCs w:val="20"/>
                </w:rPr>
                <w:t>168</w:t>
              </w:r>
            </w:hyperlink>
          </w:p>
        </w:tc>
      </w:tr>
      <w:tr w:rsidR="00C1563E" w14:paraId="7DCFCC8A" w14:textId="77777777">
        <w:trPr>
          <w:jc w:val="center"/>
        </w:trPr>
        <w:tc>
          <w:tcPr>
            <w:tcW w:w="0" w:type="auto"/>
            <w:gridSpan w:val="3"/>
            <w:shd w:val="clear" w:color="auto" w:fill="auto"/>
            <w:tcMar>
              <w:top w:w="40" w:type="dxa"/>
              <w:left w:w="20" w:type="dxa"/>
              <w:bottom w:w="40" w:type="dxa"/>
              <w:right w:w="20" w:type="dxa"/>
            </w:tcMar>
          </w:tcPr>
          <w:p w14:paraId="7DCFCC87" w14:textId="77777777" w:rsidR="00C1563E" w:rsidRDefault="000B648B">
            <w:pPr>
              <w:textAlignment w:val="top"/>
            </w:pPr>
            <w:hyperlink r:id="rId50" w:anchor="i418e32e4a35149ffbf7d3a25d66881b8_208" w:history="1">
              <w:r>
                <w:rPr>
                  <w:rStyle w:val="a5"/>
                  <w:rFonts w:ascii="Times New Roman" w:eastAsia="宋体" w:hAnsi="Times New Roman"/>
                  <w:sz w:val="20"/>
                  <w:szCs w:val="20"/>
                </w:rPr>
                <w:t>Item 9B.</w:t>
              </w:r>
            </w:hyperlink>
          </w:p>
        </w:tc>
        <w:tc>
          <w:tcPr>
            <w:tcW w:w="0" w:type="auto"/>
            <w:gridSpan w:val="3"/>
            <w:shd w:val="clear" w:color="auto" w:fill="auto"/>
            <w:tcMar>
              <w:top w:w="40" w:type="dxa"/>
              <w:left w:w="20" w:type="dxa"/>
              <w:bottom w:w="40" w:type="dxa"/>
              <w:right w:w="20" w:type="dxa"/>
            </w:tcMar>
          </w:tcPr>
          <w:p w14:paraId="7DCFCC88" w14:textId="77777777" w:rsidR="00C1563E" w:rsidRDefault="000B648B">
            <w:pPr>
              <w:textAlignment w:val="top"/>
            </w:pPr>
            <w:hyperlink r:id="rId51" w:anchor="i418e32e4a35149ffbf7d3a25d66881b8_208"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tcPr>
          <w:p w14:paraId="7DCFCC89" w14:textId="77777777" w:rsidR="00C1563E" w:rsidRDefault="000B648B">
            <w:pPr>
              <w:jc w:val="center"/>
              <w:textAlignment w:val="top"/>
            </w:pPr>
            <w:hyperlink r:id="rId52" w:anchor="i418e32e4a35149ffbf7d3a25d66881b8_208" w:history="1">
              <w:r>
                <w:rPr>
                  <w:rStyle w:val="a5"/>
                  <w:rFonts w:ascii="Times New Roman" w:eastAsia="宋体" w:hAnsi="Times New Roman"/>
                  <w:sz w:val="20"/>
                  <w:szCs w:val="20"/>
                </w:rPr>
                <w:t>170</w:t>
              </w:r>
            </w:hyperlink>
          </w:p>
        </w:tc>
      </w:tr>
      <w:tr w:rsidR="00C1563E" w14:paraId="7DCFCC8E" w14:textId="77777777">
        <w:trPr>
          <w:jc w:val="center"/>
        </w:trPr>
        <w:tc>
          <w:tcPr>
            <w:tcW w:w="0" w:type="auto"/>
            <w:gridSpan w:val="3"/>
            <w:shd w:val="clear" w:color="auto" w:fill="auto"/>
            <w:tcMar>
              <w:top w:w="40" w:type="dxa"/>
              <w:left w:w="20" w:type="dxa"/>
              <w:bottom w:w="40" w:type="dxa"/>
              <w:right w:w="20" w:type="dxa"/>
            </w:tcMar>
          </w:tcPr>
          <w:p w14:paraId="7DCFCC8B" w14:textId="77777777" w:rsidR="00C1563E" w:rsidRDefault="000B648B">
            <w:pPr>
              <w:textAlignment w:val="top"/>
            </w:pPr>
            <w:hyperlink r:id="rId53" w:anchor="i418e32e4a35149ffbf7d3a25d66881b8_211" w:history="1">
              <w:r>
                <w:rPr>
                  <w:rStyle w:val="a5"/>
                  <w:rFonts w:ascii="Times New Roman" w:eastAsia="宋体" w:hAnsi="Times New Roman"/>
                  <w:b/>
                  <w:bCs/>
                  <w:sz w:val="20"/>
                  <w:szCs w:val="20"/>
                </w:rPr>
                <w:t>PART III</w:t>
              </w:r>
            </w:hyperlink>
          </w:p>
        </w:tc>
        <w:tc>
          <w:tcPr>
            <w:tcW w:w="0" w:type="auto"/>
            <w:gridSpan w:val="3"/>
            <w:shd w:val="clear" w:color="auto" w:fill="auto"/>
            <w:tcMar>
              <w:top w:w="0" w:type="dxa"/>
              <w:left w:w="20" w:type="dxa"/>
              <w:bottom w:w="0" w:type="dxa"/>
              <w:right w:w="20" w:type="dxa"/>
            </w:tcMar>
          </w:tcPr>
          <w:p w14:paraId="7DCFCC8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8D" w14:textId="77777777" w:rsidR="00C1563E" w:rsidRDefault="00C1563E">
            <w:pPr>
              <w:rPr>
                <w:rFonts w:ascii="宋体"/>
              </w:rPr>
            </w:pPr>
          </w:p>
        </w:tc>
      </w:tr>
      <w:tr w:rsidR="00C1563E" w14:paraId="7DCFCC92" w14:textId="77777777">
        <w:trPr>
          <w:jc w:val="center"/>
        </w:trPr>
        <w:tc>
          <w:tcPr>
            <w:tcW w:w="0" w:type="auto"/>
            <w:gridSpan w:val="3"/>
            <w:shd w:val="clear" w:color="auto" w:fill="auto"/>
            <w:tcMar>
              <w:top w:w="40" w:type="dxa"/>
              <w:left w:w="20" w:type="dxa"/>
              <w:bottom w:w="40" w:type="dxa"/>
              <w:right w:w="20" w:type="dxa"/>
            </w:tcMar>
          </w:tcPr>
          <w:p w14:paraId="7DCFCC8F" w14:textId="77777777" w:rsidR="00C1563E" w:rsidRDefault="000B648B">
            <w:pPr>
              <w:textAlignment w:val="top"/>
            </w:pPr>
            <w:hyperlink r:id="rId54" w:anchor="i418e32e4a35149ffbf7d3a25d66881b8_214" w:history="1">
              <w:r>
                <w:rPr>
                  <w:rStyle w:val="a5"/>
                  <w:rFonts w:ascii="Times New Roman" w:eastAsia="宋体" w:hAnsi="Times New Roman"/>
                  <w:sz w:val="20"/>
                  <w:szCs w:val="20"/>
                </w:rPr>
                <w:t>Item 10.</w:t>
              </w:r>
            </w:hyperlink>
          </w:p>
        </w:tc>
        <w:tc>
          <w:tcPr>
            <w:tcW w:w="0" w:type="auto"/>
            <w:gridSpan w:val="3"/>
            <w:shd w:val="clear" w:color="auto" w:fill="auto"/>
            <w:tcMar>
              <w:top w:w="40" w:type="dxa"/>
              <w:left w:w="20" w:type="dxa"/>
              <w:bottom w:w="40" w:type="dxa"/>
              <w:right w:w="20" w:type="dxa"/>
            </w:tcMar>
          </w:tcPr>
          <w:p w14:paraId="7DCFCC90" w14:textId="77777777" w:rsidR="00C1563E" w:rsidRDefault="000B648B">
            <w:pPr>
              <w:textAlignment w:val="top"/>
            </w:pPr>
            <w:hyperlink r:id="rId55" w:anchor="i418e32e4a35149ffbf7d3a25d66881b8_214"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tcPr>
          <w:p w14:paraId="7DCFCC91" w14:textId="77777777" w:rsidR="00C1563E" w:rsidRDefault="000B648B">
            <w:pPr>
              <w:jc w:val="center"/>
              <w:textAlignment w:val="top"/>
            </w:pPr>
            <w:hyperlink r:id="rId56" w:anchor="i418e32e4a35149ffbf7d3a25d66881b8_214" w:history="1">
              <w:r>
                <w:rPr>
                  <w:rStyle w:val="a5"/>
                  <w:rFonts w:ascii="Times New Roman" w:eastAsia="宋体" w:hAnsi="Times New Roman"/>
                  <w:sz w:val="20"/>
                  <w:szCs w:val="20"/>
                </w:rPr>
                <w:t>170</w:t>
              </w:r>
            </w:hyperlink>
          </w:p>
        </w:tc>
      </w:tr>
      <w:tr w:rsidR="00C1563E" w14:paraId="7DCFCC96" w14:textId="77777777">
        <w:trPr>
          <w:jc w:val="center"/>
        </w:trPr>
        <w:tc>
          <w:tcPr>
            <w:tcW w:w="0" w:type="auto"/>
            <w:gridSpan w:val="3"/>
            <w:shd w:val="clear" w:color="auto" w:fill="auto"/>
            <w:tcMar>
              <w:top w:w="40" w:type="dxa"/>
              <w:left w:w="20" w:type="dxa"/>
              <w:bottom w:w="40" w:type="dxa"/>
              <w:right w:w="20" w:type="dxa"/>
            </w:tcMar>
          </w:tcPr>
          <w:p w14:paraId="7DCFCC93" w14:textId="77777777" w:rsidR="00C1563E" w:rsidRDefault="000B648B">
            <w:pPr>
              <w:textAlignment w:val="top"/>
            </w:pPr>
            <w:hyperlink r:id="rId57" w:anchor="i418e32e4a35149ffbf7d3a25d66881b8_217" w:history="1">
              <w:r>
                <w:rPr>
                  <w:rStyle w:val="a5"/>
                  <w:rFonts w:ascii="Times New Roman" w:eastAsia="宋体" w:hAnsi="Times New Roman"/>
                  <w:sz w:val="20"/>
                  <w:szCs w:val="20"/>
                </w:rPr>
                <w:t>Item 11.</w:t>
              </w:r>
            </w:hyperlink>
          </w:p>
        </w:tc>
        <w:tc>
          <w:tcPr>
            <w:tcW w:w="0" w:type="auto"/>
            <w:gridSpan w:val="3"/>
            <w:shd w:val="clear" w:color="auto" w:fill="auto"/>
            <w:tcMar>
              <w:top w:w="40" w:type="dxa"/>
              <w:left w:w="20" w:type="dxa"/>
              <w:bottom w:w="40" w:type="dxa"/>
              <w:right w:w="20" w:type="dxa"/>
            </w:tcMar>
          </w:tcPr>
          <w:p w14:paraId="7DCFCC94" w14:textId="77777777" w:rsidR="00C1563E" w:rsidRDefault="000B648B">
            <w:pPr>
              <w:textAlignment w:val="top"/>
            </w:pPr>
            <w:hyperlink r:id="rId58" w:anchor="i418e32e4a35149ffbf7d3a25d66881b8_217"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tcPr>
          <w:p w14:paraId="7DCFCC95" w14:textId="77777777" w:rsidR="00C1563E" w:rsidRDefault="000B648B">
            <w:pPr>
              <w:jc w:val="center"/>
              <w:textAlignment w:val="top"/>
            </w:pPr>
            <w:hyperlink r:id="rId59" w:anchor="i418e32e4a35149ffbf7d3a25d66881b8_217" w:history="1">
              <w:r>
                <w:rPr>
                  <w:rStyle w:val="a5"/>
                  <w:rFonts w:ascii="Times New Roman" w:eastAsia="宋体" w:hAnsi="Times New Roman"/>
                  <w:sz w:val="20"/>
                  <w:szCs w:val="20"/>
                </w:rPr>
                <w:t>171</w:t>
              </w:r>
            </w:hyperlink>
          </w:p>
        </w:tc>
      </w:tr>
      <w:tr w:rsidR="00C1563E" w14:paraId="7DCFCC9A" w14:textId="77777777">
        <w:trPr>
          <w:jc w:val="center"/>
        </w:trPr>
        <w:tc>
          <w:tcPr>
            <w:tcW w:w="0" w:type="auto"/>
            <w:gridSpan w:val="3"/>
            <w:shd w:val="clear" w:color="auto" w:fill="auto"/>
            <w:tcMar>
              <w:top w:w="40" w:type="dxa"/>
              <w:left w:w="20" w:type="dxa"/>
              <w:bottom w:w="40" w:type="dxa"/>
              <w:right w:w="20" w:type="dxa"/>
            </w:tcMar>
          </w:tcPr>
          <w:p w14:paraId="7DCFCC97" w14:textId="77777777" w:rsidR="00C1563E" w:rsidRDefault="000B648B">
            <w:pPr>
              <w:textAlignment w:val="top"/>
            </w:pPr>
            <w:hyperlink r:id="rId60" w:anchor="i418e32e4a35149ffbf7d3a25d66881b8_220" w:history="1">
              <w:r>
                <w:rPr>
                  <w:rStyle w:val="a5"/>
                  <w:rFonts w:ascii="Times New Roman" w:eastAsia="宋体" w:hAnsi="Times New Roman"/>
                  <w:sz w:val="20"/>
                  <w:szCs w:val="20"/>
                </w:rPr>
                <w:t>Item 12.</w:t>
              </w:r>
            </w:hyperlink>
          </w:p>
        </w:tc>
        <w:tc>
          <w:tcPr>
            <w:tcW w:w="0" w:type="auto"/>
            <w:gridSpan w:val="3"/>
            <w:shd w:val="clear" w:color="auto" w:fill="auto"/>
            <w:tcMar>
              <w:top w:w="40" w:type="dxa"/>
              <w:left w:w="20" w:type="dxa"/>
              <w:bottom w:w="40" w:type="dxa"/>
              <w:right w:w="20" w:type="dxa"/>
            </w:tcMar>
          </w:tcPr>
          <w:p w14:paraId="7DCFCC98" w14:textId="77777777" w:rsidR="00C1563E" w:rsidRDefault="000B648B">
            <w:pPr>
              <w:textAlignment w:val="top"/>
            </w:pPr>
            <w:hyperlink r:id="rId61" w:anchor="i418e32e4a35149ffbf7d3a25d66881b8_220" w:history="1">
              <w:r>
                <w:rPr>
                  <w:rStyle w:val="a5"/>
                  <w:rFonts w:ascii="Times New Roman" w:eastAsia="宋体" w:hAnsi="Times New Roman"/>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tcPr>
          <w:p w14:paraId="7DCFCC99" w14:textId="77777777" w:rsidR="00C1563E" w:rsidRDefault="000B648B">
            <w:pPr>
              <w:jc w:val="center"/>
              <w:textAlignment w:val="top"/>
            </w:pPr>
            <w:hyperlink r:id="rId62" w:anchor="i418e32e4a35149ffbf7d3a25d66881b8_220" w:history="1">
              <w:r>
                <w:rPr>
                  <w:rStyle w:val="a5"/>
                  <w:rFonts w:ascii="Times New Roman" w:eastAsia="宋体" w:hAnsi="Times New Roman"/>
                  <w:sz w:val="20"/>
                  <w:szCs w:val="20"/>
                </w:rPr>
                <w:t>171</w:t>
              </w:r>
            </w:hyperlink>
          </w:p>
        </w:tc>
      </w:tr>
      <w:tr w:rsidR="00C1563E" w14:paraId="7DCFCC9E" w14:textId="77777777">
        <w:trPr>
          <w:jc w:val="center"/>
        </w:trPr>
        <w:tc>
          <w:tcPr>
            <w:tcW w:w="0" w:type="auto"/>
            <w:gridSpan w:val="3"/>
            <w:shd w:val="clear" w:color="auto" w:fill="auto"/>
            <w:tcMar>
              <w:top w:w="40" w:type="dxa"/>
              <w:left w:w="20" w:type="dxa"/>
              <w:bottom w:w="40" w:type="dxa"/>
              <w:right w:w="20" w:type="dxa"/>
            </w:tcMar>
          </w:tcPr>
          <w:p w14:paraId="7DCFCC9B" w14:textId="77777777" w:rsidR="00C1563E" w:rsidRDefault="000B648B">
            <w:pPr>
              <w:textAlignment w:val="top"/>
            </w:pPr>
            <w:hyperlink r:id="rId63" w:anchor="i418e32e4a35149ffbf7d3a25d66881b8_223" w:history="1">
              <w:r>
                <w:rPr>
                  <w:rStyle w:val="a5"/>
                  <w:rFonts w:ascii="Times New Roman" w:eastAsia="宋体" w:hAnsi="Times New Roman"/>
                  <w:sz w:val="20"/>
                  <w:szCs w:val="20"/>
                </w:rPr>
                <w:t>Item 13.</w:t>
              </w:r>
            </w:hyperlink>
          </w:p>
        </w:tc>
        <w:tc>
          <w:tcPr>
            <w:tcW w:w="0" w:type="auto"/>
            <w:gridSpan w:val="3"/>
            <w:shd w:val="clear" w:color="auto" w:fill="auto"/>
            <w:tcMar>
              <w:top w:w="40" w:type="dxa"/>
              <w:left w:w="20" w:type="dxa"/>
              <w:bottom w:w="40" w:type="dxa"/>
              <w:right w:w="20" w:type="dxa"/>
            </w:tcMar>
          </w:tcPr>
          <w:p w14:paraId="7DCFCC9C" w14:textId="77777777" w:rsidR="00C1563E" w:rsidRDefault="000B648B">
            <w:pPr>
              <w:textAlignment w:val="top"/>
            </w:pPr>
            <w:hyperlink r:id="rId64" w:anchor="i418e32e4a35149ffbf7d3a25d66881b8_223" w:history="1">
              <w:r>
                <w:rPr>
                  <w:rStyle w:val="a5"/>
                  <w:rFonts w:ascii="Times New Roman" w:eastAsia="宋体" w:hAnsi="Times New Roman"/>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tcPr>
          <w:p w14:paraId="7DCFCC9D" w14:textId="77777777" w:rsidR="00C1563E" w:rsidRDefault="000B648B">
            <w:pPr>
              <w:jc w:val="center"/>
              <w:textAlignment w:val="top"/>
            </w:pPr>
            <w:hyperlink r:id="rId65" w:anchor="i418e32e4a35149ffbf7d3a25d66881b8_223" w:history="1">
              <w:r>
                <w:rPr>
                  <w:rStyle w:val="a5"/>
                  <w:rFonts w:ascii="Times New Roman" w:eastAsia="宋体" w:hAnsi="Times New Roman"/>
                  <w:sz w:val="20"/>
                  <w:szCs w:val="20"/>
                </w:rPr>
                <w:t>171</w:t>
              </w:r>
            </w:hyperlink>
          </w:p>
        </w:tc>
      </w:tr>
      <w:tr w:rsidR="00C1563E" w14:paraId="7DCFCCA2" w14:textId="77777777">
        <w:trPr>
          <w:jc w:val="center"/>
        </w:trPr>
        <w:tc>
          <w:tcPr>
            <w:tcW w:w="0" w:type="auto"/>
            <w:gridSpan w:val="3"/>
            <w:shd w:val="clear" w:color="auto" w:fill="auto"/>
            <w:tcMar>
              <w:top w:w="40" w:type="dxa"/>
              <w:left w:w="20" w:type="dxa"/>
              <w:bottom w:w="40" w:type="dxa"/>
              <w:right w:w="20" w:type="dxa"/>
            </w:tcMar>
          </w:tcPr>
          <w:p w14:paraId="7DCFCC9F" w14:textId="77777777" w:rsidR="00C1563E" w:rsidRDefault="000B648B">
            <w:pPr>
              <w:textAlignment w:val="top"/>
            </w:pPr>
            <w:hyperlink r:id="rId66" w:anchor="i418e32e4a35149ffbf7d3a25d66881b8_226" w:history="1">
              <w:r>
                <w:rPr>
                  <w:rStyle w:val="a5"/>
                  <w:rFonts w:ascii="Times New Roman" w:eastAsia="宋体" w:hAnsi="Times New Roman"/>
                  <w:sz w:val="20"/>
                  <w:szCs w:val="20"/>
                </w:rPr>
                <w:t>I</w:t>
              </w:r>
              <w:r>
                <w:rPr>
                  <w:rStyle w:val="a5"/>
                  <w:rFonts w:ascii="Times New Roman" w:eastAsia="宋体" w:hAnsi="Times New Roman"/>
                  <w:sz w:val="20"/>
                  <w:szCs w:val="20"/>
                </w:rPr>
                <w:t>tem 14.</w:t>
              </w:r>
            </w:hyperlink>
          </w:p>
        </w:tc>
        <w:tc>
          <w:tcPr>
            <w:tcW w:w="0" w:type="auto"/>
            <w:gridSpan w:val="3"/>
            <w:shd w:val="clear" w:color="auto" w:fill="auto"/>
            <w:tcMar>
              <w:top w:w="40" w:type="dxa"/>
              <w:left w:w="20" w:type="dxa"/>
              <w:bottom w:w="40" w:type="dxa"/>
              <w:right w:w="20" w:type="dxa"/>
            </w:tcMar>
          </w:tcPr>
          <w:p w14:paraId="7DCFCCA0" w14:textId="77777777" w:rsidR="00C1563E" w:rsidRDefault="000B648B">
            <w:pPr>
              <w:textAlignment w:val="top"/>
            </w:pPr>
            <w:hyperlink r:id="rId67" w:anchor="i418e32e4a35149ffbf7d3a25d66881b8_226" w:history="1">
              <w:r>
                <w:rPr>
                  <w:rStyle w:val="a5"/>
                  <w:rFonts w:ascii="Times New Roman" w:eastAsia="宋体" w:hAnsi="Times New Roman"/>
                  <w:sz w:val="20"/>
                  <w:szCs w:val="20"/>
                </w:rPr>
                <w:t>Principal Accounting Fees and Services</w:t>
              </w:r>
            </w:hyperlink>
          </w:p>
        </w:tc>
        <w:tc>
          <w:tcPr>
            <w:tcW w:w="0" w:type="auto"/>
            <w:gridSpan w:val="3"/>
            <w:shd w:val="clear" w:color="auto" w:fill="auto"/>
            <w:tcMar>
              <w:top w:w="40" w:type="dxa"/>
              <w:left w:w="20" w:type="dxa"/>
              <w:bottom w:w="40" w:type="dxa"/>
              <w:right w:w="20" w:type="dxa"/>
            </w:tcMar>
          </w:tcPr>
          <w:p w14:paraId="7DCFCCA1" w14:textId="77777777" w:rsidR="00C1563E" w:rsidRDefault="000B648B">
            <w:pPr>
              <w:jc w:val="center"/>
              <w:textAlignment w:val="top"/>
            </w:pPr>
            <w:hyperlink r:id="rId68" w:anchor="i418e32e4a35149ffbf7d3a25d66881b8_226" w:history="1">
              <w:r>
                <w:rPr>
                  <w:rStyle w:val="a5"/>
                  <w:rFonts w:ascii="Times New Roman" w:eastAsia="宋体" w:hAnsi="Times New Roman"/>
                  <w:sz w:val="20"/>
                  <w:szCs w:val="20"/>
                </w:rPr>
                <w:t>171</w:t>
              </w:r>
            </w:hyperlink>
          </w:p>
        </w:tc>
      </w:tr>
      <w:tr w:rsidR="00C1563E" w14:paraId="7DCFCCA6" w14:textId="77777777">
        <w:trPr>
          <w:jc w:val="center"/>
        </w:trPr>
        <w:tc>
          <w:tcPr>
            <w:tcW w:w="0" w:type="auto"/>
            <w:gridSpan w:val="3"/>
            <w:shd w:val="clear" w:color="auto" w:fill="auto"/>
            <w:tcMar>
              <w:top w:w="40" w:type="dxa"/>
              <w:left w:w="20" w:type="dxa"/>
              <w:bottom w:w="40" w:type="dxa"/>
              <w:right w:w="20" w:type="dxa"/>
            </w:tcMar>
          </w:tcPr>
          <w:p w14:paraId="7DCFCCA3" w14:textId="77777777" w:rsidR="00C1563E" w:rsidRDefault="000B648B">
            <w:pPr>
              <w:textAlignment w:val="top"/>
            </w:pPr>
            <w:hyperlink r:id="rId69" w:anchor="i418e32e4a35149ffbf7d3a25d66881b8_229" w:history="1">
              <w:r>
                <w:rPr>
                  <w:rStyle w:val="a5"/>
                  <w:rFonts w:ascii="Times New Roman" w:eastAsia="宋体" w:hAnsi="Times New Roman"/>
                  <w:b/>
                  <w:bCs/>
                  <w:sz w:val="20"/>
                  <w:szCs w:val="20"/>
                </w:rPr>
                <w:t>PART IV</w:t>
              </w:r>
            </w:hyperlink>
          </w:p>
        </w:tc>
        <w:tc>
          <w:tcPr>
            <w:tcW w:w="0" w:type="auto"/>
            <w:gridSpan w:val="3"/>
            <w:shd w:val="clear" w:color="auto" w:fill="auto"/>
            <w:tcMar>
              <w:top w:w="0" w:type="dxa"/>
              <w:left w:w="20" w:type="dxa"/>
              <w:bottom w:w="0" w:type="dxa"/>
              <w:right w:w="20" w:type="dxa"/>
            </w:tcMar>
          </w:tcPr>
          <w:p w14:paraId="7DCFCCA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A5" w14:textId="77777777" w:rsidR="00C1563E" w:rsidRDefault="00C1563E">
            <w:pPr>
              <w:rPr>
                <w:rFonts w:ascii="宋体"/>
              </w:rPr>
            </w:pPr>
          </w:p>
        </w:tc>
      </w:tr>
      <w:tr w:rsidR="00C1563E" w14:paraId="7DCFCCAA" w14:textId="77777777">
        <w:trPr>
          <w:jc w:val="center"/>
        </w:trPr>
        <w:tc>
          <w:tcPr>
            <w:tcW w:w="0" w:type="auto"/>
            <w:gridSpan w:val="3"/>
            <w:shd w:val="clear" w:color="auto" w:fill="auto"/>
            <w:tcMar>
              <w:top w:w="40" w:type="dxa"/>
              <w:left w:w="20" w:type="dxa"/>
              <w:bottom w:w="40" w:type="dxa"/>
              <w:right w:w="20" w:type="dxa"/>
            </w:tcMar>
          </w:tcPr>
          <w:p w14:paraId="7DCFCCA7" w14:textId="77777777" w:rsidR="00C1563E" w:rsidRDefault="000B648B">
            <w:pPr>
              <w:textAlignment w:val="top"/>
            </w:pPr>
            <w:hyperlink r:id="rId70" w:anchor="i418e32e4a35149ffbf7d3a25d66881b8_232" w:history="1">
              <w:r>
                <w:rPr>
                  <w:rStyle w:val="a5"/>
                  <w:rFonts w:ascii="Times New Roman" w:eastAsia="宋体" w:hAnsi="Times New Roman"/>
                  <w:sz w:val="20"/>
                  <w:szCs w:val="20"/>
                </w:rPr>
                <w:t>Item 15.</w:t>
              </w:r>
            </w:hyperlink>
          </w:p>
        </w:tc>
        <w:tc>
          <w:tcPr>
            <w:tcW w:w="0" w:type="auto"/>
            <w:gridSpan w:val="3"/>
            <w:shd w:val="clear" w:color="auto" w:fill="auto"/>
            <w:tcMar>
              <w:top w:w="40" w:type="dxa"/>
              <w:left w:w="20" w:type="dxa"/>
              <w:bottom w:w="40" w:type="dxa"/>
              <w:right w:w="20" w:type="dxa"/>
            </w:tcMar>
          </w:tcPr>
          <w:p w14:paraId="7DCFCCA8" w14:textId="77777777" w:rsidR="00C1563E" w:rsidRDefault="000B648B">
            <w:pPr>
              <w:textAlignment w:val="top"/>
            </w:pPr>
            <w:hyperlink r:id="rId71" w:anchor="i418e32e4a35149ffbf7d3a25d66881b8_232" w:history="1">
              <w:r>
                <w:rPr>
                  <w:rStyle w:val="a5"/>
                  <w:rFonts w:ascii="Times New Roman" w:eastAsia="宋体" w:hAnsi="Times New Roman"/>
                  <w:sz w:val="20"/>
                  <w:szCs w:val="20"/>
                </w:rPr>
                <w:t>Exhibit</w:t>
              </w:r>
            </w:hyperlink>
            <w:hyperlink r:id="rId72" w:anchor="i418e32e4a35149ffbf7d3a25d66881b8_232" w:history="1">
              <w:r>
                <w:rPr>
                  <w:rStyle w:val="a5"/>
                  <w:rFonts w:ascii="Times New Roman" w:eastAsia="宋体" w:hAnsi="Times New Roman"/>
                  <w:sz w:val="20"/>
                  <w:szCs w:val="20"/>
                </w:rPr>
                <w:t xml:space="preserve"> and</w:t>
              </w:r>
            </w:hyperlink>
            <w:hyperlink r:id="rId73" w:anchor="i418e32e4a35149ffbf7d3a25d66881b8_232" w:history="1">
              <w:r>
                <w:rPr>
                  <w:rStyle w:val="a5"/>
                  <w:rFonts w:ascii="Times New Roman" w:eastAsia="宋体" w:hAnsi="Times New Roman"/>
                  <w:sz w:val="20"/>
                  <w:szCs w:val="20"/>
                </w:rPr>
                <w:t xml:space="preserve"> Financial Statement Schedules</w:t>
              </w:r>
            </w:hyperlink>
          </w:p>
        </w:tc>
        <w:tc>
          <w:tcPr>
            <w:tcW w:w="0" w:type="auto"/>
            <w:gridSpan w:val="3"/>
            <w:shd w:val="clear" w:color="auto" w:fill="auto"/>
            <w:tcMar>
              <w:top w:w="40" w:type="dxa"/>
              <w:left w:w="20" w:type="dxa"/>
              <w:bottom w:w="40" w:type="dxa"/>
              <w:right w:w="20" w:type="dxa"/>
            </w:tcMar>
          </w:tcPr>
          <w:p w14:paraId="7DCFCCA9" w14:textId="77777777" w:rsidR="00C1563E" w:rsidRDefault="000B648B">
            <w:pPr>
              <w:jc w:val="center"/>
              <w:textAlignment w:val="top"/>
            </w:pPr>
            <w:hyperlink r:id="rId74" w:anchor="i418e32e4a35149ffbf7d3a25d66881b8_232" w:history="1">
              <w:r>
                <w:rPr>
                  <w:rStyle w:val="a5"/>
                  <w:rFonts w:ascii="Times New Roman" w:eastAsia="宋体" w:hAnsi="Times New Roman"/>
                  <w:sz w:val="20"/>
                  <w:szCs w:val="20"/>
                </w:rPr>
                <w:t>172</w:t>
              </w:r>
            </w:hyperlink>
          </w:p>
        </w:tc>
      </w:tr>
      <w:tr w:rsidR="00C1563E" w14:paraId="7DCFCCAE" w14:textId="77777777">
        <w:trPr>
          <w:jc w:val="center"/>
        </w:trPr>
        <w:tc>
          <w:tcPr>
            <w:tcW w:w="0" w:type="auto"/>
            <w:gridSpan w:val="3"/>
            <w:shd w:val="clear" w:color="auto" w:fill="auto"/>
            <w:tcMar>
              <w:top w:w="40" w:type="dxa"/>
              <w:left w:w="20" w:type="dxa"/>
              <w:bottom w:w="40" w:type="dxa"/>
              <w:right w:w="20" w:type="dxa"/>
            </w:tcMar>
          </w:tcPr>
          <w:p w14:paraId="7DCFCCAB" w14:textId="77777777" w:rsidR="00C1563E" w:rsidRDefault="000B648B">
            <w:pPr>
              <w:textAlignment w:val="top"/>
            </w:pPr>
            <w:hyperlink r:id="rId75" w:anchor="i418e32e4a35149ffbf7d3a25d66881b8_235" w:history="1">
              <w:r>
                <w:rPr>
                  <w:rStyle w:val="a5"/>
                  <w:rFonts w:ascii="Times New Roman" w:eastAsia="宋体" w:hAnsi="Times New Roman"/>
                  <w:sz w:val="20"/>
                  <w:szCs w:val="20"/>
                </w:rPr>
                <w:t>Item 16.</w:t>
              </w:r>
            </w:hyperlink>
          </w:p>
        </w:tc>
        <w:tc>
          <w:tcPr>
            <w:tcW w:w="0" w:type="auto"/>
            <w:gridSpan w:val="3"/>
            <w:shd w:val="clear" w:color="auto" w:fill="auto"/>
            <w:tcMar>
              <w:top w:w="40" w:type="dxa"/>
              <w:left w:w="20" w:type="dxa"/>
              <w:bottom w:w="40" w:type="dxa"/>
              <w:right w:w="20" w:type="dxa"/>
            </w:tcMar>
          </w:tcPr>
          <w:p w14:paraId="7DCFCCAC" w14:textId="77777777" w:rsidR="00C1563E" w:rsidRDefault="000B648B">
            <w:pPr>
              <w:textAlignment w:val="top"/>
            </w:pPr>
            <w:hyperlink r:id="rId76" w:anchor="i418e32e4a35149ffbf7d3a25d66881b8_235"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tcPr>
          <w:p w14:paraId="7DCFCCAD" w14:textId="77777777" w:rsidR="00C1563E" w:rsidRDefault="000B648B">
            <w:pPr>
              <w:jc w:val="center"/>
              <w:textAlignment w:val="top"/>
            </w:pPr>
            <w:hyperlink r:id="rId77" w:anchor="i418e32e4a35149ffbf7d3a25d66881b8_235" w:history="1">
              <w:r>
                <w:rPr>
                  <w:rStyle w:val="a5"/>
                  <w:rFonts w:ascii="Times New Roman" w:eastAsia="宋体" w:hAnsi="Times New Roman"/>
                  <w:sz w:val="20"/>
                  <w:szCs w:val="20"/>
                </w:rPr>
                <w:t>181</w:t>
              </w:r>
            </w:hyperlink>
          </w:p>
        </w:tc>
      </w:tr>
      <w:tr w:rsidR="00C1563E" w14:paraId="7DCFCCB2" w14:textId="77777777">
        <w:trPr>
          <w:jc w:val="center"/>
        </w:trPr>
        <w:tc>
          <w:tcPr>
            <w:tcW w:w="0" w:type="auto"/>
            <w:gridSpan w:val="3"/>
            <w:shd w:val="clear" w:color="auto" w:fill="auto"/>
            <w:tcMar>
              <w:top w:w="40" w:type="dxa"/>
              <w:left w:w="20" w:type="dxa"/>
              <w:bottom w:w="40" w:type="dxa"/>
              <w:right w:w="20" w:type="dxa"/>
            </w:tcMar>
          </w:tcPr>
          <w:p w14:paraId="7DCFCCAF" w14:textId="77777777" w:rsidR="00C1563E" w:rsidRDefault="000B648B">
            <w:pPr>
              <w:textAlignment w:val="top"/>
            </w:pPr>
            <w:hyperlink r:id="rId78" w:anchor="i418e32e4a35149ffbf7d3a25d66881b8_238"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tcPr>
          <w:p w14:paraId="7DCFCCB0"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CB1" w14:textId="77777777" w:rsidR="00C1563E" w:rsidRDefault="00C1563E">
            <w:pPr>
              <w:rPr>
                <w:rFonts w:ascii="宋体"/>
              </w:rPr>
            </w:pPr>
          </w:p>
        </w:tc>
      </w:tr>
    </w:tbl>
    <w:p w14:paraId="7DCFCCB3" w14:textId="77777777" w:rsidR="00C1563E" w:rsidRDefault="00C1563E">
      <w:pPr>
        <w:jc w:val="center"/>
      </w:pPr>
    </w:p>
    <w:p w14:paraId="7DCFCCB4" w14:textId="77777777" w:rsidR="00C1563E" w:rsidRDefault="00C1563E">
      <w:pPr>
        <w:jc w:val="center"/>
      </w:pPr>
    </w:p>
    <w:p w14:paraId="7DCFCCB5" w14:textId="77777777" w:rsidR="00C1563E" w:rsidRDefault="000B648B">
      <w:pPr>
        <w:jc w:val="center"/>
      </w:pPr>
      <w:r>
        <w:rPr>
          <w:rFonts w:ascii="Times New Roman" w:eastAsia="宋体" w:hAnsi="Times New Roman"/>
          <w:color w:val="000000"/>
          <w:sz w:val="20"/>
          <w:szCs w:val="20"/>
        </w:rPr>
        <w:t>4</w:t>
      </w:r>
    </w:p>
    <w:p w14:paraId="7DCFCCB6" w14:textId="77777777" w:rsidR="00C1563E" w:rsidRDefault="00C1563E">
      <w:pPr>
        <w:jc w:val="center"/>
      </w:pPr>
    </w:p>
    <w:p w14:paraId="7DCFCCB7" w14:textId="77777777" w:rsidR="00C1563E" w:rsidRDefault="000B648B">
      <w:r>
        <w:pict w14:anchorId="7DD0256A">
          <v:rect id="_x0000_i1028" style="width:415.3pt;height:1.5pt" o:hralign="center" o:hrstd="t" o:hr="t" fillcolor="#a0a0a0" stroked="f"/>
        </w:pict>
      </w:r>
    </w:p>
    <w:p w14:paraId="7DCFCCB8" w14:textId="77777777" w:rsidR="00C1563E" w:rsidRDefault="000B648B">
      <w:hyperlink r:id="rId79" w:anchor="i418e32e4a35149ffbf7d3a25d66881b8_10" w:history="1">
        <w:r>
          <w:rPr>
            <w:rStyle w:val="a5"/>
            <w:rFonts w:ascii="Times New Roman" w:eastAsia="宋体" w:hAnsi="Times New Roman"/>
            <w:sz w:val="20"/>
            <w:szCs w:val="20"/>
          </w:rPr>
          <w:t>Table of Contents</w:t>
        </w:r>
      </w:hyperlink>
    </w:p>
    <w:p w14:paraId="7DCFCCB9" w14:textId="77777777" w:rsidR="00C1563E" w:rsidRDefault="000B648B">
      <w:r>
        <w:rPr>
          <w:rFonts w:ascii="Times New Roman" w:eastAsia="宋体" w:hAnsi="Times New Roman"/>
          <w:b/>
          <w:bCs/>
          <w:i/>
          <w:iCs/>
          <w:color w:val="000000"/>
          <w:sz w:val="20"/>
          <w:szCs w:val="20"/>
        </w:rPr>
        <w:t>Unless the context indicates otherwise, references in this report to “we,” “us,” “ou</w:t>
      </w:r>
      <w:r>
        <w:rPr>
          <w:rFonts w:ascii="Times New Roman" w:eastAsia="宋体" w:hAnsi="Times New Roman"/>
          <w:b/>
          <w:bCs/>
          <w:i/>
          <w:iCs/>
          <w:color w:val="000000"/>
          <w:sz w:val="20"/>
          <w:szCs w:val="20"/>
        </w:rPr>
        <w:t>r,” the “Company,” and “Dell Technologies” mean Dell Technologies Inc. and its consolidated subsidiaries, references to “Dell” mean Dell Inc. and Dell Inc.’s consolidated subsidiaries, and references to “EMC” mean EMC Corporation and EMC Corporation’s cons</w:t>
      </w:r>
      <w:r>
        <w:rPr>
          <w:rFonts w:ascii="Times New Roman" w:eastAsia="宋体" w:hAnsi="Times New Roman"/>
          <w:b/>
          <w:bCs/>
          <w:i/>
          <w:iCs/>
          <w:color w:val="000000"/>
          <w:sz w:val="20"/>
          <w:szCs w:val="20"/>
        </w:rPr>
        <w:t>olidated subsidiaries.</w:t>
      </w:r>
    </w:p>
    <w:p w14:paraId="7DCFCCBA" w14:textId="77777777" w:rsidR="00C1563E" w:rsidRDefault="00C1563E"/>
    <w:p w14:paraId="7DCFCCBB" w14:textId="77777777" w:rsidR="00C1563E" w:rsidRDefault="000B648B">
      <w:r>
        <w:rPr>
          <w:rFonts w:ascii="Times New Roman" w:eastAsia="宋体" w:hAnsi="Times New Roman"/>
          <w:b/>
          <w:bCs/>
          <w:i/>
          <w:iCs/>
          <w:color w:val="000000"/>
          <w:sz w:val="20"/>
          <w:szCs w:val="20"/>
        </w:rPr>
        <w:t>Our fiscal year is the 52- or 53-week period ending on the Friday nearest January 31. We refer to our fiscal years ended January 29, 2021, January 31, 2020, and February 1, 2019 as “Fiscal 2021,” “Fiscal 2020,” and “Fiscal 2019,” re</w:t>
      </w:r>
      <w:r>
        <w:rPr>
          <w:rFonts w:ascii="Times New Roman" w:eastAsia="宋体" w:hAnsi="Times New Roman"/>
          <w:b/>
          <w:bCs/>
          <w:i/>
          <w:iCs/>
          <w:color w:val="000000"/>
          <w:sz w:val="20"/>
          <w:szCs w:val="20"/>
        </w:rPr>
        <w:t xml:space="preserve">spectively. Fiscal 2021, Fiscal 2020, and Fiscal 2019 included 52 weeks. </w:t>
      </w:r>
    </w:p>
    <w:p w14:paraId="7DCFCCBC" w14:textId="77777777" w:rsidR="00C1563E" w:rsidRDefault="00C1563E"/>
    <w:p w14:paraId="7DCFCCBD" w14:textId="77777777" w:rsidR="00C1563E" w:rsidRDefault="000B648B">
      <w:pPr>
        <w:jc w:val="center"/>
      </w:pPr>
      <w:r>
        <w:rPr>
          <w:rFonts w:ascii="Times New Roman" w:eastAsia="宋体" w:hAnsi="Times New Roman"/>
          <w:b/>
          <w:bCs/>
          <w:color w:val="000000"/>
          <w:sz w:val="20"/>
          <w:szCs w:val="20"/>
        </w:rPr>
        <w:t>PART I</w:t>
      </w:r>
    </w:p>
    <w:p w14:paraId="7DCFCCBE" w14:textId="77777777" w:rsidR="00C1563E" w:rsidRDefault="00C1563E">
      <w:pPr>
        <w:jc w:val="center"/>
      </w:pPr>
    </w:p>
    <w:p w14:paraId="7DCFCCBF" w14:textId="77777777" w:rsidR="00C1563E" w:rsidRDefault="000B648B">
      <w:r>
        <w:rPr>
          <w:rFonts w:ascii="Times New Roman" w:eastAsia="宋体" w:hAnsi="Times New Roman"/>
          <w:b/>
          <w:bCs/>
          <w:color w:val="000000"/>
          <w:sz w:val="20"/>
          <w:szCs w:val="20"/>
        </w:rPr>
        <w:t>ITEM 1 — BUSINESS</w:t>
      </w:r>
    </w:p>
    <w:p w14:paraId="7DCFCCC0" w14:textId="77777777" w:rsidR="00C1563E" w:rsidRDefault="00C1563E"/>
    <w:p w14:paraId="7DCFCCC1" w14:textId="77777777" w:rsidR="00C1563E" w:rsidRDefault="000B648B">
      <w:r>
        <w:rPr>
          <w:rFonts w:ascii="Times New Roman" w:eastAsia="宋体" w:hAnsi="Times New Roman"/>
          <w:b/>
          <w:bCs/>
          <w:color w:val="000000"/>
          <w:sz w:val="20"/>
          <w:szCs w:val="20"/>
        </w:rPr>
        <w:t>Business</w:t>
      </w:r>
    </w:p>
    <w:p w14:paraId="7DCFCCC2" w14:textId="77777777" w:rsidR="00C1563E" w:rsidRDefault="00C1563E"/>
    <w:p w14:paraId="7DCFCCC3" w14:textId="77777777" w:rsidR="00C1563E" w:rsidRDefault="000B648B">
      <w:r>
        <w:rPr>
          <w:rFonts w:ascii="Times New Roman" w:eastAsia="宋体" w:hAnsi="Times New Roman"/>
          <w:color w:val="000000"/>
          <w:sz w:val="20"/>
          <w:szCs w:val="20"/>
        </w:rPr>
        <w:t xml:space="preserve">Dell Technologies helps organizations and individuals build their digital future and transform how they work, live, and play. We provide </w:t>
      </w:r>
      <w:r>
        <w:rPr>
          <w:rFonts w:ascii="Times New Roman" w:eastAsia="宋体" w:hAnsi="Times New Roman"/>
          <w:color w:val="000000"/>
          <w:sz w:val="20"/>
          <w:szCs w:val="20"/>
        </w:rPr>
        <w:t xml:space="preserve">customers with the industry’s broadest and most innovative technology and services portfolio for the data era, spanning both traditional infrastructure and multi-cloud technologies. We continue to seamlessly deliver differentiated and holistic information </w:t>
      </w:r>
      <w:r>
        <w:rPr>
          <w:rFonts w:ascii="Times New Roman" w:eastAsia="宋体" w:hAnsi="Times New Roman"/>
          <w:color w:val="000000"/>
          <w:sz w:val="20"/>
          <w:szCs w:val="20"/>
        </w:rPr>
        <w:t>technology (“IT”) solutions to our customers, which has driven significant revenue growth and share gains.</w:t>
      </w:r>
    </w:p>
    <w:p w14:paraId="7DCFCCC4" w14:textId="77777777" w:rsidR="00C1563E" w:rsidRDefault="00C1563E"/>
    <w:p w14:paraId="7DCFCCC5" w14:textId="77777777" w:rsidR="00C1563E" w:rsidRDefault="000B648B">
      <w:r>
        <w:rPr>
          <w:rFonts w:ascii="Times New Roman" w:eastAsia="宋体" w:hAnsi="Times New Roman"/>
          <w:color w:val="000000"/>
          <w:sz w:val="20"/>
          <w:szCs w:val="20"/>
        </w:rPr>
        <w:t>Dell Technologies’ integrated solutions help customers modernize their IT infrastructure, manage and operate in a multi-cloud world, address workfor</w:t>
      </w:r>
      <w:r>
        <w:rPr>
          <w:rFonts w:ascii="Times New Roman" w:eastAsia="宋体" w:hAnsi="Times New Roman"/>
          <w:color w:val="000000"/>
          <w:sz w:val="20"/>
          <w:szCs w:val="20"/>
        </w:rPr>
        <w:t>ce transformation, and provide critical solutions that keep people and organizations connected, which has proven even more important in this current time of disruption caused by the coronavirus pandemic. We are helping customers accelerate their digital tr</w:t>
      </w:r>
      <w:r>
        <w:rPr>
          <w:rFonts w:ascii="Times New Roman" w:eastAsia="宋体" w:hAnsi="Times New Roman"/>
          <w:color w:val="000000"/>
          <w:sz w:val="20"/>
          <w:szCs w:val="20"/>
        </w:rPr>
        <w:t>ansformations to improve and strengthen business and workforce productivity. With our extensive portfolio and our commitment to innovation, we offer secure, integrated solutions that extend from the edge to the core to the cloud, and we are at the forefron</w:t>
      </w:r>
      <w:r>
        <w:rPr>
          <w:rFonts w:ascii="Times New Roman" w:eastAsia="宋体" w:hAnsi="Times New Roman"/>
          <w:color w:val="000000"/>
          <w:sz w:val="20"/>
          <w:szCs w:val="20"/>
        </w:rPr>
        <w:t>t of the software-defined and cloud native infrastructure era. As further evidence of our commitment to innovation, in Fiscal 2021 we announced our plan to evolve and expand our IT as-a-Service and cloud offerings through Apex. Apex will provide our custom</w:t>
      </w:r>
      <w:r>
        <w:rPr>
          <w:rFonts w:ascii="Times New Roman" w:eastAsia="宋体" w:hAnsi="Times New Roman"/>
          <w:color w:val="000000"/>
          <w:sz w:val="20"/>
          <w:szCs w:val="20"/>
        </w:rPr>
        <w:t xml:space="preserve">ers with greater flexibility to scale IT to meet their evolving business needs and budgets. </w:t>
      </w:r>
    </w:p>
    <w:p w14:paraId="7DCFCCC6" w14:textId="77777777" w:rsidR="00C1563E" w:rsidRDefault="00C1563E"/>
    <w:p w14:paraId="7DCFCCC7" w14:textId="77777777" w:rsidR="00C1563E" w:rsidRDefault="000B648B">
      <w:r>
        <w:rPr>
          <w:rFonts w:ascii="Times New Roman" w:eastAsia="宋体" w:hAnsi="Times New Roman"/>
          <w:color w:val="000000"/>
          <w:sz w:val="20"/>
          <w:szCs w:val="20"/>
        </w:rPr>
        <w:t xml:space="preserve">Dell Technologies’ end-to-end portfolio is supported by a world-class organization with unmatched size and scale. We operate globally in 180 countries across key </w:t>
      </w:r>
      <w:r>
        <w:rPr>
          <w:rFonts w:ascii="Times New Roman" w:eastAsia="宋体" w:hAnsi="Times New Roman"/>
          <w:color w:val="000000"/>
          <w:sz w:val="20"/>
          <w:szCs w:val="20"/>
        </w:rPr>
        <w:t>functional areas, including technology and product development, marketing, sales, financial services, and global services. Our go-to-market engine includes a 39,000-person sales force and a global network of over 200,000 channel partners. Dell Financial Se</w:t>
      </w:r>
      <w:r>
        <w:rPr>
          <w:rFonts w:ascii="Times New Roman" w:eastAsia="宋体" w:hAnsi="Times New Roman"/>
          <w:color w:val="000000"/>
          <w:sz w:val="20"/>
          <w:szCs w:val="20"/>
        </w:rPr>
        <w:t>rvices and its affiliates (“DFS”) offer customer payment flexibility and enables synergies across the business. DFS funded $9 billion of originations in Fiscal 2021 and maintains a $10 billion global portfolio of high-quality financing receivables. We empl</w:t>
      </w:r>
      <w:r>
        <w:rPr>
          <w:rFonts w:ascii="Times New Roman" w:eastAsia="宋体" w:hAnsi="Times New Roman"/>
          <w:color w:val="000000"/>
          <w:sz w:val="20"/>
          <w:szCs w:val="20"/>
        </w:rPr>
        <w:t>oy 34,000 full-time service and support professionals and maintain more than 2,400 vendor-managed service centers. We manage a world-class supply chain that drives long-term growth and operating efficiencies, with approximately $70 billion in annual procur</w:t>
      </w:r>
      <w:r>
        <w:rPr>
          <w:rFonts w:ascii="Times New Roman" w:eastAsia="宋体" w:hAnsi="Times New Roman"/>
          <w:color w:val="000000"/>
          <w:sz w:val="20"/>
          <w:szCs w:val="20"/>
        </w:rPr>
        <w:t>ement expenditures and over 750 parts distribution centers. Together, these elements provide a critical foundation for our success.</w:t>
      </w:r>
    </w:p>
    <w:p w14:paraId="7DCFCCC8" w14:textId="77777777" w:rsidR="00C1563E" w:rsidRDefault="00C1563E"/>
    <w:p w14:paraId="7DCFCCC9" w14:textId="77777777" w:rsidR="00C1563E" w:rsidRDefault="000B648B">
      <w:pPr>
        <w:jc w:val="both"/>
      </w:pPr>
      <w:r>
        <w:rPr>
          <w:rFonts w:ascii="Times New Roman" w:eastAsia="宋体" w:hAnsi="Times New Roman"/>
          <w:b/>
          <w:bCs/>
          <w:color w:val="000000"/>
          <w:sz w:val="20"/>
          <w:szCs w:val="20"/>
        </w:rPr>
        <w:t>Class V Transaction</w:t>
      </w:r>
    </w:p>
    <w:p w14:paraId="7DCFCCCA" w14:textId="77777777" w:rsidR="00C1563E" w:rsidRDefault="00C1563E">
      <w:pPr>
        <w:jc w:val="both"/>
      </w:pPr>
    </w:p>
    <w:p w14:paraId="7DCFCCCB" w14:textId="77777777" w:rsidR="00C1563E" w:rsidRDefault="000B648B">
      <w:r>
        <w:rPr>
          <w:rFonts w:ascii="Times New Roman" w:eastAsia="宋体" w:hAnsi="Times New Roman"/>
          <w:color w:val="000000"/>
          <w:sz w:val="20"/>
          <w:szCs w:val="20"/>
        </w:rPr>
        <w:t>On December 28, 2018, we completed a transaction (“Class V transaction”) in which we paid $14.0 billio</w:t>
      </w:r>
      <w:r>
        <w:rPr>
          <w:rFonts w:ascii="Times New Roman" w:eastAsia="宋体" w:hAnsi="Times New Roman"/>
          <w:color w:val="000000"/>
          <w:sz w:val="20"/>
          <w:szCs w:val="20"/>
        </w:rPr>
        <w:t>n in cash and issued 149,387,617 shares of our Class C Common Stock to holders of our Class V Common Stock in exchange for all outstanding shares of Class V Common Stock. The non-cash consideration portion of the Class V transaction totaled $6.9 billion. A</w:t>
      </w:r>
      <w:r>
        <w:rPr>
          <w:rFonts w:ascii="Times New Roman" w:eastAsia="宋体" w:hAnsi="Times New Roman"/>
          <w:color w:val="000000"/>
          <w:sz w:val="20"/>
          <w:szCs w:val="20"/>
        </w:rPr>
        <w:t>s a result of the Class V transaction, the tracking stock feature of Dell Technologies’ capital structure was terminated. The Class C Common Stock is traded on the New York Stock Exchange.</w:t>
      </w:r>
    </w:p>
    <w:p w14:paraId="7DCFCCCC" w14:textId="77777777" w:rsidR="00C1563E" w:rsidRDefault="00C1563E"/>
    <w:p w14:paraId="7DCFCCCD" w14:textId="77777777" w:rsidR="00C1563E" w:rsidRDefault="000B648B">
      <w:r>
        <w:rPr>
          <w:rFonts w:ascii="Times New Roman" w:eastAsia="宋体" w:hAnsi="Times New Roman"/>
          <w:b/>
          <w:bCs/>
          <w:color w:val="000000"/>
          <w:sz w:val="20"/>
          <w:szCs w:val="20"/>
        </w:rPr>
        <w:t xml:space="preserve">VMware, Inc. Ownership </w:t>
      </w:r>
    </w:p>
    <w:p w14:paraId="7DCFCCCE" w14:textId="77777777" w:rsidR="00C1563E" w:rsidRDefault="00C1563E"/>
    <w:p w14:paraId="7DCFCCCF" w14:textId="77777777" w:rsidR="00C1563E" w:rsidRDefault="000B648B">
      <w:r>
        <w:rPr>
          <w:rFonts w:ascii="Times New Roman" w:eastAsia="宋体" w:hAnsi="Times New Roman"/>
          <w:color w:val="000000"/>
          <w:sz w:val="20"/>
          <w:szCs w:val="20"/>
        </w:rPr>
        <w:t>On July 15, 2020, we announced that we ar</w:t>
      </w:r>
      <w:r>
        <w:rPr>
          <w:rFonts w:ascii="Times New Roman" w:eastAsia="宋体" w:hAnsi="Times New Roman"/>
          <w:color w:val="000000"/>
          <w:sz w:val="20"/>
          <w:szCs w:val="20"/>
        </w:rPr>
        <w:t>e exploring potential alternatives with respect to our ownership in VMware, Inc., including a potential spin-off of that ownership interest to Dell Technologies’ stockholders. Although this process is currently only at an exploratory stage, we believe a sp</w:t>
      </w:r>
      <w:r>
        <w:rPr>
          <w:rFonts w:ascii="Times New Roman" w:eastAsia="宋体" w:hAnsi="Times New Roman"/>
          <w:color w:val="000000"/>
          <w:sz w:val="20"/>
          <w:szCs w:val="20"/>
        </w:rPr>
        <w:t>in-off could benefit both Dell Technologies’ and VMware, Inc.’s stockholders by simplifying capital structures and enhancing strategic flexibility, while still maintaining a mutually beneficial strategic and commercial partnership. Any potential spin-off w</w:t>
      </w:r>
      <w:r>
        <w:rPr>
          <w:rFonts w:ascii="Times New Roman" w:eastAsia="宋体" w:hAnsi="Times New Roman"/>
          <w:color w:val="000000"/>
          <w:sz w:val="20"/>
          <w:szCs w:val="20"/>
        </w:rPr>
        <w:t>ould not occur prior to September 2021. Other strategic options include maintaining the status quo with respect to our ownership interest in VMware, Inc.</w:t>
      </w:r>
    </w:p>
    <w:p w14:paraId="7DCFCCD0" w14:textId="77777777" w:rsidR="00C1563E" w:rsidRDefault="00C1563E"/>
    <w:p w14:paraId="7DCFCCD1" w14:textId="77777777" w:rsidR="00C1563E" w:rsidRDefault="00C1563E">
      <w:pPr>
        <w:jc w:val="center"/>
      </w:pPr>
    </w:p>
    <w:p w14:paraId="7DCFCCD2" w14:textId="77777777" w:rsidR="00C1563E" w:rsidRDefault="000B648B">
      <w:pPr>
        <w:jc w:val="center"/>
      </w:pPr>
      <w:r>
        <w:rPr>
          <w:rFonts w:ascii="Times New Roman" w:eastAsia="宋体" w:hAnsi="Times New Roman"/>
          <w:color w:val="000000"/>
          <w:sz w:val="20"/>
          <w:szCs w:val="20"/>
        </w:rPr>
        <w:t>5</w:t>
      </w:r>
    </w:p>
    <w:p w14:paraId="7DCFCCD3" w14:textId="77777777" w:rsidR="00C1563E" w:rsidRDefault="00C1563E">
      <w:pPr>
        <w:jc w:val="center"/>
      </w:pPr>
    </w:p>
    <w:p w14:paraId="7DCFCCD4" w14:textId="77777777" w:rsidR="00C1563E" w:rsidRDefault="000B648B">
      <w:r>
        <w:pict w14:anchorId="7DD0256B">
          <v:rect id="_x0000_i1029" style="width:415.3pt;height:1.5pt" o:hralign="center" o:hrstd="t" o:hr="t" fillcolor="#a0a0a0" stroked="f"/>
        </w:pict>
      </w:r>
    </w:p>
    <w:p w14:paraId="7DCFCCD5" w14:textId="77777777" w:rsidR="00C1563E" w:rsidRDefault="000B648B">
      <w:hyperlink r:id="rId80" w:anchor="i418e32e4a35149ffbf7d3a25d66881b8_10" w:history="1">
        <w:r>
          <w:rPr>
            <w:rStyle w:val="a5"/>
            <w:rFonts w:ascii="Times New Roman" w:eastAsia="宋体" w:hAnsi="Times New Roman"/>
            <w:sz w:val="20"/>
            <w:szCs w:val="20"/>
          </w:rPr>
          <w:t>Table of Contents</w:t>
        </w:r>
      </w:hyperlink>
    </w:p>
    <w:p w14:paraId="7DCFCCD6" w14:textId="77777777" w:rsidR="00C1563E" w:rsidRDefault="000B648B">
      <w:r>
        <w:rPr>
          <w:rFonts w:ascii="Times New Roman" w:eastAsia="宋体" w:hAnsi="Times New Roman"/>
          <w:b/>
          <w:bCs/>
          <w:color w:val="000000"/>
          <w:sz w:val="20"/>
          <w:szCs w:val="20"/>
        </w:rPr>
        <w:t>Products and Services</w:t>
      </w:r>
    </w:p>
    <w:p w14:paraId="7DCFCCD7" w14:textId="77777777" w:rsidR="00C1563E" w:rsidRDefault="00C1563E"/>
    <w:p w14:paraId="7DCFCCD8" w14:textId="77777777" w:rsidR="00C1563E" w:rsidRDefault="000B648B">
      <w:r>
        <w:rPr>
          <w:rFonts w:ascii="Times New Roman" w:eastAsia="宋体" w:hAnsi="Times New Roman"/>
          <w:color w:val="000000"/>
          <w:sz w:val="20"/>
          <w:szCs w:val="20"/>
        </w:rPr>
        <w:t xml:space="preserve">We design, develop, manufacture, market, sell, and support a wide range of comprehensive and integrated solutions, products, and services. We are organized </w:t>
      </w:r>
      <w:r>
        <w:rPr>
          <w:rFonts w:ascii="Times New Roman" w:eastAsia="宋体" w:hAnsi="Times New Roman"/>
          <w:color w:val="000000"/>
          <w:sz w:val="20"/>
          <w:szCs w:val="20"/>
        </w:rPr>
        <w:t>into the following business units, which are our reportable segments: Infrastructure Solutions Group; Client Solutions Group; and VMware.</w:t>
      </w:r>
    </w:p>
    <w:p w14:paraId="7DCFCCD9" w14:textId="77777777" w:rsidR="00C1563E" w:rsidRDefault="00C1563E">
      <w:pPr>
        <w:ind w:hanging="360"/>
      </w:pPr>
    </w:p>
    <w:p w14:paraId="7DCFCCDA"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works with customers in the area of hybrid cloud deployment with the goal of si</w:t>
      </w:r>
      <w:r>
        <w:rPr>
          <w:rFonts w:ascii="Times New Roman" w:eastAsia="宋体" w:hAnsi="Times New Roman"/>
          <w:color w:val="000000"/>
          <w:sz w:val="20"/>
          <w:szCs w:val="20"/>
        </w:rPr>
        <w:t>mplifying, streamlining, and automating cloud operations. ISG solutions are built for multi-cloud environments and are optimized to run cloud native workloads in both public and private clouds, as well as traditional on-premise workloads.</w:t>
      </w:r>
    </w:p>
    <w:p w14:paraId="7DCFCCDB" w14:textId="77777777" w:rsidR="00C1563E" w:rsidRDefault="00C1563E"/>
    <w:p w14:paraId="7DCFCCDC" w14:textId="77777777" w:rsidR="00C1563E" w:rsidRDefault="000B648B">
      <w:r>
        <w:rPr>
          <w:rFonts w:ascii="Times New Roman" w:eastAsia="宋体" w:hAnsi="Times New Roman"/>
          <w:color w:val="000000"/>
          <w:sz w:val="20"/>
          <w:szCs w:val="20"/>
        </w:rPr>
        <w:t>Our comprehensiv</w:t>
      </w:r>
      <w:r>
        <w:rPr>
          <w:rFonts w:ascii="Times New Roman" w:eastAsia="宋体" w:hAnsi="Times New Roman"/>
          <w:color w:val="000000"/>
          <w:sz w:val="20"/>
          <w:szCs w:val="20"/>
        </w:rPr>
        <w:t>e portfolio of advanced storage solutions includes traditional storage solutions as well as next-generation storage solutions (such as all-flash arrays, scale-out file, object platforms and software-defined solutions). We have simplified our storage portfo</w:t>
      </w:r>
      <w:r>
        <w:rPr>
          <w:rFonts w:ascii="Times New Roman" w:eastAsia="宋体" w:hAnsi="Times New Roman"/>
          <w:color w:val="000000"/>
          <w:sz w:val="20"/>
          <w:szCs w:val="20"/>
        </w:rPr>
        <w:t>lio to ensure that we deliver the technology needed for our customers’ digital transformation. We continue to make enhancements to our storage solutions offerings and expect that these offerings, including our new PowerStore storage array released in May 2</w:t>
      </w:r>
      <w:r>
        <w:rPr>
          <w:rFonts w:ascii="Times New Roman" w:eastAsia="宋体" w:hAnsi="Times New Roman"/>
          <w:color w:val="000000"/>
          <w:sz w:val="20"/>
          <w:szCs w:val="20"/>
        </w:rPr>
        <w:t>020, will drive long-term improvements in the business. Our server portfolio includes high-performance rack, blade, tower, and hyperscale servers, optimized for artificial intelligence and machine learning workloads. Our networking portfolio helps our busi</w:t>
      </w:r>
      <w:r>
        <w:rPr>
          <w:rFonts w:ascii="Times New Roman" w:eastAsia="宋体" w:hAnsi="Times New Roman"/>
          <w:color w:val="000000"/>
          <w:sz w:val="20"/>
          <w:szCs w:val="20"/>
        </w:rPr>
        <w:t>ness customers transform and modernize their infrastructure, mobilize and enrich end-user experiences, and accelerate business applications and processes. Our strengths in server, storage, and virtualization software solutions enable us to offer leading co</w:t>
      </w:r>
      <w:r>
        <w:rPr>
          <w:rFonts w:ascii="Times New Roman" w:eastAsia="宋体" w:hAnsi="Times New Roman"/>
          <w:color w:val="000000"/>
          <w:sz w:val="20"/>
          <w:szCs w:val="20"/>
        </w:rPr>
        <w:t>nverged and hyper-converged solutions, allowing our customers to accelerate their IT transformation by acquiring scalable integrated IT solutions instead of building and assembling their own IT platforms. ISG also offers attached software, peripherals, and</w:t>
      </w:r>
      <w:r>
        <w:rPr>
          <w:rFonts w:ascii="Times New Roman" w:eastAsia="宋体" w:hAnsi="Times New Roman"/>
          <w:color w:val="000000"/>
          <w:sz w:val="20"/>
          <w:szCs w:val="20"/>
        </w:rPr>
        <w:t xml:space="preserve"> services, including support and deployment, configuration, and extended warranty services.</w:t>
      </w:r>
    </w:p>
    <w:p w14:paraId="7DCFCCDD" w14:textId="77777777" w:rsidR="00C1563E" w:rsidRDefault="00C1563E">
      <w:pPr>
        <w:ind w:hanging="360"/>
      </w:pPr>
    </w:p>
    <w:p w14:paraId="7DCFCCDE" w14:textId="77777777" w:rsidR="00C1563E" w:rsidRDefault="000B648B">
      <w:r>
        <w:rPr>
          <w:rFonts w:ascii="Times New Roman" w:eastAsia="宋体" w:hAnsi="Times New Roman"/>
          <w:color w:val="000000"/>
          <w:sz w:val="20"/>
          <w:szCs w:val="20"/>
        </w:rPr>
        <w:t>Approximately half of ISG revenue is generated by sales to customers in the Americas, with the remaining portion derived from sales to customers in the Europe, Mid</w:t>
      </w:r>
      <w:r>
        <w:rPr>
          <w:rFonts w:ascii="Times New Roman" w:eastAsia="宋体" w:hAnsi="Times New Roman"/>
          <w:color w:val="000000"/>
          <w:sz w:val="20"/>
          <w:szCs w:val="20"/>
        </w:rPr>
        <w:t>dle East, and Africa region (“EMEA”) and the Asia-Pacific and Japan region (“APJ”).</w:t>
      </w:r>
    </w:p>
    <w:p w14:paraId="7DCFCCDF" w14:textId="77777777" w:rsidR="00C1563E" w:rsidRDefault="00C1563E"/>
    <w:p w14:paraId="7DCFCCE0"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and projectors), </w:t>
      </w:r>
      <w:r>
        <w:rPr>
          <w:rFonts w:ascii="Times New Roman" w:eastAsia="宋体" w:hAnsi="Times New Roman"/>
          <w:color w:val="000000"/>
          <w:sz w:val="20"/>
          <w:szCs w:val="20"/>
        </w:rPr>
        <w:t>as well as third-party software and peripherals. Our computing devices are designed with our commercial and consumer customers’ needs in mind, and we seek to optimize performance, reliability, manageability, design, and security. In addition to our traditi</w:t>
      </w:r>
      <w:r>
        <w:rPr>
          <w:rFonts w:ascii="Times New Roman" w:eastAsia="宋体" w:hAnsi="Times New Roman"/>
          <w:color w:val="000000"/>
          <w:sz w:val="20"/>
          <w:szCs w:val="20"/>
        </w:rPr>
        <w:t>onal hardware business, we have a portfolio of thin client offerings that we believe will allow us to benefit from the growth trends in cloud computing. For our customers that are seeking to simplify client lifecycle management, Dell PC as a Service offeri</w:t>
      </w:r>
      <w:r>
        <w:rPr>
          <w:rFonts w:ascii="Times New Roman" w:eastAsia="宋体" w:hAnsi="Times New Roman"/>
          <w:color w:val="000000"/>
          <w:sz w:val="20"/>
          <w:szCs w:val="20"/>
        </w:rPr>
        <w:t>ng combines hardware, software, lifecycle services, and financing into one all-encompassing solution that provides predictable pricing per seat per month. CSG also offers attached software, peripherals, and services, including support and deployment, confi</w:t>
      </w:r>
      <w:r>
        <w:rPr>
          <w:rFonts w:ascii="Times New Roman" w:eastAsia="宋体" w:hAnsi="Times New Roman"/>
          <w:color w:val="000000"/>
          <w:sz w:val="20"/>
          <w:szCs w:val="20"/>
        </w:rPr>
        <w:t>guration, and extended warranty services.</w:t>
      </w:r>
    </w:p>
    <w:p w14:paraId="7DCFCCE1" w14:textId="77777777" w:rsidR="00C1563E" w:rsidRDefault="00C1563E"/>
    <w:p w14:paraId="7DCFCCE2" w14:textId="77777777" w:rsidR="00C1563E" w:rsidRDefault="000B648B">
      <w:r>
        <w:rPr>
          <w:rFonts w:ascii="Times New Roman" w:eastAsia="宋体" w:hAnsi="Times New Roman"/>
          <w:color w:val="000000"/>
          <w:sz w:val="20"/>
          <w:szCs w:val="20"/>
        </w:rPr>
        <w:t>Approximately half of CSG revenue is generated by sales to customers in the Americas, with the remaining portion derived from sales to customers in EMEA and APJ.</w:t>
      </w:r>
    </w:p>
    <w:p w14:paraId="7DCFCCE3" w14:textId="77777777" w:rsidR="00C1563E" w:rsidRDefault="00C1563E"/>
    <w:p w14:paraId="7DCFCCE4"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VMware reportable segment (“VMware”)</w:t>
      </w:r>
      <w:r>
        <w:rPr>
          <w:rFonts w:ascii="Times New Roman" w:eastAsia="宋体" w:hAnsi="Times New Roman"/>
          <w:color w:val="000000"/>
          <w:sz w:val="20"/>
          <w:szCs w:val="20"/>
        </w:rPr>
        <w:t xml:space="preserve"> reflects the operations of VMware, Inc. (NYSE: VMW) within Dell Technologies. VMware works with customers in the areas of hybrid and multi-cloud, modern applications, networking, security, and digital workspaces, helping customers manage their IT resource</w:t>
      </w:r>
      <w:r>
        <w:rPr>
          <w:rFonts w:ascii="Times New Roman" w:eastAsia="宋体" w:hAnsi="Times New Roman"/>
          <w:color w:val="000000"/>
          <w:sz w:val="20"/>
          <w:szCs w:val="20"/>
        </w:rPr>
        <w:t>s across private clouds and complex multi-cloud, multi-device environments. VMware’s portfolio supports and addresses the key IT priorities of customers: accelerating their cloud journey, migrating and modernizing their applications, empowering digital wor</w:t>
      </w:r>
      <w:r>
        <w:rPr>
          <w:rFonts w:ascii="Times New Roman" w:eastAsia="宋体" w:hAnsi="Times New Roman"/>
          <w:color w:val="000000"/>
          <w:sz w:val="20"/>
          <w:szCs w:val="20"/>
        </w:rPr>
        <w:t>kspaces, transforming networking, and embracing intrinsic security. VMware enables its customers to digitally transform their operations as they ready their applications, infrastructure, and employees for constantly evolving business needs.</w:t>
      </w:r>
    </w:p>
    <w:p w14:paraId="7DCFCCE5" w14:textId="77777777" w:rsidR="00C1563E" w:rsidRDefault="00C1563E"/>
    <w:p w14:paraId="7DCFCCE6" w14:textId="77777777" w:rsidR="00C1563E" w:rsidRDefault="000B648B">
      <w:r>
        <w:rPr>
          <w:rFonts w:ascii="Times New Roman" w:eastAsia="宋体" w:hAnsi="Times New Roman"/>
          <w:color w:val="000000"/>
          <w:sz w:val="20"/>
          <w:szCs w:val="20"/>
        </w:rPr>
        <w:t>During the thi</w:t>
      </w:r>
      <w:r>
        <w:rPr>
          <w:rFonts w:ascii="Times New Roman" w:eastAsia="宋体" w:hAnsi="Times New Roman"/>
          <w:color w:val="000000"/>
          <w:sz w:val="20"/>
          <w:szCs w:val="20"/>
        </w:rPr>
        <w:t xml:space="preserve">rd quarter of Fiscal 2020, VMware, Inc. completed the acquisition of Carbon Black, Inc. (“Carbon Black”), a developer of cloud-native endpoint protection. </w:t>
      </w:r>
    </w:p>
    <w:p w14:paraId="7DCFCCE7" w14:textId="77777777" w:rsidR="00C1563E" w:rsidRDefault="00C1563E">
      <w:pPr>
        <w:ind w:hanging="360"/>
      </w:pPr>
    </w:p>
    <w:p w14:paraId="7DCFCCE8" w14:textId="77777777" w:rsidR="00C1563E" w:rsidRDefault="000B648B">
      <w:r>
        <w:rPr>
          <w:rFonts w:ascii="Times New Roman" w:eastAsia="宋体" w:hAnsi="Times New Roman"/>
          <w:color w:val="000000"/>
          <w:sz w:val="20"/>
          <w:szCs w:val="20"/>
        </w:rPr>
        <w:t>On December 30, 2019, VMware, Inc. completed its acquisition of Pivotal Software, Inc. (“Pivotal”).</w:t>
      </w:r>
      <w:r>
        <w:rPr>
          <w:rFonts w:ascii="Times New Roman" w:eastAsia="宋体" w:hAnsi="Times New Roman"/>
          <w:color w:val="000000"/>
          <w:sz w:val="20"/>
          <w:szCs w:val="20"/>
        </w:rPr>
        <w:t xml:space="preserve"> Before the transaction, Pivotal was a majority-owned subsidiary of Dell Technologies through EMC and VMware, Inc. Pivotal provides a leading cloud-native platform that makes software development and IT operations a strategic advantage for </w:t>
      </w:r>
    </w:p>
    <w:p w14:paraId="7DCFCCE9" w14:textId="77777777" w:rsidR="00C1563E" w:rsidRDefault="00C1563E">
      <w:pPr>
        <w:jc w:val="center"/>
      </w:pPr>
    </w:p>
    <w:p w14:paraId="7DCFCCEA" w14:textId="77777777" w:rsidR="00C1563E" w:rsidRDefault="000B648B">
      <w:pPr>
        <w:jc w:val="center"/>
      </w:pPr>
      <w:r>
        <w:rPr>
          <w:rFonts w:ascii="Times New Roman" w:eastAsia="宋体" w:hAnsi="Times New Roman"/>
          <w:color w:val="000000"/>
          <w:sz w:val="20"/>
          <w:szCs w:val="20"/>
        </w:rPr>
        <w:t>6</w:t>
      </w:r>
    </w:p>
    <w:p w14:paraId="7DCFCCEB" w14:textId="77777777" w:rsidR="00C1563E" w:rsidRDefault="00C1563E">
      <w:pPr>
        <w:jc w:val="center"/>
      </w:pPr>
    </w:p>
    <w:p w14:paraId="7DCFCCEC" w14:textId="77777777" w:rsidR="00C1563E" w:rsidRDefault="000B648B">
      <w:r>
        <w:pict w14:anchorId="7DD0256C">
          <v:rect id="_x0000_i1030" style="width:415.3pt;height:1.5pt" o:hralign="center" o:hrstd="t" o:hr="t" fillcolor="#a0a0a0" stroked="f"/>
        </w:pict>
      </w:r>
    </w:p>
    <w:p w14:paraId="7DCFCCED" w14:textId="77777777" w:rsidR="00C1563E" w:rsidRDefault="000B648B">
      <w:hyperlink r:id="rId81" w:anchor="i418e32e4a35149ffbf7d3a25d66881b8_10" w:history="1">
        <w:r>
          <w:rPr>
            <w:rStyle w:val="a5"/>
            <w:rFonts w:ascii="Times New Roman" w:eastAsia="宋体" w:hAnsi="Times New Roman"/>
            <w:sz w:val="20"/>
            <w:szCs w:val="20"/>
          </w:rPr>
          <w:t>Table of Contents</w:t>
        </w:r>
      </w:hyperlink>
    </w:p>
    <w:p w14:paraId="7DCFCCEE" w14:textId="77777777" w:rsidR="00C1563E" w:rsidRDefault="000B648B">
      <w:r>
        <w:rPr>
          <w:rFonts w:ascii="Times New Roman" w:eastAsia="宋体" w:hAnsi="Times New Roman"/>
          <w:color w:val="000000"/>
          <w:sz w:val="20"/>
          <w:szCs w:val="20"/>
        </w:rPr>
        <w:t>customers. Pivotal’s cloud-native platform, Pivotal Cloud Foundry, accelerates and streamline</w:t>
      </w:r>
      <w:r>
        <w:rPr>
          <w:rFonts w:ascii="Times New Roman" w:eastAsia="宋体" w:hAnsi="Times New Roman"/>
          <w:color w:val="000000"/>
          <w:sz w:val="20"/>
          <w:szCs w:val="20"/>
        </w:rPr>
        <w:t>s software development by reducing the complexity of building, deploying, and operating new cloud-native applications, and modernizing legacy applications. With the acquisition, which aligns key software assets, VMware, Inc. builds on a comprehensive devel</w:t>
      </w:r>
      <w:r>
        <w:rPr>
          <w:rFonts w:ascii="Times New Roman" w:eastAsia="宋体" w:hAnsi="Times New Roman"/>
          <w:color w:val="000000"/>
          <w:sz w:val="20"/>
          <w:szCs w:val="20"/>
        </w:rPr>
        <w:t>opment platform with Kubernetes.</w:t>
      </w:r>
    </w:p>
    <w:p w14:paraId="7DCFCCEF" w14:textId="77777777" w:rsidR="00C1563E" w:rsidRDefault="00C1563E">
      <w:pPr>
        <w:ind w:hanging="360"/>
      </w:pPr>
    </w:p>
    <w:p w14:paraId="7DCFCCF0" w14:textId="77777777" w:rsidR="00C1563E" w:rsidRDefault="000B648B">
      <w:r>
        <w:rPr>
          <w:rFonts w:ascii="Times New Roman" w:eastAsia="宋体" w:hAnsi="Times New Roman"/>
          <w:color w:val="000000"/>
          <w:sz w:val="20"/>
          <w:szCs w:val="20"/>
        </w:rPr>
        <w:t>The purchase of the controlling interest in Pivotal from Dell Technologies was accounted for as a transaction between entities under common control. This transaction required retrospective combination of the VMware, Inc. a</w:t>
      </w:r>
      <w:r>
        <w:rPr>
          <w:rFonts w:ascii="Times New Roman" w:eastAsia="宋体" w:hAnsi="Times New Roman"/>
          <w:color w:val="000000"/>
          <w:sz w:val="20"/>
          <w:szCs w:val="20"/>
        </w:rPr>
        <w:t>nd Pivotal entities for all periods presented, as if the combination had been in effect since the inception of common control on the date of the EMC merger transaction in September 2016. Dell Technologies now reports Pivotal results within the VMware repor</w:t>
      </w:r>
      <w:r>
        <w:rPr>
          <w:rFonts w:ascii="Times New Roman" w:eastAsia="宋体" w:hAnsi="Times New Roman"/>
          <w:color w:val="000000"/>
          <w:sz w:val="20"/>
          <w:szCs w:val="20"/>
        </w:rPr>
        <w:t>table segment, and the historical segment results were recast to reflect this change. Pivotal results were previously reported within Other businesses. See Note 19 of the Notes to the Consolidated Financial Statements included in this report for the recast</w:t>
      </w:r>
      <w:r>
        <w:rPr>
          <w:rFonts w:ascii="Times New Roman" w:eastAsia="宋体" w:hAnsi="Times New Roman"/>
          <w:color w:val="000000"/>
          <w:sz w:val="20"/>
          <w:szCs w:val="20"/>
        </w:rPr>
        <w:t xml:space="preserve"> of segment results.</w:t>
      </w:r>
    </w:p>
    <w:p w14:paraId="7DCFCCF1" w14:textId="77777777" w:rsidR="00C1563E" w:rsidRDefault="00C1563E"/>
    <w:p w14:paraId="7DCFCCF2" w14:textId="77777777" w:rsidR="00C1563E" w:rsidRDefault="000B648B">
      <w:r>
        <w:rPr>
          <w:rFonts w:ascii="Times New Roman" w:eastAsia="宋体" w:hAnsi="Times New Roman"/>
          <w:color w:val="000000"/>
          <w:sz w:val="20"/>
          <w:szCs w:val="20"/>
        </w:rPr>
        <w:t xml:space="preserve">Approximately half of VMware revenue is generated by sales to customers in the United States. </w:t>
      </w:r>
    </w:p>
    <w:p w14:paraId="7DCFCCF3" w14:textId="77777777" w:rsidR="00C1563E" w:rsidRDefault="00C1563E"/>
    <w:p w14:paraId="7DCFCCF4" w14:textId="77777777" w:rsidR="00C1563E" w:rsidRDefault="000B648B">
      <w:r>
        <w:rPr>
          <w:rFonts w:ascii="Times New Roman" w:eastAsia="宋体" w:hAnsi="Times New Roman"/>
          <w:color w:val="000000"/>
          <w:sz w:val="20"/>
          <w:szCs w:val="20"/>
        </w:rPr>
        <w:t>Our other businesses, described below, consist of product and service offerings of SecureWorks Corp. (“Secureworks”), Virtustream, and Boo</w:t>
      </w:r>
      <w:r>
        <w:rPr>
          <w:rFonts w:ascii="Times New Roman" w:eastAsia="宋体" w:hAnsi="Times New Roman"/>
          <w:color w:val="000000"/>
          <w:sz w:val="20"/>
          <w:szCs w:val="20"/>
        </w:rPr>
        <w:t>mi, each of which is majority-owned by Dell Technologies. These businesses are not classified as reportable segments, either individually or collectively, as the results of the businesses are not material to our overall results and the businesses do not me</w:t>
      </w:r>
      <w:r>
        <w:rPr>
          <w:rFonts w:ascii="Times New Roman" w:eastAsia="宋体" w:hAnsi="Times New Roman"/>
          <w:color w:val="000000"/>
          <w:sz w:val="20"/>
          <w:szCs w:val="20"/>
        </w:rPr>
        <w:t>et the criteria for reportable segments.</w:t>
      </w:r>
    </w:p>
    <w:p w14:paraId="7DCFCCF5" w14:textId="77777777" w:rsidR="00C1563E" w:rsidRDefault="00C1563E"/>
    <w:p w14:paraId="7DCFCCF6"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provider of intelligence-driven information security solutions singularly focused on protecting its clients from cyberattacks. The solutions offered by Secureworks enable organizations of varying size and complexity to f</w:t>
      </w:r>
      <w:r>
        <w:rPr>
          <w:rFonts w:ascii="Times New Roman" w:eastAsia="宋体" w:hAnsi="Times New Roman"/>
          <w:color w:val="000000"/>
          <w:sz w:val="20"/>
          <w:szCs w:val="20"/>
        </w:rPr>
        <w:t>ortify their cyber defenses to prevent security breaches, detect malicious activity in near real time, prioritize and respond rapidly to security incidents, and predict emerging threats.</w:t>
      </w:r>
    </w:p>
    <w:p w14:paraId="7DCFCCF7" w14:textId="77777777" w:rsidR="00C1563E" w:rsidRDefault="00C1563E"/>
    <w:p w14:paraId="7DCFCCF8" w14:textId="77777777" w:rsidR="00C1563E" w:rsidRDefault="000B648B">
      <w:pPr>
        <w:ind w:hanging="360"/>
      </w:pP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w:t>
      </w:r>
      <w:r>
        <w:rPr>
          <w:rFonts w:ascii="Times New Roman" w:eastAsia="宋体" w:hAnsi="Times New Roman"/>
          <w:color w:val="000000"/>
          <w:sz w:val="20"/>
          <w:szCs w:val="20"/>
        </w:rPr>
        <w:t>olutions that enable customers to migrate, run, and manage mission-critical applications in cloud-based IT environments.</w:t>
      </w:r>
    </w:p>
    <w:p w14:paraId="7DCFCCF9" w14:textId="77777777" w:rsidR="00C1563E" w:rsidRDefault="00C1563E"/>
    <w:p w14:paraId="7DCFCCFA"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Boomi</w:t>
      </w:r>
      <w:r>
        <w:rPr>
          <w:rFonts w:ascii="Times New Roman" w:eastAsia="宋体" w:hAnsi="Times New Roman"/>
          <w:color w:val="000000"/>
          <w:sz w:val="20"/>
          <w:szCs w:val="20"/>
        </w:rPr>
        <w:t xml:space="preserve"> specializes in cloud-based integration, connecting information between existing on-premise and cloud-based applications to ensure business processes are optimized, data is accurate and workflow is reliable.</w:t>
      </w:r>
    </w:p>
    <w:p w14:paraId="7DCFCCFB" w14:textId="77777777" w:rsidR="00C1563E" w:rsidRDefault="00C1563E"/>
    <w:p w14:paraId="7DCFCCFC" w14:textId="77777777" w:rsidR="00C1563E" w:rsidRDefault="000B648B">
      <w:r>
        <w:rPr>
          <w:rFonts w:ascii="Times New Roman" w:eastAsia="宋体" w:hAnsi="Times New Roman"/>
          <w:color w:val="000000"/>
          <w:sz w:val="20"/>
          <w:szCs w:val="20"/>
        </w:rPr>
        <w:t>On February 18, 2020, Dell Technologies announc</w:t>
      </w:r>
      <w:r>
        <w:rPr>
          <w:rFonts w:ascii="Times New Roman" w:eastAsia="宋体" w:hAnsi="Times New Roman"/>
          <w:color w:val="000000"/>
          <w:sz w:val="20"/>
          <w:szCs w:val="20"/>
        </w:rPr>
        <w:t>ed its entry into a definitive agreement with a consortium of investors to sell RSA Security, which provides cybersecurity solutions. On September 1, 2020, the parties closed the transaction. At the completion of the sale, we received total cash considerat</w:t>
      </w:r>
      <w:r>
        <w:rPr>
          <w:rFonts w:ascii="Times New Roman" w:eastAsia="宋体" w:hAnsi="Times New Roman"/>
          <w:color w:val="000000"/>
          <w:sz w:val="20"/>
          <w:szCs w:val="20"/>
        </w:rPr>
        <w:t xml:space="preserve">ion of approximately $2.082 billion, resulting in a pre-tax gain on sale of $338 million. The Company ultimately recorded a $21 million loss net of taxes. The transaction is intended to further simplify our product portfolio and corporate structure. Prior </w:t>
      </w:r>
      <w:r>
        <w:rPr>
          <w:rFonts w:ascii="Times New Roman" w:eastAsia="宋体" w:hAnsi="Times New Roman"/>
          <w:color w:val="000000"/>
          <w:sz w:val="20"/>
          <w:szCs w:val="20"/>
        </w:rPr>
        <w:t>to the divestiture, RSA Security’s operating results were included within Other businesses.</w:t>
      </w:r>
    </w:p>
    <w:p w14:paraId="7DCFCCFD" w14:textId="77777777" w:rsidR="00C1563E" w:rsidRDefault="00C1563E"/>
    <w:p w14:paraId="7DCFCCFE" w14:textId="77777777" w:rsidR="00C1563E" w:rsidRDefault="000B648B">
      <w:r>
        <w:rPr>
          <w:rFonts w:ascii="Times New Roman" w:eastAsia="宋体" w:hAnsi="Times New Roman"/>
          <w:color w:val="000000"/>
          <w:sz w:val="20"/>
          <w:szCs w:val="20"/>
        </w:rPr>
        <w:t>We believe the collaboration, innovation, and coordination of the operations and strategies across all segments of our business, as well as our differentiated go-t</w:t>
      </w:r>
      <w:r>
        <w:rPr>
          <w:rFonts w:ascii="Times New Roman" w:eastAsia="宋体" w:hAnsi="Times New Roman"/>
          <w:color w:val="000000"/>
          <w:sz w:val="20"/>
          <w:szCs w:val="20"/>
        </w:rPr>
        <w:t>o-market model, will continue to drive revenue synergies. Through our coordinated research and development activities, we are able to jointly engineer leading innovative solutions that incorporate the distinct set of hardware, software, and services across</w:t>
      </w:r>
      <w:r>
        <w:rPr>
          <w:rFonts w:ascii="Times New Roman" w:eastAsia="宋体" w:hAnsi="Times New Roman"/>
          <w:color w:val="000000"/>
          <w:sz w:val="20"/>
          <w:szCs w:val="20"/>
        </w:rPr>
        <w:t xml:space="preserve"> all segments of our business.</w:t>
      </w:r>
    </w:p>
    <w:p w14:paraId="7DCFCCFF" w14:textId="77777777" w:rsidR="00C1563E" w:rsidRDefault="00C1563E"/>
    <w:p w14:paraId="7DCFCD00" w14:textId="77777777" w:rsidR="00C1563E" w:rsidRDefault="000B648B">
      <w:r>
        <w:rPr>
          <w:rFonts w:ascii="Times New Roman" w:eastAsia="宋体" w:hAnsi="Times New Roman"/>
          <w:color w:val="000000"/>
          <w:sz w:val="20"/>
          <w:szCs w:val="20"/>
        </w:rPr>
        <w:t xml:space="preserve">See Note 19 of the Notes to the Consolidated Financial Statements included in this report for more information about our reportable segments. </w:t>
      </w:r>
    </w:p>
    <w:p w14:paraId="7DCFCD01" w14:textId="77777777" w:rsidR="00C1563E" w:rsidRDefault="00C1563E"/>
    <w:p w14:paraId="7DCFCD02" w14:textId="77777777" w:rsidR="00C1563E" w:rsidRDefault="000B648B">
      <w:r>
        <w:rPr>
          <w:rFonts w:ascii="Times New Roman" w:eastAsia="宋体" w:hAnsi="Times New Roman"/>
          <w:color w:val="000000"/>
          <w:sz w:val="20"/>
          <w:szCs w:val="20"/>
        </w:rPr>
        <w:t>See “Part II — Item 7 — Management’s Discussion and Analysis of Financial Condit</w:t>
      </w:r>
      <w:r>
        <w:rPr>
          <w:rFonts w:ascii="Times New Roman" w:eastAsia="宋体" w:hAnsi="Times New Roman"/>
          <w:color w:val="000000"/>
          <w:sz w:val="20"/>
          <w:szCs w:val="20"/>
        </w:rPr>
        <w:t>ion and Results of Operations — Results of Operations — Business Unit Results” for a discussion of our reportable segment operating results.</w:t>
      </w:r>
    </w:p>
    <w:p w14:paraId="7DCFCD03" w14:textId="77777777" w:rsidR="00C1563E" w:rsidRDefault="00C1563E">
      <w:pPr>
        <w:ind w:hanging="360"/>
      </w:pPr>
    </w:p>
    <w:p w14:paraId="7DCFCD04" w14:textId="77777777" w:rsidR="00C1563E" w:rsidRDefault="000B648B">
      <w:pPr>
        <w:ind w:hanging="360"/>
      </w:pPr>
      <w:r>
        <w:rPr>
          <w:rFonts w:ascii="Times New Roman" w:eastAsia="宋体" w:hAnsi="Times New Roman"/>
          <w:b/>
          <w:bCs/>
          <w:color w:val="000000"/>
          <w:sz w:val="20"/>
          <w:szCs w:val="20"/>
        </w:rPr>
        <w:t>Dell Financial Services</w:t>
      </w:r>
    </w:p>
    <w:p w14:paraId="7DCFCD05" w14:textId="77777777" w:rsidR="00C1563E" w:rsidRDefault="00C1563E">
      <w:pPr>
        <w:ind w:hanging="360"/>
      </w:pPr>
    </w:p>
    <w:p w14:paraId="7DCFCD06" w14:textId="77777777" w:rsidR="00C1563E" w:rsidRDefault="000B648B">
      <w:r>
        <w:rPr>
          <w:rFonts w:ascii="Times New Roman" w:eastAsia="宋体" w:hAnsi="Times New Roman"/>
          <w:color w:val="000000"/>
          <w:sz w:val="20"/>
          <w:szCs w:val="20"/>
        </w:rPr>
        <w:t>DFS supports our businesses by offering and arranging various financing options and servi</w:t>
      </w:r>
      <w:r>
        <w:rPr>
          <w:rFonts w:ascii="Times New Roman" w:eastAsia="宋体" w:hAnsi="Times New Roman"/>
          <w:color w:val="000000"/>
          <w:sz w:val="20"/>
          <w:szCs w:val="20"/>
        </w:rPr>
        <w:t xml:space="preserve">ces for our customers primarily in North America, Europe, Australia, and New Zealand. DFS originates, collects, and services customer receivables primarily related to the purchase of our product, software, and services solutions. We also arrange financing </w:t>
      </w:r>
      <w:r>
        <w:rPr>
          <w:rFonts w:ascii="Times New Roman" w:eastAsia="宋体" w:hAnsi="Times New Roman"/>
          <w:color w:val="000000"/>
          <w:sz w:val="20"/>
          <w:szCs w:val="20"/>
        </w:rPr>
        <w:t>for some of our customers in various countries where DFS does not currently operate as a captive. DFS further strengthens our customer relationships through its flexible consumption models, which enable us to offer our customers the option to pay over time</w:t>
      </w:r>
      <w:r>
        <w:rPr>
          <w:rFonts w:ascii="Times New Roman" w:eastAsia="宋体" w:hAnsi="Times New Roman"/>
          <w:color w:val="000000"/>
          <w:sz w:val="20"/>
          <w:szCs w:val="20"/>
        </w:rPr>
        <w:t xml:space="preserve"> and, in certain cases, based on utilization, provide them with financial flexibility to meet their changing technological requirements. The </w:t>
      </w:r>
    </w:p>
    <w:p w14:paraId="7DCFCD07" w14:textId="77777777" w:rsidR="00C1563E" w:rsidRDefault="00C1563E">
      <w:pPr>
        <w:jc w:val="center"/>
      </w:pPr>
    </w:p>
    <w:p w14:paraId="7DCFCD08" w14:textId="77777777" w:rsidR="00C1563E" w:rsidRDefault="000B648B">
      <w:pPr>
        <w:jc w:val="center"/>
      </w:pPr>
      <w:r>
        <w:rPr>
          <w:rFonts w:ascii="Times New Roman" w:eastAsia="宋体" w:hAnsi="Times New Roman"/>
          <w:color w:val="000000"/>
          <w:sz w:val="20"/>
          <w:szCs w:val="20"/>
        </w:rPr>
        <w:t>7</w:t>
      </w:r>
    </w:p>
    <w:p w14:paraId="7DCFCD09" w14:textId="77777777" w:rsidR="00C1563E" w:rsidRDefault="00C1563E">
      <w:pPr>
        <w:jc w:val="center"/>
      </w:pPr>
    </w:p>
    <w:p w14:paraId="7DCFCD0A" w14:textId="77777777" w:rsidR="00C1563E" w:rsidRDefault="000B648B">
      <w:r>
        <w:pict w14:anchorId="7DD0256D">
          <v:rect id="_x0000_i1031" style="width:415.3pt;height:1.5pt" o:hralign="center" o:hrstd="t" o:hr="t" fillcolor="#a0a0a0" stroked="f"/>
        </w:pict>
      </w:r>
    </w:p>
    <w:p w14:paraId="7DCFCD0B" w14:textId="77777777" w:rsidR="00C1563E" w:rsidRDefault="000B648B">
      <w:hyperlink r:id="rId82" w:anchor="i418e32e4a35149ffbf7d3a25d66881b8_10" w:history="1">
        <w:r>
          <w:rPr>
            <w:rStyle w:val="a5"/>
            <w:rFonts w:ascii="Times New Roman" w:eastAsia="宋体" w:hAnsi="Times New Roman"/>
            <w:sz w:val="20"/>
            <w:szCs w:val="20"/>
          </w:rPr>
          <w:t>Table of Contents</w:t>
        </w:r>
      </w:hyperlink>
    </w:p>
    <w:p w14:paraId="7DCFCD0C" w14:textId="77777777" w:rsidR="00C1563E" w:rsidRDefault="000B648B">
      <w:r>
        <w:rPr>
          <w:rFonts w:ascii="Times New Roman" w:eastAsia="宋体" w:hAnsi="Times New Roman"/>
          <w:color w:val="000000"/>
          <w:sz w:val="20"/>
          <w:szCs w:val="20"/>
        </w:rPr>
        <w:t>results of these operations are allocated to our segments based on the underlying product or service financed. For additional information about our financing arrangements, see Note 4 of the No</w:t>
      </w:r>
      <w:r>
        <w:rPr>
          <w:rFonts w:ascii="Times New Roman" w:eastAsia="宋体" w:hAnsi="Times New Roman"/>
          <w:color w:val="000000"/>
          <w:sz w:val="20"/>
          <w:szCs w:val="20"/>
        </w:rPr>
        <w:t>tes to the Consolidated Financial Statements included in this report.</w:t>
      </w:r>
    </w:p>
    <w:p w14:paraId="7DCFCD0D" w14:textId="77777777" w:rsidR="00C1563E" w:rsidRDefault="00C1563E"/>
    <w:p w14:paraId="7DCFCD0E" w14:textId="77777777" w:rsidR="00C1563E" w:rsidRDefault="000B648B">
      <w:r>
        <w:rPr>
          <w:rFonts w:ascii="Times New Roman" w:eastAsia="宋体" w:hAnsi="Times New Roman"/>
          <w:b/>
          <w:bCs/>
          <w:color w:val="000000"/>
          <w:sz w:val="20"/>
          <w:szCs w:val="20"/>
        </w:rPr>
        <w:t>Research and Development</w:t>
      </w:r>
    </w:p>
    <w:p w14:paraId="7DCFCD0F" w14:textId="77777777" w:rsidR="00C1563E" w:rsidRDefault="00C1563E"/>
    <w:p w14:paraId="7DCFCD10" w14:textId="77777777" w:rsidR="00C1563E" w:rsidRDefault="000B648B">
      <w:r>
        <w:rPr>
          <w:rFonts w:ascii="Times New Roman" w:eastAsia="宋体" w:hAnsi="Times New Roman"/>
          <w:color w:val="000000"/>
          <w:sz w:val="20"/>
          <w:szCs w:val="20"/>
        </w:rPr>
        <w:t>We focus on developing scalable technology solutions that incorporate desirable features and capabilities at competitive prices. We employ a collaborative appr</w:t>
      </w:r>
      <w:r>
        <w:rPr>
          <w:rFonts w:ascii="Times New Roman" w:eastAsia="宋体" w:hAnsi="Times New Roman"/>
          <w:color w:val="000000"/>
          <w:sz w:val="20"/>
          <w:szCs w:val="20"/>
        </w:rPr>
        <w:t>oach to product design and development in which our engineers, with direct customer input, design innovative solutions and work with a global network of technology companies to architect new system designs, influence the direction of future development, an</w:t>
      </w:r>
      <w:r>
        <w:rPr>
          <w:rFonts w:ascii="Times New Roman" w:eastAsia="宋体" w:hAnsi="Times New Roman"/>
          <w:color w:val="000000"/>
          <w:sz w:val="20"/>
          <w:szCs w:val="20"/>
        </w:rPr>
        <w:t>d integrate new technologies into our products. Our team of software engineers is focused on developing the next generation of solutions for new and innovative technologies. Most of our research and development (“R&amp;D”) expenditures represent costs to devel</w:t>
      </w:r>
      <w:r>
        <w:rPr>
          <w:rFonts w:ascii="Times New Roman" w:eastAsia="宋体" w:hAnsi="Times New Roman"/>
          <w:color w:val="000000"/>
          <w:sz w:val="20"/>
          <w:szCs w:val="20"/>
        </w:rPr>
        <w:t>op the software that powers our solutions. This software simplifies the complex through automation, increasingly leveraging artificial intelligence and machine learning technology. We manage our R&amp;D spending by targeting those innovations and solutions tha</w:t>
      </w:r>
      <w:r>
        <w:rPr>
          <w:rFonts w:ascii="Times New Roman" w:eastAsia="宋体" w:hAnsi="Times New Roman"/>
          <w:color w:val="000000"/>
          <w:sz w:val="20"/>
          <w:szCs w:val="20"/>
        </w:rPr>
        <w:t xml:space="preserve">t we believe are most valuable to our customers and by relying on the capabilities of our strategic relationships. Our customer base includes a growing number of service providers, such as cloud service providers, software-as-a-service companies, consumer </w:t>
      </w:r>
      <w:r>
        <w:rPr>
          <w:rFonts w:ascii="Times New Roman" w:eastAsia="宋体" w:hAnsi="Times New Roman"/>
          <w:color w:val="000000"/>
          <w:sz w:val="20"/>
          <w:szCs w:val="20"/>
        </w:rPr>
        <w:t xml:space="preserve">webtech providers, and telecommunications companies. These service providers turn to Dell Technologies for our advanced solutions that enable efficient service delivery at cloud scale. Through our collaborative, customer-focused approach to innovation, we </w:t>
      </w:r>
      <w:r>
        <w:rPr>
          <w:rFonts w:ascii="Times New Roman" w:eastAsia="宋体" w:hAnsi="Times New Roman"/>
          <w:color w:val="000000"/>
          <w:sz w:val="20"/>
          <w:szCs w:val="20"/>
        </w:rPr>
        <w:t xml:space="preserve">strive to deliver new and relevant products to the market quickly and efficiently. </w:t>
      </w:r>
    </w:p>
    <w:p w14:paraId="7DCFCD11" w14:textId="77777777" w:rsidR="00C1563E" w:rsidRDefault="00C1563E"/>
    <w:p w14:paraId="7DCFCD12" w14:textId="77777777" w:rsidR="00C1563E" w:rsidRDefault="000B648B">
      <w:r>
        <w:rPr>
          <w:rFonts w:ascii="Times New Roman" w:eastAsia="宋体" w:hAnsi="Times New Roman"/>
          <w:color w:val="000000"/>
          <w:sz w:val="20"/>
          <w:szCs w:val="20"/>
        </w:rPr>
        <w:t xml:space="preserve">Additionally, we invest in early-stage, privately-held companies that develop software, hardware, and other technologies or provide services supporting our </w:t>
      </w:r>
      <w:r>
        <w:rPr>
          <w:rFonts w:ascii="Times New Roman" w:eastAsia="宋体" w:hAnsi="Times New Roman"/>
          <w:color w:val="000000"/>
          <w:sz w:val="20"/>
          <w:szCs w:val="20"/>
        </w:rPr>
        <w:t>technologies. We manage our investments through our venture capital investment arm, Dell Technologies Capital.</w:t>
      </w:r>
    </w:p>
    <w:p w14:paraId="7DCFCD13" w14:textId="77777777" w:rsidR="00C1563E" w:rsidRDefault="00C1563E"/>
    <w:p w14:paraId="7DCFCD14" w14:textId="77777777" w:rsidR="00C1563E" w:rsidRDefault="000B648B">
      <w:r>
        <w:rPr>
          <w:rFonts w:ascii="Times New Roman" w:eastAsia="宋体" w:hAnsi="Times New Roman"/>
          <w:color w:val="000000"/>
          <w:sz w:val="20"/>
          <w:szCs w:val="20"/>
        </w:rPr>
        <w:t>VMware represents a significant portion of our R&amp;D activities and has assembled an experienced group of developers with expertise in software-de</w:t>
      </w:r>
      <w:r>
        <w:rPr>
          <w:rFonts w:ascii="Times New Roman" w:eastAsia="宋体" w:hAnsi="Times New Roman"/>
          <w:color w:val="000000"/>
          <w:sz w:val="20"/>
          <w:szCs w:val="20"/>
        </w:rPr>
        <w:t>fined data centers, hybrid and multiple public clouds, the modernization, migration and management of applications, networking, security, and digital workspaces. VMware also has strong ties to leading academic institutions around the world and invests in j</w:t>
      </w:r>
      <w:r>
        <w:rPr>
          <w:rFonts w:ascii="Times New Roman" w:eastAsia="宋体" w:hAnsi="Times New Roman"/>
          <w:color w:val="000000"/>
          <w:sz w:val="20"/>
          <w:szCs w:val="20"/>
        </w:rPr>
        <w:t xml:space="preserve">oint research with those institutions. Product development efforts are prioritized through a combination of engineering-driven innovation and customer- and market-driven feedback. </w:t>
      </w:r>
    </w:p>
    <w:p w14:paraId="7DCFCD15" w14:textId="77777777" w:rsidR="00C1563E" w:rsidRDefault="00C1563E"/>
    <w:p w14:paraId="7DCFCD16" w14:textId="77777777" w:rsidR="00C1563E" w:rsidRDefault="000B648B">
      <w:r>
        <w:rPr>
          <w:rFonts w:ascii="Times New Roman" w:eastAsia="宋体" w:hAnsi="Times New Roman"/>
          <w:color w:val="000000"/>
          <w:sz w:val="20"/>
          <w:szCs w:val="20"/>
        </w:rPr>
        <w:t>Dell Technologies has a global R&amp;D presence, with total R&amp;D expenses of $5</w:t>
      </w:r>
      <w:r>
        <w:rPr>
          <w:rFonts w:ascii="Times New Roman" w:eastAsia="宋体" w:hAnsi="Times New Roman"/>
          <w:color w:val="000000"/>
          <w:sz w:val="20"/>
          <w:szCs w:val="20"/>
        </w:rPr>
        <w:t>.3 billion, $5.0 billion, and $4.6 billion</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for Fiscal 2021, Fiscal 2020, and Fiscal 2019, respectively. These investments reflect our commitment to R&amp;D activities that ultimately support our mission to help our customers build their digital future and </w:t>
      </w:r>
      <w:r>
        <w:rPr>
          <w:rFonts w:ascii="Times New Roman" w:eastAsia="宋体" w:hAnsi="Times New Roman"/>
          <w:color w:val="000000"/>
          <w:sz w:val="20"/>
          <w:szCs w:val="20"/>
        </w:rPr>
        <w:t>to transform IT.</w:t>
      </w:r>
    </w:p>
    <w:p w14:paraId="7DCFCD17" w14:textId="77777777" w:rsidR="00C1563E" w:rsidRDefault="00C1563E"/>
    <w:p w14:paraId="7DCFCD18" w14:textId="77777777" w:rsidR="00C1563E" w:rsidRDefault="000B648B">
      <w:r>
        <w:rPr>
          <w:rFonts w:ascii="Times New Roman" w:eastAsia="宋体" w:hAnsi="Times New Roman"/>
          <w:b/>
          <w:bCs/>
          <w:color w:val="000000"/>
          <w:sz w:val="20"/>
          <w:szCs w:val="20"/>
        </w:rPr>
        <w:t>Manufacturing and Materials</w:t>
      </w:r>
    </w:p>
    <w:p w14:paraId="7DCFCD19" w14:textId="77777777" w:rsidR="00C1563E" w:rsidRDefault="00C1563E"/>
    <w:p w14:paraId="7DCFCD1A" w14:textId="77777777" w:rsidR="00C1563E" w:rsidRDefault="000B648B">
      <w:r>
        <w:rPr>
          <w:rFonts w:ascii="Times New Roman" w:eastAsia="宋体" w:hAnsi="Times New Roman"/>
          <w:color w:val="000000"/>
          <w:sz w:val="20"/>
          <w:szCs w:val="20"/>
        </w:rPr>
        <w:t>We own manufacturing facilities located in the United States, Malaysia, China, Brazil, India, Poland, and Ireland. See “Item 2 — Properties” for information about our manufacturing and distribution facilities.</w:t>
      </w:r>
      <w:r>
        <w:rPr>
          <w:rFonts w:ascii="Times New Roman" w:eastAsia="宋体" w:hAnsi="Times New Roman"/>
          <w:color w:val="000000"/>
          <w:sz w:val="20"/>
          <w:szCs w:val="20"/>
        </w:rPr>
        <w:t xml:space="preserve"> </w:t>
      </w:r>
    </w:p>
    <w:p w14:paraId="7DCFCD1B" w14:textId="77777777" w:rsidR="00C1563E" w:rsidRDefault="00C1563E"/>
    <w:p w14:paraId="7DCFCD1C" w14:textId="77777777" w:rsidR="00C1563E" w:rsidRDefault="000B648B">
      <w:r>
        <w:rPr>
          <w:rFonts w:ascii="Times New Roman" w:eastAsia="宋体" w:hAnsi="Times New Roman"/>
          <w:color w:val="000000"/>
          <w:sz w:val="20"/>
          <w:szCs w:val="20"/>
        </w:rPr>
        <w:t>We also utilize contract manufacturers throughout the world to manufacture or assemble our products under the Dell Technologies brand as part of our strategy to enhance our variable cost structure and to achieve our goals of generating cost efficiencies</w:t>
      </w:r>
      <w:r>
        <w:rPr>
          <w:rFonts w:ascii="Times New Roman" w:eastAsia="宋体" w:hAnsi="Times New Roman"/>
          <w:color w:val="000000"/>
          <w:sz w:val="20"/>
          <w:szCs w:val="20"/>
        </w:rPr>
        <w:t>, delivering products faster, better serving our customers, and enhancing our world-class supply chain.</w:t>
      </w:r>
    </w:p>
    <w:p w14:paraId="7DCFCD1D" w14:textId="77777777" w:rsidR="00C1563E" w:rsidRDefault="000B648B">
      <w:r>
        <w:rPr>
          <w:rFonts w:ascii="Times New Roman" w:eastAsia="宋体" w:hAnsi="Times New Roman"/>
          <w:color w:val="000000"/>
          <w:sz w:val="20"/>
          <w:szCs w:val="20"/>
        </w:rPr>
        <w:t>Our manufacturing process consists of assembly, software installation, functional testing, and quality control. We conduct operations utilizing a formal</w:t>
      </w:r>
      <w:r>
        <w:rPr>
          <w:rFonts w:ascii="Times New Roman" w:eastAsia="宋体" w:hAnsi="Times New Roman"/>
          <w:color w:val="000000"/>
          <w:sz w:val="20"/>
          <w:szCs w:val="20"/>
        </w:rPr>
        <w:t>, documented quality management system to ensure that our products and services satisfy customer needs and expectations. Testing and quality control are also applied to components, parts, sub-assemblies, and systems obtained from third-party suppliers.</w:t>
      </w:r>
    </w:p>
    <w:p w14:paraId="7DCFCD1E" w14:textId="77777777" w:rsidR="00C1563E" w:rsidRDefault="00C1563E"/>
    <w:p w14:paraId="7DCFCD1F" w14:textId="77777777" w:rsidR="00C1563E" w:rsidRDefault="000B648B">
      <w:r>
        <w:rPr>
          <w:rFonts w:ascii="Times New Roman" w:eastAsia="宋体" w:hAnsi="Times New Roman"/>
          <w:color w:val="000000"/>
          <w:sz w:val="20"/>
          <w:szCs w:val="20"/>
        </w:rPr>
        <w:t>Ou</w:t>
      </w:r>
      <w:r>
        <w:rPr>
          <w:rFonts w:ascii="Times New Roman" w:eastAsia="宋体" w:hAnsi="Times New Roman"/>
          <w:color w:val="000000"/>
          <w:sz w:val="20"/>
          <w:szCs w:val="20"/>
        </w:rPr>
        <w:t xml:space="preserve">r quality management system is maintained through the testing of components, sub-assemblies, software, and systems at various stages in the manufacturing process. Quality control procedures also include a burn-in period for completed units after assembly, </w:t>
      </w:r>
      <w:r>
        <w:rPr>
          <w:rFonts w:ascii="Times New Roman" w:eastAsia="宋体" w:hAnsi="Times New Roman"/>
          <w:color w:val="000000"/>
          <w:sz w:val="20"/>
          <w:szCs w:val="20"/>
        </w:rPr>
        <w:t>ongoing production reliability audits, failure tracking for early identification of production and component problems, and information from customers obtained through services and support programs. This system is certified to the ISO 9001 International Sta</w:t>
      </w:r>
      <w:r>
        <w:rPr>
          <w:rFonts w:ascii="Times New Roman" w:eastAsia="宋体" w:hAnsi="Times New Roman"/>
          <w:color w:val="000000"/>
          <w:sz w:val="20"/>
          <w:szCs w:val="20"/>
        </w:rPr>
        <w:t xml:space="preserve">ndard that includes most of our global sites that design, manufacture, and service our products. </w:t>
      </w:r>
    </w:p>
    <w:p w14:paraId="7DCFCD20" w14:textId="77777777" w:rsidR="00C1563E" w:rsidRDefault="00C1563E"/>
    <w:p w14:paraId="7DCFCD21" w14:textId="77777777" w:rsidR="00C1563E" w:rsidRDefault="000B648B">
      <w:r>
        <w:rPr>
          <w:rFonts w:ascii="Times New Roman" w:eastAsia="宋体" w:hAnsi="Times New Roman"/>
          <w:color w:val="000000"/>
          <w:sz w:val="20"/>
          <w:szCs w:val="20"/>
        </w:rPr>
        <w:t>Our order fulfillment, manufacturing, and test facilities in Massachusetts, North Carolina, and Ireland are certified to the ISO 14001 International Standard</w:t>
      </w:r>
      <w:r>
        <w:rPr>
          <w:rFonts w:ascii="Times New Roman" w:eastAsia="宋体" w:hAnsi="Times New Roman"/>
          <w:color w:val="000000"/>
          <w:sz w:val="20"/>
          <w:szCs w:val="20"/>
        </w:rPr>
        <w:t xml:space="preserve"> for environmental management systems and also have achieved OHSAS 18001 certification, an international standard for facilities with world-class safety and health management systems. These internationally-recognized endorsements of ongoing quality and env</w:t>
      </w:r>
      <w:r>
        <w:rPr>
          <w:rFonts w:ascii="Times New Roman" w:eastAsia="宋体" w:hAnsi="Times New Roman"/>
          <w:color w:val="000000"/>
          <w:sz w:val="20"/>
          <w:szCs w:val="20"/>
        </w:rPr>
        <w:t xml:space="preserve">ironmental management are among the highest levels of certifications </w:t>
      </w:r>
    </w:p>
    <w:p w14:paraId="7DCFCD22" w14:textId="77777777" w:rsidR="00C1563E" w:rsidRDefault="00C1563E">
      <w:pPr>
        <w:jc w:val="center"/>
      </w:pPr>
    </w:p>
    <w:p w14:paraId="7DCFCD23" w14:textId="77777777" w:rsidR="00C1563E" w:rsidRDefault="000B648B">
      <w:pPr>
        <w:jc w:val="center"/>
      </w:pPr>
      <w:r>
        <w:rPr>
          <w:rFonts w:ascii="Times New Roman" w:eastAsia="宋体" w:hAnsi="Times New Roman"/>
          <w:color w:val="000000"/>
          <w:sz w:val="20"/>
          <w:szCs w:val="20"/>
        </w:rPr>
        <w:t>8</w:t>
      </w:r>
    </w:p>
    <w:p w14:paraId="7DCFCD24" w14:textId="77777777" w:rsidR="00C1563E" w:rsidRDefault="00C1563E">
      <w:pPr>
        <w:jc w:val="center"/>
      </w:pPr>
    </w:p>
    <w:p w14:paraId="7DCFCD25" w14:textId="77777777" w:rsidR="00C1563E" w:rsidRDefault="000B648B">
      <w:r>
        <w:pict w14:anchorId="7DD0256E">
          <v:rect id="_x0000_i1032" style="width:415.3pt;height:1.5pt" o:hralign="center" o:hrstd="t" o:hr="t" fillcolor="#a0a0a0" stroked="f"/>
        </w:pict>
      </w:r>
    </w:p>
    <w:p w14:paraId="7DCFCD26" w14:textId="77777777" w:rsidR="00C1563E" w:rsidRDefault="000B648B">
      <w:hyperlink r:id="rId83" w:anchor="i418e32e4a35149ffbf7d3a25d66881b8_10" w:history="1">
        <w:r>
          <w:rPr>
            <w:rStyle w:val="a5"/>
            <w:rFonts w:ascii="Times New Roman" w:eastAsia="宋体" w:hAnsi="Times New Roman"/>
            <w:sz w:val="20"/>
            <w:szCs w:val="20"/>
          </w:rPr>
          <w:t>Table of Contents</w:t>
        </w:r>
      </w:hyperlink>
    </w:p>
    <w:p w14:paraId="7DCFCD27" w14:textId="77777777" w:rsidR="00C1563E" w:rsidRDefault="000B648B">
      <w:r>
        <w:rPr>
          <w:rFonts w:ascii="Times New Roman" w:eastAsia="宋体" w:hAnsi="Times New Roman"/>
          <w:color w:val="000000"/>
          <w:sz w:val="20"/>
          <w:szCs w:val="20"/>
        </w:rPr>
        <w:t>availabl</w:t>
      </w:r>
      <w:r>
        <w:rPr>
          <w:rFonts w:ascii="Times New Roman" w:eastAsia="宋体" w:hAnsi="Times New Roman"/>
          <w:color w:val="000000"/>
          <w:sz w:val="20"/>
          <w:szCs w:val="20"/>
        </w:rPr>
        <w:t xml:space="preserve">e. We also have implemented Lean Six Sigma and 7S (Customer, Safety, Quality, Delivery, Cost, Team, and Green) methodologies to ensure that the quality of our designs, manufacturing, test processes, and supplier relationships is continually improved. </w:t>
      </w:r>
    </w:p>
    <w:p w14:paraId="7DCFCD28" w14:textId="77777777" w:rsidR="00C1563E" w:rsidRDefault="00C1563E"/>
    <w:p w14:paraId="7DCFCD29" w14:textId="77777777" w:rsidR="00C1563E" w:rsidRDefault="000B648B">
      <w:r>
        <w:rPr>
          <w:rFonts w:ascii="Times New Roman" w:eastAsia="宋体" w:hAnsi="Times New Roman"/>
          <w:color w:val="000000"/>
          <w:sz w:val="20"/>
          <w:szCs w:val="20"/>
        </w:rPr>
        <w:t xml:space="preserve">We </w:t>
      </w:r>
      <w:r>
        <w:rPr>
          <w:rFonts w:ascii="Times New Roman" w:eastAsia="宋体" w:hAnsi="Times New Roman"/>
          <w:color w:val="000000"/>
          <w:sz w:val="20"/>
          <w:szCs w:val="20"/>
        </w:rPr>
        <w:t>maintain a robust Supplier Code of Conduct, actively manage recycling processes for our returned products, and are certified by the Environmental Protection Agency as a Smartway Transport Partner.</w:t>
      </w:r>
    </w:p>
    <w:p w14:paraId="7DCFCD2A" w14:textId="77777777" w:rsidR="00C1563E" w:rsidRDefault="00C1563E"/>
    <w:p w14:paraId="7DCFCD2B" w14:textId="77777777" w:rsidR="00C1563E" w:rsidRDefault="000B648B">
      <w:r>
        <w:rPr>
          <w:rFonts w:ascii="Times New Roman" w:eastAsia="宋体" w:hAnsi="Times New Roman"/>
          <w:color w:val="000000"/>
          <w:sz w:val="20"/>
          <w:szCs w:val="20"/>
        </w:rPr>
        <w:t>We purchase materials, supplies, product components, and p</w:t>
      </w:r>
      <w:r>
        <w:rPr>
          <w:rFonts w:ascii="Times New Roman" w:eastAsia="宋体" w:hAnsi="Times New Roman"/>
          <w:color w:val="000000"/>
          <w:sz w:val="20"/>
          <w:szCs w:val="20"/>
        </w:rPr>
        <w:t>roducts from a large number of qualified suppliers. In some cases, where multiple sources of supply are not available, we rely on a single source or a limited number of sources of supply if we believe it is advantageous to do so because of performance, qua</w:t>
      </w:r>
      <w:r>
        <w:rPr>
          <w:rFonts w:ascii="Times New Roman" w:eastAsia="宋体" w:hAnsi="Times New Roman"/>
          <w:color w:val="000000"/>
          <w:sz w:val="20"/>
          <w:szCs w:val="20"/>
        </w:rPr>
        <w:t xml:space="preserve">lity, support, delivery, capacity, or price considerations. We believe that any disruption that may occur because of our dependence on single- or limited-source vendors would not disproportionately disadvantage us relative to our competitors. See “Item 1A </w:t>
      </w:r>
      <w:r>
        <w:rPr>
          <w:rFonts w:ascii="Times New Roman" w:eastAsia="宋体" w:hAnsi="Times New Roman"/>
          <w:color w:val="000000"/>
          <w:sz w:val="20"/>
          <w:szCs w:val="20"/>
        </w:rPr>
        <w:t xml:space="preserve">— Risk Factors — Risks Relating to Our Business and Our Industry — Reliance on vendors for products and components, many of which are single-source or limited-source suppliers, could harm our business by adversely affecting product availability, delivery, </w:t>
      </w:r>
      <w:r>
        <w:rPr>
          <w:rFonts w:ascii="Times New Roman" w:eastAsia="宋体" w:hAnsi="Times New Roman"/>
          <w:color w:val="000000"/>
          <w:sz w:val="20"/>
          <w:szCs w:val="20"/>
        </w:rPr>
        <w:t>reliability, and cost” for information about the risks associated with Dell Technologies’ use of single- or limited-source suppliers.</w:t>
      </w:r>
    </w:p>
    <w:p w14:paraId="7DCFCD2C" w14:textId="77777777" w:rsidR="00C1563E" w:rsidRDefault="00C1563E"/>
    <w:p w14:paraId="7DCFCD2D" w14:textId="77777777" w:rsidR="00C1563E" w:rsidRDefault="000B648B">
      <w:r>
        <w:rPr>
          <w:rFonts w:ascii="Times New Roman" w:eastAsia="宋体" w:hAnsi="Times New Roman"/>
          <w:b/>
          <w:bCs/>
          <w:color w:val="000000"/>
          <w:sz w:val="20"/>
          <w:szCs w:val="20"/>
        </w:rPr>
        <w:t>Geographic Operations</w:t>
      </w:r>
    </w:p>
    <w:p w14:paraId="7DCFCD2E" w14:textId="77777777" w:rsidR="00C1563E" w:rsidRDefault="00C1563E"/>
    <w:p w14:paraId="7DCFCD2F" w14:textId="77777777" w:rsidR="00C1563E" w:rsidRDefault="000B648B">
      <w:r>
        <w:rPr>
          <w:rFonts w:ascii="Times New Roman" w:eastAsia="宋体" w:hAnsi="Times New Roman"/>
          <w:color w:val="000000"/>
          <w:sz w:val="20"/>
          <w:szCs w:val="20"/>
        </w:rPr>
        <w:t xml:space="preserve">Our global corporate headquarters is located in Round Rock, Texas. We have operations and </w:t>
      </w:r>
      <w:r>
        <w:rPr>
          <w:rFonts w:ascii="Times New Roman" w:eastAsia="宋体" w:hAnsi="Times New Roman"/>
          <w:color w:val="000000"/>
          <w:sz w:val="20"/>
          <w:szCs w:val="20"/>
        </w:rPr>
        <w:t>conduct business in many countries located in the Americas, Europe, the Middle East, Asia, and other geographic regions. To increase our global presence, we continue to focus on emerging markets outside of the United States, Western Europe, Canada, and Jap</w:t>
      </w:r>
      <w:r>
        <w:rPr>
          <w:rFonts w:ascii="Times New Roman" w:eastAsia="宋体" w:hAnsi="Times New Roman"/>
          <w:color w:val="000000"/>
          <w:sz w:val="20"/>
          <w:szCs w:val="20"/>
        </w:rPr>
        <w:t>an. We continue to view these geographical markets, which include the vast majority of the world’s population, as a long-term growth opportunity. Accordingly, we pursue the development of technology solutions that meet the needs of these markets. Our expan</w:t>
      </w:r>
      <w:r>
        <w:rPr>
          <w:rFonts w:ascii="Times New Roman" w:eastAsia="宋体" w:hAnsi="Times New Roman"/>
          <w:color w:val="000000"/>
          <w:sz w:val="20"/>
          <w:szCs w:val="20"/>
        </w:rPr>
        <w:t>sion in emerging markets creates additional complexity in coordinating the design, development, procurement, manufacturing, distribution, and support of our product and services offerings. For information about the amount of net revenue we generated from o</w:t>
      </w:r>
      <w:r>
        <w:rPr>
          <w:rFonts w:ascii="Times New Roman" w:eastAsia="宋体" w:hAnsi="Times New Roman"/>
          <w:color w:val="000000"/>
          <w:sz w:val="20"/>
          <w:szCs w:val="20"/>
        </w:rPr>
        <w:t>ur operations outside of the United States during the last three fiscal years, see Note 19 of the Notes to the Consolidated Financial Statements included in this report.</w:t>
      </w:r>
    </w:p>
    <w:p w14:paraId="7DCFCD30" w14:textId="77777777" w:rsidR="00C1563E" w:rsidRDefault="00C1563E"/>
    <w:p w14:paraId="7DCFCD31" w14:textId="77777777" w:rsidR="00C1563E" w:rsidRDefault="000B648B">
      <w:r>
        <w:rPr>
          <w:rFonts w:ascii="Times New Roman" w:eastAsia="宋体" w:hAnsi="Times New Roman"/>
          <w:b/>
          <w:bCs/>
          <w:color w:val="000000"/>
          <w:sz w:val="20"/>
          <w:szCs w:val="20"/>
        </w:rPr>
        <w:t>Seasonality</w:t>
      </w:r>
    </w:p>
    <w:p w14:paraId="7DCFCD32" w14:textId="77777777" w:rsidR="00C1563E" w:rsidRDefault="00C1563E"/>
    <w:p w14:paraId="7DCFCD33" w14:textId="77777777" w:rsidR="00C1563E" w:rsidRDefault="000B648B">
      <w:r>
        <w:rPr>
          <w:rFonts w:ascii="Times New Roman" w:eastAsia="宋体" w:hAnsi="Times New Roman"/>
          <w:color w:val="000000"/>
          <w:sz w:val="20"/>
          <w:szCs w:val="20"/>
        </w:rPr>
        <w:t>Our sales are affected by seasonal trends. Among the trends with the mos</w:t>
      </w:r>
      <w:r>
        <w:rPr>
          <w:rFonts w:ascii="Times New Roman" w:eastAsia="宋体" w:hAnsi="Times New Roman"/>
          <w:color w:val="000000"/>
          <w:sz w:val="20"/>
          <w:szCs w:val="20"/>
        </w:rPr>
        <w:t>t significant effect on our operating results, sales to government customers (particularly the U.S. government) generally are stronger in our third fiscal quarter, sales in Europe, the Middle East and Africa are often weaker in our third fiscal quarter, an</w:t>
      </w:r>
      <w:r>
        <w:rPr>
          <w:rFonts w:ascii="Times New Roman" w:eastAsia="宋体" w:hAnsi="Times New Roman"/>
          <w:color w:val="000000"/>
          <w:sz w:val="20"/>
          <w:szCs w:val="20"/>
        </w:rPr>
        <w:t>d sales to consumers are typically strongest during our fourth fiscal quarter.</w:t>
      </w:r>
    </w:p>
    <w:p w14:paraId="7DCFCD34" w14:textId="77777777" w:rsidR="00C1563E" w:rsidRDefault="00C1563E"/>
    <w:p w14:paraId="7DCFCD35" w14:textId="77777777" w:rsidR="00C1563E" w:rsidRDefault="000B648B">
      <w:r>
        <w:rPr>
          <w:rFonts w:ascii="Times New Roman" w:eastAsia="宋体" w:hAnsi="Times New Roman"/>
          <w:b/>
          <w:bCs/>
          <w:color w:val="000000"/>
          <w:sz w:val="20"/>
          <w:szCs w:val="20"/>
        </w:rPr>
        <w:t xml:space="preserve">Competition </w:t>
      </w:r>
    </w:p>
    <w:p w14:paraId="7DCFCD36" w14:textId="77777777" w:rsidR="00C1563E" w:rsidRDefault="00C1563E"/>
    <w:p w14:paraId="7DCFCD37" w14:textId="77777777" w:rsidR="00C1563E" w:rsidRDefault="000B648B">
      <w:r>
        <w:rPr>
          <w:rFonts w:ascii="Times New Roman" w:eastAsia="宋体" w:hAnsi="Times New Roman"/>
          <w:color w:val="000000"/>
          <w:sz w:val="20"/>
          <w:szCs w:val="20"/>
        </w:rPr>
        <w:t>We operate in an industry in which there are rapid technological advances in hardware, software, and services offerings. We face ongoing product and price competi</w:t>
      </w:r>
      <w:r>
        <w:rPr>
          <w:rFonts w:ascii="Times New Roman" w:eastAsia="宋体" w:hAnsi="Times New Roman"/>
          <w:color w:val="000000"/>
          <w:sz w:val="20"/>
          <w:szCs w:val="20"/>
        </w:rPr>
        <w:t>tion in all areas of our business, including from both branded and generic competitors. We compete based on our ability to offer customers competitive, scalable, and integrated solutions that provide the most current and desired product and services featur</w:t>
      </w:r>
      <w:r>
        <w:rPr>
          <w:rFonts w:ascii="Times New Roman" w:eastAsia="宋体" w:hAnsi="Times New Roman"/>
          <w:color w:val="000000"/>
          <w:sz w:val="20"/>
          <w:szCs w:val="20"/>
        </w:rPr>
        <w:t>es at a competitive price. We closely monitor market pricing and solutions trends, including the effect of foreign exchange rate movements, in an effort to provide the best value for our customers. We believe that our strong relationships with our customer</w:t>
      </w:r>
      <w:r>
        <w:rPr>
          <w:rFonts w:ascii="Times New Roman" w:eastAsia="宋体" w:hAnsi="Times New Roman"/>
          <w:color w:val="000000"/>
          <w:sz w:val="20"/>
          <w:szCs w:val="20"/>
        </w:rPr>
        <w:t>s and channel partners allow us to respond quickly to changing customer needs and other macroeconomic factors.</w:t>
      </w:r>
    </w:p>
    <w:p w14:paraId="7DCFCD38" w14:textId="77777777" w:rsidR="00C1563E" w:rsidRDefault="00C1563E"/>
    <w:p w14:paraId="7DCFCD39" w14:textId="77777777" w:rsidR="00C1563E" w:rsidRDefault="000B648B">
      <w:r>
        <w:rPr>
          <w:rFonts w:ascii="Times New Roman" w:eastAsia="宋体" w:hAnsi="Times New Roman"/>
          <w:color w:val="000000"/>
          <w:sz w:val="20"/>
          <w:szCs w:val="20"/>
        </w:rPr>
        <w:t>We also face competition from non-traditional IT companies such as cloud service providers, also known as hyperscalers, that buy their infrastru</w:t>
      </w:r>
      <w:r>
        <w:rPr>
          <w:rFonts w:ascii="Times New Roman" w:eastAsia="宋体" w:hAnsi="Times New Roman"/>
          <w:color w:val="000000"/>
          <w:sz w:val="20"/>
          <w:szCs w:val="20"/>
        </w:rPr>
        <w:t>cture directly from original design manufacturers. Competitive pressures could increase if customers choose to move application workloads to cloud service providers away from traditional or private data centers.</w:t>
      </w:r>
    </w:p>
    <w:p w14:paraId="7DCFCD3A" w14:textId="77777777" w:rsidR="00C1563E" w:rsidRDefault="00C1563E"/>
    <w:p w14:paraId="7DCFCD3B" w14:textId="77777777" w:rsidR="00C1563E" w:rsidRDefault="000B648B">
      <w:r>
        <w:rPr>
          <w:rFonts w:ascii="Times New Roman" w:eastAsia="宋体" w:hAnsi="Times New Roman"/>
          <w:color w:val="000000"/>
          <w:sz w:val="20"/>
          <w:szCs w:val="20"/>
        </w:rPr>
        <w:t>The markets in which we compete are compris</w:t>
      </w:r>
      <w:r>
        <w:rPr>
          <w:rFonts w:ascii="Times New Roman" w:eastAsia="宋体" w:hAnsi="Times New Roman"/>
          <w:color w:val="000000"/>
          <w:sz w:val="20"/>
          <w:szCs w:val="20"/>
        </w:rPr>
        <w:t>ed of large and small companies across all areas of our business. We believe that new businesses will continue to enter these markets and develop technologies that, if commercialized, may compete with our products and services. Moreover, current competitor</w:t>
      </w:r>
      <w:r>
        <w:rPr>
          <w:rFonts w:ascii="Times New Roman" w:eastAsia="宋体" w:hAnsi="Times New Roman"/>
          <w:color w:val="000000"/>
          <w:sz w:val="20"/>
          <w:szCs w:val="20"/>
        </w:rPr>
        <w:t>s may enter into new strategic relationships with new or existing competitors, which may further increase the competitive pressures. See “Item 1A — Risk Factors — Risks Relating to Our Business and Our Industry” for information about our competitive risks.</w:t>
      </w:r>
      <w:r>
        <w:rPr>
          <w:rFonts w:ascii="Times New Roman" w:eastAsia="宋体" w:hAnsi="Times New Roman"/>
          <w:color w:val="000000"/>
          <w:sz w:val="20"/>
          <w:szCs w:val="20"/>
        </w:rPr>
        <w:t xml:space="preserve"> </w:t>
      </w:r>
    </w:p>
    <w:p w14:paraId="7DCFCD3C" w14:textId="77777777" w:rsidR="00C1563E" w:rsidRDefault="00C1563E"/>
    <w:p w14:paraId="7DCFCD3D" w14:textId="77777777" w:rsidR="00C1563E" w:rsidRDefault="00C1563E">
      <w:pPr>
        <w:jc w:val="center"/>
      </w:pPr>
    </w:p>
    <w:p w14:paraId="7DCFCD3E" w14:textId="77777777" w:rsidR="00C1563E" w:rsidRDefault="000B648B">
      <w:pPr>
        <w:jc w:val="center"/>
      </w:pPr>
      <w:r>
        <w:rPr>
          <w:rFonts w:ascii="Times New Roman" w:eastAsia="宋体" w:hAnsi="Times New Roman"/>
          <w:color w:val="000000"/>
          <w:sz w:val="20"/>
          <w:szCs w:val="20"/>
        </w:rPr>
        <w:t>9</w:t>
      </w:r>
    </w:p>
    <w:p w14:paraId="7DCFCD3F" w14:textId="77777777" w:rsidR="00C1563E" w:rsidRDefault="00C1563E">
      <w:pPr>
        <w:jc w:val="center"/>
      </w:pPr>
    </w:p>
    <w:p w14:paraId="7DCFCD40" w14:textId="77777777" w:rsidR="00C1563E" w:rsidRDefault="000B648B">
      <w:r>
        <w:pict w14:anchorId="7DD0256F">
          <v:rect id="_x0000_i1033" style="width:415.3pt;height:1.5pt" o:hralign="center" o:hrstd="t" o:hr="t" fillcolor="#a0a0a0" stroked="f"/>
        </w:pict>
      </w:r>
    </w:p>
    <w:p w14:paraId="7DCFCD41" w14:textId="77777777" w:rsidR="00C1563E" w:rsidRDefault="000B648B">
      <w:hyperlink r:id="rId84" w:anchor="i418e32e4a35149ffbf7d3a25d66881b8_10" w:history="1">
        <w:r>
          <w:rPr>
            <w:rStyle w:val="a5"/>
            <w:rFonts w:ascii="Times New Roman" w:eastAsia="宋体" w:hAnsi="Times New Roman"/>
            <w:sz w:val="20"/>
            <w:szCs w:val="20"/>
          </w:rPr>
          <w:t>Table of Contents</w:t>
        </w:r>
      </w:hyperlink>
    </w:p>
    <w:p w14:paraId="7DCFCD42" w14:textId="77777777" w:rsidR="00C1563E" w:rsidRDefault="000B648B">
      <w:r>
        <w:rPr>
          <w:rFonts w:ascii="Times New Roman" w:eastAsia="宋体" w:hAnsi="Times New Roman"/>
          <w:b/>
          <w:bCs/>
          <w:color w:val="000000"/>
          <w:sz w:val="20"/>
          <w:szCs w:val="20"/>
        </w:rPr>
        <w:t>Sales and Marketing</w:t>
      </w:r>
    </w:p>
    <w:p w14:paraId="7DCFCD43" w14:textId="77777777" w:rsidR="00C1563E" w:rsidRDefault="00C1563E"/>
    <w:p w14:paraId="7DCFCD44" w14:textId="77777777" w:rsidR="00C1563E" w:rsidRDefault="000B648B">
      <w:r>
        <w:rPr>
          <w:rFonts w:ascii="Times New Roman" w:eastAsia="宋体" w:hAnsi="Times New Roman"/>
          <w:color w:val="000000"/>
          <w:sz w:val="20"/>
          <w:szCs w:val="20"/>
        </w:rPr>
        <w:t>Our sales efforts are organized around the evolving needs of ou</w:t>
      </w:r>
      <w:r>
        <w:rPr>
          <w:rFonts w:ascii="Times New Roman" w:eastAsia="宋体" w:hAnsi="Times New Roman"/>
          <w:color w:val="000000"/>
          <w:sz w:val="20"/>
          <w:szCs w:val="20"/>
        </w:rPr>
        <w:t>r customers, and our marketing initiatives reflect this focus. Our unified global sales and marketing team creates a sales organization that is customer-focused, collaborative, and innovative. O</w:t>
      </w:r>
      <w:r>
        <w:rPr>
          <w:rFonts w:ascii="Times New Roman" w:eastAsia="宋体" w:hAnsi="Times New Roman"/>
          <w:color w:val="000000"/>
          <w:sz w:val="20"/>
          <w:szCs w:val="20"/>
          <w:shd w:val="clear" w:color="auto" w:fill="FFFFFF"/>
        </w:rPr>
        <w:t>ur customers include large global and national enterprises, pu</w:t>
      </w:r>
      <w:r>
        <w:rPr>
          <w:rFonts w:ascii="Times New Roman" w:eastAsia="宋体" w:hAnsi="Times New Roman"/>
          <w:color w:val="000000"/>
          <w:sz w:val="20"/>
          <w:szCs w:val="20"/>
          <w:shd w:val="clear" w:color="auto" w:fill="FFFFFF"/>
        </w:rPr>
        <w:t>blic institutions that include government, educational institutions, healthc</w:t>
      </w:r>
      <w:r>
        <w:rPr>
          <w:rFonts w:ascii="Times New Roman" w:eastAsia="宋体" w:hAnsi="Times New Roman"/>
          <w:color w:val="000000"/>
          <w:sz w:val="20"/>
          <w:szCs w:val="20"/>
        </w:rPr>
        <w:t xml:space="preserve">are organizations, and law enforcement agencies, small and medium-sized businesses, and consumers. </w:t>
      </w:r>
    </w:p>
    <w:p w14:paraId="7DCFCD45" w14:textId="77777777" w:rsidR="00C1563E" w:rsidRDefault="00C1563E"/>
    <w:p w14:paraId="7DCFCD46" w14:textId="77777777" w:rsidR="00C1563E" w:rsidRDefault="000B648B">
      <w:r>
        <w:rPr>
          <w:rFonts w:ascii="Times New Roman" w:eastAsia="宋体" w:hAnsi="Times New Roman"/>
          <w:i/>
          <w:iCs/>
          <w:color w:val="000000"/>
          <w:sz w:val="20"/>
          <w:szCs w:val="20"/>
        </w:rPr>
        <w:t>Go-to-market strategy</w:t>
      </w:r>
      <w:r>
        <w:rPr>
          <w:rFonts w:ascii="Times New Roman" w:eastAsia="宋体" w:hAnsi="Times New Roman"/>
          <w:color w:val="000000"/>
          <w:sz w:val="20"/>
          <w:szCs w:val="20"/>
        </w:rPr>
        <w:t xml:space="preserve"> — We sell products and services directly to customers and</w:t>
      </w:r>
      <w:r>
        <w:rPr>
          <w:rFonts w:ascii="Times New Roman" w:eastAsia="宋体" w:hAnsi="Times New Roman"/>
          <w:color w:val="000000"/>
          <w:sz w:val="20"/>
          <w:szCs w:val="20"/>
        </w:rPr>
        <w:t xml:space="preserve"> through other sales channels, which include value-added resellers, system integrators, distributors, and retailers. We continue to pursue our direct business strategy, which emphasizes direct communication with customers, thereby allowing us to refine our</w:t>
      </w:r>
      <w:r>
        <w:rPr>
          <w:rFonts w:ascii="Times New Roman" w:eastAsia="宋体" w:hAnsi="Times New Roman"/>
          <w:color w:val="000000"/>
          <w:sz w:val="20"/>
          <w:szCs w:val="20"/>
        </w:rPr>
        <w:t xml:space="preserve"> products and marketing programs for specific customer groups. In addition to our direct business model, we rely on our network of channel partners to sell our products and services, enabling us to efficiently serve a greater number of customers. The Dell </w:t>
      </w:r>
      <w:r>
        <w:rPr>
          <w:rFonts w:ascii="Times New Roman" w:eastAsia="宋体" w:hAnsi="Times New Roman"/>
          <w:color w:val="000000"/>
          <w:sz w:val="20"/>
          <w:szCs w:val="20"/>
        </w:rPr>
        <w:t>Technologies partner program contributes to the development of channel sales by providing appropriate incentives for revenue generation. We also provide our channel partners access to third-party financing to help manage their working capital. We believe t</w:t>
      </w:r>
      <w:r>
        <w:rPr>
          <w:rFonts w:ascii="Times New Roman" w:eastAsia="宋体" w:hAnsi="Times New Roman"/>
          <w:color w:val="000000"/>
          <w:sz w:val="20"/>
          <w:szCs w:val="20"/>
        </w:rPr>
        <w:t xml:space="preserve">hat building long-term relationships with our channel partners enhances our ability to deliver an excellent customer experience. During Fiscal 2021, our other sales channels contributed over 50% of our net revenue. </w:t>
      </w:r>
    </w:p>
    <w:p w14:paraId="7DCFCD47" w14:textId="77777777" w:rsidR="00C1563E" w:rsidRDefault="00C1563E"/>
    <w:p w14:paraId="7DCFCD48" w14:textId="77777777" w:rsidR="00C1563E" w:rsidRDefault="000B648B">
      <w:r>
        <w:rPr>
          <w:rFonts w:ascii="Times New Roman" w:eastAsia="宋体" w:hAnsi="Times New Roman"/>
          <w:i/>
          <w:iCs/>
          <w:color w:val="000000"/>
          <w:sz w:val="20"/>
          <w:szCs w:val="20"/>
        </w:rPr>
        <w:t>Large enterprises and public institutio</w:t>
      </w:r>
      <w:r>
        <w:rPr>
          <w:rFonts w:ascii="Times New Roman" w:eastAsia="宋体" w:hAnsi="Times New Roman"/>
          <w:i/>
          <w:iCs/>
          <w:color w:val="000000"/>
          <w:sz w:val="20"/>
          <w:szCs w:val="20"/>
        </w:rPr>
        <w:t xml:space="preserve">ns </w:t>
      </w:r>
      <w:r>
        <w:rPr>
          <w:rFonts w:ascii="Times New Roman" w:eastAsia="宋体" w:hAnsi="Times New Roman"/>
          <w:color w:val="000000"/>
          <w:sz w:val="20"/>
          <w:szCs w:val="20"/>
        </w:rPr>
        <w:t>— For large enterprises and public institutions, we maintain a field sales force throughout the world. Dedicated account teams, which include technical sales specialists, form long-term relationships to provide our largest customers with a single source</w:t>
      </w:r>
      <w:r>
        <w:rPr>
          <w:rFonts w:ascii="Times New Roman" w:eastAsia="宋体" w:hAnsi="Times New Roman"/>
          <w:color w:val="000000"/>
          <w:sz w:val="20"/>
          <w:szCs w:val="20"/>
        </w:rPr>
        <w:t xml:space="preserve"> of assistance, develop tailored solutions for these customers, position the capabilities of Dell Technologies, and provide us with customer feedback. For these customers, we offer several programs designed to provide single points of contact and accountab</w:t>
      </w:r>
      <w:r>
        <w:rPr>
          <w:rFonts w:ascii="Times New Roman" w:eastAsia="宋体" w:hAnsi="Times New Roman"/>
          <w:color w:val="000000"/>
          <w:sz w:val="20"/>
          <w:szCs w:val="20"/>
        </w:rPr>
        <w:t>ility with dedicated account managers, special pricing, and consistent service and support programs. We also maintain specific sales and marketing programs targeting federal, state, and local governmental agencies, as well as healthcare and educational cus</w:t>
      </w:r>
      <w:r>
        <w:rPr>
          <w:rFonts w:ascii="Times New Roman" w:eastAsia="宋体" w:hAnsi="Times New Roman"/>
          <w:color w:val="000000"/>
          <w:sz w:val="20"/>
          <w:szCs w:val="20"/>
        </w:rPr>
        <w:t>tomers.</w:t>
      </w:r>
    </w:p>
    <w:p w14:paraId="7DCFCD49" w14:textId="77777777" w:rsidR="00C1563E" w:rsidRDefault="00C1563E"/>
    <w:p w14:paraId="7DCFCD4A" w14:textId="77777777" w:rsidR="00C1563E" w:rsidRDefault="000B648B">
      <w:r>
        <w:rPr>
          <w:rFonts w:ascii="Times New Roman" w:eastAsia="宋体" w:hAnsi="Times New Roman"/>
          <w:i/>
          <w:iCs/>
          <w:color w:val="000000"/>
          <w:sz w:val="20"/>
          <w:szCs w:val="20"/>
        </w:rPr>
        <w:t>Small and medium-sized business and consumers</w:t>
      </w:r>
      <w:r>
        <w:rPr>
          <w:rFonts w:ascii="Times New Roman" w:eastAsia="宋体" w:hAnsi="Times New Roman"/>
          <w:color w:val="000000"/>
          <w:sz w:val="20"/>
          <w:szCs w:val="20"/>
        </w:rPr>
        <w:t xml:space="preserve"> — We market our products and services to small and medium-sized businesses and consumers through various advertising media. To react quickly to our customers’ needs, we track our Net Promoter Score, a customer loyalty metric that is widely used across var</w:t>
      </w:r>
      <w:r>
        <w:rPr>
          <w:rFonts w:ascii="Times New Roman" w:eastAsia="宋体" w:hAnsi="Times New Roman"/>
          <w:color w:val="000000"/>
          <w:sz w:val="20"/>
          <w:szCs w:val="20"/>
        </w:rPr>
        <w:t>ious industries. Net Promoter Score is a trademark of Satmetrix Systems, Inc., Bain &amp; Company, Inc., and Fred Reichheld. We also engage with customers through our social media communities on our website and in external social media channels.</w:t>
      </w:r>
    </w:p>
    <w:p w14:paraId="7DCFCD4B" w14:textId="77777777" w:rsidR="00C1563E" w:rsidRDefault="00C1563E"/>
    <w:p w14:paraId="7DCFCD4C" w14:textId="77777777" w:rsidR="00C1563E" w:rsidRDefault="000B648B">
      <w:r>
        <w:rPr>
          <w:rFonts w:ascii="Times New Roman" w:eastAsia="宋体" w:hAnsi="Times New Roman"/>
          <w:b/>
          <w:bCs/>
          <w:color w:val="000000"/>
          <w:sz w:val="20"/>
          <w:szCs w:val="20"/>
        </w:rPr>
        <w:t>Product Backl</w:t>
      </w:r>
      <w:r>
        <w:rPr>
          <w:rFonts w:ascii="Times New Roman" w:eastAsia="宋体" w:hAnsi="Times New Roman"/>
          <w:b/>
          <w:bCs/>
          <w:color w:val="000000"/>
          <w:sz w:val="20"/>
          <w:szCs w:val="20"/>
        </w:rPr>
        <w:t>og</w:t>
      </w:r>
    </w:p>
    <w:p w14:paraId="7DCFCD4D" w14:textId="77777777" w:rsidR="00C1563E" w:rsidRDefault="00C1563E"/>
    <w:p w14:paraId="7DCFCD4E" w14:textId="77777777" w:rsidR="00C1563E" w:rsidRDefault="000B648B">
      <w:r>
        <w:rPr>
          <w:rFonts w:ascii="Times New Roman" w:eastAsia="宋体" w:hAnsi="Times New Roman"/>
          <w:color w:val="000000"/>
          <w:sz w:val="20"/>
          <w:szCs w:val="20"/>
        </w:rPr>
        <w:t>Product backlog represents the value of unfulfilled manufacturing orders. Our business model generally gives us the ability to optimize product backlog at any point in time, for example, expediting shipping or prioritizing customer orders toward produc</w:t>
      </w:r>
      <w:r>
        <w:rPr>
          <w:rFonts w:ascii="Times New Roman" w:eastAsia="宋体" w:hAnsi="Times New Roman"/>
          <w:color w:val="000000"/>
          <w:sz w:val="20"/>
          <w:szCs w:val="20"/>
        </w:rPr>
        <w:t>ts that have shorter lead times. Because product backlog at any point in time may not result in the generation of any predictable amount of net revenue in any subsequent period, we do not believe product backlog to be a meaningful indicator of future net r</w:t>
      </w:r>
      <w:r>
        <w:rPr>
          <w:rFonts w:ascii="Times New Roman" w:eastAsia="宋体" w:hAnsi="Times New Roman"/>
          <w:color w:val="000000"/>
          <w:sz w:val="20"/>
          <w:szCs w:val="20"/>
        </w:rPr>
        <w:t>evenue. Product backlog is included as a component of remaining performance obligation to the extent we determine that the manufacturing orders are non-cancelable.</w:t>
      </w:r>
    </w:p>
    <w:p w14:paraId="7DCFCD4F" w14:textId="77777777" w:rsidR="00C1563E" w:rsidRDefault="00C1563E"/>
    <w:p w14:paraId="7DCFCD50" w14:textId="77777777" w:rsidR="00C1563E" w:rsidRDefault="000B648B">
      <w:r>
        <w:rPr>
          <w:rFonts w:ascii="Times New Roman" w:eastAsia="宋体" w:hAnsi="Times New Roman"/>
          <w:b/>
          <w:bCs/>
          <w:color w:val="000000"/>
          <w:sz w:val="20"/>
          <w:szCs w:val="20"/>
        </w:rPr>
        <w:t>Patents, Trademarks, and Licenses</w:t>
      </w:r>
    </w:p>
    <w:p w14:paraId="7DCFCD51" w14:textId="77777777" w:rsidR="00C1563E" w:rsidRDefault="00C1563E"/>
    <w:p w14:paraId="7DCFCD52" w14:textId="77777777" w:rsidR="00C1563E" w:rsidRDefault="000B648B">
      <w:r>
        <w:rPr>
          <w:rFonts w:ascii="Times New Roman" w:eastAsia="宋体" w:hAnsi="Times New Roman"/>
          <w:color w:val="000000"/>
          <w:sz w:val="20"/>
          <w:szCs w:val="20"/>
        </w:rPr>
        <w:t>As of January 29, 2021, we held a worldwide portfolio of</w:t>
      </w:r>
      <w:r>
        <w:rPr>
          <w:rFonts w:ascii="Times New Roman" w:eastAsia="宋体" w:hAnsi="Times New Roman"/>
          <w:color w:val="000000"/>
          <w:sz w:val="20"/>
          <w:szCs w:val="20"/>
        </w:rPr>
        <w:t xml:space="preserve"> 21,876 granted patents and 10,108 pending patent applications. Of those, VMware, Inc. held 5,230 granted patents and 3,154 pending patent applications. We continue to obtain new patents through our ongoing research and development activities. The inventio</w:t>
      </w:r>
      <w:r>
        <w:rPr>
          <w:rFonts w:ascii="Times New Roman" w:eastAsia="宋体" w:hAnsi="Times New Roman"/>
          <w:color w:val="000000"/>
          <w:sz w:val="20"/>
          <w:szCs w:val="20"/>
        </w:rPr>
        <w:t>ns claimed in our patents and patent applications cover aspects of our current and possible future computer system and software products, manufacturing processes, and related technologies. We also hold licenses to use numerous third-party patents. Although</w:t>
      </w:r>
      <w:r>
        <w:rPr>
          <w:rFonts w:ascii="Times New Roman" w:eastAsia="宋体" w:hAnsi="Times New Roman"/>
          <w:color w:val="000000"/>
          <w:sz w:val="20"/>
          <w:szCs w:val="20"/>
        </w:rPr>
        <w:t xml:space="preserve"> we use our patented inventions and license some of them to others, we are not substantially dependent on any single patent or group of related patents. Our product and process patents may establish barriers to entry, and we anticipate that our worldwide p</w:t>
      </w:r>
      <w:r>
        <w:rPr>
          <w:rFonts w:ascii="Times New Roman" w:eastAsia="宋体" w:hAnsi="Times New Roman"/>
          <w:color w:val="000000"/>
          <w:sz w:val="20"/>
          <w:szCs w:val="20"/>
        </w:rPr>
        <w:t>atent portfolio will continue to be of value in negotiating intellectual property rights with others in the industry.</w:t>
      </w:r>
    </w:p>
    <w:p w14:paraId="7DCFCD53" w14:textId="77777777" w:rsidR="00C1563E" w:rsidRDefault="00C1563E"/>
    <w:p w14:paraId="7DCFCD54" w14:textId="77777777" w:rsidR="00C1563E" w:rsidRDefault="000B648B">
      <w:r>
        <w:rPr>
          <w:rFonts w:ascii="Times New Roman" w:eastAsia="宋体" w:hAnsi="Times New Roman"/>
          <w:color w:val="000000"/>
          <w:sz w:val="20"/>
          <w:szCs w:val="20"/>
        </w:rPr>
        <w:t>We have used, registered, or applied to register certain trademarks and copyrights in the United States and in other countries. We believ</w:t>
      </w:r>
      <w:r>
        <w:rPr>
          <w:rFonts w:ascii="Times New Roman" w:eastAsia="宋体" w:hAnsi="Times New Roman"/>
          <w:color w:val="000000"/>
          <w:sz w:val="20"/>
          <w:szCs w:val="20"/>
        </w:rPr>
        <w:t>e that Dell Technologies, DELL, Dell EMC, VMware, Alienware, Secureworks, Pivotal, and Virtustream word marks and logo marks in the United States are material to our operations.</w:t>
      </w:r>
    </w:p>
    <w:p w14:paraId="7DCFCD55" w14:textId="77777777" w:rsidR="00C1563E" w:rsidRDefault="00C1563E"/>
    <w:p w14:paraId="7DCFCD56" w14:textId="77777777" w:rsidR="00C1563E" w:rsidRDefault="00C1563E">
      <w:pPr>
        <w:jc w:val="center"/>
      </w:pPr>
    </w:p>
    <w:p w14:paraId="7DCFCD57" w14:textId="77777777" w:rsidR="00C1563E" w:rsidRDefault="000B648B">
      <w:pPr>
        <w:jc w:val="center"/>
      </w:pPr>
      <w:r>
        <w:rPr>
          <w:rFonts w:ascii="Times New Roman" w:eastAsia="宋体" w:hAnsi="Times New Roman"/>
          <w:color w:val="000000"/>
          <w:sz w:val="20"/>
          <w:szCs w:val="20"/>
        </w:rPr>
        <w:t>10</w:t>
      </w:r>
    </w:p>
    <w:p w14:paraId="7DCFCD58" w14:textId="77777777" w:rsidR="00C1563E" w:rsidRDefault="00C1563E">
      <w:pPr>
        <w:jc w:val="center"/>
      </w:pPr>
    </w:p>
    <w:p w14:paraId="7DCFCD59" w14:textId="77777777" w:rsidR="00C1563E" w:rsidRDefault="000B648B">
      <w:r>
        <w:pict w14:anchorId="7DD02570">
          <v:rect id="_x0000_i1034" style="width:415.3pt;height:1.5pt" o:hralign="center" o:hrstd="t" o:hr="t" fillcolor="#a0a0a0" stroked="f"/>
        </w:pict>
      </w:r>
    </w:p>
    <w:p w14:paraId="7DCFCD5A" w14:textId="77777777" w:rsidR="00C1563E" w:rsidRDefault="000B648B">
      <w:hyperlink r:id="rId85" w:anchor="i418e32e4a35149ffbf7d3a25d66881b8_10" w:history="1">
        <w:r>
          <w:rPr>
            <w:rStyle w:val="a5"/>
            <w:rFonts w:ascii="Times New Roman" w:eastAsia="宋体" w:hAnsi="Times New Roman"/>
            <w:sz w:val="20"/>
            <w:szCs w:val="20"/>
          </w:rPr>
          <w:t>Table of Contents</w:t>
        </w:r>
      </w:hyperlink>
    </w:p>
    <w:p w14:paraId="7DCFCD5B" w14:textId="77777777" w:rsidR="00C1563E" w:rsidRDefault="000B648B">
      <w:r>
        <w:rPr>
          <w:rFonts w:ascii="Times New Roman" w:eastAsia="宋体" w:hAnsi="Times New Roman"/>
          <w:color w:val="000000"/>
          <w:sz w:val="20"/>
          <w:szCs w:val="20"/>
        </w:rPr>
        <w:t>We have entered into software licensing agreements with other companies. We also lic</w:t>
      </w:r>
      <w:r>
        <w:rPr>
          <w:rFonts w:ascii="Times New Roman" w:eastAsia="宋体" w:hAnsi="Times New Roman"/>
          <w:color w:val="000000"/>
          <w:sz w:val="20"/>
          <w:szCs w:val="20"/>
        </w:rPr>
        <w:t xml:space="preserve">ense certain technology and intellectual property from third parties for use in our offerings and processes, and license some of our technologies and intellectual property to third parties. </w:t>
      </w:r>
    </w:p>
    <w:p w14:paraId="7DCFCD5C" w14:textId="77777777" w:rsidR="00C1563E" w:rsidRDefault="00C1563E"/>
    <w:p w14:paraId="7DCFCD5D" w14:textId="77777777" w:rsidR="00C1563E" w:rsidRDefault="000B648B">
      <w:r>
        <w:rPr>
          <w:rFonts w:ascii="Times New Roman" w:eastAsia="宋体" w:hAnsi="Times New Roman"/>
          <w:b/>
          <w:bCs/>
          <w:color w:val="000000"/>
          <w:sz w:val="20"/>
          <w:szCs w:val="20"/>
        </w:rPr>
        <w:t>Government Regulation</w:t>
      </w:r>
    </w:p>
    <w:p w14:paraId="7DCFCD5E" w14:textId="77777777" w:rsidR="00C1563E" w:rsidRDefault="00C1563E"/>
    <w:p w14:paraId="7DCFCD5F" w14:textId="77777777" w:rsidR="00C1563E" w:rsidRDefault="000B648B">
      <w:r>
        <w:rPr>
          <w:rFonts w:ascii="Times New Roman" w:eastAsia="宋体" w:hAnsi="Times New Roman"/>
          <w:color w:val="000000"/>
          <w:sz w:val="20"/>
          <w:szCs w:val="20"/>
        </w:rPr>
        <w:t xml:space="preserve">Our business is subject to regulation by </w:t>
      </w:r>
      <w:r>
        <w:rPr>
          <w:rFonts w:ascii="Times New Roman" w:eastAsia="宋体" w:hAnsi="Times New Roman"/>
          <w:color w:val="000000"/>
          <w:sz w:val="20"/>
          <w:szCs w:val="20"/>
        </w:rPr>
        <w:t>various U.S. federal and state governmental agencies and other governmental agencies. Such regulation includes the activities of the U.S. Federal Communications Commission; the anti-trust regulatory activities of the U.S. Federal Trade Commission, the U.S.</w:t>
      </w:r>
      <w:r>
        <w:rPr>
          <w:rFonts w:ascii="Times New Roman" w:eastAsia="宋体" w:hAnsi="Times New Roman"/>
          <w:color w:val="000000"/>
          <w:sz w:val="20"/>
          <w:szCs w:val="20"/>
        </w:rPr>
        <w:t xml:space="preserve"> Department of Justice, and the European Union; the consumer protection laws and financial services regulation of the U.S. Federal Trade Commission and various state governmental agencies; the export regulatory activities of the U.S. Department of Commerce</w:t>
      </w:r>
      <w:r>
        <w:rPr>
          <w:rFonts w:ascii="Times New Roman" w:eastAsia="宋体" w:hAnsi="Times New Roman"/>
          <w:color w:val="000000"/>
          <w:sz w:val="20"/>
          <w:szCs w:val="20"/>
        </w:rPr>
        <w:t xml:space="preserve"> and the U.S. Department of the Treasury; the import regulatory activities of the U.S. Customs and Border Protection; the product safety regulatory activities of the U.S. Consumer Product Safety Commission and the U.S. Department of Transportation; the hea</w:t>
      </w:r>
      <w:r>
        <w:rPr>
          <w:rFonts w:ascii="Times New Roman" w:eastAsia="宋体" w:hAnsi="Times New Roman"/>
          <w:color w:val="000000"/>
          <w:sz w:val="20"/>
          <w:szCs w:val="20"/>
        </w:rPr>
        <w:t>lth information privacy and security requirements of the U.S. Department of Health and Human Services; and the environmental, employment and labor, and other regulatory activities of a variety of governmental authorities in each of the countries in which w</w:t>
      </w:r>
      <w:r>
        <w:rPr>
          <w:rFonts w:ascii="Times New Roman" w:eastAsia="宋体" w:hAnsi="Times New Roman"/>
          <w:color w:val="000000"/>
          <w:sz w:val="20"/>
          <w:szCs w:val="20"/>
        </w:rPr>
        <w:t xml:space="preserve">e conduct business. </w:t>
      </w:r>
    </w:p>
    <w:p w14:paraId="7DCFCD60" w14:textId="77777777" w:rsidR="00C1563E" w:rsidRDefault="00C1563E"/>
    <w:p w14:paraId="7DCFCD61" w14:textId="77777777" w:rsidR="00C1563E" w:rsidRDefault="000B648B">
      <w:r>
        <w:rPr>
          <w:rFonts w:ascii="Times New Roman" w:eastAsia="宋体" w:hAnsi="Times New Roman"/>
          <w:color w:val="000000"/>
          <w:sz w:val="20"/>
          <w:szCs w:val="20"/>
        </w:rPr>
        <w:t>Our operations are subject to environmental and safety regulations in all areas in which we conduct business. Product design and procurement operations must comply with new and future requirements relating to climate change laws and r</w:t>
      </w:r>
      <w:r>
        <w:rPr>
          <w:rFonts w:ascii="Times New Roman" w:eastAsia="宋体" w:hAnsi="Times New Roman"/>
          <w:color w:val="000000"/>
          <w:sz w:val="20"/>
          <w:szCs w:val="20"/>
        </w:rPr>
        <w:t>egulations, materials composition, sourcing, energy efficiency and collection, recycling, treatment, transportation, and disposal of electronics products, including restrictions on mercury, lead, cadmium, lithium metal, lithium ion, and other substances. T</w:t>
      </w:r>
      <w:r>
        <w:rPr>
          <w:rFonts w:ascii="Times New Roman" w:eastAsia="宋体" w:hAnsi="Times New Roman"/>
          <w:color w:val="000000"/>
          <w:sz w:val="20"/>
          <w:szCs w:val="20"/>
        </w:rPr>
        <w:t>he costs and timing of costs under environmental and safety laws are difficult to predict. We were not assessed any material environmental fines, nor did we have any material environmental remediation or other environmental costs, during Fiscal 2021.</w:t>
      </w:r>
    </w:p>
    <w:p w14:paraId="7DCFCD62" w14:textId="77777777" w:rsidR="00C1563E" w:rsidRDefault="00C1563E"/>
    <w:p w14:paraId="7DCFCD63" w14:textId="77777777" w:rsidR="00C1563E" w:rsidRDefault="000B648B">
      <w:r>
        <w:rPr>
          <w:rFonts w:ascii="Times New Roman" w:eastAsia="宋体" w:hAnsi="Times New Roman"/>
          <w:color w:val="000000"/>
          <w:sz w:val="20"/>
          <w:szCs w:val="20"/>
        </w:rPr>
        <w:t>We a</w:t>
      </w:r>
      <w:r>
        <w:rPr>
          <w:rFonts w:ascii="Times New Roman" w:eastAsia="宋体" w:hAnsi="Times New Roman"/>
          <w:color w:val="000000"/>
          <w:sz w:val="20"/>
          <w:szCs w:val="20"/>
        </w:rPr>
        <w:t>nd our subsidiaries are subject to various anti-corruption laws that prohibit improper payments or offers of payments to foreign governments and their officials for the purpose of obtaining or retaining business, and are also subject to export controls, cu</w:t>
      </w:r>
      <w:r>
        <w:rPr>
          <w:rFonts w:ascii="Times New Roman" w:eastAsia="宋体" w:hAnsi="Times New Roman"/>
          <w:color w:val="000000"/>
          <w:sz w:val="20"/>
          <w:szCs w:val="20"/>
        </w:rPr>
        <w:t>stoms, economic sanctions laws, and embargoes imposed by the U.S. government. Violations of the Foreign Corrupt Practices Act or other anti-corruption laws or export control, customs, or economic sanctions laws may result in severe criminal or civil sancti</w:t>
      </w:r>
      <w:r>
        <w:rPr>
          <w:rFonts w:ascii="Times New Roman" w:eastAsia="宋体" w:hAnsi="Times New Roman"/>
          <w:color w:val="000000"/>
          <w:sz w:val="20"/>
          <w:szCs w:val="20"/>
        </w:rPr>
        <w:t>ons and penalties.</w:t>
      </w:r>
    </w:p>
    <w:p w14:paraId="7DCFCD64" w14:textId="77777777" w:rsidR="00C1563E" w:rsidRDefault="00C1563E"/>
    <w:p w14:paraId="7DCFCD65" w14:textId="77777777" w:rsidR="00C1563E" w:rsidRDefault="000B648B">
      <w:r>
        <w:rPr>
          <w:rFonts w:ascii="Times New Roman" w:eastAsia="宋体" w:hAnsi="Times New Roman"/>
          <w:color w:val="000000"/>
          <w:sz w:val="20"/>
          <w:szCs w:val="20"/>
        </w:rPr>
        <w:t>We are subject to provisions of the Dodd-Frank Wall Street Reform and Consumer Protection Act intended to improve transparency and accountability concerning the supply of minerals originating from the conflict zones of the Democratic Re</w:t>
      </w:r>
      <w:r>
        <w:rPr>
          <w:rFonts w:ascii="Times New Roman" w:eastAsia="宋体" w:hAnsi="Times New Roman"/>
          <w:color w:val="000000"/>
          <w:sz w:val="20"/>
          <w:szCs w:val="20"/>
        </w:rPr>
        <w:t>public of the Congo or adjoining countries. We incur costs to comply with the disclosure requirements of this law and other costs relating to the sourcing and availability of minerals used in our products.</w:t>
      </w:r>
    </w:p>
    <w:p w14:paraId="7DCFCD66" w14:textId="77777777" w:rsidR="00C1563E" w:rsidRDefault="00C1563E"/>
    <w:p w14:paraId="7DCFCD67" w14:textId="77777777" w:rsidR="00C1563E" w:rsidRDefault="000B648B">
      <w:r>
        <w:rPr>
          <w:rFonts w:ascii="Times New Roman" w:eastAsia="宋体" w:hAnsi="Times New Roman"/>
          <w:b/>
          <w:bCs/>
          <w:color w:val="000000"/>
          <w:sz w:val="20"/>
          <w:szCs w:val="20"/>
        </w:rPr>
        <w:t>Social Impact and Sustainability</w:t>
      </w:r>
    </w:p>
    <w:p w14:paraId="7DCFCD68" w14:textId="77777777" w:rsidR="00C1563E" w:rsidRDefault="00C1563E"/>
    <w:p w14:paraId="7DCFCD69" w14:textId="77777777" w:rsidR="00C1563E" w:rsidRDefault="000B648B">
      <w:r>
        <w:rPr>
          <w:rFonts w:ascii="Times New Roman" w:eastAsia="宋体" w:hAnsi="Times New Roman"/>
          <w:color w:val="000000"/>
          <w:sz w:val="20"/>
          <w:szCs w:val="20"/>
        </w:rPr>
        <w:t xml:space="preserve">Dell Technologies is committed to driving human progress by putting our technology and expertise to work where it can do the most good for people and the planet.  All of our stakeholders — shareholders, customers, suppliers, employees, and communities, as </w:t>
      </w:r>
      <w:r>
        <w:rPr>
          <w:rFonts w:ascii="Times New Roman" w:eastAsia="宋体" w:hAnsi="Times New Roman"/>
          <w:color w:val="000000"/>
          <w:sz w:val="20"/>
          <w:szCs w:val="20"/>
        </w:rPr>
        <w:t xml:space="preserve">well as the environment and society — are essential to our business. </w:t>
      </w:r>
    </w:p>
    <w:p w14:paraId="7DCFCD6A" w14:textId="77777777" w:rsidR="00C1563E" w:rsidRDefault="00C1563E"/>
    <w:p w14:paraId="7DCFCD6B" w14:textId="77777777" w:rsidR="00C1563E" w:rsidRDefault="000B648B">
      <w:r>
        <w:rPr>
          <w:rFonts w:ascii="Times New Roman" w:eastAsia="宋体" w:hAnsi="Times New Roman"/>
          <w:color w:val="000000"/>
          <w:sz w:val="20"/>
          <w:szCs w:val="20"/>
        </w:rPr>
        <w:t>Dell Technologies launched its Social Impact Plan for 2030 (the “2030 Plan”) in November 2019. Our goals under the 2030 Plan represent an extension of our purpose as a company — to crea</w:t>
      </w:r>
      <w:r>
        <w:rPr>
          <w:rFonts w:ascii="Times New Roman" w:eastAsia="宋体" w:hAnsi="Times New Roman"/>
          <w:color w:val="000000"/>
          <w:sz w:val="20"/>
          <w:szCs w:val="20"/>
        </w:rPr>
        <w:t>te technologies that drive human progress. We are using these goals to build our social impact strategies over the next decade. The 2030 Plan has four critical areas of focus:</w:t>
      </w:r>
    </w:p>
    <w:p w14:paraId="7DCFCD6C" w14:textId="77777777" w:rsidR="00C1563E" w:rsidRDefault="00C1563E"/>
    <w:p w14:paraId="7DCFCD6D" w14:textId="77777777" w:rsidR="00C1563E" w:rsidRDefault="000B648B">
      <w:r>
        <w:rPr>
          <w:rFonts w:ascii="Times New Roman" w:eastAsia="宋体" w:hAnsi="Times New Roman"/>
          <w:color w:val="000000"/>
          <w:sz w:val="20"/>
          <w:szCs w:val="20"/>
        </w:rPr>
        <w:t>    </w:t>
      </w:r>
      <w:r>
        <w:rPr>
          <w:rFonts w:ascii="Times New Roman" w:eastAsia="宋体" w:hAnsi="Times New Roman"/>
          <w:i/>
          <w:iCs/>
          <w:color w:val="000000"/>
          <w:sz w:val="20"/>
          <w:szCs w:val="20"/>
        </w:rPr>
        <w:t>Advancing Sustainability</w:t>
      </w:r>
      <w:r>
        <w:rPr>
          <w:rFonts w:ascii="Times New Roman" w:eastAsia="宋体" w:hAnsi="Times New Roman"/>
          <w:color w:val="000000"/>
          <w:sz w:val="20"/>
          <w:szCs w:val="20"/>
        </w:rPr>
        <w:t xml:space="preserve"> — We believe we have a responsibility to protect a</w:t>
      </w:r>
      <w:r>
        <w:rPr>
          <w:rFonts w:ascii="Times New Roman" w:eastAsia="宋体" w:hAnsi="Times New Roman"/>
          <w:color w:val="000000"/>
          <w:sz w:val="20"/>
          <w:szCs w:val="20"/>
        </w:rPr>
        <w:t>nd enrich our planet together with our customers, suppliers, and communities. Dell Technologies will continue working across our business ecosystem, valuing natural resources and minimizing our impact. With the power of our global supply chain, Dell Techno</w:t>
      </w:r>
      <w:r>
        <w:rPr>
          <w:rFonts w:ascii="Times New Roman" w:eastAsia="宋体" w:hAnsi="Times New Roman"/>
          <w:color w:val="000000"/>
          <w:sz w:val="20"/>
          <w:szCs w:val="20"/>
        </w:rPr>
        <w:t>logies has the scale and responsibility to drive the highest standards of sustainability and ethical practices.</w:t>
      </w:r>
    </w:p>
    <w:p w14:paraId="7DCFCD6E" w14:textId="77777777" w:rsidR="00C1563E" w:rsidRDefault="00C1563E"/>
    <w:p w14:paraId="7DCFCD6F" w14:textId="77777777" w:rsidR="00C1563E" w:rsidRDefault="000B648B">
      <w:r>
        <w:rPr>
          <w:rFonts w:ascii="Times New Roman" w:eastAsia="宋体" w:hAnsi="Times New Roman"/>
          <w:i/>
          <w:iCs/>
          <w:color w:val="000000"/>
          <w:sz w:val="20"/>
          <w:szCs w:val="20"/>
        </w:rPr>
        <w:t xml:space="preserve">    Cultivating Inclusion </w:t>
      </w:r>
      <w:r>
        <w:rPr>
          <w:rFonts w:ascii="Times New Roman" w:eastAsia="宋体" w:hAnsi="Times New Roman"/>
          <w:color w:val="000000"/>
          <w:sz w:val="20"/>
          <w:szCs w:val="20"/>
        </w:rPr>
        <w:t>— We view diversity and inclusion as a business imperative that will enable us to build and empower our future workfo</w:t>
      </w:r>
      <w:r>
        <w:rPr>
          <w:rFonts w:ascii="Times New Roman" w:eastAsia="宋体" w:hAnsi="Times New Roman"/>
          <w:color w:val="000000"/>
          <w:sz w:val="20"/>
          <w:szCs w:val="20"/>
        </w:rPr>
        <w:t>rce. It is essential that our workforce be fully representative of the diversity in our global customer base. Diversity of leadership increases innovation and ensures that company decisions reflect a wide variety of perspectives.</w:t>
      </w:r>
    </w:p>
    <w:p w14:paraId="7DCFCD70" w14:textId="77777777" w:rsidR="00C1563E" w:rsidRDefault="00C1563E"/>
    <w:p w14:paraId="7DCFCD71" w14:textId="77777777" w:rsidR="00C1563E" w:rsidRDefault="000B648B">
      <w:r>
        <w:rPr>
          <w:rFonts w:ascii="Times New Roman" w:eastAsia="宋体" w:hAnsi="Times New Roman"/>
          <w:i/>
          <w:iCs/>
          <w:color w:val="000000"/>
          <w:sz w:val="20"/>
          <w:szCs w:val="20"/>
        </w:rPr>
        <w:t xml:space="preserve">    Transforming Lives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We believe our scale, support, and the innovative application of our portfolio can play an important role in addressing complex societal challenges, including improving health, education, and economic opportunities for the underserved. We endeavor to harne</w:t>
      </w:r>
      <w:r>
        <w:rPr>
          <w:rFonts w:ascii="Times New Roman" w:eastAsia="宋体" w:hAnsi="Times New Roman"/>
          <w:color w:val="000000"/>
          <w:sz w:val="20"/>
          <w:szCs w:val="20"/>
        </w:rPr>
        <w:t xml:space="preserve">ss the power of technology to create a future that is capable of fully realizing human potential. </w:t>
      </w:r>
    </w:p>
    <w:p w14:paraId="7DCFCD72" w14:textId="77777777" w:rsidR="00C1563E" w:rsidRDefault="00C1563E">
      <w:pPr>
        <w:jc w:val="center"/>
      </w:pPr>
    </w:p>
    <w:p w14:paraId="7DCFCD73" w14:textId="77777777" w:rsidR="00C1563E" w:rsidRDefault="000B648B">
      <w:pPr>
        <w:jc w:val="center"/>
      </w:pPr>
      <w:r>
        <w:rPr>
          <w:rFonts w:ascii="Times New Roman" w:eastAsia="宋体" w:hAnsi="Times New Roman"/>
          <w:color w:val="000000"/>
          <w:sz w:val="20"/>
          <w:szCs w:val="20"/>
        </w:rPr>
        <w:t>11</w:t>
      </w:r>
    </w:p>
    <w:p w14:paraId="7DCFCD74" w14:textId="77777777" w:rsidR="00C1563E" w:rsidRDefault="00C1563E">
      <w:pPr>
        <w:jc w:val="center"/>
      </w:pPr>
    </w:p>
    <w:p w14:paraId="7DCFCD75" w14:textId="77777777" w:rsidR="00C1563E" w:rsidRDefault="000B648B">
      <w:r>
        <w:pict w14:anchorId="7DD02571">
          <v:rect id="_x0000_i1035" style="width:415.3pt;height:1.5pt" o:hralign="center" o:hrstd="t" o:hr="t" fillcolor="#a0a0a0" stroked="f"/>
        </w:pict>
      </w:r>
    </w:p>
    <w:p w14:paraId="7DCFCD76" w14:textId="77777777" w:rsidR="00C1563E" w:rsidRDefault="000B648B">
      <w:hyperlink r:id="rId86" w:anchor="i418e32e4a35149ffbf7d3a25d66881b8_10" w:history="1">
        <w:r>
          <w:rPr>
            <w:rStyle w:val="a5"/>
            <w:rFonts w:ascii="Times New Roman" w:eastAsia="宋体" w:hAnsi="Times New Roman"/>
            <w:sz w:val="20"/>
            <w:szCs w:val="20"/>
          </w:rPr>
          <w:t>Table of Contents</w:t>
        </w:r>
      </w:hyperlink>
    </w:p>
    <w:p w14:paraId="7DCFCD77" w14:textId="77777777" w:rsidR="00C1563E" w:rsidRDefault="00C1563E"/>
    <w:p w14:paraId="7DCFCD78" w14:textId="77777777" w:rsidR="00C1563E" w:rsidRDefault="000B648B">
      <w:r>
        <w:rPr>
          <w:rFonts w:ascii="Times New Roman" w:eastAsia="宋体" w:hAnsi="Times New Roman"/>
          <w:i/>
          <w:iCs/>
          <w:color w:val="000000"/>
          <w:sz w:val="20"/>
          <w:szCs w:val="20"/>
        </w:rPr>
        <w:t xml:space="preserve">    Upholding Ethics and Privacy </w:t>
      </w:r>
      <w:r>
        <w:rPr>
          <w:rFonts w:ascii="Times New Roman" w:eastAsia="宋体" w:hAnsi="Times New Roman"/>
          <w:color w:val="000000"/>
          <w:sz w:val="20"/>
          <w:szCs w:val="20"/>
        </w:rPr>
        <w:t xml:space="preserve">— Ethics and privacy play a critical role in establishing a strong foundation for positive social impact. We will continue to invest in our advanced privacy governance and </w:t>
      </w:r>
      <w:r>
        <w:rPr>
          <w:rFonts w:ascii="Times New Roman" w:eastAsia="宋体" w:hAnsi="Times New Roman"/>
          <w:color w:val="000000"/>
          <w:sz w:val="20"/>
          <w:szCs w:val="20"/>
        </w:rPr>
        <w:t>risk-management technology. And we will continue to select, evaluate, and do business with third parties who share our level of dedication to privacy.</w:t>
      </w:r>
    </w:p>
    <w:p w14:paraId="7DCFCD79" w14:textId="77777777" w:rsidR="00C1563E" w:rsidRDefault="00C1563E"/>
    <w:p w14:paraId="7DCFCD7A" w14:textId="77777777" w:rsidR="00C1563E" w:rsidRDefault="000B648B">
      <w:r>
        <w:rPr>
          <w:rFonts w:ascii="Times New Roman" w:eastAsia="宋体" w:hAnsi="Times New Roman"/>
          <w:color w:val="000000"/>
          <w:sz w:val="20"/>
          <w:szCs w:val="20"/>
        </w:rPr>
        <w:t>Dell Technologies is measuring its progress against each of the 2030 social impact goals in annually rel</w:t>
      </w:r>
      <w:r>
        <w:rPr>
          <w:rFonts w:ascii="Times New Roman" w:eastAsia="宋体" w:hAnsi="Times New Roman"/>
          <w:color w:val="000000"/>
          <w:sz w:val="20"/>
          <w:szCs w:val="20"/>
        </w:rPr>
        <w:t>eased social impact reports. The Dell Technologies Social Impact Plan for 2030 and annual social impact reports are available on the social impact reporting page of our website.</w:t>
      </w:r>
    </w:p>
    <w:p w14:paraId="7DCFCD7B" w14:textId="77777777" w:rsidR="00C1563E" w:rsidRDefault="00C1563E"/>
    <w:p w14:paraId="7DCFCD7C" w14:textId="77777777" w:rsidR="00C1563E" w:rsidRDefault="000B648B">
      <w:r>
        <w:rPr>
          <w:rFonts w:ascii="Times New Roman" w:eastAsia="宋体" w:hAnsi="Times New Roman"/>
          <w:b/>
          <w:bCs/>
          <w:color w:val="000000"/>
          <w:sz w:val="20"/>
          <w:szCs w:val="20"/>
        </w:rPr>
        <w:t>Human Capital</w:t>
      </w:r>
    </w:p>
    <w:p w14:paraId="7DCFCD7D" w14:textId="77777777" w:rsidR="00C1563E" w:rsidRDefault="00C1563E"/>
    <w:p w14:paraId="7DCFCD7E" w14:textId="77777777" w:rsidR="00C1563E" w:rsidRDefault="000B648B">
      <w:r>
        <w:rPr>
          <w:rFonts w:ascii="Times New Roman" w:eastAsia="宋体" w:hAnsi="Times New Roman"/>
          <w:color w:val="000000"/>
          <w:sz w:val="20"/>
          <w:szCs w:val="20"/>
        </w:rPr>
        <w:t>Powered by a diverse workforce, we create solutions that harne</w:t>
      </w:r>
      <w:r>
        <w:rPr>
          <w:rFonts w:ascii="Times New Roman" w:eastAsia="宋体" w:hAnsi="Times New Roman"/>
          <w:color w:val="000000"/>
          <w:sz w:val="20"/>
          <w:szCs w:val="20"/>
        </w:rPr>
        <w:t>ss and amplify technology in the most meaningful ways. Our goal is to ensure that Dell Technologies is a compelling destination where team members of different backgrounds feel valued, engaged, and inspired to do their best work. Through our ongoing divers</w:t>
      </w:r>
      <w:r>
        <w:rPr>
          <w:rFonts w:ascii="Times New Roman" w:eastAsia="宋体" w:hAnsi="Times New Roman"/>
          <w:color w:val="000000"/>
          <w:sz w:val="20"/>
          <w:szCs w:val="20"/>
        </w:rPr>
        <w:t xml:space="preserve">ity and inclusion efforts, flexible workplace transformation programs, training and development offerings, and health and wellness resources for our team members, we are striving toward this goal </w:t>
      </w:r>
      <w:r>
        <w:rPr>
          <w:rFonts w:ascii="Times New Roman" w:eastAsia="宋体" w:hAnsi="Times New Roman"/>
          <w:color w:val="000000"/>
          <w:sz w:val="20"/>
          <w:szCs w:val="20"/>
          <w:shd w:val="clear" w:color="auto" w:fill="FFFFFF"/>
        </w:rPr>
        <w:t>—</w:t>
      </w:r>
      <w:r>
        <w:rPr>
          <w:rFonts w:ascii="Times New Roman" w:eastAsia="宋体" w:hAnsi="Times New Roman"/>
          <w:color w:val="000000"/>
          <w:sz w:val="20"/>
          <w:szCs w:val="20"/>
        </w:rPr>
        <w:t xml:space="preserve"> to attract, develop and retain an empowered workforce for </w:t>
      </w:r>
      <w:r>
        <w:rPr>
          <w:rFonts w:ascii="Times New Roman" w:eastAsia="宋体" w:hAnsi="Times New Roman"/>
          <w:color w:val="000000"/>
          <w:sz w:val="20"/>
          <w:szCs w:val="20"/>
        </w:rPr>
        <w:t>maximum impact internally and externally for our customers and communities.</w:t>
      </w:r>
    </w:p>
    <w:p w14:paraId="7DCFCD7F" w14:textId="77777777" w:rsidR="00C1563E" w:rsidRDefault="00C1563E"/>
    <w:p w14:paraId="7DCFCD80" w14:textId="77777777" w:rsidR="00C1563E" w:rsidRDefault="000B648B">
      <w:r>
        <w:rPr>
          <w:rFonts w:ascii="Times New Roman" w:eastAsia="宋体" w:hAnsi="Times New Roman"/>
          <w:color w:val="000000"/>
          <w:sz w:val="20"/>
          <w:szCs w:val="20"/>
        </w:rPr>
        <w:t xml:space="preserve">As of January 29, 2021, we had approximately 158,000 total full-time employees, approximately 34,000 of whom were employees of VMware, Inc. In comparison, as of January 31, 2020, </w:t>
      </w:r>
      <w:r>
        <w:rPr>
          <w:rFonts w:ascii="Times New Roman" w:eastAsia="宋体" w:hAnsi="Times New Roman"/>
          <w:color w:val="000000"/>
          <w:sz w:val="20"/>
          <w:szCs w:val="20"/>
        </w:rPr>
        <w:t>we had approximately 165,000 total full-time employees, approximately 31,000 of whom were employees of VMware, Inc. As of January 29, 2021</w:t>
      </w:r>
      <w:r>
        <w:rPr>
          <w:rFonts w:ascii="Times New Roman" w:eastAsia="宋体" w:hAnsi="Times New Roman"/>
          <w:color w:val="000000"/>
          <w:sz w:val="20"/>
          <w:szCs w:val="20"/>
          <w:shd w:val="clear" w:color="auto" w:fill="FFFFFF"/>
        </w:rPr>
        <w:t>, approximately</w:t>
      </w:r>
      <w:r>
        <w:rPr>
          <w:rFonts w:ascii="Times New Roman" w:eastAsia="宋体" w:hAnsi="Times New Roman"/>
          <w:color w:val="000000"/>
          <w:sz w:val="20"/>
          <w:szCs w:val="20"/>
        </w:rPr>
        <w:t xml:space="preserve"> 36% of our full-time employees were located in the United States</w:t>
      </w:r>
      <w:r>
        <w:rPr>
          <w:rFonts w:ascii="Times New Roman" w:eastAsia="宋体" w:hAnsi="Times New Roman"/>
          <w:color w:val="000000"/>
          <w:sz w:val="20"/>
          <w:szCs w:val="20"/>
          <w:shd w:val="clear" w:color="auto" w:fill="FFFFFF"/>
        </w:rPr>
        <w:t>.</w:t>
      </w:r>
    </w:p>
    <w:p w14:paraId="7DCFCD81" w14:textId="77777777" w:rsidR="00C1563E" w:rsidRDefault="00C1563E"/>
    <w:p w14:paraId="7DCFCD82" w14:textId="77777777" w:rsidR="00C1563E" w:rsidRDefault="000B648B">
      <w:r>
        <w:rPr>
          <w:rFonts w:ascii="Times New Roman" w:eastAsia="宋体" w:hAnsi="Times New Roman"/>
          <w:i/>
          <w:iCs/>
          <w:color w:val="000000"/>
          <w:sz w:val="20"/>
          <w:szCs w:val="20"/>
          <w:shd w:val="clear" w:color="auto" w:fill="FFFFFF"/>
        </w:rPr>
        <w:t>Diversity and Inclusion</w:t>
      </w:r>
    </w:p>
    <w:p w14:paraId="7DCFCD83" w14:textId="77777777" w:rsidR="00C1563E" w:rsidRDefault="00C1563E"/>
    <w:p w14:paraId="7DCFCD84" w14:textId="77777777" w:rsidR="00C1563E" w:rsidRDefault="000B648B">
      <w:r>
        <w:rPr>
          <w:rFonts w:ascii="Times New Roman" w:eastAsia="宋体" w:hAnsi="Times New Roman"/>
          <w:color w:val="000000"/>
          <w:sz w:val="20"/>
          <w:szCs w:val="20"/>
        </w:rPr>
        <w:t xml:space="preserve">At Dell Technologies, we believe diversity is power. Within our 2030 Plan described above, one critical area of focus — </w:t>
      </w:r>
      <w:r>
        <w:rPr>
          <w:rFonts w:ascii="Times New Roman" w:eastAsia="宋体" w:hAnsi="Times New Roman"/>
          <w:i/>
          <w:iCs/>
          <w:color w:val="000000"/>
          <w:sz w:val="20"/>
          <w:szCs w:val="20"/>
        </w:rPr>
        <w:t>cultivating inclusion</w:t>
      </w:r>
      <w:r>
        <w:rPr>
          <w:rFonts w:ascii="Times New Roman" w:eastAsia="宋体" w:hAnsi="Times New Roman"/>
          <w:color w:val="000000"/>
          <w:sz w:val="20"/>
          <w:szCs w:val="20"/>
        </w:rPr>
        <w:t xml:space="preserve"> — highlights how our human capital resources are vital to our social impact and long-term success. We are making s</w:t>
      </w:r>
      <w:r>
        <w:rPr>
          <w:rFonts w:ascii="Times New Roman" w:eastAsia="宋体" w:hAnsi="Times New Roman"/>
          <w:color w:val="000000"/>
          <w:sz w:val="20"/>
          <w:szCs w:val="20"/>
        </w:rPr>
        <w:t>trides to increase gender and ethnic diversity throughout Dell Technologies. We still have work to do, and are committed to providing transparency into our progress via annual Dell Technologies Diversity &amp; Inclusion Reports. We will continue to champion fo</w:t>
      </w:r>
      <w:r>
        <w:rPr>
          <w:rFonts w:ascii="Times New Roman" w:eastAsia="宋体" w:hAnsi="Times New Roman"/>
          <w:color w:val="000000"/>
          <w:sz w:val="20"/>
          <w:szCs w:val="20"/>
        </w:rPr>
        <w:t xml:space="preserve">r inclusive policies that support women, members of the LGBTQ+ community, people with different abilities, and other underrepresented groups. Our goal is to build a workforce that champions racial equity, values different backgrounds and celebrates unique </w:t>
      </w:r>
      <w:r>
        <w:rPr>
          <w:rFonts w:ascii="Times New Roman" w:eastAsia="宋体" w:hAnsi="Times New Roman"/>
          <w:color w:val="000000"/>
          <w:sz w:val="20"/>
          <w:szCs w:val="20"/>
        </w:rPr>
        <w:t>perspectives by:</w:t>
      </w:r>
    </w:p>
    <w:p w14:paraId="7DCFCD85" w14:textId="77777777" w:rsidR="00C1563E" w:rsidRDefault="00C1563E"/>
    <w:p w14:paraId="7DCFCD86" w14:textId="77777777" w:rsidR="00C1563E" w:rsidRDefault="000B648B">
      <w:pPr>
        <w:ind w:hanging="360"/>
      </w:pPr>
      <w:r>
        <w:rPr>
          <w:rFonts w:ascii="Times New Roman" w:eastAsia="宋体" w:hAnsi="Times New Roman"/>
          <w:i/>
          <w:iCs/>
          <w:color w:val="000000"/>
          <w:sz w:val="20"/>
          <w:szCs w:val="20"/>
        </w:rPr>
        <w:t>•building and attracting the future workforce</w:t>
      </w:r>
      <w:r>
        <w:rPr>
          <w:rFonts w:ascii="Times New Roman" w:eastAsia="宋体" w:hAnsi="Times New Roman"/>
          <w:color w:val="000000"/>
          <w:sz w:val="20"/>
          <w:szCs w:val="20"/>
        </w:rPr>
        <w:t xml:space="preserve"> to create a workplace that is accessible, equitable and attractive to a diverse talent pipeline;</w:t>
      </w:r>
    </w:p>
    <w:p w14:paraId="7DCFCD87" w14:textId="77777777" w:rsidR="00C1563E" w:rsidRDefault="00C1563E"/>
    <w:p w14:paraId="7DCFCD88" w14:textId="77777777" w:rsidR="00C1563E" w:rsidRDefault="000B648B">
      <w:pPr>
        <w:ind w:hanging="360"/>
      </w:pPr>
      <w:r>
        <w:rPr>
          <w:rFonts w:ascii="Times New Roman" w:eastAsia="宋体" w:hAnsi="Times New Roman"/>
          <w:i/>
          <w:iCs/>
          <w:color w:val="000000"/>
          <w:sz w:val="20"/>
          <w:szCs w:val="20"/>
        </w:rPr>
        <w:t>•developing and retaining an empowered workforce</w:t>
      </w:r>
      <w:r>
        <w:rPr>
          <w:rFonts w:ascii="Times New Roman" w:eastAsia="宋体" w:hAnsi="Times New Roman"/>
          <w:color w:val="000000"/>
          <w:sz w:val="20"/>
          <w:szCs w:val="20"/>
        </w:rPr>
        <w:t xml:space="preserve"> to foster an internal community that is engag</w:t>
      </w:r>
      <w:r>
        <w:rPr>
          <w:rFonts w:ascii="Times New Roman" w:eastAsia="宋体" w:hAnsi="Times New Roman"/>
          <w:color w:val="000000"/>
          <w:sz w:val="20"/>
          <w:szCs w:val="20"/>
        </w:rPr>
        <w:t>ed, productive and innovative; and</w:t>
      </w:r>
    </w:p>
    <w:p w14:paraId="7DCFCD89" w14:textId="77777777" w:rsidR="00C1563E" w:rsidRDefault="00C1563E"/>
    <w:p w14:paraId="7DCFCD8A" w14:textId="77777777" w:rsidR="00C1563E" w:rsidRDefault="000B648B">
      <w:pPr>
        <w:ind w:hanging="360"/>
      </w:pPr>
      <w:r>
        <w:rPr>
          <w:rFonts w:ascii="Times New Roman" w:eastAsia="宋体" w:hAnsi="Times New Roman"/>
          <w:i/>
          <w:iCs/>
          <w:color w:val="000000"/>
          <w:sz w:val="20"/>
          <w:szCs w:val="20"/>
        </w:rPr>
        <w:t>•scaling for maximum impact</w:t>
      </w:r>
      <w:r>
        <w:rPr>
          <w:rFonts w:ascii="Times New Roman" w:eastAsia="宋体" w:hAnsi="Times New Roman"/>
          <w:color w:val="000000"/>
          <w:sz w:val="20"/>
          <w:szCs w:val="20"/>
        </w:rPr>
        <w:t xml:space="preserve"> to develop stronger customer alliances and an external community that recognizes, respects and embraces our shared value.</w:t>
      </w:r>
    </w:p>
    <w:p w14:paraId="7DCFCD8B" w14:textId="77777777" w:rsidR="00C1563E" w:rsidRDefault="00C1563E"/>
    <w:p w14:paraId="7DCFCD8C" w14:textId="77777777" w:rsidR="00C1563E" w:rsidRDefault="000B648B">
      <w:r>
        <w:rPr>
          <w:rFonts w:ascii="Times New Roman" w:eastAsia="宋体" w:hAnsi="Times New Roman"/>
          <w:color w:val="000000"/>
          <w:sz w:val="20"/>
          <w:szCs w:val="20"/>
          <w:shd w:val="clear" w:color="auto" w:fill="FFFFFF"/>
        </w:rPr>
        <w:t>To serve tomorrow’s customers well, we need more students of all gend</w:t>
      </w:r>
      <w:r>
        <w:rPr>
          <w:rFonts w:ascii="Times New Roman" w:eastAsia="宋体" w:hAnsi="Times New Roman"/>
          <w:color w:val="000000"/>
          <w:sz w:val="20"/>
          <w:szCs w:val="20"/>
          <w:shd w:val="clear" w:color="auto" w:fill="FFFFFF"/>
        </w:rPr>
        <w:t>ers and backgrounds studying STEM (science, technology, engineering, and math) today. We cannot fill our talent pipeline without closing the diversity gap. As the composition of the workforce evolves, we recognize that companies embracing diversity and inc</w:t>
      </w:r>
      <w:r>
        <w:rPr>
          <w:rFonts w:ascii="Times New Roman" w:eastAsia="宋体" w:hAnsi="Times New Roman"/>
          <w:color w:val="000000"/>
          <w:sz w:val="20"/>
          <w:szCs w:val="20"/>
          <w:shd w:val="clear" w:color="auto" w:fill="FFFFFF"/>
        </w:rPr>
        <w:t>lusion are experiencing</w:t>
      </w:r>
    </w:p>
    <w:p w14:paraId="7DCFCD8D" w14:textId="77777777" w:rsidR="00C1563E" w:rsidRDefault="000B648B">
      <w:r>
        <w:rPr>
          <w:rFonts w:ascii="Times New Roman" w:eastAsia="宋体" w:hAnsi="Times New Roman"/>
          <w:color w:val="000000"/>
          <w:sz w:val="20"/>
          <w:szCs w:val="20"/>
          <w:shd w:val="clear" w:color="auto" w:fill="FFFFFF"/>
        </w:rPr>
        <w:t>greater innovation, productivity, engagement, and employee satisfaction — along with better business performance</w:t>
      </w:r>
      <w:r>
        <w:rPr>
          <w:rFonts w:ascii="Times New Roman" w:eastAsia="宋体" w:hAnsi="Times New Roman"/>
          <w:color w:val="000000"/>
          <w:sz w:val="20"/>
          <w:szCs w:val="20"/>
        </w:rPr>
        <w:t xml:space="preserve">. </w:t>
      </w:r>
    </w:p>
    <w:p w14:paraId="7DCFCD8E" w14:textId="77777777" w:rsidR="00C1563E" w:rsidRDefault="00C1563E"/>
    <w:p w14:paraId="7DCFCD8F" w14:textId="77777777" w:rsidR="00C1563E" w:rsidRDefault="000B648B">
      <w:r>
        <w:rPr>
          <w:rFonts w:ascii="Times New Roman" w:eastAsia="宋体" w:hAnsi="Times New Roman"/>
          <w:color w:val="000000"/>
          <w:sz w:val="20"/>
          <w:szCs w:val="20"/>
        </w:rPr>
        <w:t>Dell Technologies Diversity &amp; Inclusion Reports are available on the social impact reporting page of our website.</w:t>
      </w:r>
    </w:p>
    <w:p w14:paraId="7DCFCD90" w14:textId="77777777" w:rsidR="00C1563E" w:rsidRDefault="00C1563E"/>
    <w:p w14:paraId="7DCFCD91" w14:textId="77777777" w:rsidR="00C1563E" w:rsidRDefault="000B648B">
      <w:r>
        <w:rPr>
          <w:rFonts w:ascii="Times New Roman" w:eastAsia="宋体" w:hAnsi="Times New Roman"/>
          <w:i/>
          <w:iCs/>
          <w:color w:val="000000"/>
          <w:sz w:val="20"/>
          <w:szCs w:val="20"/>
        </w:rPr>
        <w:t>O</w:t>
      </w:r>
      <w:r>
        <w:rPr>
          <w:rFonts w:ascii="Times New Roman" w:eastAsia="宋体" w:hAnsi="Times New Roman"/>
          <w:i/>
          <w:iCs/>
          <w:color w:val="000000"/>
          <w:sz w:val="20"/>
          <w:szCs w:val="20"/>
        </w:rPr>
        <w:t>ur Culture and Benefits</w:t>
      </w:r>
    </w:p>
    <w:p w14:paraId="7DCFCD92" w14:textId="77777777" w:rsidR="00C1563E" w:rsidRDefault="00C1563E"/>
    <w:p w14:paraId="7DCFCD93" w14:textId="77777777" w:rsidR="00C1563E" w:rsidRDefault="000B648B">
      <w:r>
        <w:rPr>
          <w:rFonts w:ascii="Times New Roman" w:eastAsia="宋体" w:hAnsi="Times New Roman"/>
          <w:color w:val="000000"/>
          <w:sz w:val="20"/>
          <w:szCs w:val="20"/>
        </w:rPr>
        <w:t xml:space="preserve">Our culture is defined by our values. We work and lead by acknowledging the importance of relationships, drive, judgment, vision, optimism, humility, and selflessness — it is part of our Culture Code. It is who we are. Our culture </w:t>
      </w:r>
      <w:r>
        <w:rPr>
          <w:rFonts w:ascii="Times New Roman" w:eastAsia="宋体" w:hAnsi="Times New Roman"/>
          <w:color w:val="000000"/>
          <w:sz w:val="20"/>
          <w:szCs w:val="20"/>
        </w:rPr>
        <w:t>matters in how we run the business, how we go to market, and how we treat our team members. We believe in winning with integrity, and we leverage technology and deploy state-of-the-art tools to assist our team members in applying the principles of integrit</w:t>
      </w:r>
      <w:r>
        <w:rPr>
          <w:rFonts w:ascii="Times New Roman" w:eastAsia="宋体" w:hAnsi="Times New Roman"/>
          <w:color w:val="000000"/>
          <w:sz w:val="20"/>
          <w:szCs w:val="20"/>
        </w:rPr>
        <w:t xml:space="preserve">y and compliance as part of everyday business transactions, activities, and decisions. </w:t>
      </w:r>
    </w:p>
    <w:p w14:paraId="7DCFCD94" w14:textId="77777777" w:rsidR="00C1563E" w:rsidRDefault="00C1563E"/>
    <w:p w14:paraId="7DCFCD95" w14:textId="77777777" w:rsidR="00C1563E" w:rsidRDefault="00C1563E">
      <w:pPr>
        <w:jc w:val="center"/>
      </w:pPr>
    </w:p>
    <w:p w14:paraId="7DCFCD96" w14:textId="77777777" w:rsidR="00C1563E" w:rsidRDefault="000B648B">
      <w:pPr>
        <w:jc w:val="center"/>
      </w:pPr>
      <w:r>
        <w:rPr>
          <w:rFonts w:ascii="Times New Roman" w:eastAsia="宋体" w:hAnsi="Times New Roman"/>
          <w:color w:val="000000"/>
          <w:sz w:val="20"/>
          <w:szCs w:val="20"/>
        </w:rPr>
        <w:t>12</w:t>
      </w:r>
    </w:p>
    <w:p w14:paraId="7DCFCD97" w14:textId="77777777" w:rsidR="00C1563E" w:rsidRDefault="00C1563E">
      <w:pPr>
        <w:jc w:val="center"/>
      </w:pPr>
    </w:p>
    <w:p w14:paraId="7DCFCD98" w14:textId="77777777" w:rsidR="00C1563E" w:rsidRDefault="000B648B">
      <w:r>
        <w:pict w14:anchorId="7DD02572">
          <v:rect id="_x0000_i1036" style="width:415.3pt;height:1.5pt" o:hralign="center" o:hrstd="t" o:hr="t" fillcolor="#a0a0a0" stroked="f"/>
        </w:pict>
      </w:r>
    </w:p>
    <w:p w14:paraId="7DCFCD99" w14:textId="77777777" w:rsidR="00C1563E" w:rsidRDefault="000B648B">
      <w:hyperlink r:id="rId87" w:anchor="i418e32e4a35149ffbf7d3a25d66881b8_10"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7DCFCD9A" w14:textId="77777777" w:rsidR="00C1563E" w:rsidRDefault="000B648B">
      <w:r>
        <w:rPr>
          <w:rFonts w:ascii="Times New Roman" w:eastAsia="宋体" w:hAnsi="Times New Roman"/>
          <w:color w:val="000000"/>
          <w:sz w:val="20"/>
          <w:szCs w:val="20"/>
        </w:rPr>
        <w:t>We seek to create a professional environment where everyone can grow and thrive, and provide a multitude of programs to enhance team members’ career growth and development. We offer formal training options, individualized development program</w:t>
      </w:r>
      <w:r>
        <w:rPr>
          <w:rFonts w:ascii="Times New Roman" w:eastAsia="宋体" w:hAnsi="Times New Roman"/>
          <w:color w:val="000000"/>
          <w:sz w:val="20"/>
          <w:szCs w:val="20"/>
        </w:rPr>
        <w:t xml:space="preserve">s and sponsorship, tools for 360-degree feedback, mentoring, networking, stretch assignments, and growth opportunities. Our programs are designed to empower and inspire team members to direct their own career paths and build a portfolio of valuable skills </w:t>
      </w:r>
      <w:r>
        <w:rPr>
          <w:rFonts w:ascii="Times New Roman" w:eastAsia="宋体" w:hAnsi="Times New Roman"/>
          <w:color w:val="000000"/>
          <w:sz w:val="20"/>
          <w:szCs w:val="20"/>
        </w:rPr>
        <w:t>for success in the technology industry. We are committed to building a diverse leadership pipeline with a broad spectrum of skills, including the ability to lead with integrity and inspire others. We believe our ability to innovate and cultivate breakthrou</w:t>
      </w:r>
      <w:r>
        <w:rPr>
          <w:rFonts w:ascii="Times New Roman" w:eastAsia="宋体" w:hAnsi="Times New Roman"/>
          <w:color w:val="000000"/>
          <w:sz w:val="20"/>
          <w:szCs w:val="20"/>
        </w:rPr>
        <w:t>gh thinking is an engine for growth, success, and progress.</w:t>
      </w:r>
    </w:p>
    <w:p w14:paraId="7DCFCD9B" w14:textId="77777777" w:rsidR="00C1563E" w:rsidRDefault="00C1563E"/>
    <w:p w14:paraId="7DCFCD9C" w14:textId="77777777" w:rsidR="00C1563E" w:rsidRDefault="000B648B">
      <w:r>
        <w:rPr>
          <w:rFonts w:ascii="Times New Roman" w:eastAsia="宋体" w:hAnsi="Times New Roman"/>
          <w:color w:val="000000"/>
          <w:sz w:val="20"/>
          <w:szCs w:val="20"/>
        </w:rPr>
        <w:t xml:space="preserve">We also recognize that the workplace is changing, how people work is changing, and the impact of COVID-19 has only accelerated the “do anything from anywhere” workforce. Dell Technologies offers </w:t>
      </w:r>
      <w:r>
        <w:rPr>
          <w:rFonts w:ascii="Times New Roman" w:eastAsia="宋体" w:hAnsi="Times New Roman"/>
          <w:color w:val="000000"/>
          <w:sz w:val="20"/>
          <w:szCs w:val="20"/>
        </w:rPr>
        <w:t>various flexible work solutions, including our Connected Workplace program, which allows eligible team members to choose from a wide variety of flexible work arrangement options that best meet their needs. Work flexibility is part of our culture, and a rec</w:t>
      </w:r>
      <w:r>
        <w:rPr>
          <w:rFonts w:ascii="Times New Roman" w:eastAsia="宋体" w:hAnsi="Times New Roman"/>
          <w:color w:val="000000"/>
          <w:sz w:val="20"/>
          <w:szCs w:val="20"/>
        </w:rPr>
        <w:t>ent employee survey indicated that team members strongly believe flexible work arrangements contribute positively to our performance as a company. Our Connected Workplace program is now available in 83 countries across the globe.</w:t>
      </w:r>
    </w:p>
    <w:p w14:paraId="7DCFCD9D" w14:textId="77777777" w:rsidR="00C1563E" w:rsidRDefault="00C1563E"/>
    <w:p w14:paraId="7DCFCD9E" w14:textId="77777777" w:rsidR="00C1563E" w:rsidRDefault="000B648B">
      <w:r>
        <w:rPr>
          <w:rFonts w:ascii="Times New Roman" w:eastAsia="宋体" w:hAnsi="Times New Roman"/>
          <w:color w:val="000000"/>
          <w:sz w:val="20"/>
          <w:szCs w:val="20"/>
        </w:rPr>
        <w:t xml:space="preserve">During the </w:t>
      </w:r>
      <w:r>
        <w:rPr>
          <w:rFonts w:ascii="Times New Roman" w:eastAsia="宋体" w:hAnsi="Times New Roman"/>
          <w:color w:val="000000"/>
          <w:sz w:val="20"/>
          <w:szCs w:val="20"/>
        </w:rPr>
        <w:t>challenges of the past year, the health and wellness of our team members across the globe has never been more important. We offer a highly competitive and comprehensive benefits package, and strive to provide the best choice and value at the best cost. Add</w:t>
      </w:r>
      <w:r>
        <w:rPr>
          <w:rFonts w:ascii="Times New Roman" w:eastAsia="宋体" w:hAnsi="Times New Roman"/>
          <w:color w:val="000000"/>
          <w:sz w:val="20"/>
          <w:szCs w:val="20"/>
        </w:rPr>
        <w:t>itionally, wellness resources are available online through the Dell Wellness Hub to help employees and their families develop and sustain healthy habits. Dell Wellness Hub provides a relevant, personalized, and fun experience that is tailored to each indiv</w:t>
      </w:r>
      <w:r>
        <w:rPr>
          <w:rFonts w:ascii="Times New Roman" w:eastAsia="宋体" w:hAnsi="Times New Roman"/>
          <w:color w:val="000000"/>
          <w:sz w:val="20"/>
          <w:szCs w:val="20"/>
        </w:rPr>
        <w:t>idual’s interests in one easy and convenient place, including physical, mental, and financial wellbeing. We further encourage a focus on wellness via regular communications, virtual live and on-demand educational sessions, voluntary progress tracking, well</w:t>
      </w:r>
      <w:r>
        <w:rPr>
          <w:rFonts w:ascii="Times New Roman" w:eastAsia="宋体" w:hAnsi="Times New Roman"/>
          <w:color w:val="000000"/>
          <w:sz w:val="20"/>
          <w:szCs w:val="20"/>
        </w:rPr>
        <w:t>ness challenges, and other incentives.</w:t>
      </w:r>
    </w:p>
    <w:p w14:paraId="7DCFCD9F" w14:textId="77777777" w:rsidR="00C1563E" w:rsidRDefault="00C1563E"/>
    <w:p w14:paraId="7DCFCDA0" w14:textId="77777777" w:rsidR="00C1563E" w:rsidRDefault="000B648B">
      <w:r>
        <w:rPr>
          <w:rFonts w:ascii="Times New Roman" w:eastAsia="宋体" w:hAnsi="Times New Roman"/>
          <w:i/>
          <w:iCs/>
          <w:color w:val="000000"/>
          <w:sz w:val="20"/>
          <w:szCs w:val="20"/>
        </w:rPr>
        <w:t>Supply Chain Resources</w:t>
      </w:r>
    </w:p>
    <w:p w14:paraId="7DCFCDA1" w14:textId="77777777" w:rsidR="00C1563E" w:rsidRDefault="00C1563E"/>
    <w:p w14:paraId="7DCFCDA2" w14:textId="77777777" w:rsidR="00C1563E" w:rsidRDefault="000B648B">
      <w:r>
        <w:rPr>
          <w:rFonts w:ascii="Times New Roman" w:eastAsia="宋体" w:hAnsi="Times New Roman"/>
          <w:color w:val="000000"/>
          <w:sz w:val="20"/>
          <w:szCs w:val="20"/>
        </w:rPr>
        <w:t>We manage responsible business practices in one of the world’s largest supply chains. Our supply chain has always demonstrated high standards of responsibility and integrity, and we continue o</w:t>
      </w:r>
      <w:r>
        <w:rPr>
          <w:rFonts w:ascii="Times New Roman" w:eastAsia="宋体" w:hAnsi="Times New Roman"/>
          <w:color w:val="000000"/>
          <w:sz w:val="20"/>
          <w:szCs w:val="20"/>
        </w:rPr>
        <w:t>ur efforts to drive responsible manufacturing our stakeholders can trust. Our supply chain involves hundreds of thousands of people around the world. We recognize that looking after the wellbeing of people in our supply chain is important and have set goal</w:t>
      </w:r>
      <w:r>
        <w:rPr>
          <w:rFonts w:ascii="Times New Roman" w:eastAsia="宋体" w:hAnsi="Times New Roman"/>
          <w:color w:val="000000"/>
          <w:sz w:val="20"/>
          <w:szCs w:val="20"/>
        </w:rPr>
        <w:t>s for our work in this area including:</w:t>
      </w:r>
    </w:p>
    <w:p w14:paraId="7DCFCDA3" w14:textId="77777777" w:rsidR="00C1563E" w:rsidRDefault="00C1563E"/>
    <w:p w14:paraId="7DCFCDA4" w14:textId="77777777" w:rsidR="00C1563E" w:rsidRDefault="000B648B">
      <w:pPr>
        <w:ind w:hanging="360"/>
      </w:pPr>
      <w:r>
        <w:rPr>
          <w:rFonts w:ascii="Times New Roman" w:eastAsia="宋体" w:hAnsi="Times New Roman"/>
          <w:color w:val="000000"/>
          <w:sz w:val="20"/>
          <w:szCs w:val="20"/>
        </w:rPr>
        <w:t>•providing healthy work environments where people can thrive;</w:t>
      </w:r>
    </w:p>
    <w:p w14:paraId="7DCFCDA5" w14:textId="77777777" w:rsidR="00C1563E" w:rsidRDefault="00C1563E"/>
    <w:p w14:paraId="7DCFCDA6" w14:textId="77777777" w:rsidR="00C1563E" w:rsidRDefault="000B648B">
      <w:pPr>
        <w:ind w:hanging="360"/>
      </w:pPr>
      <w:r>
        <w:rPr>
          <w:rFonts w:ascii="Times New Roman" w:eastAsia="宋体" w:hAnsi="Times New Roman"/>
          <w:color w:val="000000"/>
          <w:sz w:val="20"/>
          <w:szCs w:val="20"/>
        </w:rPr>
        <w:t>•delivering future-ready skills development for employees in our supply chain; and</w:t>
      </w:r>
    </w:p>
    <w:p w14:paraId="7DCFCDA7" w14:textId="77777777" w:rsidR="00C1563E" w:rsidRDefault="00C1563E"/>
    <w:p w14:paraId="7DCFCDA8" w14:textId="77777777" w:rsidR="00C1563E" w:rsidRDefault="000B648B">
      <w:pPr>
        <w:ind w:hanging="360"/>
      </w:pPr>
      <w:r>
        <w:rPr>
          <w:rFonts w:ascii="Times New Roman" w:eastAsia="宋体" w:hAnsi="Times New Roman"/>
          <w:color w:val="000000"/>
          <w:sz w:val="20"/>
          <w:szCs w:val="20"/>
        </w:rPr>
        <w:t>•continuing our engagement with the people who make our products.</w:t>
      </w:r>
    </w:p>
    <w:p w14:paraId="7DCFCDA9" w14:textId="77777777" w:rsidR="00C1563E" w:rsidRDefault="00C1563E"/>
    <w:p w14:paraId="7DCFCDAA" w14:textId="77777777" w:rsidR="00C1563E" w:rsidRDefault="000B648B">
      <w:r>
        <w:rPr>
          <w:rFonts w:ascii="Times New Roman" w:eastAsia="宋体" w:hAnsi="Times New Roman"/>
          <w:color w:val="000000"/>
          <w:sz w:val="20"/>
          <w:szCs w:val="20"/>
        </w:rPr>
        <w:t>We</w:t>
      </w:r>
      <w:r>
        <w:rPr>
          <w:rFonts w:ascii="Times New Roman" w:eastAsia="宋体" w:hAnsi="Times New Roman"/>
          <w:color w:val="000000"/>
          <w:sz w:val="20"/>
          <w:szCs w:val="20"/>
        </w:rPr>
        <w:t xml:space="preserve"> support supplier employees at all levels with training on key topics, including forced labor and health and safety, and we continue to work with suppliers to deliver training directly to employees via their mobile phones. Through this program, Dell Techno</w:t>
      </w:r>
      <w:r>
        <w:rPr>
          <w:rFonts w:ascii="Times New Roman" w:eastAsia="宋体" w:hAnsi="Times New Roman"/>
          <w:color w:val="000000"/>
          <w:sz w:val="20"/>
          <w:szCs w:val="20"/>
        </w:rPr>
        <w:t xml:space="preserve">logies covers the cost of developing training modules and shares training costs with suppliers who deliver them. </w:t>
      </w:r>
    </w:p>
    <w:p w14:paraId="7DCFCDAB" w14:textId="77777777" w:rsidR="00C1563E" w:rsidRDefault="00C1563E"/>
    <w:p w14:paraId="7DCFCDAC" w14:textId="77777777" w:rsidR="00C1563E" w:rsidRDefault="000B648B">
      <w:r>
        <w:rPr>
          <w:rFonts w:ascii="Times New Roman" w:eastAsia="宋体" w:hAnsi="Times New Roman"/>
          <w:color w:val="000000"/>
          <w:sz w:val="20"/>
          <w:szCs w:val="20"/>
        </w:rPr>
        <w:t xml:space="preserve">Dell Technologies continues to make significant progress to help ensure that we and our suppliers manufacture our products responsibly. Dell </w:t>
      </w:r>
      <w:r>
        <w:rPr>
          <w:rFonts w:ascii="Times New Roman" w:eastAsia="宋体" w:hAnsi="Times New Roman"/>
          <w:color w:val="000000"/>
          <w:sz w:val="20"/>
          <w:szCs w:val="20"/>
        </w:rPr>
        <w:t>Technologies has one of the largest social and environmental responsibility assurance programs in the technology sector, both in terms of number of audits and the program’s reach across the supply chain. Through these audits, we are able to monitor a suppl</w:t>
      </w:r>
      <w:r>
        <w:rPr>
          <w:rFonts w:ascii="Times New Roman" w:eastAsia="宋体" w:hAnsi="Times New Roman"/>
          <w:color w:val="000000"/>
          <w:sz w:val="20"/>
          <w:szCs w:val="20"/>
        </w:rPr>
        <w:t>ier factory’s adherence to the Responsible Business Alliance (“RBA”) Code of Conduct. Audits are conducted by third-party auditors that have been trained and certified by the RBA. Audits cover topics across five areas: labor, including risks of forced labo</w:t>
      </w:r>
      <w:r>
        <w:rPr>
          <w:rFonts w:ascii="Times New Roman" w:eastAsia="宋体" w:hAnsi="Times New Roman"/>
          <w:color w:val="000000"/>
          <w:sz w:val="20"/>
          <w:szCs w:val="20"/>
        </w:rPr>
        <w:t>r and weekly working hours; employee health and safety; environment; ethics; and management systems. Through our audit program, we aim to identify and solve concerns in our supply chain, and seek continuous improvements to address issues and enable supplie</w:t>
      </w:r>
      <w:r>
        <w:rPr>
          <w:rFonts w:ascii="Times New Roman" w:eastAsia="宋体" w:hAnsi="Times New Roman"/>
          <w:color w:val="000000"/>
          <w:sz w:val="20"/>
          <w:szCs w:val="20"/>
        </w:rPr>
        <w:t>rs to build their own in-house capabilities. We supplement our audits with targeted assessments of suppliers when we identify opportunities to drive further improvements.</w:t>
      </w:r>
    </w:p>
    <w:p w14:paraId="7DCFCDAD" w14:textId="77777777" w:rsidR="00C1563E" w:rsidRDefault="00C1563E"/>
    <w:p w14:paraId="7DCFCDAE" w14:textId="77777777" w:rsidR="00C1563E" w:rsidRDefault="000B648B">
      <w:r>
        <w:rPr>
          <w:rFonts w:ascii="Times New Roman" w:eastAsia="宋体" w:hAnsi="Times New Roman"/>
          <w:color w:val="000000"/>
          <w:sz w:val="20"/>
          <w:szCs w:val="20"/>
        </w:rPr>
        <w:t xml:space="preserve">Dell Technologies Supply Chain Sustainability Progress Reports are available on the </w:t>
      </w:r>
      <w:r>
        <w:rPr>
          <w:rFonts w:ascii="Times New Roman" w:eastAsia="宋体" w:hAnsi="Times New Roman"/>
          <w:color w:val="000000"/>
          <w:sz w:val="20"/>
          <w:szCs w:val="20"/>
        </w:rPr>
        <w:t>social impact reporting page of our website.</w:t>
      </w:r>
    </w:p>
    <w:p w14:paraId="7DCFCDAF" w14:textId="77777777" w:rsidR="00C1563E" w:rsidRDefault="00C1563E"/>
    <w:p w14:paraId="7DCFCDB0" w14:textId="77777777" w:rsidR="00C1563E" w:rsidRDefault="00C1563E"/>
    <w:p w14:paraId="7DCFCDB1" w14:textId="77777777" w:rsidR="00C1563E" w:rsidRDefault="00C1563E">
      <w:pPr>
        <w:jc w:val="center"/>
      </w:pPr>
    </w:p>
    <w:p w14:paraId="7DCFCDB2" w14:textId="77777777" w:rsidR="00C1563E" w:rsidRDefault="000B648B">
      <w:pPr>
        <w:jc w:val="center"/>
      </w:pPr>
      <w:r>
        <w:rPr>
          <w:rFonts w:ascii="Times New Roman" w:eastAsia="宋体" w:hAnsi="Times New Roman"/>
          <w:color w:val="000000"/>
          <w:sz w:val="20"/>
          <w:szCs w:val="20"/>
        </w:rPr>
        <w:t>13</w:t>
      </w:r>
    </w:p>
    <w:p w14:paraId="7DCFCDB3" w14:textId="77777777" w:rsidR="00C1563E" w:rsidRDefault="00C1563E">
      <w:pPr>
        <w:jc w:val="center"/>
      </w:pPr>
    </w:p>
    <w:p w14:paraId="7DCFCDB4" w14:textId="77777777" w:rsidR="00C1563E" w:rsidRDefault="000B648B">
      <w:r>
        <w:pict w14:anchorId="7DD02573">
          <v:rect id="_x0000_i1037" style="width:415.3pt;height:1.5pt" o:hralign="center" o:hrstd="t" o:hr="t" fillcolor="#a0a0a0" stroked="f"/>
        </w:pict>
      </w:r>
    </w:p>
    <w:p w14:paraId="7DCFCDB5" w14:textId="77777777" w:rsidR="00C1563E" w:rsidRDefault="000B648B">
      <w:hyperlink r:id="rId88" w:anchor="i418e32e4a35149ffbf7d3a25d66881b8_10" w:history="1">
        <w:r>
          <w:rPr>
            <w:rStyle w:val="a5"/>
            <w:rFonts w:ascii="Times New Roman" w:eastAsia="宋体" w:hAnsi="Times New Roman"/>
            <w:sz w:val="20"/>
            <w:szCs w:val="20"/>
          </w:rPr>
          <w:t>Table of Contents</w:t>
        </w:r>
      </w:hyperlink>
    </w:p>
    <w:p w14:paraId="7DCFCDB6" w14:textId="77777777" w:rsidR="00C1563E" w:rsidRDefault="000B648B">
      <w:r>
        <w:rPr>
          <w:rFonts w:ascii="Times New Roman" w:eastAsia="宋体" w:hAnsi="Times New Roman"/>
          <w:b/>
          <w:bCs/>
          <w:color w:val="000000"/>
          <w:sz w:val="20"/>
          <w:szCs w:val="20"/>
        </w:rPr>
        <w:t>Corporate Information </w:t>
      </w:r>
    </w:p>
    <w:p w14:paraId="7DCFCDB7" w14:textId="77777777" w:rsidR="00C1563E" w:rsidRDefault="00C1563E"/>
    <w:p w14:paraId="7DCFCDB8" w14:textId="77777777" w:rsidR="00C1563E" w:rsidRDefault="000B648B">
      <w:r>
        <w:rPr>
          <w:rFonts w:ascii="Times New Roman" w:eastAsia="宋体" w:hAnsi="Times New Roman"/>
          <w:color w:val="000000"/>
          <w:sz w:val="20"/>
          <w:szCs w:val="20"/>
        </w:rPr>
        <w:t>We are</w:t>
      </w:r>
      <w:r>
        <w:rPr>
          <w:rFonts w:ascii="Times New Roman" w:eastAsia="宋体" w:hAnsi="Times New Roman"/>
          <w:color w:val="000000"/>
          <w:sz w:val="20"/>
          <w:szCs w:val="20"/>
        </w:rPr>
        <w:t xml:space="preserve"> a holding company that conducts our operations through subsidiaries.</w:t>
      </w:r>
    </w:p>
    <w:p w14:paraId="7DCFCDB9" w14:textId="77777777" w:rsidR="00C1563E" w:rsidRDefault="00C1563E"/>
    <w:p w14:paraId="7DCFCDBA" w14:textId="77777777" w:rsidR="00C1563E" w:rsidRDefault="000B648B">
      <w:r>
        <w:rPr>
          <w:rFonts w:ascii="Times New Roman" w:eastAsia="宋体" w:hAnsi="Times New Roman"/>
          <w:color w:val="000000"/>
          <w:sz w:val="20"/>
          <w:szCs w:val="20"/>
        </w:rPr>
        <w:t xml:space="preserve">We were incorporated in the state of Delaware on January 31, 2013 under the name Denali Holding Inc. in connection with Dell’s going-private transaction, which was completed in </w:t>
      </w:r>
      <w:r>
        <w:rPr>
          <w:rFonts w:ascii="Times New Roman" w:eastAsia="宋体" w:hAnsi="Times New Roman"/>
          <w:color w:val="000000"/>
          <w:sz w:val="20"/>
          <w:szCs w:val="20"/>
        </w:rPr>
        <w:t>October 2013. We changed our name to Dell Technologies Inc. on August 25, 2016. The mailing address of our principal executive offices is One Dell Way, Round Rock, Texas 78682. Our telephone number is 1-800-289-3355.</w:t>
      </w:r>
    </w:p>
    <w:p w14:paraId="7DCFCDBB" w14:textId="77777777" w:rsidR="00C1563E" w:rsidRDefault="000B648B">
      <w:r>
        <w:rPr>
          <w:rFonts w:ascii="Times New Roman" w:eastAsia="宋体" w:hAnsi="Times New Roman"/>
          <w:color w:val="000000"/>
          <w:sz w:val="20"/>
          <w:szCs w:val="20"/>
        </w:rPr>
        <w:t>Our website address is www.delltechnolo</w:t>
      </w:r>
      <w:r>
        <w:rPr>
          <w:rFonts w:ascii="Times New Roman" w:eastAsia="宋体" w:hAnsi="Times New Roman"/>
          <w:color w:val="000000"/>
          <w:sz w:val="20"/>
          <w:szCs w:val="20"/>
        </w:rPr>
        <w:t xml:space="preserve">gies.com.  We make available free of charge through our website our annual report on Form 10-K, quarterly reports on Form 10-Q, and current reports on Form 8-K, and all amendments to those reports, as soon as reasonably practicable after we electronically </w:t>
      </w:r>
      <w:r>
        <w:rPr>
          <w:rFonts w:ascii="Times New Roman" w:eastAsia="宋体" w:hAnsi="Times New Roman"/>
          <w:color w:val="000000"/>
          <w:sz w:val="20"/>
          <w:szCs w:val="20"/>
        </w:rPr>
        <w:t>file such material with, or furnish it to, the SEC. The contents of our website referred to above and the contents of any other website we refer to herein are not a part of this annual report on Form 10-K.</w:t>
      </w:r>
    </w:p>
    <w:p w14:paraId="7DCFCDBC" w14:textId="77777777" w:rsidR="00C1563E" w:rsidRDefault="00C1563E"/>
    <w:p w14:paraId="7DCFCDBD" w14:textId="77777777" w:rsidR="00C1563E" w:rsidRDefault="000B648B">
      <w:pPr>
        <w:spacing w:after="240"/>
        <w:jc w:val="both"/>
      </w:pPr>
      <w:r>
        <w:rPr>
          <w:rFonts w:ascii="Times New Roman" w:eastAsia="宋体" w:hAnsi="Times New Roman"/>
          <w:b/>
          <w:bCs/>
          <w:color w:val="000000"/>
          <w:sz w:val="20"/>
          <w:szCs w:val="20"/>
        </w:rPr>
        <w:t>Information about our Executive Officers</w:t>
      </w:r>
    </w:p>
    <w:p w14:paraId="7DCFCDBE" w14:textId="77777777" w:rsidR="00C1563E" w:rsidRDefault="000B648B">
      <w:r>
        <w:rPr>
          <w:rFonts w:ascii="Times New Roman" w:eastAsia="宋体" w:hAnsi="Times New Roman"/>
          <w:color w:val="000000"/>
          <w:sz w:val="20"/>
          <w:szCs w:val="20"/>
        </w:rPr>
        <w:t>The foll</w:t>
      </w:r>
      <w:r>
        <w:rPr>
          <w:rFonts w:ascii="Times New Roman" w:eastAsia="宋体" w:hAnsi="Times New Roman"/>
          <w:color w:val="000000"/>
          <w:sz w:val="20"/>
          <w:szCs w:val="20"/>
        </w:rPr>
        <w:t>owing table sets forth, as of March 5, 2021, information about our executive officers, who are appointed by our board of directors.</w:t>
      </w:r>
    </w:p>
    <w:tbl>
      <w:tblPr>
        <w:tblW w:w="5000" w:type="pct"/>
        <w:tblCellMar>
          <w:top w:w="15" w:type="dxa"/>
          <w:left w:w="15" w:type="dxa"/>
          <w:bottom w:w="15" w:type="dxa"/>
          <w:right w:w="15" w:type="dxa"/>
        </w:tblCellMar>
        <w:tblLook w:val="04A0" w:firstRow="1" w:lastRow="0" w:firstColumn="1" w:lastColumn="0" w:noHBand="0" w:noVBand="1"/>
      </w:tblPr>
      <w:tblGrid>
        <w:gridCol w:w="49"/>
        <w:gridCol w:w="1775"/>
        <w:gridCol w:w="37"/>
        <w:gridCol w:w="36"/>
        <w:gridCol w:w="36"/>
        <w:gridCol w:w="36"/>
        <w:gridCol w:w="49"/>
        <w:gridCol w:w="1178"/>
        <w:gridCol w:w="36"/>
        <w:gridCol w:w="36"/>
        <w:gridCol w:w="36"/>
        <w:gridCol w:w="36"/>
        <w:gridCol w:w="49"/>
        <w:gridCol w:w="4910"/>
        <w:gridCol w:w="37"/>
      </w:tblGrid>
      <w:tr w:rsidR="00C1563E" w14:paraId="7DCFCDCE" w14:textId="77777777">
        <w:tc>
          <w:tcPr>
            <w:tcW w:w="50" w:type="pct"/>
            <w:shd w:val="clear" w:color="auto" w:fill="auto"/>
          </w:tcPr>
          <w:p w14:paraId="7DCFCDBF" w14:textId="77777777" w:rsidR="00C1563E" w:rsidRDefault="00C1563E">
            <w:pPr>
              <w:rPr>
                <w:rFonts w:ascii="宋体"/>
              </w:rPr>
            </w:pPr>
          </w:p>
        </w:tc>
        <w:tc>
          <w:tcPr>
            <w:tcW w:w="1085" w:type="pct"/>
            <w:shd w:val="clear" w:color="auto" w:fill="auto"/>
          </w:tcPr>
          <w:p w14:paraId="7DCFCDC0" w14:textId="77777777" w:rsidR="00C1563E" w:rsidRDefault="00C1563E">
            <w:pPr>
              <w:rPr>
                <w:rFonts w:ascii="宋体"/>
              </w:rPr>
            </w:pPr>
          </w:p>
        </w:tc>
        <w:tc>
          <w:tcPr>
            <w:tcW w:w="5" w:type="pct"/>
            <w:shd w:val="clear" w:color="auto" w:fill="auto"/>
          </w:tcPr>
          <w:p w14:paraId="7DCFCDC1" w14:textId="77777777" w:rsidR="00C1563E" w:rsidRDefault="00C1563E">
            <w:pPr>
              <w:rPr>
                <w:rFonts w:ascii="宋体"/>
              </w:rPr>
            </w:pPr>
          </w:p>
        </w:tc>
        <w:tc>
          <w:tcPr>
            <w:tcW w:w="5" w:type="pct"/>
            <w:shd w:val="clear" w:color="auto" w:fill="auto"/>
          </w:tcPr>
          <w:p w14:paraId="7DCFCDC2" w14:textId="77777777" w:rsidR="00C1563E" w:rsidRDefault="00C1563E">
            <w:pPr>
              <w:rPr>
                <w:rFonts w:ascii="宋体"/>
              </w:rPr>
            </w:pPr>
          </w:p>
        </w:tc>
        <w:tc>
          <w:tcPr>
            <w:tcW w:w="19" w:type="pct"/>
            <w:shd w:val="clear" w:color="auto" w:fill="auto"/>
          </w:tcPr>
          <w:p w14:paraId="7DCFCDC3" w14:textId="77777777" w:rsidR="00C1563E" w:rsidRDefault="00C1563E">
            <w:pPr>
              <w:rPr>
                <w:rFonts w:ascii="宋体"/>
              </w:rPr>
            </w:pPr>
          </w:p>
        </w:tc>
        <w:tc>
          <w:tcPr>
            <w:tcW w:w="5" w:type="pct"/>
            <w:shd w:val="clear" w:color="auto" w:fill="auto"/>
          </w:tcPr>
          <w:p w14:paraId="7DCFCDC4" w14:textId="77777777" w:rsidR="00C1563E" w:rsidRDefault="00C1563E">
            <w:pPr>
              <w:rPr>
                <w:rFonts w:ascii="宋体"/>
              </w:rPr>
            </w:pPr>
          </w:p>
        </w:tc>
        <w:tc>
          <w:tcPr>
            <w:tcW w:w="50" w:type="pct"/>
            <w:shd w:val="clear" w:color="auto" w:fill="auto"/>
          </w:tcPr>
          <w:p w14:paraId="7DCFCDC5" w14:textId="77777777" w:rsidR="00C1563E" w:rsidRDefault="00C1563E">
            <w:pPr>
              <w:rPr>
                <w:rFonts w:ascii="宋体"/>
              </w:rPr>
            </w:pPr>
          </w:p>
        </w:tc>
        <w:tc>
          <w:tcPr>
            <w:tcW w:w="727" w:type="pct"/>
            <w:shd w:val="clear" w:color="auto" w:fill="auto"/>
          </w:tcPr>
          <w:p w14:paraId="7DCFCDC6" w14:textId="77777777" w:rsidR="00C1563E" w:rsidRDefault="00C1563E">
            <w:pPr>
              <w:rPr>
                <w:rFonts w:ascii="宋体"/>
              </w:rPr>
            </w:pPr>
          </w:p>
        </w:tc>
        <w:tc>
          <w:tcPr>
            <w:tcW w:w="5" w:type="pct"/>
            <w:shd w:val="clear" w:color="auto" w:fill="auto"/>
          </w:tcPr>
          <w:p w14:paraId="7DCFCDC7" w14:textId="77777777" w:rsidR="00C1563E" w:rsidRDefault="00C1563E">
            <w:pPr>
              <w:rPr>
                <w:rFonts w:ascii="宋体"/>
              </w:rPr>
            </w:pPr>
          </w:p>
        </w:tc>
        <w:tc>
          <w:tcPr>
            <w:tcW w:w="5" w:type="pct"/>
            <w:shd w:val="clear" w:color="auto" w:fill="auto"/>
          </w:tcPr>
          <w:p w14:paraId="7DCFCDC8" w14:textId="77777777" w:rsidR="00C1563E" w:rsidRDefault="00C1563E">
            <w:pPr>
              <w:rPr>
                <w:rFonts w:ascii="宋体"/>
              </w:rPr>
            </w:pPr>
          </w:p>
        </w:tc>
        <w:tc>
          <w:tcPr>
            <w:tcW w:w="19" w:type="pct"/>
            <w:shd w:val="clear" w:color="auto" w:fill="auto"/>
          </w:tcPr>
          <w:p w14:paraId="7DCFCDC9" w14:textId="77777777" w:rsidR="00C1563E" w:rsidRDefault="00C1563E">
            <w:pPr>
              <w:rPr>
                <w:rFonts w:ascii="宋体"/>
              </w:rPr>
            </w:pPr>
          </w:p>
        </w:tc>
        <w:tc>
          <w:tcPr>
            <w:tcW w:w="5" w:type="pct"/>
            <w:shd w:val="clear" w:color="auto" w:fill="auto"/>
          </w:tcPr>
          <w:p w14:paraId="7DCFCDCA" w14:textId="77777777" w:rsidR="00C1563E" w:rsidRDefault="00C1563E">
            <w:pPr>
              <w:rPr>
                <w:rFonts w:ascii="宋体"/>
              </w:rPr>
            </w:pPr>
          </w:p>
        </w:tc>
        <w:tc>
          <w:tcPr>
            <w:tcW w:w="50" w:type="pct"/>
            <w:shd w:val="clear" w:color="auto" w:fill="auto"/>
          </w:tcPr>
          <w:p w14:paraId="7DCFCDCB" w14:textId="77777777" w:rsidR="00C1563E" w:rsidRDefault="00C1563E">
            <w:pPr>
              <w:rPr>
                <w:rFonts w:ascii="宋体"/>
              </w:rPr>
            </w:pPr>
          </w:p>
        </w:tc>
        <w:tc>
          <w:tcPr>
            <w:tcW w:w="2964" w:type="pct"/>
            <w:shd w:val="clear" w:color="auto" w:fill="auto"/>
          </w:tcPr>
          <w:p w14:paraId="7DCFCDCC" w14:textId="77777777" w:rsidR="00C1563E" w:rsidRDefault="00C1563E">
            <w:pPr>
              <w:rPr>
                <w:rFonts w:ascii="宋体"/>
              </w:rPr>
            </w:pPr>
          </w:p>
        </w:tc>
        <w:tc>
          <w:tcPr>
            <w:tcW w:w="5" w:type="pct"/>
            <w:shd w:val="clear" w:color="auto" w:fill="auto"/>
          </w:tcPr>
          <w:p w14:paraId="7DCFCDCD" w14:textId="77777777" w:rsidR="00C1563E" w:rsidRDefault="00C1563E">
            <w:pPr>
              <w:rPr>
                <w:rFonts w:ascii="宋体"/>
              </w:rPr>
            </w:pPr>
          </w:p>
        </w:tc>
      </w:tr>
      <w:tr w:rsidR="00C1563E" w14:paraId="7DCFCDD4" w14:textId="77777777">
        <w:tc>
          <w:tcPr>
            <w:tcW w:w="0" w:type="auto"/>
            <w:gridSpan w:val="3"/>
            <w:shd w:val="clear" w:color="auto" w:fill="auto"/>
            <w:tcMar>
              <w:top w:w="40" w:type="dxa"/>
              <w:left w:w="20" w:type="dxa"/>
              <w:bottom w:w="40" w:type="dxa"/>
              <w:right w:w="20" w:type="dxa"/>
            </w:tcMar>
            <w:vAlign w:val="bottom"/>
          </w:tcPr>
          <w:p w14:paraId="7DCFCDCF" w14:textId="77777777" w:rsidR="00C1563E" w:rsidRDefault="000B648B">
            <w:pPr>
              <w:textAlignment w:val="bottom"/>
            </w:pPr>
            <w:r>
              <w:rPr>
                <w:rFonts w:ascii="Times New Roman" w:eastAsia="宋体" w:hAnsi="Times New Roman"/>
                <w:b/>
                <w:bCs/>
                <w:color w:val="000000"/>
                <w:sz w:val="20"/>
                <w:szCs w:val="20"/>
              </w:rPr>
              <w:t>Name</w:t>
            </w:r>
          </w:p>
        </w:tc>
        <w:tc>
          <w:tcPr>
            <w:tcW w:w="0" w:type="auto"/>
            <w:gridSpan w:val="3"/>
            <w:shd w:val="clear" w:color="auto" w:fill="auto"/>
            <w:tcMar>
              <w:top w:w="0" w:type="dxa"/>
              <w:left w:w="20" w:type="dxa"/>
              <w:bottom w:w="0" w:type="dxa"/>
              <w:right w:w="20" w:type="dxa"/>
            </w:tcMar>
          </w:tcPr>
          <w:p w14:paraId="7DCFCDD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DD1" w14:textId="77777777" w:rsidR="00C1563E" w:rsidRDefault="000B648B">
            <w:pPr>
              <w:jc w:val="center"/>
              <w:textAlignment w:val="bottom"/>
            </w:pPr>
            <w:r>
              <w:rPr>
                <w:rFonts w:ascii="Times New Roman" w:eastAsia="宋体" w:hAnsi="Times New Roman"/>
                <w:b/>
                <w:bCs/>
                <w:color w:val="000000"/>
                <w:sz w:val="20"/>
                <w:szCs w:val="20"/>
              </w:rPr>
              <w:t>Age</w:t>
            </w:r>
          </w:p>
        </w:tc>
        <w:tc>
          <w:tcPr>
            <w:tcW w:w="0" w:type="auto"/>
            <w:gridSpan w:val="3"/>
            <w:shd w:val="clear" w:color="auto" w:fill="auto"/>
            <w:tcMar>
              <w:top w:w="0" w:type="dxa"/>
              <w:left w:w="20" w:type="dxa"/>
              <w:bottom w:w="0" w:type="dxa"/>
              <w:right w:w="20" w:type="dxa"/>
            </w:tcMar>
          </w:tcPr>
          <w:p w14:paraId="7DCFCDD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DD3" w14:textId="77777777" w:rsidR="00C1563E" w:rsidRDefault="000B648B">
            <w:pPr>
              <w:textAlignment w:val="bottom"/>
            </w:pPr>
            <w:r>
              <w:rPr>
                <w:rFonts w:ascii="Times New Roman" w:eastAsia="宋体" w:hAnsi="Times New Roman"/>
                <w:b/>
                <w:bCs/>
                <w:color w:val="000000"/>
                <w:sz w:val="20"/>
                <w:szCs w:val="20"/>
              </w:rPr>
              <w:t>Position</w:t>
            </w:r>
          </w:p>
        </w:tc>
      </w:tr>
      <w:tr w:rsidR="00C1563E" w14:paraId="7DCFCDD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CDD5" w14:textId="77777777" w:rsidR="00C1563E" w:rsidRDefault="000B648B">
            <w:pPr>
              <w:textAlignment w:val="bottom"/>
            </w:pPr>
            <w:r>
              <w:rPr>
                <w:rFonts w:ascii="Times New Roman" w:eastAsia="宋体" w:hAnsi="Times New Roman"/>
                <w:color w:val="000000"/>
                <w:sz w:val="20"/>
                <w:szCs w:val="20"/>
              </w:rPr>
              <w:t>Michael S. Dell</w:t>
            </w:r>
          </w:p>
        </w:tc>
        <w:tc>
          <w:tcPr>
            <w:tcW w:w="0" w:type="auto"/>
            <w:gridSpan w:val="3"/>
            <w:shd w:val="clear" w:color="auto" w:fill="CCEEFF"/>
            <w:tcMar>
              <w:top w:w="0" w:type="dxa"/>
              <w:left w:w="20" w:type="dxa"/>
              <w:bottom w:w="0" w:type="dxa"/>
              <w:right w:w="20" w:type="dxa"/>
            </w:tcMar>
          </w:tcPr>
          <w:p w14:paraId="7DCFCDD6"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CDD7" w14:textId="77777777" w:rsidR="00C1563E" w:rsidRDefault="000B648B">
            <w:pPr>
              <w:jc w:val="center"/>
              <w:textAlignment w:val="bottom"/>
            </w:pPr>
            <w:r>
              <w:rPr>
                <w:rFonts w:ascii="Times New Roman" w:eastAsia="宋体" w:hAnsi="Times New Roman"/>
                <w:color w:val="000000"/>
                <w:sz w:val="20"/>
                <w:szCs w:val="20"/>
              </w:rPr>
              <w:t>56</w:t>
            </w:r>
          </w:p>
        </w:tc>
        <w:tc>
          <w:tcPr>
            <w:tcW w:w="0" w:type="auto"/>
            <w:gridSpan w:val="3"/>
            <w:shd w:val="clear" w:color="auto" w:fill="CCEEFF"/>
            <w:tcMar>
              <w:top w:w="0" w:type="dxa"/>
              <w:left w:w="20" w:type="dxa"/>
              <w:bottom w:w="0" w:type="dxa"/>
              <w:right w:w="20" w:type="dxa"/>
            </w:tcMar>
          </w:tcPr>
          <w:p w14:paraId="7DCFCDD8"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CDD9" w14:textId="77777777" w:rsidR="00C1563E" w:rsidRDefault="000B648B">
            <w:pPr>
              <w:textAlignment w:val="bottom"/>
            </w:pPr>
            <w:r>
              <w:rPr>
                <w:rFonts w:ascii="Times New Roman" w:eastAsia="宋体" w:hAnsi="Times New Roman"/>
                <w:color w:val="000000"/>
                <w:sz w:val="20"/>
                <w:szCs w:val="20"/>
              </w:rPr>
              <w:t>Chief Executive Officer and Chairman</w:t>
            </w:r>
          </w:p>
        </w:tc>
      </w:tr>
      <w:tr w:rsidR="00C1563E" w14:paraId="7DCFCDE0" w14:textId="77777777">
        <w:tc>
          <w:tcPr>
            <w:tcW w:w="0" w:type="auto"/>
            <w:gridSpan w:val="3"/>
            <w:shd w:val="clear" w:color="auto" w:fill="FFFFFF"/>
            <w:tcMar>
              <w:top w:w="40" w:type="dxa"/>
              <w:left w:w="20" w:type="dxa"/>
              <w:bottom w:w="40" w:type="dxa"/>
              <w:right w:w="20" w:type="dxa"/>
            </w:tcMar>
            <w:vAlign w:val="bottom"/>
          </w:tcPr>
          <w:p w14:paraId="7DCFCDDB" w14:textId="77777777" w:rsidR="00C1563E" w:rsidRDefault="000B648B">
            <w:pPr>
              <w:textAlignment w:val="bottom"/>
            </w:pPr>
            <w:r>
              <w:rPr>
                <w:rFonts w:ascii="Times New Roman" w:eastAsia="宋体" w:hAnsi="Times New Roman"/>
                <w:color w:val="000000"/>
                <w:sz w:val="20"/>
                <w:szCs w:val="20"/>
              </w:rPr>
              <w:t>Jeffrey W. Clarke</w:t>
            </w:r>
          </w:p>
        </w:tc>
        <w:tc>
          <w:tcPr>
            <w:tcW w:w="0" w:type="auto"/>
            <w:gridSpan w:val="3"/>
            <w:shd w:val="clear" w:color="auto" w:fill="FFFFFF"/>
            <w:tcMar>
              <w:top w:w="0" w:type="dxa"/>
              <w:left w:w="20" w:type="dxa"/>
              <w:bottom w:w="0" w:type="dxa"/>
              <w:right w:w="20" w:type="dxa"/>
            </w:tcMar>
          </w:tcPr>
          <w:p w14:paraId="7DCFCDDC"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DD" w14:textId="77777777" w:rsidR="00C1563E" w:rsidRDefault="000B648B">
            <w:pPr>
              <w:jc w:val="center"/>
              <w:textAlignment w:val="bottom"/>
            </w:pPr>
            <w:r>
              <w:rPr>
                <w:rFonts w:ascii="Times New Roman" w:eastAsia="宋体" w:hAnsi="Times New Roman"/>
                <w:color w:val="000000"/>
                <w:sz w:val="20"/>
                <w:szCs w:val="20"/>
              </w:rPr>
              <w:t>58</w:t>
            </w:r>
          </w:p>
        </w:tc>
        <w:tc>
          <w:tcPr>
            <w:tcW w:w="0" w:type="auto"/>
            <w:gridSpan w:val="3"/>
            <w:shd w:val="clear" w:color="auto" w:fill="FFFFFF"/>
            <w:tcMar>
              <w:top w:w="0" w:type="dxa"/>
              <w:left w:w="20" w:type="dxa"/>
              <w:bottom w:w="0" w:type="dxa"/>
              <w:right w:w="20" w:type="dxa"/>
            </w:tcMar>
          </w:tcPr>
          <w:p w14:paraId="7DCFCDDE"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DF" w14:textId="77777777" w:rsidR="00C1563E" w:rsidRDefault="000B648B">
            <w:pPr>
              <w:textAlignment w:val="bottom"/>
            </w:pPr>
            <w:r>
              <w:rPr>
                <w:rFonts w:ascii="Times New Roman" w:eastAsia="宋体" w:hAnsi="Times New Roman"/>
                <w:color w:val="000000"/>
                <w:sz w:val="20"/>
                <w:szCs w:val="20"/>
              </w:rPr>
              <w:t>Chief Operating Officer and Vice Chairman</w:t>
            </w:r>
          </w:p>
        </w:tc>
      </w:tr>
      <w:tr w:rsidR="00C1563E" w14:paraId="7DCFCDE6" w14:textId="77777777">
        <w:tc>
          <w:tcPr>
            <w:tcW w:w="0" w:type="auto"/>
            <w:gridSpan w:val="3"/>
            <w:shd w:val="clear" w:color="auto" w:fill="CCEEFF"/>
            <w:tcMar>
              <w:top w:w="40" w:type="dxa"/>
              <w:left w:w="20" w:type="dxa"/>
              <w:bottom w:w="40" w:type="dxa"/>
              <w:right w:w="20" w:type="dxa"/>
            </w:tcMar>
            <w:vAlign w:val="bottom"/>
          </w:tcPr>
          <w:p w14:paraId="7DCFCDE1" w14:textId="77777777" w:rsidR="00C1563E" w:rsidRDefault="000B648B">
            <w:pPr>
              <w:textAlignment w:val="bottom"/>
            </w:pPr>
            <w:r>
              <w:rPr>
                <w:rFonts w:ascii="Times New Roman" w:eastAsia="宋体" w:hAnsi="Times New Roman"/>
                <w:color w:val="000000"/>
                <w:sz w:val="20"/>
                <w:szCs w:val="20"/>
              </w:rPr>
              <w:t>Allison Dew</w:t>
            </w:r>
          </w:p>
        </w:tc>
        <w:tc>
          <w:tcPr>
            <w:tcW w:w="0" w:type="auto"/>
            <w:gridSpan w:val="3"/>
            <w:shd w:val="clear" w:color="auto" w:fill="CCEEFF"/>
            <w:tcMar>
              <w:top w:w="0" w:type="dxa"/>
              <w:left w:w="20" w:type="dxa"/>
              <w:bottom w:w="0" w:type="dxa"/>
              <w:right w:w="20" w:type="dxa"/>
            </w:tcMar>
          </w:tcPr>
          <w:p w14:paraId="7DCFCDE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E3" w14:textId="77777777" w:rsidR="00C1563E" w:rsidRDefault="000B648B">
            <w:pPr>
              <w:jc w:val="center"/>
              <w:textAlignment w:val="bottom"/>
            </w:pPr>
            <w:r>
              <w:rPr>
                <w:rFonts w:ascii="Times New Roman" w:eastAsia="宋体" w:hAnsi="Times New Roman"/>
                <w:color w:val="000000"/>
                <w:sz w:val="20"/>
                <w:szCs w:val="20"/>
              </w:rPr>
              <w:t>51</w:t>
            </w:r>
          </w:p>
        </w:tc>
        <w:tc>
          <w:tcPr>
            <w:tcW w:w="0" w:type="auto"/>
            <w:gridSpan w:val="3"/>
            <w:shd w:val="clear" w:color="auto" w:fill="CCEEFF"/>
            <w:tcMar>
              <w:top w:w="0" w:type="dxa"/>
              <w:left w:w="20" w:type="dxa"/>
              <w:bottom w:w="0" w:type="dxa"/>
              <w:right w:w="20" w:type="dxa"/>
            </w:tcMar>
          </w:tcPr>
          <w:p w14:paraId="7DCFCDE4"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E5" w14:textId="77777777" w:rsidR="00C1563E" w:rsidRDefault="000B648B">
            <w:pPr>
              <w:textAlignment w:val="bottom"/>
            </w:pPr>
            <w:r>
              <w:rPr>
                <w:rFonts w:ascii="Times New Roman" w:eastAsia="宋体" w:hAnsi="Times New Roman"/>
                <w:color w:val="000000"/>
                <w:sz w:val="20"/>
                <w:szCs w:val="20"/>
              </w:rPr>
              <w:t>Chief Marketing Officer</w:t>
            </w:r>
          </w:p>
        </w:tc>
      </w:tr>
      <w:tr w:rsidR="00C1563E" w14:paraId="7DCFCDEC" w14:textId="77777777">
        <w:tc>
          <w:tcPr>
            <w:tcW w:w="0" w:type="auto"/>
            <w:gridSpan w:val="3"/>
            <w:shd w:val="clear" w:color="auto" w:fill="FFFFFF"/>
            <w:tcMar>
              <w:top w:w="40" w:type="dxa"/>
              <w:left w:w="20" w:type="dxa"/>
              <w:bottom w:w="40" w:type="dxa"/>
              <w:right w:w="20" w:type="dxa"/>
            </w:tcMar>
            <w:vAlign w:val="bottom"/>
          </w:tcPr>
          <w:p w14:paraId="7DCFCDE7" w14:textId="77777777" w:rsidR="00C1563E" w:rsidRDefault="000B648B">
            <w:pPr>
              <w:textAlignment w:val="bottom"/>
            </w:pPr>
            <w:r>
              <w:rPr>
                <w:rFonts w:ascii="Times New Roman" w:eastAsia="宋体" w:hAnsi="Times New Roman"/>
                <w:color w:val="000000"/>
                <w:sz w:val="20"/>
                <w:szCs w:val="20"/>
              </w:rPr>
              <w:t>Howard D. Elias</w:t>
            </w:r>
          </w:p>
        </w:tc>
        <w:tc>
          <w:tcPr>
            <w:tcW w:w="0" w:type="auto"/>
            <w:gridSpan w:val="3"/>
            <w:shd w:val="clear" w:color="auto" w:fill="FFFFFF"/>
            <w:tcMar>
              <w:top w:w="0" w:type="dxa"/>
              <w:left w:w="20" w:type="dxa"/>
              <w:bottom w:w="0" w:type="dxa"/>
              <w:right w:w="20" w:type="dxa"/>
            </w:tcMar>
          </w:tcPr>
          <w:p w14:paraId="7DCFCDE8"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E9" w14:textId="77777777" w:rsidR="00C1563E" w:rsidRDefault="000B648B">
            <w:pPr>
              <w:jc w:val="center"/>
              <w:textAlignment w:val="bottom"/>
            </w:pPr>
            <w:r>
              <w:rPr>
                <w:rFonts w:ascii="Times New Roman" w:eastAsia="宋体" w:hAnsi="Times New Roman"/>
                <w:color w:val="000000"/>
                <w:sz w:val="20"/>
                <w:szCs w:val="20"/>
              </w:rPr>
              <w:t>63</w:t>
            </w:r>
          </w:p>
        </w:tc>
        <w:tc>
          <w:tcPr>
            <w:tcW w:w="0" w:type="auto"/>
            <w:gridSpan w:val="3"/>
            <w:shd w:val="clear" w:color="auto" w:fill="FFFFFF"/>
            <w:tcMar>
              <w:top w:w="0" w:type="dxa"/>
              <w:left w:w="20" w:type="dxa"/>
              <w:bottom w:w="0" w:type="dxa"/>
              <w:right w:w="20" w:type="dxa"/>
            </w:tcMar>
          </w:tcPr>
          <w:p w14:paraId="7DCFCDEA"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EB" w14:textId="77777777" w:rsidR="00C1563E" w:rsidRDefault="000B648B">
            <w:pPr>
              <w:textAlignment w:val="bottom"/>
            </w:pPr>
            <w:r>
              <w:rPr>
                <w:rFonts w:ascii="Times New Roman" w:eastAsia="宋体" w:hAnsi="Times New Roman"/>
                <w:color w:val="000000"/>
                <w:sz w:val="20"/>
                <w:szCs w:val="20"/>
              </w:rPr>
              <w:t>Chief Customer Officer and President, Services and Digital</w:t>
            </w:r>
          </w:p>
        </w:tc>
      </w:tr>
      <w:tr w:rsidR="00C1563E" w14:paraId="7DCFCDF2" w14:textId="77777777">
        <w:tc>
          <w:tcPr>
            <w:tcW w:w="0" w:type="auto"/>
            <w:gridSpan w:val="3"/>
            <w:shd w:val="clear" w:color="auto" w:fill="CCEEFF"/>
            <w:tcMar>
              <w:top w:w="40" w:type="dxa"/>
              <w:left w:w="20" w:type="dxa"/>
              <w:bottom w:w="40" w:type="dxa"/>
              <w:right w:w="20" w:type="dxa"/>
            </w:tcMar>
            <w:vAlign w:val="bottom"/>
          </w:tcPr>
          <w:p w14:paraId="7DCFCDED" w14:textId="77777777" w:rsidR="00C1563E" w:rsidRDefault="000B648B">
            <w:pPr>
              <w:textAlignment w:val="bottom"/>
            </w:pPr>
            <w:r>
              <w:rPr>
                <w:rFonts w:ascii="Times New Roman" w:eastAsia="宋体" w:hAnsi="Times New Roman"/>
                <w:color w:val="000000"/>
                <w:sz w:val="20"/>
                <w:szCs w:val="20"/>
              </w:rPr>
              <w:t>Jennifer D. Saavedra, Ph.D.</w:t>
            </w:r>
          </w:p>
        </w:tc>
        <w:tc>
          <w:tcPr>
            <w:tcW w:w="0" w:type="auto"/>
            <w:gridSpan w:val="3"/>
            <w:shd w:val="clear" w:color="auto" w:fill="CCEEFF"/>
            <w:tcMar>
              <w:top w:w="0" w:type="dxa"/>
              <w:left w:w="20" w:type="dxa"/>
              <w:bottom w:w="0" w:type="dxa"/>
              <w:right w:w="20" w:type="dxa"/>
            </w:tcMar>
          </w:tcPr>
          <w:p w14:paraId="7DCFCDEE"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EF" w14:textId="77777777" w:rsidR="00C1563E" w:rsidRDefault="000B648B">
            <w:pPr>
              <w:jc w:val="center"/>
              <w:textAlignment w:val="bottom"/>
            </w:pPr>
            <w:r>
              <w:rPr>
                <w:rFonts w:ascii="Times New Roman" w:eastAsia="宋体" w:hAnsi="Times New Roman"/>
                <w:color w:val="000000"/>
                <w:sz w:val="20"/>
                <w:szCs w:val="20"/>
              </w:rPr>
              <w:t>51</w:t>
            </w:r>
          </w:p>
        </w:tc>
        <w:tc>
          <w:tcPr>
            <w:tcW w:w="0" w:type="auto"/>
            <w:gridSpan w:val="3"/>
            <w:shd w:val="clear" w:color="auto" w:fill="CCEEFF"/>
            <w:tcMar>
              <w:top w:w="0" w:type="dxa"/>
              <w:left w:w="20" w:type="dxa"/>
              <w:bottom w:w="0" w:type="dxa"/>
              <w:right w:w="20" w:type="dxa"/>
            </w:tcMar>
          </w:tcPr>
          <w:p w14:paraId="7DCFCDF0"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F1" w14:textId="77777777" w:rsidR="00C1563E" w:rsidRDefault="000B648B">
            <w:pPr>
              <w:textAlignment w:val="bottom"/>
            </w:pPr>
            <w:r>
              <w:rPr>
                <w:rFonts w:ascii="Times New Roman" w:eastAsia="宋体" w:hAnsi="Times New Roman"/>
                <w:color w:val="000000"/>
                <w:sz w:val="20"/>
                <w:szCs w:val="20"/>
              </w:rPr>
              <w:t>Chief Human Resources Officer</w:t>
            </w:r>
          </w:p>
        </w:tc>
      </w:tr>
      <w:tr w:rsidR="00C1563E" w14:paraId="7DCFCDF8" w14:textId="77777777">
        <w:tc>
          <w:tcPr>
            <w:tcW w:w="0" w:type="auto"/>
            <w:gridSpan w:val="3"/>
            <w:shd w:val="clear" w:color="auto" w:fill="FFFFFF"/>
            <w:tcMar>
              <w:top w:w="40" w:type="dxa"/>
              <w:left w:w="20" w:type="dxa"/>
              <w:bottom w:w="40" w:type="dxa"/>
              <w:right w:w="20" w:type="dxa"/>
            </w:tcMar>
            <w:vAlign w:val="bottom"/>
          </w:tcPr>
          <w:p w14:paraId="7DCFCDF3" w14:textId="77777777" w:rsidR="00C1563E" w:rsidRDefault="000B648B">
            <w:pPr>
              <w:textAlignment w:val="bottom"/>
            </w:pPr>
            <w:r>
              <w:rPr>
                <w:rFonts w:ascii="Times New Roman" w:eastAsia="宋体" w:hAnsi="Times New Roman"/>
                <w:color w:val="000000"/>
                <w:sz w:val="20"/>
                <w:szCs w:val="20"/>
              </w:rPr>
              <w:t xml:space="preserve">Richard J. </w:t>
            </w:r>
            <w:r>
              <w:rPr>
                <w:rFonts w:ascii="Times New Roman" w:eastAsia="宋体" w:hAnsi="Times New Roman"/>
                <w:color w:val="000000"/>
                <w:sz w:val="20"/>
                <w:szCs w:val="20"/>
              </w:rPr>
              <w:t>Rothberg</w:t>
            </w:r>
          </w:p>
        </w:tc>
        <w:tc>
          <w:tcPr>
            <w:tcW w:w="0" w:type="auto"/>
            <w:gridSpan w:val="3"/>
            <w:shd w:val="clear" w:color="auto" w:fill="FFFFFF"/>
            <w:tcMar>
              <w:top w:w="0" w:type="dxa"/>
              <w:left w:w="20" w:type="dxa"/>
              <w:bottom w:w="0" w:type="dxa"/>
              <w:right w:w="20" w:type="dxa"/>
            </w:tcMar>
          </w:tcPr>
          <w:p w14:paraId="7DCFCDF4"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F5" w14:textId="77777777" w:rsidR="00C1563E" w:rsidRDefault="000B648B">
            <w:pPr>
              <w:jc w:val="center"/>
              <w:textAlignment w:val="bottom"/>
            </w:pPr>
            <w:r>
              <w:rPr>
                <w:rFonts w:ascii="Times New Roman" w:eastAsia="宋体" w:hAnsi="Times New Roman"/>
                <w:color w:val="000000"/>
                <w:sz w:val="20"/>
                <w:szCs w:val="20"/>
              </w:rPr>
              <w:t>57</w:t>
            </w:r>
          </w:p>
        </w:tc>
        <w:tc>
          <w:tcPr>
            <w:tcW w:w="0" w:type="auto"/>
            <w:gridSpan w:val="3"/>
            <w:shd w:val="clear" w:color="auto" w:fill="FFFFFF"/>
            <w:tcMar>
              <w:top w:w="0" w:type="dxa"/>
              <w:left w:w="20" w:type="dxa"/>
              <w:bottom w:w="0" w:type="dxa"/>
              <w:right w:w="20" w:type="dxa"/>
            </w:tcMar>
          </w:tcPr>
          <w:p w14:paraId="7DCFCDF6"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DF7" w14:textId="77777777" w:rsidR="00C1563E" w:rsidRDefault="000B648B">
            <w:pPr>
              <w:textAlignment w:val="bottom"/>
            </w:pPr>
            <w:r>
              <w:rPr>
                <w:rFonts w:ascii="Times New Roman" w:eastAsia="宋体" w:hAnsi="Times New Roman"/>
                <w:color w:val="000000"/>
                <w:sz w:val="20"/>
                <w:szCs w:val="20"/>
              </w:rPr>
              <w:t>General Counsel</w:t>
            </w:r>
          </w:p>
        </w:tc>
      </w:tr>
      <w:tr w:rsidR="00C1563E" w14:paraId="7DCFCDFE" w14:textId="77777777">
        <w:tc>
          <w:tcPr>
            <w:tcW w:w="0" w:type="auto"/>
            <w:gridSpan w:val="3"/>
            <w:shd w:val="clear" w:color="auto" w:fill="CCEEFF"/>
            <w:tcMar>
              <w:top w:w="40" w:type="dxa"/>
              <w:left w:w="20" w:type="dxa"/>
              <w:bottom w:w="40" w:type="dxa"/>
              <w:right w:w="20" w:type="dxa"/>
            </w:tcMar>
            <w:vAlign w:val="bottom"/>
          </w:tcPr>
          <w:p w14:paraId="7DCFCDF9" w14:textId="77777777" w:rsidR="00C1563E" w:rsidRDefault="000B648B">
            <w:pPr>
              <w:textAlignment w:val="bottom"/>
            </w:pPr>
            <w:r>
              <w:rPr>
                <w:rFonts w:ascii="Times New Roman" w:eastAsia="宋体" w:hAnsi="Times New Roman"/>
                <w:color w:val="000000"/>
                <w:sz w:val="20"/>
                <w:szCs w:val="20"/>
              </w:rPr>
              <w:t>William F. Scannell</w:t>
            </w:r>
          </w:p>
        </w:tc>
        <w:tc>
          <w:tcPr>
            <w:tcW w:w="0" w:type="auto"/>
            <w:gridSpan w:val="3"/>
            <w:shd w:val="clear" w:color="auto" w:fill="CCEEFF"/>
            <w:tcMar>
              <w:top w:w="0" w:type="dxa"/>
              <w:left w:w="20" w:type="dxa"/>
              <w:bottom w:w="0" w:type="dxa"/>
              <w:right w:w="20" w:type="dxa"/>
            </w:tcMar>
          </w:tcPr>
          <w:p w14:paraId="7DCFCDFA"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FB" w14:textId="77777777" w:rsidR="00C1563E" w:rsidRDefault="000B648B">
            <w:pPr>
              <w:jc w:val="center"/>
              <w:textAlignment w:val="bottom"/>
            </w:pPr>
            <w:r>
              <w:rPr>
                <w:rFonts w:ascii="Times New Roman" w:eastAsia="宋体" w:hAnsi="Times New Roman"/>
                <w:color w:val="000000"/>
                <w:sz w:val="20"/>
                <w:szCs w:val="20"/>
              </w:rPr>
              <w:t>58</w:t>
            </w:r>
          </w:p>
        </w:tc>
        <w:tc>
          <w:tcPr>
            <w:tcW w:w="0" w:type="auto"/>
            <w:gridSpan w:val="3"/>
            <w:shd w:val="clear" w:color="auto" w:fill="CCEEFF"/>
            <w:tcMar>
              <w:top w:w="0" w:type="dxa"/>
              <w:left w:w="20" w:type="dxa"/>
              <w:bottom w:w="0" w:type="dxa"/>
              <w:right w:w="20" w:type="dxa"/>
            </w:tcMar>
          </w:tcPr>
          <w:p w14:paraId="7DCFCDFC"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CDFD" w14:textId="77777777" w:rsidR="00C1563E" w:rsidRDefault="000B648B">
            <w:pPr>
              <w:textAlignment w:val="bottom"/>
            </w:pPr>
            <w:r>
              <w:rPr>
                <w:rFonts w:ascii="Times New Roman" w:eastAsia="宋体" w:hAnsi="Times New Roman"/>
                <w:color w:val="000000"/>
                <w:sz w:val="20"/>
                <w:szCs w:val="20"/>
              </w:rPr>
              <w:t>President, Global Sales and Customer Operations</w:t>
            </w:r>
          </w:p>
        </w:tc>
      </w:tr>
      <w:tr w:rsidR="00C1563E" w14:paraId="7DCFCE04" w14:textId="77777777">
        <w:tc>
          <w:tcPr>
            <w:tcW w:w="0" w:type="auto"/>
            <w:gridSpan w:val="3"/>
            <w:shd w:val="clear" w:color="auto" w:fill="FFFFFF"/>
            <w:tcMar>
              <w:top w:w="40" w:type="dxa"/>
              <w:left w:w="20" w:type="dxa"/>
              <w:bottom w:w="40" w:type="dxa"/>
              <w:right w:w="20" w:type="dxa"/>
            </w:tcMar>
            <w:vAlign w:val="bottom"/>
          </w:tcPr>
          <w:p w14:paraId="7DCFCDFF" w14:textId="77777777" w:rsidR="00C1563E" w:rsidRDefault="000B648B">
            <w:pPr>
              <w:textAlignment w:val="bottom"/>
            </w:pPr>
            <w:r>
              <w:rPr>
                <w:rFonts w:ascii="Times New Roman" w:eastAsia="宋体" w:hAnsi="Times New Roman"/>
                <w:color w:val="000000"/>
                <w:sz w:val="20"/>
                <w:szCs w:val="20"/>
              </w:rPr>
              <w:t>Thomas W. Sweet</w:t>
            </w:r>
          </w:p>
        </w:tc>
        <w:tc>
          <w:tcPr>
            <w:tcW w:w="0" w:type="auto"/>
            <w:gridSpan w:val="3"/>
            <w:shd w:val="clear" w:color="auto" w:fill="FFFFFF"/>
            <w:tcMar>
              <w:top w:w="0" w:type="dxa"/>
              <w:left w:w="20" w:type="dxa"/>
              <w:bottom w:w="0" w:type="dxa"/>
              <w:right w:w="20" w:type="dxa"/>
            </w:tcMar>
          </w:tcPr>
          <w:p w14:paraId="7DCFCE00"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E01" w14:textId="77777777" w:rsidR="00C1563E" w:rsidRDefault="000B648B">
            <w:pPr>
              <w:jc w:val="center"/>
              <w:textAlignment w:val="bottom"/>
            </w:pPr>
            <w:r>
              <w:rPr>
                <w:rFonts w:ascii="Times New Roman" w:eastAsia="宋体" w:hAnsi="Times New Roman"/>
                <w:color w:val="000000"/>
                <w:sz w:val="20"/>
                <w:szCs w:val="20"/>
              </w:rPr>
              <w:t>61</w:t>
            </w:r>
          </w:p>
        </w:tc>
        <w:tc>
          <w:tcPr>
            <w:tcW w:w="0" w:type="auto"/>
            <w:gridSpan w:val="3"/>
            <w:shd w:val="clear" w:color="auto" w:fill="FFFFFF"/>
            <w:tcMar>
              <w:top w:w="0" w:type="dxa"/>
              <w:left w:w="20" w:type="dxa"/>
              <w:bottom w:w="0" w:type="dxa"/>
              <w:right w:w="20" w:type="dxa"/>
            </w:tcMar>
          </w:tcPr>
          <w:p w14:paraId="7DCFCE02"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CE03" w14:textId="77777777" w:rsidR="00C1563E" w:rsidRDefault="000B648B">
            <w:pPr>
              <w:textAlignment w:val="bottom"/>
            </w:pPr>
            <w:r>
              <w:rPr>
                <w:rFonts w:ascii="Times New Roman" w:eastAsia="宋体" w:hAnsi="Times New Roman"/>
                <w:color w:val="000000"/>
                <w:sz w:val="20"/>
                <w:szCs w:val="20"/>
              </w:rPr>
              <w:t>Chief Financial Officer</w:t>
            </w:r>
          </w:p>
        </w:tc>
      </w:tr>
    </w:tbl>
    <w:p w14:paraId="7DCFCE05" w14:textId="77777777" w:rsidR="00C1563E" w:rsidRDefault="00C1563E">
      <w:pPr>
        <w:ind w:firstLine="495"/>
      </w:pPr>
    </w:p>
    <w:p w14:paraId="7DCFCE06" w14:textId="77777777" w:rsidR="00C1563E" w:rsidRDefault="000B648B">
      <w:pPr>
        <w:ind w:firstLine="495"/>
      </w:pPr>
      <w:r>
        <w:rPr>
          <w:rFonts w:ascii="Times New Roman" w:eastAsia="宋体" w:hAnsi="Times New Roman"/>
          <w:i/>
          <w:iCs/>
          <w:color w:val="000000"/>
          <w:sz w:val="20"/>
          <w:szCs w:val="20"/>
        </w:rPr>
        <w:t>Michael S. Dell</w:t>
      </w:r>
      <w:r>
        <w:rPr>
          <w:rFonts w:ascii="Times New Roman" w:eastAsia="宋体" w:hAnsi="Times New Roman"/>
          <w:color w:val="000000"/>
          <w:sz w:val="20"/>
          <w:szCs w:val="20"/>
        </w:rPr>
        <w:t xml:space="preserve"> — Mr. Dell serves as Chairman of the Board and Chief Executive Officer of Dell </w:t>
      </w:r>
      <w:r>
        <w:rPr>
          <w:rFonts w:ascii="Times New Roman" w:eastAsia="宋体" w:hAnsi="Times New Roman"/>
          <w:color w:val="000000"/>
          <w:sz w:val="20"/>
          <w:szCs w:val="20"/>
        </w:rPr>
        <w:t>Technologies. Mr. Dell served as Chief Executive Officer of Dell Inc., a wholly-owned subsidiary of Dell Technologies, from 1984 until July 2004 and resumed that role in January 2007. In 1998, Mr. Dell formed MSD Capital, L.P. for the purpose of managing h</w:t>
      </w:r>
      <w:r>
        <w:rPr>
          <w:rFonts w:ascii="Times New Roman" w:eastAsia="宋体" w:hAnsi="Times New Roman"/>
          <w:color w:val="000000"/>
          <w:sz w:val="20"/>
          <w:szCs w:val="20"/>
        </w:rPr>
        <w:t xml:space="preserve">is and his family’s investments, and, in 1999, he and his wife established the Michael &amp; Susan Dell Foundation to provide philanthropic support to a variety of global causes. He is an honorary member of the Foundation Board of the World Economic Forum and </w:t>
      </w:r>
      <w:r>
        <w:rPr>
          <w:rFonts w:ascii="Times New Roman" w:eastAsia="宋体" w:hAnsi="Times New Roman"/>
          <w:color w:val="000000"/>
          <w:sz w:val="20"/>
          <w:szCs w:val="20"/>
        </w:rPr>
        <w:t>is an executive committee member of the International Business Council. He serves as a member of the Technology CEO Council and is a member of the Business Roundtable. He also serves on the advisory board of Tsinghua University’s School of Economics and Ma</w:t>
      </w:r>
      <w:r>
        <w:rPr>
          <w:rFonts w:ascii="Times New Roman" w:eastAsia="宋体" w:hAnsi="Times New Roman"/>
          <w:color w:val="000000"/>
          <w:sz w:val="20"/>
          <w:szCs w:val="20"/>
        </w:rPr>
        <w:t>nagement in Beijing, China, on the governing board of the Indian School of Business in Hyderabad, India, and as a board member of Catalyst, Inc., a non-profit organization that promotes inclusive workplaces for women. In June 2014, Mr. Dell was named the U</w:t>
      </w:r>
      <w:r>
        <w:rPr>
          <w:rFonts w:ascii="Times New Roman" w:eastAsia="宋体" w:hAnsi="Times New Roman"/>
          <w:color w:val="000000"/>
          <w:sz w:val="20"/>
          <w:szCs w:val="20"/>
        </w:rPr>
        <w:t xml:space="preserve">nited Nations Foundation’s first Global Advocate for Entrepreneurship. Mr. Dell is also Chairman of the Board of Directors of VMware, Inc. and Non-Executive Chairman of SecureWorks Corp. Mr. Dell was a board member of Pivotal Software, Inc. from September </w:t>
      </w:r>
      <w:r>
        <w:rPr>
          <w:rFonts w:ascii="Times New Roman" w:eastAsia="宋体" w:hAnsi="Times New Roman"/>
          <w:color w:val="000000"/>
          <w:sz w:val="20"/>
          <w:szCs w:val="20"/>
        </w:rPr>
        <w:t>2016 until it was merged with VMware, Inc. in December 2019.</w:t>
      </w:r>
    </w:p>
    <w:p w14:paraId="7DCFCE07" w14:textId="77777777" w:rsidR="00C1563E" w:rsidRDefault="00C1563E">
      <w:pPr>
        <w:ind w:firstLine="495"/>
      </w:pPr>
    </w:p>
    <w:p w14:paraId="7DCFCE08" w14:textId="77777777" w:rsidR="00C1563E" w:rsidRDefault="000B648B">
      <w:pPr>
        <w:ind w:firstLine="495"/>
      </w:pPr>
      <w:r>
        <w:rPr>
          <w:rFonts w:ascii="Times New Roman" w:eastAsia="宋体" w:hAnsi="Times New Roman"/>
          <w:i/>
          <w:iCs/>
          <w:color w:val="000000"/>
          <w:sz w:val="20"/>
          <w:szCs w:val="20"/>
        </w:rPr>
        <w:t>Jeffrey W. Clarke</w:t>
      </w:r>
      <w:r>
        <w:rPr>
          <w:rFonts w:ascii="Times New Roman" w:eastAsia="宋体" w:hAnsi="Times New Roman"/>
          <w:color w:val="000000"/>
          <w:sz w:val="20"/>
          <w:szCs w:val="20"/>
        </w:rPr>
        <w:t> — Mr. Clarke serves as Chief Operating Officer and Vice Chairman of Dell Technologies, responsible for running day-to-day business operations, shaping the Company’s strategic a</w:t>
      </w:r>
      <w:r>
        <w:rPr>
          <w:rFonts w:ascii="Times New Roman" w:eastAsia="宋体" w:hAnsi="Times New Roman"/>
          <w:color w:val="000000"/>
          <w:sz w:val="20"/>
          <w:szCs w:val="20"/>
        </w:rPr>
        <w:t>genda, and aligning priorities across the Dell Technologies executive leadership team. Mr. Clarke oversees the Company’s operations, including its global manufacturing, procurement, and supply chain activities. Additionally, Mr. Clarke oversees the enginee</w:t>
      </w:r>
      <w:r>
        <w:rPr>
          <w:rFonts w:ascii="Times New Roman" w:eastAsia="宋体" w:hAnsi="Times New Roman"/>
          <w:color w:val="000000"/>
          <w:sz w:val="20"/>
          <w:szCs w:val="20"/>
        </w:rPr>
        <w:t>ring, design, development, and sales of the Infrastructure Solutions Group across servers, storage, data protection, and networking products. He also oversees the engineering, design, development, and sales of the Client Solutions Group, including computer</w:t>
      </w:r>
      <w:r>
        <w:rPr>
          <w:rFonts w:ascii="Times New Roman" w:eastAsia="宋体" w:hAnsi="Times New Roman"/>
          <w:color w:val="000000"/>
          <w:sz w:val="20"/>
          <w:szCs w:val="20"/>
        </w:rPr>
        <w:t xml:space="preserve"> desktops, notebooks, workstations, cloud client computing, and end-user computing software solutions. Mr. Clarke has served as Chief Operating Officer since December 2019 and Vice Chairman, Products and Operations since September 2017, before which he ser</w:t>
      </w:r>
      <w:r>
        <w:rPr>
          <w:rFonts w:ascii="Times New Roman" w:eastAsia="宋体" w:hAnsi="Times New Roman"/>
          <w:color w:val="000000"/>
          <w:sz w:val="20"/>
          <w:szCs w:val="20"/>
        </w:rPr>
        <w:t>ved as Vice Chairman and President, Operations and Client Solutions with Dell Technologies and, previously, Dell, since January 2009. From January 2003 until January 2009, Mr. Clarke served as Senior Vice President, Business Product Group. From November 20</w:t>
      </w:r>
      <w:r>
        <w:rPr>
          <w:rFonts w:ascii="Times New Roman" w:eastAsia="宋体" w:hAnsi="Times New Roman"/>
          <w:color w:val="000000"/>
          <w:sz w:val="20"/>
          <w:szCs w:val="20"/>
        </w:rPr>
        <w:t xml:space="preserve">01 to January 2003, Mr. Clarke served as Vice President and General Manager, Relationship Product Group. In 1995, Mr. Clarke became the director of desktop development. Mr. Clarke joined Dell in 1987 as a quality engineer and has </w:t>
      </w:r>
    </w:p>
    <w:p w14:paraId="7DCFCE09" w14:textId="77777777" w:rsidR="00C1563E" w:rsidRDefault="00C1563E">
      <w:pPr>
        <w:jc w:val="center"/>
      </w:pPr>
    </w:p>
    <w:p w14:paraId="7DCFCE0A" w14:textId="77777777" w:rsidR="00C1563E" w:rsidRDefault="000B648B">
      <w:pPr>
        <w:jc w:val="center"/>
      </w:pPr>
      <w:r>
        <w:rPr>
          <w:rFonts w:ascii="Times New Roman" w:eastAsia="宋体" w:hAnsi="Times New Roman"/>
          <w:color w:val="000000"/>
          <w:sz w:val="20"/>
          <w:szCs w:val="20"/>
        </w:rPr>
        <w:t>14</w:t>
      </w:r>
    </w:p>
    <w:p w14:paraId="7DCFCE0B" w14:textId="77777777" w:rsidR="00C1563E" w:rsidRDefault="00C1563E">
      <w:pPr>
        <w:jc w:val="center"/>
      </w:pPr>
    </w:p>
    <w:p w14:paraId="7DCFCE0C" w14:textId="77777777" w:rsidR="00C1563E" w:rsidRDefault="000B648B">
      <w:r>
        <w:pict w14:anchorId="7DD02574">
          <v:rect id="_x0000_i1038" style="width:415.3pt;height:1.5pt" o:hralign="center" o:hrstd="t" o:hr="t" fillcolor="#a0a0a0" stroked="f"/>
        </w:pict>
      </w:r>
    </w:p>
    <w:p w14:paraId="7DCFCE0D" w14:textId="77777777" w:rsidR="00C1563E" w:rsidRDefault="000B648B">
      <w:hyperlink r:id="rId89" w:anchor="i418e32e4a35149ffbf7d3a25d66881b8_10" w:history="1">
        <w:r>
          <w:rPr>
            <w:rStyle w:val="a5"/>
            <w:rFonts w:ascii="Times New Roman" w:eastAsia="宋体" w:hAnsi="Times New Roman"/>
            <w:sz w:val="20"/>
            <w:szCs w:val="20"/>
          </w:rPr>
          <w:t>Table of Contents</w:t>
        </w:r>
      </w:hyperlink>
    </w:p>
    <w:p w14:paraId="7DCFCE0E" w14:textId="77777777" w:rsidR="00C1563E" w:rsidRDefault="000B648B">
      <w:r>
        <w:rPr>
          <w:rFonts w:ascii="Times New Roman" w:eastAsia="宋体" w:hAnsi="Times New Roman"/>
          <w:color w:val="000000"/>
          <w:sz w:val="20"/>
          <w:szCs w:val="20"/>
        </w:rPr>
        <w:t>served in a variety of other engineering and management roles. Prior to joining Dell Technologies, Mr.</w:t>
      </w:r>
      <w:r>
        <w:rPr>
          <w:rFonts w:ascii="Times New Roman" w:eastAsia="宋体" w:hAnsi="Times New Roman"/>
          <w:color w:val="000000"/>
          <w:sz w:val="20"/>
          <w:szCs w:val="20"/>
        </w:rPr>
        <w:t xml:space="preserve"> Clarke served as a reliability and product engineer at Motorola, Inc.</w:t>
      </w:r>
    </w:p>
    <w:p w14:paraId="7DCFCE0F" w14:textId="77777777" w:rsidR="00C1563E" w:rsidRDefault="00C1563E">
      <w:pPr>
        <w:ind w:firstLine="495"/>
      </w:pPr>
    </w:p>
    <w:p w14:paraId="7DCFCE10" w14:textId="77777777" w:rsidR="00C1563E" w:rsidRDefault="000B648B">
      <w:pPr>
        <w:ind w:firstLine="495"/>
      </w:pPr>
      <w:r>
        <w:rPr>
          <w:rFonts w:ascii="Times New Roman" w:eastAsia="宋体" w:hAnsi="Times New Roman"/>
          <w:i/>
          <w:iCs/>
          <w:color w:val="000000"/>
          <w:sz w:val="20"/>
          <w:szCs w:val="20"/>
        </w:rPr>
        <w:t>Allison Dew</w:t>
      </w:r>
      <w:r>
        <w:rPr>
          <w:rFonts w:ascii="Times New Roman" w:eastAsia="宋体" w:hAnsi="Times New Roman"/>
          <w:color w:val="000000"/>
          <w:sz w:val="20"/>
          <w:szCs w:val="20"/>
        </w:rPr>
        <w:t xml:space="preserve"> — Ms. Dew serves as the Chief Marketing Officer of Dell Technologies. In this role, in which she has served since March 2018, Ms. Dew is directly responsible for the global</w:t>
      </w:r>
      <w:r>
        <w:rPr>
          <w:rFonts w:ascii="Times New Roman" w:eastAsia="宋体" w:hAnsi="Times New Roman"/>
          <w:color w:val="000000"/>
          <w:sz w:val="20"/>
          <w:szCs w:val="20"/>
        </w:rPr>
        <w:t xml:space="preserve"> marketing organization, strategy, and all aspects of Dell Technologies’ marketing efforts, including brand and creative, product marketing, communications, digital, and field and channel marketing. Since joining Dell Technologies in 2008, Ms. Dew has been</w:t>
      </w:r>
      <w:r>
        <w:rPr>
          <w:rFonts w:ascii="Times New Roman" w:eastAsia="宋体" w:hAnsi="Times New Roman"/>
          <w:color w:val="000000"/>
          <w:sz w:val="20"/>
          <w:szCs w:val="20"/>
        </w:rPr>
        <w:t xml:space="preserve"> instrumental in Dell Technologies’ marketing transformation, leading an emphasis on data-driven marketing, customer understanding, and integrated planning. Most recently, prior to her current position, Ms. Dew led marketing for the Dell Technologies Clien</w:t>
      </w:r>
      <w:r>
        <w:rPr>
          <w:rFonts w:ascii="Times New Roman" w:eastAsia="宋体" w:hAnsi="Times New Roman"/>
          <w:color w:val="000000"/>
          <w:sz w:val="20"/>
          <w:szCs w:val="20"/>
        </w:rPr>
        <w:t xml:space="preserve">t Solutions Group from December 2013 to March 2018.  Before joining Dell Technologies, Ms. Dew served in various marketing leadership roles at Microsoft Corporation, a global technology company. Ms. Dew also worked in both a regional advertising agency in </w:t>
      </w:r>
      <w:r>
        <w:rPr>
          <w:rFonts w:ascii="Times New Roman" w:eastAsia="宋体" w:hAnsi="Times New Roman"/>
          <w:color w:val="000000"/>
          <w:sz w:val="20"/>
          <w:szCs w:val="20"/>
        </w:rPr>
        <w:t>Tokyo, Japan and and an independent multicultural agency in New York.</w:t>
      </w:r>
    </w:p>
    <w:p w14:paraId="7DCFCE11" w14:textId="77777777" w:rsidR="00C1563E" w:rsidRDefault="00C1563E">
      <w:pPr>
        <w:ind w:firstLine="495"/>
      </w:pPr>
    </w:p>
    <w:p w14:paraId="7DCFCE12" w14:textId="77777777" w:rsidR="00C1563E" w:rsidRDefault="000B648B">
      <w:pPr>
        <w:ind w:firstLine="495"/>
      </w:pPr>
      <w:r>
        <w:rPr>
          <w:rFonts w:ascii="Times New Roman" w:eastAsia="宋体" w:hAnsi="Times New Roman"/>
          <w:i/>
          <w:iCs/>
          <w:color w:val="000000"/>
          <w:sz w:val="20"/>
          <w:szCs w:val="20"/>
        </w:rPr>
        <w:t>Howard D. Elias </w:t>
      </w:r>
      <w:r>
        <w:rPr>
          <w:rFonts w:ascii="Times New Roman" w:eastAsia="宋体" w:hAnsi="Times New Roman"/>
          <w:color w:val="000000"/>
          <w:sz w:val="20"/>
          <w:szCs w:val="20"/>
        </w:rPr>
        <w:t xml:space="preserve">— Mr. Elias serves as Chief Customer Officer and President, Services and Digital at Dell Technologies. He leads a global organization devoted to customer </w:t>
      </w:r>
      <w:r>
        <w:rPr>
          <w:rFonts w:ascii="Times New Roman" w:eastAsia="宋体" w:hAnsi="Times New Roman"/>
          <w:color w:val="000000"/>
          <w:sz w:val="20"/>
          <w:szCs w:val="20"/>
        </w:rPr>
        <w:t xml:space="preserve">advocacy and oversees global support, deployment, consulting, education, managed services, the IT organization, and Virtustream. He is executive sponsor for more than a dozen of Dell Technologies’ largest enterprise accounts and is responsible for setting </w:t>
      </w:r>
      <w:r>
        <w:rPr>
          <w:rFonts w:ascii="Times New Roman" w:eastAsia="宋体" w:hAnsi="Times New Roman"/>
          <w:color w:val="000000"/>
          <w:sz w:val="20"/>
          <w:szCs w:val="20"/>
        </w:rPr>
        <w:t>and driving strategy to enable and accelerate the mission-critical business transformations of customers and Dell’s own global operations. Mr. Elias previously served as President and Chief Operating Officer, EMC Global Enterprise Services from January 201</w:t>
      </w:r>
      <w:r>
        <w:rPr>
          <w:rFonts w:ascii="Times New Roman" w:eastAsia="宋体" w:hAnsi="Times New Roman"/>
          <w:color w:val="000000"/>
          <w:sz w:val="20"/>
          <w:szCs w:val="20"/>
        </w:rPr>
        <w:t>3 until EMC’s acquisition by Dell Technologies in September 2016, and was President and Chief Operating Officer, EMC Information Infrastructure and Cloud Services from September 2009 to January 2013. In these roles, Mr. Elias was responsible for setting th</w:t>
      </w:r>
      <w:r>
        <w:rPr>
          <w:rFonts w:ascii="Times New Roman" w:eastAsia="宋体" w:hAnsi="Times New Roman"/>
          <w:color w:val="000000"/>
          <w:sz w:val="20"/>
          <w:szCs w:val="20"/>
        </w:rPr>
        <w:t>e strategy, driving the execution, and creating the best practices for services that enabled the digital transformation and data center modernization of EMC’s customers. Mr. Elias also had responsibility at EMC for leading the integration of the Dell and E</w:t>
      </w:r>
      <w:r>
        <w:rPr>
          <w:rFonts w:ascii="Times New Roman" w:eastAsia="宋体" w:hAnsi="Times New Roman"/>
          <w:color w:val="000000"/>
          <w:sz w:val="20"/>
          <w:szCs w:val="20"/>
        </w:rPr>
        <w:t>MC businesses, including overseeing the cross-functional teams that drove all facets of integration planning. Previously, Mr. Elias was EMC’s Executive Vice President, Global Marketing and Corporate Development, responsible for all marketing, sales enablem</w:t>
      </w:r>
      <w:r>
        <w:rPr>
          <w:rFonts w:ascii="Times New Roman" w:eastAsia="宋体" w:hAnsi="Times New Roman"/>
          <w:color w:val="000000"/>
          <w:sz w:val="20"/>
          <w:szCs w:val="20"/>
        </w:rPr>
        <w:t>ent, technology alliances, corporate development, and new ventures. Mr. Elias was also a co-founder and served on the board of managers for the Virtual Computing Environment Company, now part of Dell Technologies’ converged platform division. Before joinin</w:t>
      </w:r>
      <w:r>
        <w:rPr>
          <w:rFonts w:ascii="Times New Roman" w:eastAsia="宋体" w:hAnsi="Times New Roman"/>
          <w:color w:val="000000"/>
          <w:sz w:val="20"/>
          <w:szCs w:val="20"/>
        </w:rPr>
        <w:t xml:space="preserve">g EMC, Mr. Elias served in various capacities at Hewlett-Packard Company, a provider of information technology products, services, and solutions for enterprise customers, most recently as Senior Vice President of Business Management and Operations for the </w:t>
      </w:r>
      <w:r>
        <w:rPr>
          <w:rFonts w:ascii="Times New Roman" w:eastAsia="宋体" w:hAnsi="Times New Roman"/>
          <w:color w:val="000000"/>
          <w:sz w:val="20"/>
          <w:szCs w:val="20"/>
        </w:rPr>
        <w:t>Enterprise Systems Group. Mr. Elias currently serves as chairman of TEGNA Inc., a media and digital business company, and is a member of the Massachusetts Business Roundtable.</w:t>
      </w:r>
    </w:p>
    <w:p w14:paraId="7DCFCE13" w14:textId="77777777" w:rsidR="00C1563E" w:rsidRDefault="00C1563E">
      <w:pPr>
        <w:ind w:firstLine="495"/>
      </w:pPr>
    </w:p>
    <w:p w14:paraId="7DCFCE14" w14:textId="77777777" w:rsidR="00C1563E" w:rsidRDefault="000B648B">
      <w:pPr>
        <w:ind w:firstLine="495"/>
      </w:pPr>
      <w:r>
        <w:rPr>
          <w:rFonts w:ascii="Times New Roman" w:eastAsia="宋体" w:hAnsi="Times New Roman"/>
          <w:i/>
          <w:iCs/>
          <w:color w:val="000000"/>
          <w:sz w:val="20"/>
          <w:szCs w:val="20"/>
        </w:rPr>
        <w:t>Jennifer D. Saavedra, Ph.D.</w:t>
      </w:r>
      <w:r>
        <w:rPr>
          <w:rFonts w:ascii="Times New Roman" w:eastAsia="宋体" w:hAnsi="Times New Roman"/>
          <w:color w:val="000000"/>
          <w:sz w:val="20"/>
          <w:szCs w:val="20"/>
        </w:rPr>
        <w:t xml:space="preserve"> — Dr. Saavedra is Dell Technologies' Chief Human Re</w:t>
      </w:r>
      <w:r>
        <w:rPr>
          <w:rFonts w:ascii="Times New Roman" w:eastAsia="宋体" w:hAnsi="Times New Roman"/>
          <w:color w:val="000000"/>
          <w:sz w:val="20"/>
          <w:szCs w:val="20"/>
        </w:rPr>
        <w:t>sources Officer. In this role, Dr. Saavedra leads Dell’s Global Human Resources and Facilities function and accelerates the performance and growth of the company through its culture and its people. Dr. Saavedra previously served as Dell’s Senior Vice Presi</w:t>
      </w:r>
      <w:r>
        <w:rPr>
          <w:rFonts w:ascii="Times New Roman" w:eastAsia="宋体" w:hAnsi="Times New Roman"/>
          <w:color w:val="000000"/>
          <w:sz w:val="20"/>
          <w:szCs w:val="20"/>
        </w:rPr>
        <w:t>dent, Human Resources – Sales from December 2019 to March 2021 and as Dell’s Senior Vice President, Human Resources – Talent and Culture from November 2017 to December 2019. Dr. Saavedra joined Dell in 2005 and has served in many key leadership roles throu</w:t>
      </w:r>
      <w:r>
        <w:rPr>
          <w:rFonts w:ascii="Times New Roman" w:eastAsia="宋体" w:hAnsi="Times New Roman"/>
          <w:color w:val="000000"/>
          <w:sz w:val="20"/>
          <w:szCs w:val="20"/>
        </w:rPr>
        <w:t>ghout the Human Resources organization, including talent development and culture, business partner, strategy, and learning and development. Before joining Dell in 2005, Dr. Saavedra served as a Human Resources consultant to private and public companies. Dr</w:t>
      </w:r>
      <w:r>
        <w:rPr>
          <w:rFonts w:ascii="Times New Roman" w:eastAsia="宋体" w:hAnsi="Times New Roman"/>
          <w:color w:val="000000"/>
          <w:sz w:val="20"/>
          <w:szCs w:val="20"/>
        </w:rPr>
        <w:t>. Saavedra also serves on the executive board for the Black Networking Alliance at Dell Technologies.</w:t>
      </w:r>
    </w:p>
    <w:p w14:paraId="7DCFCE15" w14:textId="77777777" w:rsidR="00C1563E" w:rsidRDefault="00C1563E">
      <w:pPr>
        <w:ind w:firstLine="495"/>
      </w:pPr>
    </w:p>
    <w:p w14:paraId="7DCFCE16" w14:textId="77777777" w:rsidR="00C1563E" w:rsidRDefault="000B648B">
      <w:pPr>
        <w:ind w:firstLine="495"/>
      </w:pPr>
      <w:r>
        <w:rPr>
          <w:rFonts w:ascii="Times New Roman" w:eastAsia="宋体" w:hAnsi="Times New Roman"/>
          <w:i/>
          <w:iCs/>
          <w:color w:val="000000"/>
          <w:sz w:val="20"/>
          <w:szCs w:val="20"/>
        </w:rPr>
        <w:t>Richard J. Rothberg</w:t>
      </w:r>
      <w:r>
        <w:rPr>
          <w:rFonts w:ascii="Times New Roman" w:eastAsia="宋体" w:hAnsi="Times New Roman"/>
          <w:color w:val="000000"/>
          <w:sz w:val="20"/>
          <w:szCs w:val="20"/>
        </w:rPr>
        <w:t> — Mr. Rothberg serves as General Counsel and Secretary for Dell Technologies. In this role, in which he has served since November 201</w:t>
      </w:r>
      <w:r>
        <w:rPr>
          <w:rFonts w:ascii="Times New Roman" w:eastAsia="宋体" w:hAnsi="Times New Roman"/>
          <w:color w:val="000000"/>
          <w:sz w:val="20"/>
          <w:szCs w:val="20"/>
        </w:rPr>
        <w:t>3, Mr. Rothberg oversees the global legal department and manages government affairs, compliance, and ethics. He is also responsible for global security. Mr. Rothberg joined Dell in 1999 and has served in critical leadership roles throughout the legal depar</w:t>
      </w:r>
      <w:r>
        <w:rPr>
          <w:rFonts w:ascii="Times New Roman" w:eastAsia="宋体" w:hAnsi="Times New Roman"/>
          <w:color w:val="000000"/>
          <w:sz w:val="20"/>
          <w:szCs w:val="20"/>
        </w:rPr>
        <w:t>tment. He served as Vice President of Legal, supporting Dell’s businesses in the Europe, Middle East, and Africa region before moving to Singapore in 2008 as Vice President of Legal for the Asia-Pacific and Japan region. Mr. Rothberg returned to the United</w:t>
      </w:r>
      <w:r>
        <w:rPr>
          <w:rFonts w:ascii="Times New Roman" w:eastAsia="宋体" w:hAnsi="Times New Roman"/>
          <w:color w:val="000000"/>
          <w:sz w:val="20"/>
          <w:szCs w:val="20"/>
        </w:rPr>
        <w:t xml:space="preserve"> States in 2010 to serve as Vice President of Legal for the North America and Latin America regions. In this role, he was lead counsel for sales and operations in the Americas and for the enterprise solutions, software, and end-user computing business unit</w:t>
      </w:r>
      <w:r>
        <w:rPr>
          <w:rFonts w:ascii="Times New Roman" w:eastAsia="宋体" w:hAnsi="Times New Roman"/>
          <w:color w:val="000000"/>
          <w:sz w:val="20"/>
          <w:szCs w:val="20"/>
        </w:rPr>
        <w:t>s. He also led the government affairs organization worldwide. Before joining Dell, Mr. Rothberg served nearly eight years at Caterpillar Inc., an equipment manufacturing company, in senior legal roles in Nashville, Tennessee and Geneva, Switzerland. Mr. Ro</w:t>
      </w:r>
      <w:r>
        <w:rPr>
          <w:rFonts w:ascii="Times New Roman" w:eastAsia="宋体" w:hAnsi="Times New Roman"/>
          <w:color w:val="000000"/>
          <w:sz w:val="20"/>
          <w:szCs w:val="20"/>
        </w:rPr>
        <w:t>thberg was also an attorney for IBM Credit Corporation and at Rogers &amp; Wells, a law firm.</w:t>
      </w:r>
    </w:p>
    <w:p w14:paraId="7DCFCE17" w14:textId="77777777" w:rsidR="00C1563E" w:rsidRDefault="00C1563E">
      <w:pPr>
        <w:ind w:firstLine="495"/>
      </w:pPr>
    </w:p>
    <w:p w14:paraId="7DCFCE18" w14:textId="77777777" w:rsidR="00C1563E" w:rsidRDefault="00C1563E">
      <w:pPr>
        <w:ind w:firstLine="495"/>
      </w:pPr>
    </w:p>
    <w:p w14:paraId="7DCFCE19" w14:textId="77777777" w:rsidR="00C1563E" w:rsidRDefault="00C1563E">
      <w:pPr>
        <w:jc w:val="center"/>
      </w:pPr>
    </w:p>
    <w:p w14:paraId="7DCFCE1A" w14:textId="77777777" w:rsidR="00C1563E" w:rsidRDefault="000B648B">
      <w:pPr>
        <w:jc w:val="center"/>
      </w:pPr>
      <w:r>
        <w:rPr>
          <w:rFonts w:ascii="Times New Roman" w:eastAsia="宋体" w:hAnsi="Times New Roman"/>
          <w:color w:val="000000"/>
          <w:sz w:val="20"/>
          <w:szCs w:val="20"/>
        </w:rPr>
        <w:t>15</w:t>
      </w:r>
    </w:p>
    <w:p w14:paraId="7DCFCE1B" w14:textId="77777777" w:rsidR="00C1563E" w:rsidRDefault="00C1563E">
      <w:pPr>
        <w:jc w:val="center"/>
      </w:pPr>
    </w:p>
    <w:p w14:paraId="7DCFCE1C" w14:textId="77777777" w:rsidR="00C1563E" w:rsidRDefault="000B648B">
      <w:r>
        <w:pict w14:anchorId="7DD02575">
          <v:rect id="_x0000_i1039" style="width:415.3pt;height:1.5pt" o:hralign="center" o:hrstd="t" o:hr="t" fillcolor="#a0a0a0" stroked="f"/>
        </w:pict>
      </w:r>
    </w:p>
    <w:p w14:paraId="7DCFCE1D" w14:textId="77777777" w:rsidR="00C1563E" w:rsidRDefault="000B648B">
      <w:hyperlink r:id="rId90" w:anchor="i418e32e4a35149ffbf7d3a25d66881b8_10"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7DCFCE1E" w14:textId="77777777" w:rsidR="00C1563E" w:rsidRDefault="000B648B">
      <w:pPr>
        <w:ind w:firstLine="495"/>
      </w:pPr>
      <w:r>
        <w:rPr>
          <w:rFonts w:ascii="Times New Roman" w:eastAsia="宋体" w:hAnsi="Times New Roman"/>
          <w:i/>
          <w:iCs/>
          <w:color w:val="000000"/>
          <w:sz w:val="20"/>
          <w:szCs w:val="20"/>
        </w:rPr>
        <w:t>William F. Scannell</w:t>
      </w:r>
      <w:r>
        <w:rPr>
          <w:rFonts w:ascii="Times New Roman" w:eastAsia="宋体" w:hAnsi="Times New Roman"/>
          <w:color w:val="000000"/>
          <w:sz w:val="20"/>
          <w:szCs w:val="20"/>
        </w:rPr>
        <w:t xml:space="preserve"> — </w:t>
      </w:r>
      <w:r>
        <w:rPr>
          <w:rFonts w:ascii="Times New Roman" w:eastAsia="宋体" w:hAnsi="Times New Roman"/>
          <w:color w:val="212529"/>
          <w:sz w:val="20"/>
          <w:szCs w:val="20"/>
        </w:rPr>
        <w:t>Mr. Scannell serves as President, Global Sales and Customer Operations for Dell Technologies, leading the global go-to-market organization. In this role, in which he has served since February 2020, Mr. Scannell is respo</w:t>
      </w:r>
      <w:r>
        <w:rPr>
          <w:rFonts w:ascii="Times New Roman" w:eastAsia="宋体" w:hAnsi="Times New Roman"/>
          <w:color w:val="212529"/>
          <w:sz w:val="20"/>
          <w:szCs w:val="20"/>
        </w:rPr>
        <w:t xml:space="preserve">nsible for global go-to-market strategy and driving share and revenue growth for the Company’s products, services, and solutions in 180 countries around the world. </w:t>
      </w:r>
      <w:r>
        <w:rPr>
          <w:rFonts w:ascii="Times New Roman" w:eastAsia="宋体" w:hAnsi="Times New Roman"/>
          <w:color w:val="000000"/>
          <w:sz w:val="20"/>
          <w:szCs w:val="20"/>
        </w:rPr>
        <w:t>Mr. Scannell previously served as President, Global Enterprise Sales and Customer Operations</w:t>
      </w:r>
      <w:r>
        <w:rPr>
          <w:rFonts w:ascii="Times New Roman" w:eastAsia="宋体" w:hAnsi="Times New Roman"/>
          <w:color w:val="000000"/>
          <w:sz w:val="20"/>
          <w:szCs w:val="20"/>
        </w:rPr>
        <w:t xml:space="preserve"> for Dell Technologies from September 2017 to January 2020, leading the global go-to-market organization serving enterprise customers. In this role, Mr. Scannell led the Dell Technologies sales teams to deliver innovative and practical technology solutions</w:t>
      </w:r>
      <w:r>
        <w:rPr>
          <w:rFonts w:ascii="Times New Roman" w:eastAsia="宋体" w:hAnsi="Times New Roman"/>
          <w:color w:val="000000"/>
          <w:sz w:val="20"/>
          <w:szCs w:val="20"/>
        </w:rPr>
        <w:t xml:space="preserve"> to large enterprises and public institutions worldwide. Prior to joining Dell Technologies, Mr. Scannell served as President, Global Sales and Customer Operations at EMC Corporation. In this role, to which he was appointed in July 2012 after overseeing cu</w:t>
      </w:r>
      <w:r>
        <w:rPr>
          <w:rFonts w:ascii="Times New Roman" w:eastAsia="宋体" w:hAnsi="Times New Roman"/>
          <w:color w:val="000000"/>
          <w:sz w:val="20"/>
          <w:szCs w:val="20"/>
        </w:rPr>
        <w:t>stomer operations in the Americas and EMEA, Mr. Scannell focused on driving coordination and teamwork among EMC’s business unit sales forces, as well as building and maintaining relationships with EMC’s largest global accounts, global alliance partners, an</w:t>
      </w:r>
      <w:r>
        <w:rPr>
          <w:rFonts w:ascii="Times New Roman" w:eastAsia="宋体" w:hAnsi="Times New Roman"/>
          <w:color w:val="000000"/>
          <w:sz w:val="20"/>
          <w:szCs w:val="20"/>
        </w:rPr>
        <w:t>d global channel partners. Mr. Scannell began his career as an EMC sales representative in 1986, becoming country manager of Canada in 1988. Shortly thereafter, his responsibilities expanded to include the United States and Latin America. In 1999, Mr. Scan</w:t>
      </w:r>
      <w:r>
        <w:rPr>
          <w:rFonts w:ascii="Times New Roman" w:eastAsia="宋体" w:hAnsi="Times New Roman"/>
          <w:color w:val="000000"/>
          <w:sz w:val="20"/>
          <w:szCs w:val="20"/>
        </w:rPr>
        <w:t xml:space="preserve">nell moved to London to oversee EMC’s business across all of Europe, Middle East, and Africa. He then managed worldwide sales in 2001 and 2002 before being appointed Executive Vice President in 2007. </w:t>
      </w:r>
    </w:p>
    <w:p w14:paraId="7DCFCE1F" w14:textId="77777777" w:rsidR="00C1563E" w:rsidRDefault="00C1563E">
      <w:pPr>
        <w:ind w:firstLine="495"/>
      </w:pPr>
    </w:p>
    <w:p w14:paraId="7DCFCE20" w14:textId="77777777" w:rsidR="00C1563E" w:rsidRDefault="000B648B">
      <w:pPr>
        <w:ind w:firstLine="450"/>
      </w:pPr>
      <w:r>
        <w:rPr>
          <w:rFonts w:ascii="Times New Roman" w:eastAsia="宋体" w:hAnsi="Times New Roman"/>
          <w:i/>
          <w:iCs/>
          <w:color w:val="000000"/>
          <w:sz w:val="20"/>
          <w:szCs w:val="20"/>
        </w:rPr>
        <w:t>Thomas W. Sweet</w:t>
      </w:r>
      <w:r>
        <w:rPr>
          <w:rFonts w:ascii="Times New Roman" w:eastAsia="宋体" w:hAnsi="Times New Roman"/>
          <w:color w:val="000000"/>
          <w:sz w:val="20"/>
          <w:szCs w:val="20"/>
        </w:rPr>
        <w:t xml:space="preserve"> — Mr. Sweet serves as Chief Financial </w:t>
      </w:r>
      <w:r>
        <w:rPr>
          <w:rFonts w:ascii="Times New Roman" w:eastAsia="宋体" w:hAnsi="Times New Roman"/>
          <w:color w:val="000000"/>
          <w:sz w:val="20"/>
          <w:szCs w:val="20"/>
        </w:rPr>
        <w:t>Officer of Dell Technologies. In this role, in which he has served since January 2014, he is responsible for all aspects of the Company’s finance function, including accounting, financial planning and analysis, tax, treasury, and investor relations, as wel</w:t>
      </w:r>
      <w:r>
        <w:rPr>
          <w:rFonts w:ascii="Times New Roman" w:eastAsia="宋体" w:hAnsi="Times New Roman"/>
          <w:color w:val="000000"/>
          <w:sz w:val="20"/>
          <w:szCs w:val="20"/>
        </w:rPr>
        <w:t>l as global business operations, Dell Financial Services, Dell Technologies Capital, and Boomi. He also co-leads corporate strategy, partnering closely with the Chief Operating Officer to develop and execute a long-term growth strategy that creates value f</w:t>
      </w:r>
      <w:r>
        <w:rPr>
          <w:rFonts w:ascii="Times New Roman" w:eastAsia="宋体" w:hAnsi="Times New Roman"/>
          <w:color w:val="000000"/>
          <w:sz w:val="20"/>
          <w:szCs w:val="20"/>
        </w:rPr>
        <w:t>or Dell Technologies stakeholders. From May 2007 to January 2014, Mr. Sweet served in a variety of finance leadership roles for Dell, including as Vice President of Corporate Finance, Controller, and Chief Accounting Officer, with responsibility for global</w:t>
      </w:r>
      <w:r>
        <w:rPr>
          <w:rFonts w:ascii="Times New Roman" w:eastAsia="宋体" w:hAnsi="Times New Roman"/>
          <w:color w:val="000000"/>
          <w:sz w:val="20"/>
          <w:szCs w:val="20"/>
        </w:rPr>
        <w:t xml:space="preserve"> accounting, tax, treasury, and investor relations, as well as for global finance services. Mr. Sweet was responsible for external financial reporting for more than five years when Dell Inc. was a publicly-traded company. Prior to this service, he served i</w:t>
      </w:r>
      <w:r>
        <w:rPr>
          <w:rFonts w:ascii="Times New Roman" w:eastAsia="宋体" w:hAnsi="Times New Roman"/>
          <w:color w:val="000000"/>
          <w:sz w:val="20"/>
          <w:szCs w:val="20"/>
        </w:rPr>
        <w:t>n a variety of finance leadership positions, including as Vice President responsible for overall finance activities within the corporate business, education, government, and healthcare business units of Dell. Mr. Sweet also has served as the head of intern</w:t>
      </w:r>
      <w:r>
        <w:rPr>
          <w:rFonts w:ascii="Times New Roman" w:eastAsia="宋体" w:hAnsi="Times New Roman"/>
          <w:color w:val="000000"/>
          <w:sz w:val="20"/>
          <w:szCs w:val="20"/>
        </w:rPr>
        <w:t xml:space="preserve">al audit and in a number of sales leadership roles in education and corporate business units since joining Dell in 1997. </w:t>
      </w:r>
      <w:r>
        <w:rPr>
          <w:rFonts w:ascii="Times New Roman" w:eastAsia="宋体" w:hAnsi="Times New Roman"/>
          <w:color w:val="212529"/>
          <w:sz w:val="20"/>
          <w:szCs w:val="20"/>
        </w:rPr>
        <w:t>Prior to joining Dell, Mr. Sweet was Vice President, Accounting and Finance, for Telos Corporation, a provider of security solutions. B</w:t>
      </w:r>
      <w:r>
        <w:rPr>
          <w:rFonts w:ascii="Times New Roman" w:eastAsia="宋体" w:hAnsi="Times New Roman"/>
          <w:color w:val="212529"/>
          <w:sz w:val="20"/>
          <w:szCs w:val="20"/>
        </w:rPr>
        <w:t>efore that, he spent 13 years with Price Waterhouse, a firm specializing in accounting, assurance, tax, and consulting services, in a variety of roles primarily focused on providing audit and accounting services to the technology industry.</w:t>
      </w:r>
    </w:p>
    <w:p w14:paraId="7DCFCE21" w14:textId="77777777" w:rsidR="00C1563E" w:rsidRDefault="00C1563E">
      <w:pPr>
        <w:jc w:val="center"/>
      </w:pPr>
    </w:p>
    <w:p w14:paraId="7DCFCE22" w14:textId="77777777" w:rsidR="00C1563E" w:rsidRDefault="000B648B">
      <w:pPr>
        <w:jc w:val="center"/>
      </w:pPr>
      <w:r>
        <w:rPr>
          <w:rFonts w:ascii="Times New Roman" w:eastAsia="宋体" w:hAnsi="Times New Roman"/>
          <w:color w:val="000000"/>
          <w:sz w:val="20"/>
          <w:szCs w:val="20"/>
        </w:rPr>
        <w:t>16</w:t>
      </w:r>
    </w:p>
    <w:p w14:paraId="7DCFCE23" w14:textId="77777777" w:rsidR="00C1563E" w:rsidRDefault="00C1563E">
      <w:pPr>
        <w:jc w:val="center"/>
      </w:pPr>
    </w:p>
    <w:p w14:paraId="7DCFCE24" w14:textId="77777777" w:rsidR="00C1563E" w:rsidRDefault="000B648B">
      <w:r>
        <w:pict w14:anchorId="7DD02576">
          <v:rect id="_x0000_i1040" style="width:415.3pt;height:1.5pt" o:hralign="center" o:hrstd="t" o:hr="t" fillcolor="#a0a0a0" stroked="f"/>
        </w:pict>
      </w:r>
    </w:p>
    <w:p w14:paraId="7DCFCE25" w14:textId="77777777" w:rsidR="00C1563E" w:rsidRDefault="000B648B">
      <w:hyperlink r:id="rId91" w:anchor="i418e32e4a35149ffbf7d3a25d66881b8_10" w:history="1">
        <w:r>
          <w:rPr>
            <w:rStyle w:val="a5"/>
            <w:rFonts w:ascii="Times New Roman" w:eastAsia="宋体" w:hAnsi="Times New Roman"/>
            <w:sz w:val="20"/>
            <w:szCs w:val="20"/>
          </w:rPr>
          <w:t>Table of Contents</w:t>
        </w:r>
      </w:hyperlink>
    </w:p>
    <w:p w14:paraId="7DCFCE26" w14:textId="77777777" w:rsidR="00C1563E" w:rsidRDefault="000B648B">
      <w:r>
        <w:rPr>
          <w:rFonts w:ascii="Times New Roman" w:eastAsia="宋体" w:hAnsi="Times New Roman"/>
          <w:b/>
          <w:bCs/>
          <w:color w:val="000000"/>
          <w:sz w:val="20"/>
          <w:szCs w:val="20"/>
        </w:rPr>
        <w:t xml:space="preserve">ITEM 1A — RISK FACTORS </w:t>
      </w:r>
    </w:p>
    <w:p w14:paraId="7DCFCE27" w14:textId="77777777" w:rsidR="00C1563E" w:rsidRDefault="00C1563E"/>
    <w:p w14:paraId="7DCFCE28" w14:textId="77777777" w:rsidR="00C1563E" w:rsidRDefault="000B648B">
      <w:r>
        <w:rPr>
          <w:rFonts w:ascii="Times New Roman" w:eastAsia="宋体" w:hAnsi="Times New Roman"/>
          <w:color w:val="000000"/>
          <w:sz w:val="20"/>
          <w:szCs w:val="20"/>
        </w:rPr>
        <w:t>Our business, operating results, financial condition, and p</w:t>
      </w:r>
      <w:r>
        <w:rPr>
          <w:rFonts w:ascii="Times New Roman" w:eastAsia="宋体" w:hAnsi="Times New Roman"/>
          <w:color w:val="000000"/>
          <w:sz w:val="20"/>
          <w:szCs w:val="20"/>
        </w:rPr>
        <w:t>rospects are subject to a variety of significant risks, many of which are beyond our control. The following is a description of some of the important risk factors that may cause our actual results in future periods to differ substantially from those we cur</w:t>
      </w:r>
      <w:r>
        <w:rPr>
          <w:rFonts w:ascii="Times New Roman" w:eastAsia="宋体" w:hAnsi="Times New Roman"/>
          <w:color w:val="000000"/>
          <w:sz w:val="20"/>
          <w:szCs w:val="20"/>
        </w:rPr>
        <w:t>rently expect or seek. The risks described below are not the only risks we face. There are additional risks and uncertainties not currently known to us or that we currently deem to be immaterial that also may materially adversely affect our business, opera</w:t>
      </w:r>
      <w:r>
        <w:rPr>
          <w:rFonts w:ascii="Times New Roman" w:eastAsia="宋体" w:hAnsi="Times New Roman"/>
          <w:color w:val="000000"/>
          <w:sz w:val="20"/>
          <w:szCs w:val="20"/>
        </w:rPr>
        <w:t>ting results, financial condition, or prospects.</w:t>
      </w:r>
    </w:p>
    <w:p w14:paraId="7DCFCE29" w14:textId="77777777" w:rsidR="00C1563E" w:rsidRDefault="00C1563E"/>
    <w:p w14:paraId="7DCFCE2A" w14:textId="77777777" w:rsidR="00C1563E" w:rsidRDefault="000B648B">
      <w:r>
        <w:rPr>
          <w:rFonts w:ascii="Times New Roman" w:eastAsia="宋体" w:hAnsi="Times New Roman"/>
          <w:b/>
          <w:bCs/>
          <w:color w:val="000000"/>
          <w:sz w:val="20"/>
          <w:szCs w:val="20"/>
        </w:rPr>
        <w:t xml:space="preserve">Risks Relating to Our Business and Our Industry </w:t>
      </w:r>
    </w:p>
    <w:p w14:paraId="7DCFCE2B" w14:textId="77777777" w:rsidR="00C1563E" w:rsidRDefault="00C1563E"/>
    <w:p w14:paraId="7DCFCE2C" w14:textId="77777777" w:rsidR="00C1563E" w:rsidRDefault="000B648B">
      <w:r>
        <w:rPr>
          <w:rFonts w:ascii="Times New Roman" w:eastAsia="宋体" w:hAnsi="Times New Roman"/>
          <w:b/>
          <w:bCs/>
          <w:color w:val="000000"/>
          <w:sz w:val="20"/>
          <w:szCs w:val="20"/>
        </w:rPr>
        <w:t>The COVID-19 pandemic may harm our business and result in reduced net revenue and profitability.</w:t>
      </w:r>
    </w:p>
    <w:p w14:paraId="7DCFCE2D" w14:textId="77777777" w:rsidR="00C1563E" w:rsidRDefault="00C1563E"/>
    <w:p w14:paraId="7DCFCE2E" w14:textId="77777777" w:rsidR="00C1563E" w:rsidRDefault="000B648B">
      <w:r>
        <w:rPr>
          <w:rFonts w:ascii="Times New Roman" w:eastAsia="宋体" w:hAnsi="Times New Roman"/>
          <w:color w:val="000000"/>
          <w:sz w:val="20"/>
          <w:szCs w:val="20"/>
        </w:rPr>
        <w:t xml:space="preserve">The COVID-19 pandemic and associated </w:t>
      </w:r>
      <w:r>
        <w:rPr>
          <w:rFonts w:ascii="Times New Roman" w:eastAsia="宋体" w:hAnsi="Times New Roman"/>
          <w:color w:val="000000"/>
          <w:sz w:val="20"/>
          <w:szCs w:val="20"/>
        </w:rPr>
        <w:t>containment measures have caused economic and financial disruptions globally, affecting regions in which we sell our products and services and in which we conduct our business operations. We are unable to predict the full impact the pandemic may have on ou</w:t>
      </w:r>
      <w:r>
        <w:rPr>
          <w:rFonts w:ascii="Times New Roman" w:eastAsia="宋体" w:hAnsi="Times New Roman"/>
          <w:color w:val="000000"/>
          <w:sz w:val="20"/>
          <w:szCs w:val="20"/>
        </w:rPr>
        <w:t>r results of operations, financial condition, liquidity, and cash flows due to numerous uncertainties, including the progression of the pandemic, governmental and other responses, vaccine availability, and the timing of economic recovery. We are also unabl</w:t>
      </w:r>
      <w:r>
        <w:rPr>
          <w:rFonts w:ascii="Times New Roman" w:eastAsia="宋体" w:hAnsi="Times New Roman"/>
          <w:color w:val="000000"/>
          <w:sz w:val="20"/>
          <w:szCs w:val="20"/>
        </w:rPr>
        <w:t>e to predict the extent of the impact of the pandemic on our customers, suppliers, and other partners, which could materially adversely affect demand for our products and services and our results of operations and financial condition.</w:t>
      </w:r>
    </w:p>
    <w:p w14:paraId="7DCFCE2F" w14:textId="77777777" w:rsidR="00C1563E" w:rsidRDefault="00C1563E"/>
    <w:p w14:paraId="7DCFCE30" w14:textId="77777777" w:rsidR="00C1563E" w:rsidRDefault="000B648B">
      <w:r>
        <w:rPr>
          <w:rFonts w:ascii="Times New Roman" w:eastAsia="宋体" w:hAnsi="Times New Roman"/>
          <w:color w:val="000000"/>
          <w:sz w:val="20"/>
          <w:szCs w:val="20"/>
        </w:rPr>
        <w:t xml:space="preserve">During Fiscal 2021, </w:t>
      </w:r>
      <w:r>
        <w:rPr>
          <w:rFonts w:ascii="Times New Roman" w:eastAsia="宋体" w:hAnsi="Times New Roman"/>
          <w:color w:val="000000"/>
          <w:sz w:val="20"/>
          <w:szCs w:val="20"/>
        </w:rPr>
        <w:t>COVID-19 disruptions contributed to a weakening of the demand environment for our ISG products and services, which reduced ISG net revenue from the prior year. Our business was adversely affected by supply constraints resulting from the pandemic that affec</w:t>
      </w:r>
      <w:r>
        <w:rPr>
          <w:rFonts w:ascii="Times New Roman" w:eastAsia="宋体" w:hAnsi="Times New Roman"/>
          <w:color w:val="000000"/>
          <w:sz w:val="20"/>
          <w:szCs w:val="20"/>
        </w:rPr>
        <w:t>ted the timing of shipments of certain products in desired quantities or configurations. We also experienced increased freight rates as a result of limits on air freight capacity.</w:t>
      </w:r>
    </w:p>
    <w:p w14:paraId="7DCFCE31" w14:textId="77777777" w:rsidR="00C1563E" w:rsidRDefault="00C1563E"/>
    <w:p w14:paraId="7DCFCE32" w14:textId="77777777" w:rsidR="00C1563E" w:rsidRDefault="000B648B">
      <w:r>
        <w:rPr>
          <w:rFonts w:ascii="Times New Roman" w:eastAsia="宋体" w:hAnsi="Times New Roman"/>
          <w:color w:val="000000"/>
          <w:sz w:val="20"/>
          <w:szCs w:val="20"/>
        </w:rPr>
        <w:t>Measures taken to contain the COVID-19 pandemic, such as travel restriction</w:t>
      </w:r>
      <w:r>
        <w:rPr>
          <w:rFonts w:ascii="Times New Roman" w:eastAsia="宋体" w:hAnsi="Times New Roman"/>
          <w:color w:val="000000"/>
          <w:sz w:val="20"/>
          <w:szCs w:val="20"/>
        </w:rPr>
        <w:t xml:space="preserve">s, quarantines, shelter-in-place, and shutdowns, have affected and will continue to affect our workforce and operations, and those of our vendors, suppliers, and partners. Restrictions on our operations or workforce, or similar limitations for others, may </w:t>
      </w:r>
      <w:r>
        <w:rPr>
          <w:rFonts w:ascii="Times New Roman" w:eastAsia="宋体" w:hAnsi="Times New Roman"/>
          <w:color w:val="000000"/>
          <w:sz w:val="20"/>
          <w:szCs w:val="20"/>
        </w:rPr>
        <w:t xml:space="preserve">affect our ability to meet customer demand. </w:t>
      </w:r>
    </w:p>
    <w:p w14:paraId="7DCFCE33" w14:textId="77777777" w:rsidR="00C1563E" w:rsidRDefault="000B648B">
      <w:r>
        <w:rPr>
          <w:rFonts w:ascii="Times New Roman" w:eastAsia="宋体" w:hAnsi="Times New Roman"/>
          <w:color w:val="000000"/>
          <w:sz w:val="20"/>
          <w:szCs w:val="20"/>
        </w:rPr>
        <w:t>We have taken and will continue to take risk mitigation actions that we believe are in the best interests of our employees, customers, suppliers, and other partners. Work-from-home and other measures introduce a</w:t>
      </w:r>
      <w:r>
        <w:rPr>
          <w:rFonts w:ascii="Times New Roman" w:eastAsia="宋体" w:hAnsi="Times New Roman"/>
          <w:color w:val="000000"/>
          <w:sz w:val="20"/>
          <w:szCs w:val="20"/>
        </w:rPr>
        <w:t>dditional operational risks, including heightened cybersecurity risks. These measures may not be sufficient to mitigate the risks posed by the virus, and illness and workforce disruptions could lead to unavailability of key personnel and impair our ability</w:t>
      </w:r>
      <w:r>
        <w:rPr>
          <w:rFonts w:ascii="Times New Roman" w:eastAsia="宋体" w:hAnsi="Times New Roman"/>
          <w:color w:val="000000"/>
          <w:sz w:val="20"/>
          <w:szCs w:val="20"/>
        </w:rPr>
        <w:t xml:space="preserve"> to perform critical functions.</w:t>
      </w:r>
    </w:p>
    <w:p w14:paraId="7DCFCE34" w14:textId="77777777" w:rsidR="00C1563E" w:rsidRDefault="000B648B">
      <w:r>
        <w:rPr>
          <w:rFonts w:ascii="Times New Roman" w:eastAsia="宋体" w:hAnsi="Times New Roman"/>
          <w:color w:val="000000"/>
          <w:sz w:val="20"/>
          <w:szCs w:val="20"/>
        </w:rPr>
        <w:t>The COVID-19 pandemic may continue to cause disruption and volatility in the global debt and capital markets, which may increase our cost of capital and adversely affect our access to capital.</w:t>
      </w:r>
    </w:p>
    <w:p w14:paraId="7DCFCE35" w14:textId="77777777" w:rsidR="00C1563E" w:rsidRDefault="00C1563E"/>
    <w:p w14:paraId="7DCFCE36" w14:textId="77777777" w:rsidR="00C1563E" w:rsidRDefault="000B648B">
      <w:r>
        <w:rPr>
          <w:rFonts w:ascii="Times New Roman" w:eastAsia="宋体" w:hAnsi="Times New Roman"/>
          <w:color w:val="000000"/>
          <w:sz w:val="20"/>
          <w:szCs w:val="20"/>
        </w:rPr>
        <w:t>To the extent the COVID-19 pan</w:t>
      </w:r>
      <w:r>
        <w:rPr>
          <w:rFonts w:ascii="Times New Roman" w:eastAsia="宋体" w:hAnsi="Times New Roman"/>
          <w:color w:val="000000"/>
          <w:sz w:val="20"/>
          <w:szCs w:val="20"/>
        </w:rPr>
        <w:t>demic adversely affects our business, results of operations, and financial condition, it also may have the effect of exacerbating the other risks discussed in this “Risk Factors” section. Developments related to the COVID-19 pandemic have been unpredictabl</w:t>
      </w:r>
      <w:r>
        <w:rPr>
          <w:rFonts w:ascii="Times New Roman" w:eastAsia="宋体" w:hAnsi="Times New Roman"/>
          <w:color w:val="000000"/>
          <w:sz w:val="20"/>
          <w:szCs w:val="20"/>
        </w:rPr>
        <w:t>e, and additional impacts and risks may arise that we are not aware of or are not able to respond to in an effective manner.</w:t>
      </w:r>
    </w:p>
    <w:p w14:paraId="7DCFCE37" w14:textId="77777777" w:rsidR="00C1563E" w:rsidRDefault="00C1563E"/>
    <w:p w14:paraId="7DCFCE38" w14:textId="77777777" w:rsidR="00C1563E" w:rsidRDefault="000B648B">
      <w:r>
        <w:rPr>
          <w:rFonts w:ascii="Times New Roman" w:eastAsia="宋体" w:hAnsi="Times New Roman"/>
          <w:b/>
          <w:bCs/>
          <w:color w:val="000000"/>
          <w:sz w:val="20"/>
          <w:szCs w:val="20"/>
        </w:rPr>
        <w:t xml:space="preserve">Competitive pressures may adversely affect our industry unit share position, revenue, and profitability. </w:t>
      </w:r>
    </w:p>
    <w:p w14:paraId="7DCFCE39" w14:textId="77777777" w:rsidR="00C1563E" w:rsidRDefault="00C1563E"/>
    <w:p w14:paraId="7DCFCE3A" w14:textId="77777777" w:rsidR="00C1563E" w:rsidRDefault="000B648B">
      <w:r>
        <w:rPr>
          <w:rFonts w:ascii="Times New Roman" w:eastAsia="宋体" w:hAnsi="Times New Roman"/>
          <w:color w:val="000000"/>
          <w:sz w:val="20"/>
          <w:szCs w:val="20"/>
        </w:rPr>
        <w:t>We operate in an indust</w:t>
      </w:r>
      <w:r>
        <w:rPr>
          <w:rFonts w:ascii="Times New Roman" w:eastAsia="宋体" w:hAnsi="Times New Roman"/>
          <w:color w:val="000000"/>
          <w:sz w:val="20"/>
          <w:szCs w:val="20"/>
        </w:rPr>
        <w:t>ry in which there are rapid technological advances in hardware, software, and services offerings. As a result, we face aggressive product and price competition from both branded and generic competitors. We compete based on our ability to offer to our custo</w:t>
      </w:r>
      <w:r>
        <w:rPr>
          <w:rFonts w:ascii="Times New Roman" w:eastAsia="宋体" w:hAnsi="Times New Roman"/>
          <w:color w:val="000000"/>
          <w:sz w:val="20"/>
          <w:szCs w:val="20"/>
        </w:rPr>
        <w:t>mers integrated solutions that provide desired product and services features at a competitive price. Our competitors may provide products that are less costly, perform better or include additional features. Further, our product portfolios may quickly becom</w:t>
      </w:r>
      <w:r>
        <w:rPr>
          <w:rFonts w:ascii="Times New Roman" w:eastAsia="宋体" w:hAnsi="Times New Roman"/>
          <w:color w:val="000000"/>
          <w:sz w:val="20"/>
          <w:szCs w:val="20"/>
        </w:rPr>
        <w:t xml:space="preserve">e outdated or our market share may quickly erode. Efforts to balance the mix of products and services to optimize profitability, liquidity, and growth may put pressure on our industry position. </w:t>
      </w:r>
    </w:p>
    <w:p w14:paraId="7DCFCE3B" w14:textId="77777777" w:rsidR="00C1563E" w:rsidRDefault="00C1563E"/>
    <w:p w14:paraId="7DCFCE3C" w14:textId="77777777" w:rsidR="00C1563E" w:rsidRDefault="000B648B">
      <w:r>
        <w:rPr>
          <w:rFonts w:ascii="Times New Roman" w:eastAsia="宋体" w:hAnsi="Times New Roman"/>
          <w:color w:val="000000"/>
          <w:sz w:val="20"/>
          <w:szCs w:val="20"/>
        </w:rPr>
        <w:t>As the technology industry continues to expand, there may be</w:t>
      </w:r>
      <w:r>
        <w:rPr>
          <w:rFonts w:ascii="Times New Roman" w:eastAsia="宋体" w:hAnsi="Times New Roman"/>
          <w:color w:val="000000"/>
          <w:sz w:val="20"/>
          <w:szCs w:val="20"/>
        </w:rPr>
        <w:t xml:space="preserve"> new and increased competition in different geographic regions. The generally low barriers into the technology industry increase the potential for challenges from new competitors. Competition also may intensify from an increase in options for mobile and cl</w:t>
      </w:r>
      <w:r>
        <w:rPr>
          <w:rFonts w:ascii="Times New Roman" w:eastAsia="宋体" w:hAnsi="Times New Roman"/>
          <w:color w:val="000000"/>
          <w:sz w:val="20"/>
          <w:szCs w:val="20"/>
        </w:rPr>
        <w:t>oud computing solutions. In addition, companies with which we have strategic alliances may become competitors in other product areas, or current competitors may enter into new strategic relationships with new or existing competitors, all of which may furth</w:t>
      </w:r>
      <w:r>
        <w:rPr>
          <w:rFonts w:ascii="Times New Roman" w:eastAsia="宋体" w:hAnsi="Times New Roman"/>
          <w:color w:val="000000"/>
          <w:sz w:val="20"/>
          <w:szCs w:val="20"/>
        </w:rPr>
        <w:t>er increase competitive pressures.</w:t>
      </w:r>
    </w:p>
    <w:p w14:paraId="7DCFCE3D" w14:textId="77777777" w:rsidR="00C1563E" w:rsidRDefault="00C1563E"/>
    <w:p w14:paraId="7DCFCE3E" w14:textId="77777777" w:rsidR="00C1563E" w:rsidRDefault="00C1563E">
      <w:pPr>
        <w:jc w:val="center"/>
      </w:pPr>
    </w:p>
    <w:p w14:paraId="7DCFCE3F" w14:textId="77777777" w:rsidR="00C1563E" w:rsidRDefault="000B648B">
      <w:pPr>
        <w:jc w:val="center"/>
      </w:pPr>
      <w:r>
        <w:rPr>
          <w:rFonts w:ascii="Times New Roman" w:eastAsia="宋体" w:hAnsi="Times New Roman"/>
          <w:color w:val="000000"/>
          <w:sz w:val="20"/>
          <w:szCs w:val="20"/>
        </w:rPr>
        <w:t>17</w:t>
      </w:r>
    </w:p>
    <w:p w14:paraId="7DCFCE40" w14:textId="77777777" w:rsidR="00C1563E" w:rsidRDefault="00C1563E">
      <w:pPr>
        <w:jc w:val="center"/>
      </w:pPr>
    </w:p>
    <w:p w14:paraId="7DCFCE41" w14:textId="77777777" w:rsidR="00C1563E" w:rsidRDefault="000B648B">
      <w:r>
        <w:pict w14:anchorId="7DD02577">
          <v:rect id="_x0000_i1041" style="width:415.3pt;height:1.5pt" o:hralign="center" o:hrstd="t" o:hr="t" fillcolor="#a0a0a0" stroked="f"/>
        </w:pict>
      </w:r>
    </w:p>
    <w:p w14:paraId="7DCFCE42" w14:textId="77777777" w:rsidR="00C1563E" w:rsidRDefault="000B648B">
      <w:hyperlink r:id="rId92" w:anchor="i418e32e4a35149ffbf7d3a25d66881b8_10" w:history="1">
        <w:r>
          <w:rPr>
            <w:rStyle w:val="a5"/>
            <w:rFonts w:ascii="Times New Roman" w:eastAsia="宋体" w:hAnsi="Times New Roman"/>
            <w:sz w:val="20"/>
            <w:szCs w:val="20"/>
          </w:rPr>
          <w:t>Table of Contents</w:t>
        </w:r>
      </w:hyperlink>
    </w:p>
    <w:p w14:paraId="7DCFCE43" w14:textId="77777777" w:rsidR="00C1563E" w:rsidRDefault="000B648B">
      <w:r>
        <w:rPr>
          <w:rFonts w:ascii="Times New Roman" w:eastAsia="宋体" w:hAnsi="Times New Roman"/>
          <w:b/>
          <w:bCs/>
          <w:color w:val="000000"/>
          <w:sz w:val="20"/>
          <w:szCs w:val="20"/>
        </w:rPr>
        <w:t>Reliance on vendors for products and comp</w:t>
      </w:r>
      <w:r>
        <w:rPr>
          <w:rFonts w:ascii="Times New Roman" w:eastAsia="宋体" w:hAnsi="Times New Roman"/>
          <w:b/>
          <w:bCs/>
          <w:color w:val="000000"/>
          <w:sz w:val="20"/>
          <w:szCs w:val="20"/>
        </w:rPr>
        <w:t xml:space="preserve">onents, many of which are single-source or limited-source suppliers, could harm our business by adversely affecting product availability, delivery, reliability, and cost. </w:t>
      </w:r>
    </w:p>
    <w:p w14:paraId="7DCFCE44" w14:textId="77777777" w:rsidR="00C1563E" w:rsidRDefault="00C1563E"/>
    <w:p w14:paraId="7DCFCE45" w14:textId="77777777" w:rsidR="00C1563E" w:rsidRDefault="000B648B">
      <w:r>
        <w:rPr>
          <w:rFonts w:ascii="Times New Roman" w:eastAsia="宋体" w:hAnsi="Times New Roman"/>
          <w:color w:val="000000"/>
          <w:sz w:val="20"/>
          <w:szCs w:val="20"/>
        </w:rPr>
        <w:t>We maintain several single-source or limited-source supplier relationships, includi</w:t>
      </w:r>
      <w:r>
        <w:rPr>
          <w:rFonts w:ascii="Times New Roman" w:eastAsia="宋体" w:hAnsi="Times New Roman"/>
          <w:color w:val="000000"/>
          <w:sz w:val="20"/>
          <w:szCs w:val="20"/>
        </w:rPr>
        <w:t xml:space="preserve">ng relationships with third-party software providers, either because multiple sources are not readily available or because the relationships are advantageous due to performance, quality, support, delivery, capacity, or price considerations. A delay in the </w:t>
      </w:r>
      <w:r>
        <w:rPr>
          <w:rFonts w:ascii="Times New Roman" w:eastAsia="宋体" w:hAnsi="Times New Roman"/>
          <w:color w:val="000000"/>
          <w:sz w:val="20"/>
          <w:szCs w:val="20"/>
        </w:rPr>
        <w:t>supply of a critical single- or limited-source product or component may prevent the timely shipment of the related product in desired quantities or configurations. In addition, we may not be able to replace the functionality provided by third-party softwar</w:t>
      </w:r>
      <w:r>
        <w:rPr>
          <w:rFonts w:ascii="Times New Roman" w:eastAsia="宋体" w:hAnsi="Times New Roman"/>
          <w:color w:val="000000"/>
          <w:sz w:val="20"/>
          <w:szCs w:val="20"/>
        </w:rPr>
        <w:t>e currently offered with our products if that software becomes obsolete, defective, or incompatible with future product versions or is not adequately maintained or updated. Even where multiple sources of supply are available, qualification of the alternati</w:t>
      </w:r>
      <w:r>
        <w:rPr>
          <w:rFonts w:ascii="Times New Roman" w:eastAsia="宋体" w:hAnsi="Times New Roman"/>
          <w:color w:val="000000"/>
          <w:sz w:val="20"/>
          <w:szCs w:val="20"/>
        </w:rPr>
        <w:t xml:space="preserve">ve suppliers and establishment of reliable supplies could result in delays and a possible loss of sales, which could harm our operating results. </w:t>
      </w:r>
    </w:p>
    <w:p w14:paraId="7DCFCE46" w14:textId="77777777" w:rsidR="00C1563E" w:rsidRDefault="00C1563E"/>
    <w:p w14:paraId="7DCFCE47" w14:textId="77777777" w:rsidR="00C1563E" w:rsidRDefault="000B648B">
      <w:r>
        <w:rPr>
          <w:rFonts w:ascii="Times New Roman" w:eastAsia="宋体" w:hAnsi="Times New Roman"/>
          <w:color w:val="000000"/>
          <w:sz w:val="20"/>
          <w:szCs w:val="20"/>
        </w:rPr>
        <w:t>We obtain many products and all of our components from third-party vendors, many of which are located outside</w:t>
      </w:r>
      <w:r>
        <w:rPr>
          <w:rFonts w:ascii="Times New Roman" w:eastAsia="宋体" w:hAnsi="Times New Roman"/>
          <w:color w:val="000000"/>
          <w:sz w:val="20"/>
          <w:szCs w:val="20"/>
        </w:rPr>
        <w:t xml:space="preserve"> of the United States. In addition, significant portions of our products are assembled by contract manufacturers, primarily in various locations in Asia. A significant concentration of such outsourced manufacturing is performed by only a few contract manuf</w:t>
      </w:r>
      <w:r>
        <w:rPr>
          <w:rFonts w:ascii="Times New Roman" w:eastAsia="宋体" w:hAnsi="Times New Roman"/>
          <w:color w:val="000000"/>
          <w:sz w:val="20"/>
          <w:szCs w:val="20"/>
        </w:rPr>
        <w:t>acturers, often in single locations. We sell components to these contract manufacturers and generate large non-trade accounts receivables, an arrangement that would present a risk of uncollectibility if the financial condition of a contract manufacturer sh</w:t>
      </w:r>
      <w:r>
        <w:rPr>
          <w:rFonts w:ascii="Times New Roman" w:eastAsia="宋体" w:hAnsi="Times New Roman"/>
          <w:color w:val="000000"/>
          <w:sz w:val="20"/>
          <w:szCs w:val="20"/>
        </w:rPr>
        <w:t xml:space="preserve">ould deteriorate. </w:t>
      </w:r>
    </w:p>
    <w:p w14:paraId="7DCFCE48" w14:textId="77777777" w:rsidR="00C1563E" w:rsidRDefault="00C1563E"/>
    <w:p w14:paraId="7DCFCE49" w14:textId="77777777" w:rsidR="00C1563E" w:rsidRDefault="000B648B">
      <w:r>
        <w:rPr>
          <w:rFonts w:ascii="Times New Roman" w:eastAsia="宋体" w:hAnsi="Times New Roman"/>
          <w:color w:val="000000"/>
          <w:sz w:val="20"/>
          <w:szCs w:val="20"/>
        </w:rPr>
        <w:t>Although these relationships generate cost efficiencies, they limit our direct control over production. The increasing reliance on vendors subjects us to a greater risk of shortages and reduced control over delivery schedules of components and products, as</w:t>
      </w:r>
      <w:r>
        <w:rPr>
          <w:rFonts w:ascii="Times New Roman" w:eastAsia="宋体" w:hAnsi="Times New Roman"/>
          <w:color w:val="000000"/>
          <w:sz w:val="20"/>
          <w:szCs w:val="20"/>
        </w:rPr>
        <w:t xml:space="preserve"> well as a greater risk of increases in product and component costs. We may experience supply shortages and price increases caused by changes to raw material availability, manufacturing capacity, labor shortages, public health issues, tariffs, trade disput</w:t>
      </w:r>
      <w:r>
        <w:rPr>
          <w:rFonts w:ascii="Times New Roman" w:eastAsia="宋体" w:hAnsi="Times New Roman"/>
          <w:color w:val="000000"/>
          <w:sz w:val="20"/>
          <w:szCs w:val="20"/>
        </w:rPr>
        <w:t>es and protectionist measures, natural catastrophes or the effects of climate change (such as extreme weather conditions, sea level rise, drought, flooding and wildfires), and significant changes in the financial condition of our suppliers. Because we main</w:t>
      </w:r>
      <w:r>
        <w:rPr>
          <w:rFonts w:ascii="Times New Roman" w:eastAsia="宋体" w:hAnsi="Times New Roman"/>
          <w:color w:val="000000"/>
          <w:sz w:val="20"/>
          <w:szCs w:val="20"/>
        </w:rPr>
        <w:t xml:space="preserve">tain minimal levels of component and product inventories, a disruption in component or product availability could harm our ability to satisfy customer needs. In addition, defective parts and products from these vendors could reduce product reliability and </w:t>
      </w:r>
      <w:r>
        <w:rPr>
          <w:rFonts w:ascii="Times New Roman" w:eastAsia="宋体" w:hAnsi="Times New Roman"/>
          <w:color w:val="000000"/>
          <w:sz w:val="20"/>
          <w:szCs w:val="20"/>
        </w:rPr>
        <w:t xml:space="preserve">harm our reputation. </w:t>
      </w:r>
    </w:p>
    <w:p w14:paraId="7DCFCE4A" w14:textId="77777777" w:rsidR="00C1563E" w:rsidRDefault="00C1563E"/>
    <w:p w14:paraId="7DCFCE4B" w14:textId="77777777" w:rsidR="00C1563E" w:rsidRDefault="000B648B">
      <w:r>
        <w:rPr>
          <w:rFonts w:ascii="Times New Roman" w:eastAsia="宋体" w:hAnsi="Times New Roman"/>
          <w:b/>
          <w:bCs/>
          <w:color w:val="000000"/>
          <w:sz w:val="20"/>
          <w:szCs w:val="20"/>
        </w:rPr>
        <w:t xml:space="preserve">If we fail to achieve favorable pricing from vendors, our profitability could be adversely affected. </w:t>
      </w:r>
    </w:p>
    <w:p w14:paraId="7DCFCE4C" w14:textId="77777777" w:rsidR="00C1563E" w:rsidRDefault="00C1563E"/>
    <w:p w14:paraId="7DCFCE4D" w14:textId="77777777" w:rsidR="00C1563E" w:rsidRDefault="000B648B">
      <w:r>
        <w:rPr>
          <w:rFonts w:ascii="Times New Roman" w:eastAsia="宋体" w:hAnsi="Times New Roman"/>
          <w:color w:val="000000"/>
          <w:sz w:val="20"/>
          <w:szCs w:val="20"/>
        </w:rPr>
        <w:t>Our profitability is affected by our ability to achieve favorable pricing from vendors and contract manufacturers, including throu</w:t>
      </w:r>
      <w:r>
        <w:rPr>
          <w:rFonts w:ascii="Times New Roman" w:eastAsia="宋体" w:hAnsi="Times New Roman"/>
          <w:color w:val="000000"/>
          <w:sz w:val="20"/>
          <w:szCs w:val="20"/>
        </w:rPr>
        <w:t>gh negotiations for vendor rebates, marketing funds, and other vendor funding received in the normal course of business. Because these supplier negotiations are continual and reflect the evolving competitive environment, the variability in timing and amoun</w:t>
      </w:r>
      <w:r>
        <w:rPr>
          <w:rFonts w:ascii="Times New Roman" w:eastAsia="宋体" w:hAnsi="Times New Roman"/>
          <w:color w:val="000000"/>
          <w:sz w:val="20"/>
          <w:szCs w:val="20"/>
        </w:rPr>
        <w:t>t of incremental vendor discounts and rebates can affect our profitability. The vendor programs may change periodically, potentially resulting in adverse profitability trends if we cannot adjust pricing or variable costs. An inability to establish a cost a</w:t>
      </w:r>
      <w:r>
        <w:rPr>
          <w:rFonts w:ascii="Times New Roman" w:eastAsia="宋体" w:hAnsi="Times New Roman"/>
          <w:color w:val="000000"/>
          <w:sz w:val="20"/>
          <w:szCs w:val="20"/>
        </w:rPr>
        <w:t xml:space="preserve">nd product advantage, or determine alternative means to deliver value to customers, may adversely affect our revenue and profitability. </w:t>
      </w:r>
    </w:p>
    <w:p w14:paraId="7DCFCE4E" w14:textId="77777777" w:rsidR="00C1563E" w:rsidRDefault="00C1563E"/>
    <w:p w14:paraId="7DCFCE4F" w14:textId="77777777" w:rsidR="00C1563E" w:rsidRDefault="000B648B">
      <w:r>
        <w:rPr>
          <w:rFonts w:ascii="Times New Roman" w:eastAsia="宋体" w:hAnsi="Times New Roman"/>
          <w:b/>
          <w:bCs/>
          <w:color w:val="000000"/>
          <w:sz w:val="20"/>
          <w:szCs w:val="20"/>
        </w:rPr>
        <w:t xml:space="preserve">Adverse global economic conditions may harm our business and result in reduced net revenue and profitability. </w:t>
      </w:r>
    </w:p>
    <w:p w14:paraId="7DCFCE50" w14:textId="77777777" w:rsidR="00C1563E" w:rsidRDefault="00C1563E"/>
    <w:p w14:paraId="7DCFCE51" w14:textId="77777777" w:rsidR="00C1563E" w:rsidRDefault="000B648B">
      <w:r>
        <w:rPr>
          <w:rFonts w:ascii="Times New Roman" w:eastAsia="宋体" w:hAnsi="Times New Roman"/>
          <w:color w:val="000000"/>
          <w:sz w:val="20"/>
          <w:szCs w:val="20"/>
        </w:rPr>
        <w:t xml:space="preserve">As a global company with customers operating in a broad range of businesses and industries, our performance is affected by global economic conditions and the demand for technology products and services in international markets. Adverse economic conditions </w:t>
      </w:r>
      <w:r>
        <w:rPr>
          <w:rFonts w:ascii="Times New Roman" w:eastAsia="宋体" w:hAnsi="Times New Roman"/>
          <w:color w:val="000000"/>
          <w:sz w:val="20"/>
          <w:szCs w:val="20"/>
        </w:rPr>
        <w:t>may negatively affect customer demand, and could result in postponed or decreased spending amid customer concerns over unemployment, reduced asset values, volatile energy costs, geopolitical issues, the availability and cost of credit, and the stability an</w:t>
      </w:r>
      <w:r>
        <w:rPr>
          <w:rFonts w:ascii="Times New Roman" w:eastAsia="宋体" w:hAnsi="Times New Roman"/>
          <w:color w:val="000000"/>
          <w:sz w:val="20"/>
          <w:szCs w:val="20"/>
        </w:rPr>
        <w:t>d solvency of financial institutions, financial markets, businesses, local and state governments, and sovereign nations. Weak or unstable global economic conditions, including due to international trade protection measures and disputes, such as those betwe</w:t>
      </w:r>
      <w:r>
        <w:rPr>
          <w:rFonts w:ascii="Times New Roman" w:eastAsia="宋体" w:hAnsi="Times New Roman"/>
          <w:color w:val="000000"/>
          <w:sz w:val="20"/>
          <w:szCs w:val="20"/>
        </w:rPr>
        <w:t>en the United States and China, or due to public health issues, such as the outbreak of COVID-19 discussed above, also could harm our business by contributing to product shortages or delays, supply chain disruptions, insolvency of key suppliers, customer a</w:t>
      </w:r>
      <w:r>
        <w:rPr>
          <w:rFonts w:ascii="Times New Roman" w:eastAsia="宋体" w:hAnsi="Times New Roman"/>
          <w:color w:val="000000"/>
          <w:sz w:val="20"/>
          <w:szCs w:val="20"/>
        </w:rPr>
        <w:t xml:space="preserve">nd counterparty insolvencies, increased product costs and associated price increases, reduced global sales, and other adverse effects on our operations. Any such effects could have a negative impact on our net revenue and profitability. </w:t>
      </w:r>
    </w:p>
    <w:p w14:paraId="7DCFCE52" w14:textId="77777777" w:rsidR="00C1563E" w:rsidRDefault="00C1563E"/>
    <w:p w14:paraId="7DCFCE53" w14:textId="77777777" w:rsidR="00C1563E" w:rsidRDefault="00C1563E"/>
    <w:p w14:paraId="7DCFCE54" w14:textId="77777777" w:rsidR="00C1563E" w:rsidRDefault="00C1563E">
      <w:pPr>
        <w:jc w:val="center"/>
      </w:pPr>
    </w:p>
    <w:p w14:paraId="7DCFCE55" w14:textId="77777777" w:rsidR="00C1563E" w:rsidRDefault="000B648B">
      <w:pPr>
        <w:jc w:val="center"/>
      </w:pPr>
      <w:r>
        <w:rPr>
          <w:rFonts w:ascii="Times New Roman" w:eastAsia="宋体" w:hAnsi="Times New Roman"/>
          <w:color w:val="000000"/>
          <w:sz w:val="20"/>
          <w:szCs w:val="20"/>
        </w:rPr>
        <w:t>18</w:t>
      </w:r>
    </w:p>
    <w:p w14:paraId="7DCFCE56" w14:textId="77777777" w:rsidR="00C1563E" w:rsidRDefault="00C1563E">
      <w:pPr>
        <w:jc w:val="center"/>
      </w:pPr>
    </w:p>
    <w:p w14:paraId="7DCFCE57" w14:textId="77777777" w:rsidR="00C1563E" w:rsidRDefault="000B648B">
      <w:r>
        <w:pict w14:anchorId="7DD02578">
          <v:rect id="_x0000_i1042" style="width:415.3pt;height:1.5pt" o:hralign="center" o:hrstd="t" o:hr="t" fillcolor="#a0a0a0" stroked="f"/>
        </w:pict>
      </w:r>
    </w:p>
    <w:p w14:paraId="7DCFCE58" w14:textId="77777777" w:rsidR="00C1563E" w:rsidRDefault="000B648B">
      <w:hyperlink r:id="rId93" w:anchor="i418e32e4a35149ffbf7d3a25d66881b8_10" w:history="1">
        <w:r>
          <w:rPr>
            <w:rStyle w:val="a5"/>
            <w:rFonts w:ascii="Times New Roman" w:eastAsia="宋体" w:hAnsi="Times New Roman"/>
            <w:sz w:val="20"/>
            <w:szCs w:val="20"/>
          </w:rPr>
          <w:t>Table of Contents</w:t>
        </w:r>
      </w:hyperlink>
    </w:p>
    <w:p w14:paraId="7DCFCE59" w14:textId="77777777" w:rsidR="00C1563E" w:rsidRDefault="000B648B">
      <w:r>
        <w:rPr>
          <w:rFonts w:ascii="Times New Roman" w:eastAsia="宋体" w:hAnsi="Times New Roman"/>
          <w:b/>
          <w:bCs/>
          <w:color w:val="000000"/>
          <w:sz w:val="20"/>
          <w:szCs w:val="20"/>
        </w:rPr>
        <w:t>The results of operations of our business units may be adversely affected if we fail to succe</w:t>
      </w:r>
      <w:r>
        <w:rPr>
          <w:rFonts w:ascii="Times New Roman" w:eastAsia="宋体" w:hAnsi="Times New Roman"/>
          <w:b/>
          <w:bCs/>
          <w:color w:val="000000"/>
          <w:sz w:val="20"/>
          <w:szCs w:val="20"/>
        </w:rPr>
        <w:t xml:space="preserve">ssfully execute our strategy. </w:t>
      </w:r>
    </w:p>
    <w:p w14:paraId="7DCFCE5A" w14:textId="77777777" w:rsidR="00C1563E" w:rsidRDefault="00C1563E"/>
    <w:p w14:paraId="7DCFCE5B" w14:textId="77777777" w:rsidR="00C1563E" w:rsidRDefault="000B648B">
      <w:r>
        <w:rPr>
          <w:rFonts w:ascii="Times New Roman" w:eastAsia="宋体" w:hAnsi="Times New Roman"/>
          <w:color w:val="000000"/>
          <w:sz w:val="20"/>
          <w:szCs w:val="20"/>
        </w:rPr>
        <w:t>Our strategy involves enabling the digital transformation of our customers while leading in the core infrastructure markets in which we compete. Accordingly, we must continue to expand our customer base through direct sales,</w:t>
      </w:r>
      <w:r>
        <w:rPr>
          <w:rFonts w:ascii="Times New Roman" w:eastAsia="宋体" w:hAnsi="Times New Roman"/>
          <w:color w:val="000000"/>
          <w:sz w:val="20"/>
          <w:szCs w:val="20"/>
        </w:rPr>
        <w:t xml:space="preserve"> new distribution channels, further development of relationships with resellers, and augmentation of selected business areas through targeted acquisitions and other commercial arrangements. As we reach more customers through new distribution channels and e</w:t>
      </w:r>
      <w:r>
        <w:rPr>
          <w:rFonts w:ascii="Times New Roman" w:eastAsia="宋体" w:hAnsi="Times New Roman"/>
          <w:color w:val="000000"/>
          <w:sz w:val="20"/>
          <w:szCs w:val="20"/>
        </w:rPr>
        <w:t xml:space="preserve">xpanded reseller relationships, we may fail to manage effectively the increasingly difficult tasks of inventory management and demand forecasting. Our ability to implement this strategy depends on efficiently transitioning sales capabilities, successfully </w:t>
      </w:r>
      <w:r>
        <w:rPr>
          <w:rFonts w:ascii="Times New Roman" w:eastAsia="宋体" w:hAnsi="Times New Roman"/>
          <w:color w:val="000000"/>
          <w:sz w:val="20"/>
          <w:szCs w:val="20"/>
        </w:rPr>
        <w:t xml:space="preserve">adding to the breadth of our solutions capabilities through selective acquisitions of other businesses, and effective management of the consequences of these strategic initiatives. If we are unable to meet these challenges, our results of operations could </w:t>
      </w:r>
      <w:r>
        <w:rPr>
          <w:rFonts w:ascii="Times New Roman" w:eastAsia="宋体" w:hAnsi="Times New Roman"/>
          <w:color w:val="000000"/>
          <w:sz w:val="20"/>
          <w:szCs w:val="20"/>
        </w:rPr>
        <w:t xml:space="preserve">be adversely affected. </w:t>
      </w:r>
    </w:p>
    <w:p w14:paraId="7DCFCE5C" w14:textId="77777777" w:rsidR="00C1563E" w:rsidRDefault="00C1563E"/>
    <w:p w14:paraId="7DCFCE5D" w14:textId="77777777" w:rsidR="00C1563E" w:rsidRDefault="000B648B">
      <w:r>
        <w:rPr>
          <w:rFonts w:ascii="Times New Roman" w:eastAsia="宋体" w:hAnsi="Times New Roman"/>
          <w:color w:val="000000"/>
          <w:sz w:val="20"/>
          <w:szCs w:val="20"/>
        </w:rPr>
        <w:t>We are organized into three business units consisting of ISG, CSG, and VMware which are each important components of our strategy. ISG consists of a portfolio of storage, server, and networking solutions and faces intense competiti</w:t>
      </w:r>
      <w:r>
        <w:rPr>
          <w:rFonts w:ascii="Times New Roman" w:eastAsia="宋体" w:hAnsi="Times New Roman"/>
          <w:color w:val="000000"/>
          <w:sz w:val="20"/>
          <w:szCs w:val="20"/>
        </w:rPr>
        <w:t>on from existing on-premises competitors and increasing competitive pressures from public cloud providers. Accordingly, we could be required to make additional investments to combat such competitive pressures and drive future growth. Such pressures could r</w:t>
      </w:r>
      <w:r>
        <w:rPr>
          <w:rFonts w:ascii="Times New Roman" w:eastAsia="宋体" w:hAnsi="Times New Roman"/>
          <w:color w:val="000000"/>
          <w:sz w:val="20"/>
          <w:szCs w:val="20"/>
        </w:rPr>
        <w:t>esult in the erosion of revenue and operating income and adversely affect ISG’s results of operations. To address an industry trend toward hybrid-computing models, we have developed and continue to develop traditional, converged, and hyper-converged infras</w:t>
      </w:r>
      <w:r>
        <w:rPr>
          <w:rFonts w:ascii="Times New Roman" w:eastAsia="宋体" w:hAnsi="Times New Roman"/>
          <w:color w:val="000000"/>
          <w:sz w:val="20"/>
          <w:szCs w:val="20"/>
        </w:rPr>
        <w:t xml:space="preserve">tructure solutions. ISG’s results of operations could be adversely affected if such solutions are not adopted by our customers or potential customers, or if customers move rapidly to adopt public cloud solutions. </w:t>
      </w:r>
    </w:p>
    <w:p w14:paraId="7DCFCE5E" w14:textId="77777777" w:rsidR="00C1563E" w:rsidRDefault="00C1563E"/>
    <w:p w14:paraId="7DCFCE5F" w14:textId="77777777" w:rsidR="00C1563E" w:rsidRDefault="000B648B">
      <w:r>
        <w:rPr>
          <w:rFonts w:ascii="Times New Roman" w:eastAsia="宋体" w:hAnsi="Times New Roman"/>
          <w:color w:val="000000"/>
          <w:sz w:val="20"/>
          <w:szCs w:val="20"/>
        </w:rPr>
        <w:t xml:space="preserve">CSG largely relies on sales of desktops, </w:t>
      </w:r>
      <w:r>
        <w:rPr>
          <w:rFonts w:ascii="Times New Roman" w:eastAsia="宋体" w:hAnsi="Times New Roman"/>
          <w:color w:val="000000"/>
          <w:sz w:val="20"/>
          <w:szCs w:val="20"/>
        </w:rPr>
        <w:t>workstations, and notebooks. Revenue from CSG absorbs our overhead costs and allows for scaled procurement. CSG faces risk and uncertainties from fundamental changes in the personal computer (“PC”) market, including a decline in worldwide revenues for desk</w:t>
      </w:r>
      <w:r>
        <w:rPr>
          <w:rFonts w:ascii="Times New Roman" w:eastAsia="宋体" w:hAnsi="Times New Roman"/>
          <w:color w:val="000000"/>
          <w:sz w:val="20"/>
          <w:szCs w:val="20"/>
        </w:rPr>
        <w:t xml:space="preserve">tops, workstations, and notebooks, and lower shipment forecasts for these products due to a general lengthening of the replacement cycle. Any reduced demand for PC products or a significant increase in competition could cause operating income to fluctuate </w:t>
      </w:r>
      <w:r>
        <w:rPr>
          <w:rFonts w:ascii="Times New Roman" w:eastAsia="宋体" w:hAnsi="Times New Roman"/>
          <w:color w:val="000000"/>
          <w:sz w:val="20"/>
          <w:szCs w:val="20"/>
        </w:rPr>
        <w:t xml:space="preserve">and adversely impact CSG’s results of operations. </w:t>
      </w:r>
    </w:p>
    <w:p w14:paraId="7DCFCE60" w14:textId="77777777" w:rsidR="00C1563E" w:rsidRDefault="00C1563E"/>
    <w:p w14:paraId="7DCFCE61" w14:textId="77777777" w:rsidR="00C1563E" w:rsidRDefault="000B648B">
      <w:r>
        <w:rPr>
          <w:rFonts w:ascii="Times New Roman" w:eastAsia="宋体" w:hAnsi="Times New Roman"/>
          <w:color w:val="000000"/>
          <w:sz w:val="20"/>
          <w:szCs w:val="20"/>
        </w:rPr>
        <w:t>The success of the VMware business unit depends increasingly on customer acceptance of VMware’s newer products and services. VMware’s solutions are primarily based on server virtualization and related com</w:t>
      </w:r>
      <w:r>
        <w:rPr>
          <w:rFonts w:ascii="Times New Roman" w:eastAsia="宋体" w:hAnsi="Times New Roman"/>
          <w:color w:val="000000"/>
          <w:sz w:val="20"/>
          <w:szCs w:val="20"/>
        </w:rPr>
        <w:t>pute technologies used for virtualizing on-premises data center servers, which form the foundation for private cloud computing. As the market for server virtualization continues to mature, the rate of growth in license sales of products such as VMware’s vS</w:t>
      </w:r>
      <w:r>
        <w:rPr>
          <w:rFonts w:ascii="Times New Roman" w:eastAsia="宋体" w:hAnsi="Times New Roman"/>
          <w:color w:val="000000"/>
          <w:sz w:val="20"/>
          <w:szCs w:val="20"/>
        </w:rPr>
        <w:t>phere has declined. The VMware business unit has been increasingly directing its product development and marketing efforts toward products and services that enable businesses to utilize virtualization as the foundation for private, public, hybrid and multi</w:t>
      </w:r>
      <w:r>
        <w:rPr>
          <w:rFonts w:ascii="Times New Roman" w:eastAsia="宋体" w:hAnsi="Times New Roman"/>
          <w:color w:val="000000"/>
          <w:sz w:val="20"/>
          <w:szCs w:val="20"/>
        </w:rPr>
        <w:t>-cloud-based computing, and mobile computing. To the extent that VMware’s newer offerings are adopted by customers more slowly than the rate of decrease in revenue growth in the established server virtualization offerings, this segment’s revenue growth rat</w:t>
      </w:r>
      <w:r>
        <w:rPr>
          <w:rFonts w:ascii="Times New Roman" w:eastAsia="宋体" w:hAnsi="Times New Roman"/>
          <w:color w:val="000000"/>
          <w:sz w:val="20"/>
          <w:szCs w:val="20"/>
        </w:rPr>
        <w:t>es may slow materially or its revenue may decline, and VMware may fail to realize returns on its investments in new initiatives.</w:t>
      </w:r>
    </w:p>
    <w:p w14:paraId="7DCFCE62" w14:textId="77777777" w:rsidR="00C1563E" w:rsidRDefault="00C1563E"/>
    <w:p w14:paraId="7DCFCE63" w14:textId="77777777" w:rsidR="00C1563E" w:rsidRDefault="000B648B">
      <w:r>
        <w:rPr>
          <w:rFonts w:ascii="Times New Roman" w:eastAsia="宋体" w:hAnsi="Times New Roman"/>
          <w:b/>
          <w:bCs/>
          <w:color w:val="000000"/>
          <w:sz w:val="20"/>
          <w:szCs w:val="20"/>
        </w:rPr>
        <w:t xml:space="preserve">If our cost efficiency measures are not successful, we may become less competitive. </w:t>
      </w:r>
    </w:p>
    <w:p w14:paraId="7DCFCE64" w14:textId="77777777" w:rsidR="00C1563E" w:rsidRDefault="00C1563E"/>
    <w:p w14:paraId="7DCFCE65" w14:textId="77777777" w:rsidR="00C1563E" w:rsidRDefault="000B648B">
      <w:r>
        <w:rPr>
          <w:rFonts w:ascii="Times New Roman" w:eastAsia="宋体" w:hAnsi="Times New Roman"/>
          <w:color w:val="000000"/>
          <w:sz w:val="20"/>
          <w:szCs w:val="20"/>
        </w:rPr>
        <w:t>We continue to focus on minimizing operating expenses through cost improvements and simplification of our corporate structure. We may experience delays or unanticipated costs in implementing our cost efficiency plans, which could prevent the timely or full</w:t>
      </w:r>
      <w:r>
        <w:rPr>
          <w:rFonts w:ascii="Times New Roman" w:eastAsia="宋体" w:hAnsi="Times New Roman"/>
          <w:color w:val="000000"/>
          <w:sz w:val="20"/>
          <w:szCs w:val="20"/>
        </w:rPr>
        <w:t xml:space="preserve"> achievement of expected cost efficiencies and adversely affect our competitive position. </w:t>
      </w:r>
    </w:p>
    <w:p w14:paraId="7DCFCE66" w14:textId="77777777" w:rsidR="00C1563E" w:rsidRDefault="00C1563E"/>
    <w:p w14:paraId="7DCFCE67" w14:textId="77777777" w:rsidR="00C1563E" w:rsidRDefault="000B648B">
      <w:r>
        <w:rPr>
          <w:rFonts w:ascii="Times New Roman" w:eastAsia="宋体" w:hAnsi="Times New Roman"/>
          <w:b/>
          <w:bCs/>
          <w:color w:val="000000"/>
          <w:sz w:val="20"/>
          <w:szCs w:val="20"/>
        </w:rPr>
        <w:t>Our inability to manage solutions and product and services transitions in an effective manner could reduce the demand for our solutions, products, and services, and</w:t>
      </w:r>
      <w:r>
        <w:rPr>
          <w:rFonts w:ascii="Times New Roman" w:eastAsia="宋体" w:hAnsi="Times New Roman"/>
          <w:b/>
          <w:bCs/>
          <w:color w:val="000000"/>
          <w:sz w:val="20"/>
          <w:szCs w:val="20"/>
        </w:rPr>
        <w:t xml:space="preserve"> negatively affect the profitability of our operations. </w:t>
      </w:r>
    </w:p>
    <w:p w14:paraId="7DCFCE68" w14:textId="77777777" w:rsidR="00C1563E" w:rsidRDefault="00C1563E"/>
    <w:p w14:paraId="7DCFCE69" w14:textId="77777777" w:rsidR="00C1563E" w:rsidRDefault="000B648B">
      <w:r>
        <w:rPr>
          <w:rFonts w:ascii="Times New Roman" w:eastAsia="宋体" w:hAnsi="Times New Roman"/>
          <w:color w:val="000000"/>
          <w:sz w:val="20"/>
          <w:szCs w:val="20"/>
        </w:rPr>
        <w:t>Continuing improvements in technology result in the frequent introduction of new solutions, products, and services, improvements in product performance characteristics, and short product life cycles</w:t>
      </w:r>
      <w:r>
        <w:rPr>
          <w:rFonts w:ascii="Times New Roman" w:eastAsia="宋体" w:hAnsi="Times New Roman"/>
          <w:color w:val="000000"/>
          <w:sz w:val="20"/>
          <w:szCs w:val="20"/>
        </w:rPr>
        <w:t xml:space="preserve">. If we fail to manage effectively transitions to new solutions and offerings, the products and services associated with such offerings and customer demand for our solutions, products, and services could diminish, and our profitability could suffer. </w:t>
      </w:r>
    </w:p>
    <w:p w14:paraId="7DCFCE6A" w14:textId="77777777" w:rsidR="00C1563E" w:rsidRDefault="00C1563E"/>
    <w:p w14:paraId="7DCFCE6B" w14:textId="77777777" w:rsidR="00C1563E" w:rsidRDefault="000B648B">
      <w:r>
        <w:rPr>
          <w:rFonts w:ascii="Times New Roman" w:eastAsia="宋体" w:hAnsi="Times New Roman"/>
          <w:color w:val="000000"/>
          <w:sz w:val="20"/>
          <w:szCs w:val="20"/>
        </w:rPr>
        <w:t>We i</w:t>
      </w:r>
      <w:r>
        <w:rPr>
          <w:rFonts w:ascii="Times New Roman" w:eastAsia="宋体" w:hAnsi="Times New Roman"/>
          <w:color w:val="000000"/>
          <w:sz w:val="20"/>
          <w:szCs w:val="20"/>
        </w:rPr>
        <w:t>ncreasingly source new products and transition existing products through our contract manufacturers and manufacturing outsourcing relationships to generate cost efficiencies and better serve our customers. The success of product transitions depends on a nu</w:t>
      </w:r>
      <w:r>
        <w:rPr>
          <w:rFonts w:ascii="Times New Roman" w:eastAsia="宋体" w:hAnsi="Times New Roman"/>
          <w:color w:val="000000"/>
          <w:sz w:val="20"/>
          <w:szCs w:val="20"/>
        </w:rPr>
        <w:t xml:space="preserve">mber of factors, including the availability of sufficient quantities of components at attractive costs. Product </w:t>
      </w:r>
    </w:p>
    <w:p w14:paraId="7DCFCE6C" w14:textId="77777777" w:rsidR="00C1563E" w:rsidRDefault="00C1563E">
      <w:pPr>
        <w:jc w:val="center"/>
      </w:pPr>
    </w:p>
    <w:p w14:paraId="7DCFCE6D" w14:textId="77777777" w:rsidR="00C1563E" w:rsidRDefault="000B648B">
      <w:pPr>
        <w:jc w:val="center"/>
      </w:pPr>
      <w:r>
        <w:rPr>
          <w:rFonts w:ascii="Times New Roman" w:eastAsia="宋体" w:hAnsi="Times New Roman"/>
          <w:color w:val="000000"/>
          <w:sz w:val="20"/>
          <w:szCs w:val="20"/>
        </w:rPr>
        <w:t>19</w:t>
      </w:r>
    </w:p>
    <w:p w14:paraId="7DCFCE6E" w14:textId="77777777" w:rsidR="00C1563E" w:rsidRDefault="00C1563E">
      <w:pPr>
        <w:jc w:val="center"/>
      </w:pPr>
    </w:p>
    <w:p w14:paraId="7DCFCE6F" w14:textId="77777777" w:rsidR="00C1563E" w:rsidRDefault="000B648B">
      <w:r>
        <w:pict w14:anchorId="7DD02579">
          <v:rect id="_x0000_i1043" style="width:415.3pt;height:1.5pt" o:hralign="center" o:hrstd="t" o:hr="t" fillcolor="#a0a0a0" stroked="f"/>
        </w:pict>
      </w:r>
    </w:p>
    <w:p w14:paraId="7DCFCE70" w14:textId="77777777" w:rsidR="00C1563E" w:rsidRDefault="000B648B">
      <w:hyperlink r:id="rId94" w:anchor="i418e32e4a35149ffbf7d3a25d66881b8_10" w:history="1">
        <w:r>
          <w:rPr>
            <w:rStyle w:val="a5"/>
            <w:rFonts w:ascii="Times New Roman" w:eastAsia="宋体" w:hAnsi="Times New Roman"/>
            <w:sz w:val="20"/>
            <w:szCs w:val="20"/>
          </w:rPr>
          <w:t>Table of Contents</w:t>
        </w:r>
      </w:hyperlink>
    </w:p>
    <w:p w14:paraId="7DCFCE71" w14:textId="77777777" w:rsidR="00C1563E" w:rsidRDefault="000B648B">
      <w:r>
        <w:rPr>
          <w:rFonts w:ascii="Times New Roman" w:eastAsia="宋体" w:hAnsi="Times New Roman"/>
          <w:color w:val="000000"/>
          <w:sz w:val="20"/>
          <w:szCs w:val="20"/>
        </w:rPr>
        <w:t xml:space="preserve">transitions also present execution uncertainties and risks, including the risk that new or upgraded products may have quality problems or other defects. </w:t>
      </w:r>
    </w:p>
    <w:p w14:paraId="7DCFCE72" w14:textId="77777777" w:rsidR="00C1563E" w:rsidRDefault="00C1563E"/>
    <w:p w14:paraId="7DCFCE73" w14:textId="77777777" w:rsidR="00C1563E" w:rsidRDefault="000B648B">
      <w:r>
        <w:rPr>
          <w:rFonts w:ascii="Times New Roman" w:eastAsia="宋体" w:hAnsi="Times New Roman"/>
          <w:b/>
          <w:bCs/>
          <w:color w:val="000000"/>
          <w:sz w:val="20"/>
          <w:szCs w:val="20"/>
        </w:rPr>
        <w:t xml:space="preserve">Failure to deliver high-quality products, software, and services </w:t>
      </w:r>
      <w:r>
        <w:rPr>
          <w:rFonts w:ascii="Times New Roman" w:eastAsia="宋体" w:hAnsi="Times New Roman"/>
          <w:b/>
          <w:bCs/>
          <w:color w:val="000000"/>
          <w:sz w:val="20"/>
          <w:szCs w:val="20"/>
        </w:rPr>
        <w:t xml:space="preserve">could lead to loss of customers and diminished profitability. </w:t>
      </w:r>
    </w:p>
    <w:p w14:paraId="7DCFCE74" w14:textId="77777777" w:rsidR="00C1563E" w:rsidRDefault="00C1563E"/>
    <w:p w14:paraId="7DCFCE75" w14:textId="77777777" w:rsidR="00C1563E" w:rsidRDefault="000B648B">
      <w:r>
        <w:rPr>
          <w:rFonts w:ascii="Times New Roman" w:eastAsia="宋体" w:hAnsi="Times New Roman"/>
          <w:color w:val="000000"/>
          <w:sz w:val="20"/>
          <w:szCs w:val="20"/>
        </w:rPr>
        <w:t xml:space="preserve">We must identify and address quality issues associated with its products, software, and services, many of which include third-party components. Although quality testing is performed regularly </w:t>
      </w:r>
      <w:r>
        <w:rPr>
          <w:rFonts w:ascii="Times New Roman" w:eastAsia="宋体" w:hAnsi="Times New Roman"/>
          <w:color w:val="000000"/>
          <w:sz w:val="20"/>
          <w:szCs w:val="20"/>
        </w:rPr>
        <w:t>to detect quality problems and implement required solutions, failure to identify and correct significant product quality issues before the sale of such products to customers could result in lower sales, increased warranty or replacement expenses, and reduc</w:t>
      </w:r>
      <w:r>
        <w:rPr>
          <w:rFonts w:ascii="Times New Roman" w:eastAsia="宋体" w:hAnsi="Times New Roman"/>
          <w:color w:val="000000"/>
          <w:sz w:val="20"/>
          <w:szCs w:val="20"/>
        </w:rPr>
        <w:t xml:space="preserve">ed customer confidence, which could harm our operating results. </w:t>
      </w:r>
    </w:p>
    <w:p w14:paraId="7DCFCE76" w14:textId="77777777" w:rsidR="00C1563E" w:rsidRDefault="00C1563E"/>
    <w:p w14:paraId="7DCFCE77" w14:textId="77777777" w:rsidR="00C1563E" w:rsidRDefault="000B648B">
      <w:r>
        <w:rPr>
          <w:rFonts w:ascii="Times New Roman" w:eastAsia="宋体" w:hAnsi="Times New Roman"/>
          <w:b/>
          <w:bCs/>
          <w:color w:val="000000"/>
          <w:sz w:val="20"/>
          <w:szCs w:val="20"/>
        </w:rPr>
        <w:t>Cyber attacks or other security incidents that disrupt our operations or result in the breach or other compromise of proprietary or confidential information about us or our workforce, custom</w:t>
      </w:r>
      <w:r>
        <w:rPr>
          <w:rFonts w:ascii="Times New Roman" w:eastAsia="宋体" w:hAnsi="Times New Roman"/>
          <w:b/>
          <w:bCs/>
          <w:color w:val="000000"/>
          <w:sz w:val="20"/>
          <w:szCs w:val="20"/>
        </w:rPr>
        <w:t>ers, or other third parties could disrupt our business, harm our reputation, cause us to lose clients and expose us to costly regulatory enforcement and litigation.</w:t>
      </w:r>
    </w:p>
    <w:p w14:paraId="7DCFCE78" w14:textId="77777777" w:rsidR="00C1563E" w:rsidRDefault="00C1563E"/>
    <w:p w14:paraId="7DCFCE79" w14:textId="77777777" w:rsidR="00C1563E" w:rsidRDefault="000B648B">
      <w:r>
        <w:rPr>
          <w:rFonts w:ascii="Times New Roman" w:eastAsia="宋体" w:hAnsi="Times New Roman"/>
          <w:color w:val="000000"/>
          <w:sz w:val="20"/>
          <w:szCs w:val="20"/>
        </w:rPr>
        <w:t>We routinely manage, store, transmit and otherwise process large amounts of proprietary in</w:t>
      </w:r>
      <w:r>
        <w:rPr>
          <w:rFonts w:ascii="Times New Roman" w:eastAsia="宋体" w:hAnsi="Times New Roman"/>
          <w:color w:val="000000"/>
          <w:sz w:val="20"/>
          <w:szCs w:val="20"/>
        </w:rPr>
        <w:t xml:space="preserve">formation and confidential data, including sensitive and personally identifiable information, relating to our operations and our customers. We face numerous and evolving cyber risks of increasing scale and volume. </w:t>
      </w:r>
    </w:p>
    <w:p w14:paraId="7DCFCE7A" w14:textId="77777777" w:rsidR="00C1563E" w:rsidRDefault="00C1563E"/>
    <w:p w14:paraId="7DCFCE7B" w14:textId="77777777" w:rsidR="00C1563E" w:rsidRDefault="000B648B">
      <w:r>
        <w:rPr>
          <w:rFonts w:ascii="Times New Roman" w:eastAsia="宋体" w:hAnsi="Times New Roman"/>
          <w:color w:val="000000"/>
          <w:sz w:val="20"/>
          <w:szCs w:val="20"/>
        </w:rPr>
        <w:t>Despite our internal controls and signif</w:t>
      </w:r>
      <w:r>
        <w:rPr>
          <w:rFonts w:ascii="Times New Roman" w:eastAsia="宋体" w:hAnsi="Times New Roman"/>
          <w:color w:val="000000"/>
          <w:sz w:val="20"/>
          <w:szCs w:val="20"/>
        </w:rPr>
        <w:t>icant investment in security measures, criminal or other unauthorized threat actors, including nation states or state-sponsored organizations, may be able to penetrate our security measures, breach our information technology systems, misappropriate or comp</w:t>
      </w:r>
      <w:r>
        <w:rPr>
          <w:rFonts w:ascii="Times New Roman" w:eastAsia="宋体" w:hAnsi="Times New Roman"/>
          <w:color w:val="000000"/>
          <w:sz w:val="20"/>
          <w:szCs w:val="20"/>
        </w:rPr>
        <w:t xml:space="preserve">romise confidential and proprietary information of our company and our customers, cause system disruptions and shutdowns, or introduce ransomware, malware, or vulnerabilities into our products, systems, and networks or those of our customers and partners. </w:t>
      </w:r>
      <w:r>
        <w:rPr>
          <w:rFonts w:ascii="Times New Roman" w:eastAsia="宋体" w:hAnsi="Times New Roman"/>
          <w:color w:val="000000"/>
          <w:sz w:val="20"/>
          <w:szCs w:val="20"/>
        </w:rPr>
        <w:t>Employees, contractors, or other insiders may introduce vulnerabilities into our environments or otherwise may seek to misappropriate our intellectual property and proprietary information. Hardware and operating system software and applications that we pro</w:t>
      </w:r>
      <w:r>
        <w:rPr>
          <w:rFonts w:ascii="Times New Roman" w:eastAsia="宋体" w:hAnsi="Times New Roman"/>
          <w:color w:val="000000"/>
          <w:sz w:val="20"/>
          <w:szCs w:val="20"/>
        </w:rPr>
        <w:t>duce or procure from third parties may contain defects in design or manufacture or other problems that unexpectedly could interfere with the operation of our products. The shift to work-from-home arrangements resulting from the COVID-19 pandemic may also i</w:t>
      </w:r>
      <w:r>
        <w:rPr>
          <w:rFonts w:ascii="Times New Roman" w:eastAsia="宋体" w:hAnsi="Times New Roman"/>
          <w:color w:val="000000"/>
          <w:sz w:val="20"/>
          <w:szCs w:val="20"/>
        </w:rPr>
        <w:t>ncrease our vulnerability, as employees and contractors of our company and third-party providers are working remotely and using home networks that may pose a significant risk to network security. In the past, we have experienced security incidents, includi</w:t>
      </w:r>
      <w:r>
        <w:rPr>
          <w:rFonts w:ascii="Times New Roman" w:eastAsia="宋体" w:hAnsi="Times New Roman"/>
          <w:color w:val="000000"/>
          <w:sz w:val="20"/>
          <w:szCs w:val="20"/>
        </w:rPr>
        <w:t xml:space="preserve">ng the unauthorized activity on our network attempting to extract Dell.com customer information we disclosed in November 2018. </w:t>
      </w:r>
    </w:p>
    <w:p w14:paraId="7DCFCE7C" w14:textId="77777777" w:rsidR="00C1563E" w:rsidRDefault="00C1563E"/>
    <w:p w14:paraId="7DCFCE7D" w14:textId="77777777" w:rsidR="00C1563E" w:rsidRDefault="000B648B">
      <w:r>
        <w:rPr>
          <w:rFonts w:ascii="Times New Roman" w:eastAsia="宋体" w:hAnsi="Times New Roman"/>
          <w:color w:val="000000"/>
          <w:sz w:val="20"/>
          <w:szCs w:val="20"/>
        </w:rPr>
        <w:t>The costs to address cyber risks, both before and after a security incident, could be significant, regardless of whether incide</w:t>
      </w:r>
      <w:r>
        <w:rPr>
          <w:rFonts w:ascii="Times New Roman" w:eastAsia="宋体" w:hAnsi="Times New Roman"/>
          <w:color w:val="000000"/>
          <w:sz w:val="20"/>
          <w:szCs w:val="20"/>
        </w:rPr>
        <w:t xml:space="preserve">nts result from an attack on us directly or on third-party vendors upon which we rely. Cyberattacks could compromise our internal systems and products and the systems of our customers, resulting in interruptions, delays, or cessation of service that could </w:t>
      </w:r>
      <w:r>
        <w:rPr>
          <w:rFonts w:ascii="Times New Roman" w:eastAsia="宋体" w:hAnsi="Times New Roman"/>
          <w:color w:val="000000"/>
          <w:sz w:val="20"/>
          <w:szCs w:val="20"/>
        </w:rPr>
        <w:t>disrupt business operations for us and our customers. Our remediation efforts may not be successful or timely. Any actual or perceived security vulnerabilities in our products or services, or those of third parties we sell, could lead to loss of existing o</w:t>
      </w:r>
      <w:r>
        <w:rPr>
          <w:rFonts w:ascii="Times New Roman" w:eastAsia="宋体" w:hAnsi="Times New Roman"/>
          <w:color w:val="000000"/>
          <w:sz w:val="20"/>
          <w:szCs w:val="20"/>
        </w:rPr>
        <w:t>r potential customers, and may impede our sales, manufacturing, distribution, outsourcing services, information technology solutions, and other critical functions and offerings. In addition, breaches of our security measures and the unapproved disseminatio</w:t>
      </w:r>
      <w:r>
        <w:rPr>
          <w:rFonts w:ascii="Times New Roman" w:eastAsia="宋体" w:hAnsi="Times New Roman"/>
          <w:color w:val="000000"/>
          <w:sz w:val="20"/>
          <w:szCs w:val="20"/>
        </w:rPr>
        <w:t>n of proprietary information or sensitive or confidential data about us, our customers, or other third parties could impair our intellectual property rights and expose us, our customers, or such other third parties to a risk of loss or misuse of such infor</w:t>
      </w:r>
      <w:r>
        <w:rPr>
          <w:rFonts w:ascii="Times New Roman" w:eastAsia="宋体" w:hAnsi="Times New Roman"/>
          <w:color w:val="000000"/>
          <w:sz w:val="20"/>
          <w:szCs w:val="20"/>
        </w:rPr>
        <w:t xml:space="preserve">mation or data. Any such incidents could also subject us to government investigations and regulatory enforcement actions, litigation, potential liability, damage our brand and reputation, or otherwise harm our business and operations. </w:t>
      </w:r>
    </w:p>
    <w:p w14:paraId="7DCFCE7E" w14:textId="77777777" w:rsidR="00C1563E" w:rsidRDefault="00C1563E"/>
    <w:p w14:paraId="7DCFCE7F" w14:textId="77777777" w:rsidR="00C1563E" w:rsidRDefault="000B648B">
      <w:r>
        <w:rPr>
          <w:rFonts w:ascii="Times New Roman" w:eastAsia="宋体" w:hAnsi="Times New Roman"/>
          <w:color w:val="000000"/>
          <w:sz w:val="20"/>
          <w:szCs w:val="20"/>
        </w:rPr>
        <w:t>As a global enterpr</w:t>
      </w:r>
      <w:r>
        <w:rPr>
          <w:rFonts w:ascii="Times New Roman" w:eastAsia="宋体" w:hAnsi="Times New Roman"/>
          <w:color w:val="000000"/>
          <w:sz w:val="20"/>
          <w:szCs w:val="20"/>
        </w:rPr>
        <w:t>ise, we are subject to laws and regulations in the United States and other countries relating to the collection, use, and protection of customer and other data. Our ability to execute transactions and to process and use personal information and data in the</w:t>
      </w:r>
      <w:r>
        <w:rPr>
          <w:rFonts w:ascii="Times New Roman" w:eastAsia="宋体" w:hAnsi="Times New Roman"/>
          <w:color w:val="000000"/>
          <w:sz w:val="20"/>
          <w:szCs w:val="20"/>
        </w:rPr>
        <w:t xml:space="preserve"> conduct of our business subjects us to compliance with applicable laws and regulations and may require us to notify regulators, customers, employees, or other individuals or entities of a security incident or data or privacy breach. We continue to incur s</w:t>
      </w:r>
      <w:r>
        <w:rPr>
          <w:rFonts w:ascii="Times New Roman" w:eastAsia="宋体" w:hAnsi="Times New Roman"/>
          <w:color w:val="000000"/>
          <w:sz w:val="20"/>
          <w:szCs w:val="20"/>
        </w:rPr>
        <w:t>ignificant expenditures to comply with mandatory privacy and security requirements and controls imposed by law, regulation, industry standards, and contractual obligations. Despite such expenditures, we may face regulatory and other legal actions, includin</w:t>
      </w:r>
      <w:r>
        <w:rPr>
          <w:rFonts w:ascii="Times New Roman" w:eastAsia="宋体" w:hAnsi="Times New Roman"/>
          <w:color w:val="000000"/>
          <w:sz w:val="20"/>
          <w:szCs w:val="20"/>
        </w:rPr>
        <w:t>g potential liability, in the event of a security incident or data or privacy breach or perceived or actual non-compliance with such requirements and controls.</w:t>
      </w:r>
    </w:p>
    <w:p w14:paraId="7DCFCE80" w14:textId="77777777" w:rsidR="00C1563E" w:rsidRDefault="00C1563E"/>
    <w:p w14:paraId="7DCFCE81" w14:textId="77777777" w:rsidR="00C1563E" w:rsidRDefault="00C1563E">
      <w:pPr>
        <w:jc w:val="center"/>
      </w:pPr>
    </w:p>
    <w:p w14:paraId="7DCFCE82" w14:textId="77777777" w:rsidR="00C1563E" w:rsidRDefault="000B648B">
      <w:pPr>
        <w:jc w:val="center"/>
      </w:pPr>
      <w:r>
        <w:rPr>
          <w:rFonts w:ascii="Times New Roman" w:eastAsia="宋体" w:hAnsi="Times New Roman"/>
          <w:color w:val="000000"/>
          <w:sz w:val="20"/>
          <w:szCs w:val="20"/>
        </w:rPr>
        <w:t>20</w:t>
      </w:r>
    </w:p>
    <w:p w14:paraId="7DCFCE83" w14:textId="77777777" w:rsidR="00C1563E" w:rsidRDefault="00C1563E">
      <w:pPr>
        <w:jc w:val="center"/>
      </w:pPr>
    </w:p>
    <w:p w14:paraId="7DCFCE84" w14:textId="77777777" w:rsidR="00C1563E" w:rsidRDefault="000B648B">
      <w:r>
        <w:pict w14:anchorId="7DD0257A">
          <v:rect id="_x0000_i1044" style="width:415.3pt;height:1.5pt" o:hralign="center" o:hrstd="t" o:hr="t" fillcolor="#a0a0a0" stroked="f"/>
        </w:pict>
      </w:r>
    </w:p>
    <w:p w14:paraId="7DCFCE85" w14:textId="77777777" w:rsidR="00C1563E" w:rsidRDefault="000B648B">
      <w:hyperlink r:id="rId95" w:anchor="i418e32e4a35149ffbf7d3a25d66881b8_10" w:history="1">
        <w:r>
          <w:rPr>
            <w:rStyle w:val="a5"/>
            <w:rFonts w:ascii="Times New Roman" w:eastAsia="宋体" w:hAnsi="Times New Roman"/>
            <w:sz w:val="20"/>
            <w:szCs w:val="20"/>
          </w:rPr>
          <w:t>Table of Contents</w:t>
        </w:r>
      </w:hyperlink>
    </w:p>
    <w:p w14:paraId="7DCFCE86" w14:textId="77777777" w:rsidR="00C1563E" w:rsidRDefault="000B648B">
      <w:r>
        <w:rPr>
          <w:rFonts w:ascii="Times New Roman" w:eastAsia="宋体" w:hAnsi="Times New Roman"/>
          <w:b/>
          <w:bCs/>
          <w:color w:val="000000"/>
          <w:sz w:val="20"/>
          <w:szCs w:val="20"/>
        </w:rPr>
        <w:t>We may not successfully implement our acquisition strategy, which could result in un</w:t>
      </w:r>
      <w:r>
        <w:rPr>
          <w:rFonts w:ascii="Times New Roman" w:eastAsia="宋体" w:hAnsi="Times New Roman"/>
          <w:b/>
          <w:bCs/>
          <w:color w:val="000000"/>
          <w:sz w:val="20"/>
          <w:szCs w:val="20"/>
        </w:rPr>
        <w:t>foreseen operating difficulties and increased costs.</w:t>
      </w:r>
    </w:p>
    <w:p w14:paraId="7DCFCE87" w14:textId="77777777" w:rsidR="00C1563E" w:rsidRDefault="00C1563E"/>
    <w:p w14:paraId="7DCFCE88" w14:textId="77777777" w:rsidR="00C1563E" w:rsidRDefault="000B648B">
      <w:r>
        <w:rPr>
          <w:rFonts w:ascii="Times New Roman" w:eastAsia="宋体" w:hAnsi="Times New Roman"/>
          <w:color w:val="000000"/>
          <w:sz w:val="20"/>
          <w:szCs w:val="20"/>
        </w:rPr>
        <w:t>We make strategic acquisitions of other companies as part of our growth strategy. We could experience unforeseen operating difficulties in integrating the businesses, technologies, services, products, p</w:t>
      </w:r>
      <w:r>
        <w:rPr>
          <w:rFonts w:ascii="Times New Roman" w:eastAsia="宋体" w:hAnsi="Times New Roman"/>
          <w:color w:val="000000"/>
          <w:sz w:val="20"/>
          <w:szCs w:val="20"/>
        </w:rPr>
        <w:t>ersonnel, or operations of acquired companies, especially if we are unable to retain the key personnel of an acquired company. Further, future acquisitions may result in a delay or reduction of sales for both us and the acquired company because of customer</w:t>
      </w:r>
      <w:r>
        <w:rPr>
          <w:rFonts w:ascii="Times New Roman" w:eastAsia="宋体" w:hAnsi="Times New Roman"/>
          <w:color w:val="000000"/>
          <w:sz w:val="20"/>
          <w:szCs w:val="20"/>
        </w:rPr>
        <w:t xml:space="preserve"> uncertainty about the continuity and effectiveness of solutions offered by either company and may disrupt our existing business by diverting resources and significant management attention that otherwise would be focused on development of the existing busi</w:t>
      </w:r>
      <w:r>
        <w:rPr>
          <w:rFonts w:ascii="Times New Roman" w:eastAsia="宋体" w:hAnsi="Times New Roman"/>
          <w:color w:val="000000"/>
          <w:sz w:val="20"/>
          <w:szCs w:val="20"/>
        </w:rPr>
        <w:t>ness. Acquisitions also may negatively affect our relationships with strategic partners if the acquisitions are seen as bringing us into competition with such partners.</w:t>
      </w:r>
    </w:p>
    <w:p w14:paraId="7DCFCE89" w14:textId="77777777" w:rsidR="00C1563E" w:rsidRDefault="00C1563E"/>
    <w:p w14:paraId="7DCFCE8A" w14:textId="77777777" w:rsidR="00C1563E" w:rsidRDefault="000B648B">
      <w:r>
        <w:rPr>
          <w:rFonts w:ascii="Times New Roman" w:eastAsia="宋体" w:hAnsi="Times New Roman"/>
          <w:color w:val="000000"/>
          <w:sz w:val="20"/>
          <w:szCs w:val="20"/>
        </w:rPr>
        <w:t>To complete an acquisition, we may be required to use substantial amounts of cash, eng</w:t>
      </w:r>
      <w:r>
        <w:rPr>
          <w:rFonts w:ascii="Times New Roman" w:eastAsia="宋体" w:hAnsi="Times New Roman"/>
          <w:color w:val="000000"/>
          <w:sz w:val="20"/>
          <w:szCs w:val="20"/>
        </w:rPr>
        <w:t>age in equity or debt financings, or enter into credit agreements to secure additional funds. Such debt financings could involve restrictive covenants that might limit our capital-raising activities and operating flexibility. Further, an acquisition may ne</w:t>
      </w:r>
      <w:r>
        <w:rPr>
          <w:rFonts w:ascii="Times New Roman" w:eastAsia="宋体" w:hAnsi="Times New Roman"/>
          <w:color w:val="000000"/>
          <w:sz w:val="20"/>
          <w:szCs w:val="20"/>
        </w:rPr>
        <w:t>gatively affect our results of operations because it may expose us to unexpected liabilities, require the incurrence of charges and substantial indebtedness or other liabilities, have adverse tax consequences, result in acquired in-process research and dev</w:t>
      </w:r>
      <w:r>
        <w:rPr>
          <w:rFonts w:ascii="Times New Roman" w:eastAsia="宋体" w:hAnsi="Times New Roman"/>
          <w:color w:val="000000"/>
          <w:sz w:val="20"/>
          <w:szCs w:val="20"/>
        </w:rPr>
        <w:t>elopment expenses, or in the future require the amortization, write-down, or impairment of amounts related to deferred compensation, goodwill, and other intangible assets, or fail to generate a financial return sufficient to offset acquisition costs.</w:t>
      </w:r>
    </w:p>
    <w:p w14:paraId="7DCFCE8B" w14:textId="77777777" w:rsidR="00C1563E" w:rsidRDefault="00C1563E"/>
    <w:p w14:paraId="7DCFCE8C" w14:textId="77777777" w:rsidR="00C1563E" w:rsidRDefault="000B648B">
      <w:r>
        <w:rPr>
          <w:rFonts w:ascii="Times New Roman" w:eastAsia="宋体" w:hAnsi="Times New Roman"/>
          <w:color w:val="000000"/>
          <w:sz w:val="20"/>
          <w:szCs w:val="20"/>
        </w:rPr>
        <w:t>In a</w:t>
      </w:r>
      <w:r>
        <w:rPr>
          <w:rFonts w:ascii="Times New Roman" w:eastAsia="宋体" w:hAnsi="Times New Roman"/>
          <w:color w:val="000000"/>
          <w:sz w:val="20"/>
          <w:szCs w:val="20"/>
        </w:rPr>
        <w:t>ddition, we periodically divest businesses, including businesses that are no longer a part of our strategic plan. These divestitures similarly require significant investment of time and resources, may disrupt our business and distract management from other</w:t>
      </w:r>
      <w:r>
        <w:rPr>
          <w:rFonts w:ascii="Times New Roman" w:eastAsia="宋体" w:hAnsi="Times New Roman"/>
          <w:color w:val="000000"/>
          <w:sz w:val="20"/>
          <w:szCs w:val="20"/>
        </w:rPr>
        <w:t xml:space="preserve"> responsibilities, and may result in losses on disposition or continued financial involvement in the divested business, including through indemnification or other financial arrangements, for a period following the transaction, which could adversely affect </w:t>
      </w:r>
      <w:r>
        <w:rPr>
          <w:rFonts w:ascii="Times New Roman" w:eastAsia="宋体" w:hAnsi="Times New Roman"/>
          <w:color w:val="000000"/>
          <w:sz w:val="20"/>
          <w:szCs w:val="20"/>
        </w:rPr>
        <w:t>our financial results.</w:t>
      </w:r>
    </w:p>
    <w:p w14:paraId="7DCFCE8D" w14:textId="77777777" w:rsidR="00C1563E" w:rsidRDefault="00C1563E"/>
    <w:p w14:paraId="7DCFCE8E" w14:textId="77777777" w:rsidR="00C1563E" w:rsidRDefault="000B648B">
      <w:r>
        <w:rPr>
          <w:rFonts w:ascii="Times New Roman" w:eastAsia="宋体" w:hAnsi="Times New Roman"/>
          <w:b/>
          <w:bCs/>
          <w:color w:val="000000"/>
          <w:sz w:val="20"/>
          <w:szCs w:val="20"/>
        </w:rPr>
        <w:t xml:space="preserve">Our ability to generate substantial non-U.S. net revenue is subject to additional risks and uncertainties. </w:t>
      </w:r>
    </w:p>
    <w:p w14:paraId="7DCFCE8F" w14:textId="77777777" w:rsidR="00C1563E" w:rsidRDefault="00C1563E"/>
    <w:p w14:paraId="7DCFCE90" w14:textId="77777777" w:rsidR="00C1563E" w:rsidRDefault="000B648B">
      <w:r>
        <w:rPr>
          <w:rFonts w:ascii="Times New Roman" w:eastAsia="宋体" w:hAnsi="Times New Roman"/>
          <w:color w:val="000000"/>
          <w:sz w:val="20"/>
          <w:szCs w:val="20"/>
        </w:rPr>
        <w:t>Sales outside the United States accounted for approximately half of our consolidated net revenue for Fiscal 2021. Our futur</w:t>
      </w:r>
      <w:r>
        <w:rPr>
          <w:rFonts w:ascii="Times New Roman" w:eastAsia="宋体" w:hAnsi="Times New Roman"/>
          <w:color w:val="000000"/>
          <w:sz w:val="20"/>
          <w:szCs w:val="20"/>
        </w:rPr>
        <w:t>e growth rates and success are substantially dependent on the continued growth of our business outside of the United States. Our international operations face many risks and uncertainties, including varied local economic and labor conditions; political ins</w:t>
      </w:r>
      <w:r>
        <w:rPr>
          <w:rFonts w:ascii="Times New Roman" w:eastAsia="宋体" w:hAnsi="Times New Roman"/>
          <w:color w:val="000000"/>
          <w:sz w:val="20"/>
          <w:szCs w:val="20"/>
        </w:rPr>
        <w:t>tability; public health issues; changes in the U.S. and international regulatory environments; the impacts of trade protection measures, including increases in tariffs and trade barriers due to the current geopolitical climate and changes and instability i</w:t>
      </w:r>
      <w:r>
        <w:rPr>
          <w:rFonts w:ascii="Times New Roman" w:eastAsia="宋体" w:hAnsi="Times New Roman"/>
          <w:color w:val="000000"/>
          <w:sz w:val="20"/>
          <w:szCs w:val="20"/>
        </w:rPr>
        <w:t>n government policies and international trade arrangements, which could adversely affect our ability to conduct business in non-U.S. markets; tax laws (including U.S. taxes on foreign operations); potential theft or other compromise of our technology, data</w:t>
      </w:r>
      <w:r>
        <w:rPr>
          <w:rFonts w:ascii="Times New Roman" w:eastAsia="宋体" w:hAnsi="Times New Roman"/>
          <w:color w:val="000000"/>
          <w:sz w:val="20"/>
          <w:szCs w:val="20"/>
        </w:rPr>
        <w:t xml:space="preserve">, or intellectual property; copyright levies; and foreign currency exchange rates. Our international operations could suffer as a result of the withdrawal of the United Kingdom from the European Union, commonly referred to as Brexit, including as a result </w:t>
      </w:r>
      <w:r>
        <w:rPr>
          <w:rFonts w:ascii="Times New Roman" w:eastAsia="宋体" w:hAnsi="Times New Roman"/>
          <w:color w:val="000000"/>
          <w:sz w:val="20"/>
          <w:szCs w:val="20"/>
        </w:rPr>
        <w:t>of modification of trade, immigration, and commercial regulation. We could incur additional operating costs, or sustain supply chain disruptions, due to any such changes. Any of these factors could negatively affect our international business results and g</w:t>
      </w:r>
      <w:r>
        <w:rPr>
          <w:rFonts w:ascii="Times New Roman" w:eastAsia="宋体" w:hAnsi="Times New Roman"/>
          <w:color w:val="000000"/>
          <w:sz w:val="20"/>
          <w:szCs w:val="20"/>
        </w:rPr>
        <w:t xml:space="preserve">rowth prospects. </w:t>
      </w:r>
    </w:p>
    <w:p w14:paraId="7DCFCE91" w14:textId="77777777" w:rsidR="00C1563E" w:rsidRDefault="00C1563E"/>
    <w:p w14:paraId="7DCFCE92" w14:textId="77777777" w:rsidR="00C1563E" w:rsidRDefault="000B648B">
      <w:r>
        <w:rPr>
          <w:rFonts w:ascii="Times New Roman" w:eastAsia="宋体" w:hAnsi="Times New Roman"/>
          <w:b/>
          <w:bCs/>
          <w:color w:val="000000"/>
          <w:sz w:val="20"/>
          <w:szCs w:val="20"/>
        </w:rPr>
        <w:t xml:space="preserve">Our profitability may be adversely affected by changes in the mix of products and services, customers, or geographic sales, and by seasonal sales trends. </w:t>
      </w:r>
    </w:p>
    <w:p w14:paraId="7DCFCE93" w14:textId="77777777" w:rsidR="00C1563E" w:rsidRDefault="00C1563E"/>
    <w:p w14:paraId="7DCFCE94" w14:textId="77777777" w:rsidR="00C1563E" w:rsidRDefault="000B648B">
      <w:r>
        <w:rPr>
          <w:rFonts w:ascii="Times New Roman" w:eastAsia="宋体" w:hAnsi="Times New Roman"/>
          <w:color w:val="000000"/>
          <w:sz w:val="20"/>
          <w:szCs w:val="20"/>
        </w:rPr>
        <w:t xml:space="preserve">Our overall profitability for any period may be adversely affected by changes in </w:t>
      </w:r>
      <w:r>
        <w:rPr>
          <w:rFonts w:ascii="Times New Roman" w:eastAsia="宋体" w:hAnsi="Times New Roman"/>
          <w:color w:val="000000"/>
          <w:sz w:val="20"/>
          <w:szCs w:val="20"/>
        </w:rPr>
        <w:t>the mix of products and services, customers, or geographic markets reflected in sales for that period, and by seasonal trends. Profit margins vary among products, services, customers, and geographic markets. For example, services offerings generally have a</w:t>
      </w:r>
      <w:r>
        <w:rPr>
          <w:rFonts w:ascii="Times New Roman" w:eastAsia="宋体" w:hAnsi="Times New Roman"/>
          <w:color w:val="000000"/>
          <w:sz w:val="20"/>
          <w:szCs w:val="20"/>
        </w:rPr>
        <w:t xml:space="preserve"> higher profit margin than consumer products. In addition, parts of our business are subject to seasonal sales trends. Among the trends with the most significant impact on our operating results, sales to government customers (particularly the U.S. federal </w:t>
      </w:r>
      <w:r>
        <w:rPr>
          <w:rFonts w:ascii="Times New Roman" w:eastAsia="宋体" w:hAnsi="Times New Roman"/>
          <w:color w:val="000000"/>
          <w:sz w:val="20"/>
          <w:szCs w:val="20"/>
        </w:rPr>
        <w:t xml:space="preserve">government) generally are stronger in our third fiscal quarter, sales in Europe, the Middle East and Africa are often weaker in our third fiscal quarter, and sales to consumers are typically strongest during our fourth fiscal quarter. </w:t>
      </w:r>
    </w:p>
    <w:p w14:paraId="7DCFCE95" w14:textId="77777777" w:rsidR="00C1563E" w:rsidRDefault="00C1563E"/>
    <w:p w14:paraId="7DCFCE96" w14:textId="77777777" w:rsidR="00C1563E" w:rsidRDefault="00C1563E"/>
    <w:p w14:paraId="7DCFCE97" w14:textId="77777777" w:rsidR="00C1563E" w:rsidRDefault="00C1563E">
      <w:pPr>
        <w:jc w:val="center"/>
      </w:pPr>
    </w:p>
    <w:p w14:paraId="7DCFCE98" w14:textId="77777777" w:rsidR="00C1563E" w:rsidRDefault="000B648B">
      <w:pPr>
        <w:jc w:val="center"/>
      </w:pPr>
      <w:r>
        <w:rPr>
          <w:rFonts w:ascii="Times New Roman" w:eastAsia="宋体" w:hAnsi="Times New Roman"/>
          <w:color w:val="000000"/>
          <w:sz w:val="20"/>
          <w:szCs w:val="20"/>
        </w:rPr>
        <w:t>21</w:t>
      </w:r>
    </w:p>
    <w:p w14:paraId="7DCFCE99" w14:textId="77777777" w:rsidR="00C1563E" w:rsidRDefault="00C1563E">
      <w:pPr>
        <w:jc w:val="center"/>
      </w:pPr>
    </w:p>
    <w:p w14:paraId="7DCFCE9A" w14:textId="77777777" w:rsidR="00C1563E" w:rsidRDefault="000B648B">
      <w:r>
        <w:pict w14:anchorId="7DD0257B">
          <v:rect id="_x0000_i1045" style="width:415.3pt;height:1.5pt" o:hralign="center" o:hrstd="t" o:hr="t" fillcolor="#a0a0a0" stroked="f"/>
        </w:pict>
      </w:r>
    </w:p>
    <w:p w14:paraId="7DCFCE9B" w14:textId="77777777" w:rsidR="00C1563E" w:rsidRDefault="000B648B">
      <w:hyperlink r:id="rId96" w:anchor="i418e32e4a35149ffbf7d3a25d66881b8_10" w:history="1">
        <w:r>
          <w:rPr>
            <w:rStyle w:val="a5"/>
            <w:rFonts w:ascii="Times New Roman" w:eastAsia="宋体" w:hAnsi="Times New Roman"/>
            <w:sz w:val="20"/>
            <w:szCs w:val="20"/>
          </w:rPr>
          <w:t>Table of Contents</w:t>
        </w:r>
      </w:hyperlink>
    </w:p>
    <w:p w14:paraId="7DCFCE9C" w14:textId="77777777" w:rsidR="00C1563E" w:rsidRDefault="000B648B">
      <w:r>
        <w:rPr>
          <w:rFonts w:ascii="Times New Roman" w:eastAsia="宋体" w:hAnsi="Times New Roman"/>
          <w:b/>
          <w:bCs/>
          <w:color w:val="000000"/>
          <w:sz w:val="20"/>
          <w:szCs w:val="20"/>
        </w:rPr>
        <w:t xml:space="preserve">We may lose revenue opportunities and experience gross margin pressure if sales channel participants fail to perform as expected. </w:t>
      </w:r>
    </w:p>
    <w:p w14:paraId="7DCFCE9D" w14:textId="77777777" w:rsidR="00C1563E" w:rsidRDefault="00C1563E"/>
    <w:p w14:paraId="7DCFCE9E" w14:textId="77777777" w:rsidR="00C1563E" w:rsidRDefault="000B648B">
      <w:r>
        <w:rPr>
          <w:rFonts w:ascii="Times New Roman" w:eastAsia="宋体" w:hAnsi="Times New Roman"/>
          <w:color w:val="000000"/>
          <w:sz w:val="20"/>
          <w:szCs w:val="20"/>
        </w:rPr>
        <w:t>We rely on value-added resellers, system integrators, distributors, and retailers as sales channels to complement our direct</w:t>
      </w:r>
      <w:r>
        <w:rPr>
          <w:rFonts w:ascii="Times New Roman" w:eastAsia="宋体" w:hAnsi="Times New Roman"/>
          <w:color w:val="000000"/>
          <w:sz w:val="20"/>
          <w:szCs w:val="20"/>
        </w:rPr>
        <w:t xml:space="preserve"> sales organization in order to reach more end-users. Future operating results depend on the performance of sales channel participants and on our success in maintaining and developing these relationships. Revenue and gross margins could be negatively affec</w:t>
      </w:r>
      <w:r>
        <w:rPr>
          <w:rFonts w:ascii="Times New Roman" w:eastAsia="宋体" w:hAnsi="Times New Roman"/>
          <w:color w:val="000000"/>
          <w:sz w:val="20"/>
          <w:szCs w:val="20"/>
        </w:rPr>
        <w:t xml:space="preserve">ted if the financial condition or operations of channel participants weaken as a result of adverse economic conditions or other business challenges, or if uncertainty regarding the demand for our products causes channel participants to reduce their orders </w:t>
      </w:r>
      <w:r>
        <w:rPr>
          <w:rFonts w:ascii="Times New Roman" w:eastAsia="宋体" w:hAnsi="Times New Roman"/>
          <w:color w:val="000000"/>
          <w:sz w:val="20"/>
          <w:szCs w:val="20"/>
        </w:rPr>
        <w:t>for these products. Further, some channel participants may consider the expansion of our direct sales initiatives to conflict with their business interests as distributors or resellers of our products, which could lead them to reduce their investment in th</w:t>
      </w:r>
      <w:r>
        <w:rPr>
          <w:rFonts w:ascii="Times New Roman" w:eastAsia="宋体" w:hAnsi="Times New Roman"/>
          <w:color w:val="000000"/>
          <w:sz w:val="20"/>
          <w:szCs w:val="20"/>
        </w:rPr>
        <w:t xml:space="preserve">e distribution and sale of such products, or to cease all sales of our products. </w:t>
      </w:r>
    </w:p>
    <w:p w14:paraId="7DCFCE9F" w14:textId="77777777" w:rsidR="00C1563E" w:rsidRDefault="00C1563E"/>
    <w:p w14:paraId="7DCFCEA0" w14:textId="77777777" w:rsidR="00C1563E" w:rsidRDefault="000B648B">
      <w:r>
        <w:rPr>
          <w:rFonts w:ascii="Times New Roman" w:eastAsia="宋体" w:hAnsi="Times New Roman"/>
          <w:b/>
          <w:bCs/>
          <w:color w:val="000000"/>
          <w:sz w:val="20"/>
          <w:szCs w:val="20"/>
        </w:rPr>
        <w:t xml:space="preserve">Our financial performance could suffer from reduced access to the capital markets by us or some of our customers. </w:t>
      </w:r>
    </w:p>
    <w:p w14:paraId="7DCFCEA1" w14:textId="77777777" w:rsidR="00C1563E" w:rsidRDefault="00C1563E"/>
    <w:p w14:paraId="7DCFCEA2" w14:textId="77777777" w:rsidR="00C1563E" w:rsidRDefault="000B648B">
      <w:r>
        <w:rPr>
          <w:rFonts w:ascii="Times New Roman" w:eastAsia="宋体" w:hAnsi="Times New Roman"/>
          <w:color w:val="000000"/>
          <w:sz w:val="20"/>
          <w:szCs w:val="20"/>
        </w:rPr>
        <w:t>We may access debt and capital sources to provide financi</w:t>
      </w:r>
      <w:r>
        <w:rPr>
          <w:rFonts w:ascii="Times New Roman" w:eastAsia="宋体" w:hAnsi="Times New Roman"/>
          <w:color w:val="000000"/>
          <w:sz w:val="20"/>
          <w:szCs w:val="20"/>
        </w:rPr>
        <w:t>ng for customers and to obtain funds for general corporate purposes, including working capital, acquisitions, capital expenditures, and funding of customer receivables. In addition, we maintain customer financing relationships with some companies that rely</w:t>
      </w:r>
      <w:r>
        <w:rPr>
          <w:rFonts w:ascii="Times New Roman" w:eastAsia="宋体" w:hAnsi="Times New Roman"/>
          <w:color w:val="000000"/>
          <w:sz w:val="20"/>
          <w:szCs w:val="20"/>
        </w:rPr>
        <w:t xml:space="preserve"> on access to the debt and capital markets to meet significant funding needs. Any inability of these companies to access such markets could compel us to self-fund transactions with such companies or to forgo customer financing opportunities, which could ha</w:t>
      </w:r>
      <w:r>
        <w:rPr>
          <w:rFonts w:ascii="Times New Roman" w:eastAsia="宋体" w:hAnsi="Times New Roman"/>
          <w:color w:val="000000"/>
          <w:sz w:val="20"/>
          <w:szCs w:val="20"/>
        </w:rPr>
        <w:t>rm our financial performance. The debt and capital markets may experience extreme volatility and disruption from time to time in the future, which could result in higher credit spreads in such markets and higher funding costs for us. Deterioration in our b</w:t>
      </w:r>
      <w:r>
        <w:rPr>
          <w:rFonts w:ascii="Times New Roman" w:eastAsia="宋体" w:hAnsi="Times New Roman"/>
          <w:color w:val="000000"/>
          <w:sz w:val="20"/>
          <w:szCs w:val="20"/>
        </w:rPr>
        <w:t xml:space="preserve">usiness performance, a credit rating downgrade, volatility in the securitization markets, changes in financial services regulation, or adverse changes in the economy could lead to reductions in the availability of debt financing. In addition, these events </w:t>
      </w:r>
      <w:r>
        <w:rPr>
          <w:rFonts w:ascii="Times New Roman" w:eastAsia="宋体" w:hAnsi="Times New Roman"/>
          <w:color w:val="000000"/>
          <w:sz w:val="20"/>
          <w:szCs w:val="20"/>
        </w:rPr>
        <w:t>could limit our ability to continue asset securitizations or other forms of financing from debt or capital sources, reduce the amount of financing receivables that we originate, or negatively affect the costs or terms on which we may be able to obtain capi</w:t>
      </w:r>
      <w:r>
        <w:rPr>
          <w:rFonts w:ascii="Times New Roman" w:eastAsia="宋体" w:hAnsi="Times New Roman"/>
          <w:color w:val="000000"/>
          <w:sz w:val="20"/>
          <w:szCs w:val="20"/>
        </w:rPr>
        <w:t xml:space="preserve">tal. Any of these developments could adversely affect our net revenue, profitability, and cash flows. </w:t>
      </w:r>
    </w:p>
    <w:p w14:paraId="7DCFCEA3" w14:textId="77777777" w:rsidR="00C1563E" w:rsidRDefault="00C1563E"/>
    <w:p w14:paraId="7DCFCEA4" w14:textId="77777777" w:rsidR="00C1563E" w:rsidRDefault="000B648B">
      <w:r>
        <w:rPr>
          <w:rFonts w:ascii="Times New Roman" w:eastAsia="宋体" w:hAnsi="Times New Roman"/>
          <w:b/>
          <w:bCs/>
          <w:color w:val="000000"/>
          <w:sz w:val="20"/>
          <w:szCs w:val="20"/>
        </w:rPr>
        <w:t>If the value of goodwill or intangible assets is materially impaired, our results of operations and financial condition could be materially and adversel</w:t>
      </w:r>
      <w:r>
        <w:rPr>
          <w:rFonts w:ascii="Times New Roman" w:eastAsia="宋体" w:hAnsi="Times New Roman"/>
          <w:b/>
          <w:bCs/>
          <w:color w:val="000000"/>
          <w:sz w:val="20"/>
          <w:szCs w:val="20"/>
        </w:rPr>
        <w:t>y affected.</w:t>
      </w:r>
    </w:p>
    <w:p w14:paraId="7DCFCEA5" w14:textId="77777777" w:rsidR="00C1563E" w:rsidRDefault="00C1563E"/>
    <w:p w14:paraId="7DCFCEA6" w14:textId="77777777" w:rsidR="00C1563E" w:rsidRDefault="000B648B">
      <w:r>
        <w:rPr>
          <w:rFonts w:ascii="Times New Roman" w:eastAsia="宋体" w:hAnsi="Times New Roman"/>
          <w:color w:val="000000"/>
          <w:sz w:val="20"/>
          <w:szCs w:val="20"/>
        </w:rPr>
        <w:t>As of January 29, 2021, goodwill and intangible assets, net had a combined carrying value of $55.3 billion, representing approximately 45% of our total consolidated assets. We periodically evaluate goodwill and intangible assets, net to determ</w:t>
      </w:r>
      <w:r>
        <w:rPr>
          <w:rFonts w:ascii="Times New Roman" w:eastAsia="宋体" w:hAnsi="Times New Roman"/>
          <w:color w:val="000000"/>
          <w:sz w:val="20"/>
          <w:szCs w:val="20"/>
        </w:rPr>
        <w:t>ine whether all or a portion of their carrying values may be impaired, in which case an impairment charge may be necessary. The value of goodwill may be materially and adversely affected if businesses that we acquire perform in a manner that is inconsisten</w:t>
      </w:r>
      <w:r>
        <w:rPr>
          <w:rFonts w:ascii="Times New Roman" w:eastAsia="宋体" w:hAnsi="Times New Roman"/>
          <w:color w:val="000000"/>
          <w:sz w:val="20"/>
          <w:szCs w:val="20"/>
        </w:rPr>
        <w:t>t with our assumptions at the time of acquisition. In addition, from time to time we divest businesses, and any such divestiture could result in significant asset impairment and disposition charges, including those related to goodwill and intangible assets</w:t>
      </w:r>
      <w:r>
        <w:rPr>
          <w:rFonts w:ascii="Times New Roman" w:eastAsia="宋体" w:hAnsi="Times New Roman"/>
          <w:color w:val="000000"/>
          <w:sz w:val="20"/>
          <w:szCs w:val="20"/>
        </w:rPr>
        <w:t xml:space="preserve">, net. Any future evaluations resulting in an impairment of goodwill or intangible assets, net could materially and adversely affect our results of operations and financial condition in the period in which the impairment is recognized. </w:t>
      </w:r>
    </w:p>
    <w:p w14:paraId="7DCFCEA7" w14:textId="77777777" w:rsidR="00C1563E" w:rsidRDefault="00C1563E"/>
    <w:p w14:paraId="7DCFCEA8" w14:textId="77777777" w:rsidR="00C1563E" w:rsidRDefault="000B648B">
      <w:r>
        <w:rPr>
          <w:rFonts w:ascii="Times New Roman" w:eastAsia="宋体" w:hAnsi="Times New Roman"/>
          <w:b/>
          <w:bCs/>
          <w:color w:val="000000"/>
          <w:sz w:val="20"/>
          <w:szCs w:val="20"/>
        </w:rPr>
        <w:t>Weak economic cond</w:t>
      </w:r>
      <w:r>
        <w:rPr>
          <w:rFonts w:ascii="Times New Roman" w:eastAsia="宋体" w:hAnsi="Times New Roman"/>
          <w:b/>
          <w:bCs/>
          <w:color w:val="000000"/>
          <w:sz w:val="20"/>
          <w:szCs w:val="20"/>
        </w:rPr>
        <w:t xml:space="preserve">itions and additional regulation could harm our financial services activities. </w:t>
      </w:r>
    </w:p>
    <w:p w14:paraId="7DCFCEA9" w14:textId="77777777" w:rsidR="00C1563E" w:rsidRDefault="00C1563E"/>
    <w:p w14:paraId="7DCFCEAA" w14:textId="77777777" w:rsidR="00C1563E" w:rsidRDefault="000B648B">
      <w:r>
        <w:rPr>
          <w:rFonts w:ascii="Times New Roman" w:eastAsia="宋体" w:hAnsi="Times New Roman"/>
          <w:color w:val="000000"/>
          <w:sz w:val="20"/>
          <w:szCs w:val="20"/>
        </w:rPr>
        <w:t xml:space="preserve">Our financial services activities are negatively affected by adverse economic conditions that contribute to loan delinquencies and defaults. An increase in loan delinquencies </w:t>
      </w:r>
      <w:r>
        <w:rPr>
          <w:rFonts w:ascii="Times New Roman" w:eastAsia="宋体" w:hAnsi="Times New Roman"/>
          <w:color w:val="000000"/>
          <w:sz w:val="20"/>
          <w:szCs w:val="20"/>
        </w:rPr>
        <w:t xml:space="preserve">and defaults would result in greater net credit losses, which may require us to increase our reserves for customer receivables. </w:t>
      </w:r>
    </w:p>
    <w:p w14:paraId="7DCFCEAB" w14:textId="77777777" w:rsidR="00C1563E" w:rsidRDefault="00C1563E"/>
    <w:p w14:paraId="7DCFCEAC" w14:textId="77777777" w:rsidR="00C1563E" w:rsidRDefault="000B648B">
      <w:r>
        <w:rPr>
          <w:rFonts w:ascii="Times New Roman" w:eastAsia="宋体" w:hAnsi="Times New Roman"/>
          <w:color w:val="000000"/>
          <w:sz w:val="20"/>
          <w:szCs w:val="20"/>
        </w:rPr>
        <w:t>In addition, the implementation of new financial services regulations, or the application of existing financial services regul</w:t>
      </w:r>
      <w:r>
        <w:rPr>
          <w:rFonts w:ascii="Times New Roman" w:eastAsia="宋体" w:hAnsi="Times New Roman"/>
          <w:color w:val="000000"/>
          <w:sz w:val="20"/>
          <w:szCs w:val="20"/>
        </w:rPr>
        <w:t xml:space="preserve">ation, in countries where we conduct our financial services and related supporting activities, could unfavorably affect the profitability and cash flows of our consumer financing activities. </w:t>
      </w:r>
    </w:p>
    <w:p w14:paraId="7DCFCEAD" w14:textId="77777777" w:rsidR="00C1563E" w:rsidRDefault="00C1563E"/>
    <w:p w14:paraId="7DCFCEAE" w14:textId="77777777" w:rsidR="00C1563E" w:rsidRDefault="000B648B">
      <w:r>
        <w:rPr>
          <w:rFonts w:ascii="Times New Roman" w:eastAsia="宋体" w:hAnsi="Times New Roman"/>
          <w:b/>
          <w:bCs/>
          <w:color w:val="000000"/>
          <w:sz w:val="20"/>
          <w:szCs w:val="20"/>
        </w:rPr>
        <w:t xml:space="preserve">We are subject to counterparty default risks. </w:t>
      </w:r>
    </w:p>
    <w:p w14:paraId="7DCFCEAF" w14:textId="77777777" w:rsidR="00C1563E" w:rsidRDefault="00C1563E"/>
    <w:p w14:paraId="7DCFCEB0" w14:textId="77777777" w:rsidR="00C1563E" w:rsidRDefault="000B648B">
      <w:r>
        <w:rPr>
          <w:rFonts w:ascii="Times New Roman" w:eastAsia="宋体" w:hAnsi="Times New Roman"/>
          <w:color w:val="000000"/>
          <w:sz w:val="20"/>
          <w:szCs w:val="20"/>
        </w:rPr>
        <w:t>We have numerou</w:t>
      </w:r>
      <w:r>
        <w:rPr>
          <w:rFonts w:ascii="Times New Roman" w:eastAsia="宋体" w:hAnsi="Times New Roman"/>
          <w:color w:val="000000"/>
          <w:sz w:val="20"/>
          <w:szCs w:val="20"/>
        </w:rPr>
        <w:t>s arrangements with financial institutions that include cash and investment deposits, interest rate swap contracts, foreign currency option contracts, and forward contracts. As a result, we are subject to the risk that the counterparty to one or more of th</w:t>
      </w:r>
      <w:r>
        <w:rPr>
          <w:rFonts w:ascii="Times New Roman" w:eastAsia="宋体" w:hAnsi="Times New Roman"/>
          <w:color w:val="000000"/>
          <w:sz w:val="20"/>
          <w:szCs w:val="20"/>
        </w:rPr>
        <w:t xml:space="preserve">ese arrangements will default, either voluntarily or involuntarily, on its performance under the terms of the arrangement. In times of market distress, a counterparty may default rapidly and without notice, and we may be unable to take </w:t>
      </w:r>
    </w:p>
    <w:p w14:paraId="7DCFCEB1" w14:textId="77777777" w:rsidR="00C1563E" w:rsidRDefault="00C1563E">
      <w:pPr>
        <w:jc w:val="center"/>
      </w:pPr>
    </w:p>
    <w:p w14:paraId="7DCFCEB2" w14:textId="77777777" w:rsidR="00C1563E" w:rsidRDefault="000B648B">
      <w:pPr>
        <w:jc w:val="center"/>
      </w:pPr>
      <w:r>
        <w:rPr>
          <w:rFonts w:ascii="Times New Roman" w:eastAsia="宋体" w:hAnsi="Times New Roman"/>
          <w:color w:val="000000"/>
          <w:sz w:val="20"/>
          <w:szCs w:val="20"/>
        </w:rPr>
        <w:t>22</w:t>
      </w:r>
    </w:p>
    <w:p w14:paraId="7DCFCEB3" w14:textId="77777777" w:rsidR="00C1563E" w:rsidRDefault="00C1563E">
      <w:pPr>
        <w:jc w:val="center"/>
      </w:pPr>
    </w:p>
    <w:p w14:paraId="7DCFCEB4" w14:textId="77777777" w:rsidR="00C1563E" w:rsidRDefault="000B648B">
      <w:r>
        <w:pict w14:anchorId="7DD0257C">
          <v:rect id="_x0000_i1046" style="width:415.3pt;height:1.5pt" o:hralign="center" o:hrstd="t" o:hr="t" fillcolor="#a0a0a0" stroked="f"/>
        </w:pict>
      </w:r>
    </w:p>
    <w:p w14:paraId="7DCFCEB5" w14:textId="77777777" w:rsidR="00C1563E" w:rsidRDefault="000B648B">
      <w:hyperlink r:id="rId97" w:anchor="i418e32e4a35149ffbf7d3a25d66881b8_10" w:history="1">
        <w:r>
          <w:rPr>
            <w:rStyle w:val="a5"/>
            <w:rFonts w:ascii="Times New Roman" w:eastAsia="宋体" w:hAnsi="Times New Roman"/>
            <w:sz w:val="20"/>
            <w:szCs w:val="20"/>
          </w:rPr>
          <w:t>Table of Contents</w:t>
        </w:r>
      </w:hyperlink>
    </w:p>
    <w:p w14:paraId="7DCFCEB6" w14:textId="77777777" w:rsidR="00C1563E" w:rsidRDefault="000B648B">
      <w:r>
        <w:rPr>
          <w:rFonts w:ascii="Times New Roman" w:eastAsia="宋体" w:hAnsi="Times New Roman"/>
          <w:color w:val="000000"/>
          <w:sz w:val="20"/>
          <w:szCs w:val="20"/>
        </w:rPr>
        <w:t>action to cover its exposure, either because of lack of contractual ability to do so</w:t>
      </w:r>
      <w:r>
        <w:rPr>
          <w:rFonts w:ascii="Times New Roman" w:eastAsia="宋体" w:hAnsi="Times New Roman"/>
          <w:color w:val="000000"/>
          <w:sz w:val="20"/>
          <w:szCs w:val="20"/>
        </w:rPr>
        <w:t xml:space="preserve"> or because market conditions make it difficult to take effective action. If one of our counterparties becomes insolvent or files for bankruptcy, our ability eventually to recover any losses suffered as a result of that counterparty’s default may be limite</w:t>
      </w:r>
      <w:r>
        <w:rPr>
          <w:rFonts w:ascii="Times New Roman" w:eastAsia="宋体" w:hAnsi="Times New Roman"/>
          <w:color w:val="000000"/>
          <w:sz w:val="20"/>
          <w:szCs w:val="20"/>
        </w:rPr>
        <w:t>d by the impaired liquidity of the counterparty or the applicable legal regime governing the bankruptcy proceeding. In the event of such a default, we could incur significant losses, which could harm our business and adversely affect our results of operati</w:t>
      </w:r>
      <w:r>
        <w:rPr>
          <w:rFonts w:ascii="Times New Roman" w:eastAsia="宋体" w:hAnsi="Times New Roman"/>
          <w:color w:val="000000"/>
          <w:sz w:val="20"/>
          <w:szCs w:val="20"/>
        </w:rPr>
        <w:t xml:space="preserve">ons and financial condition. </w:t>
      </w:r>
    </w:p>
    <w:p w14:paraId="7DCFCEB7" w14:textId="77777777" w:rsidR="00C1563E" w:rsidRDefault="00C1563E"/>
    <w:p w14:paraId="7DCFCEB8" w14:textId="77777777" w:rsidR="00C1563E" w:rsidRDefault="000B648B">
      <w:r>
        <w:rPr>
          <w:rFonts w:ascii="Times New Roman" w:eastAsia="宋体" w:hAnsi="Times New Roman"/>
          <w:b/>
          <w:bCs/>
          <w:color w:val="000000"/>
          <w:sz w:val="20"/>
          <w:szCs w:val="20"/>
        </w:rPr>
        <w:t xml:space="preserve">Our performance and business could suffer if our contracts for ISG services and solutions fail to produce revenue at expected levels due to exercise of customer rights under the contracts, inaccurate estimation of </w:t>
      </w:r>
      <w:r>
        <w:rPr>
          <w:rFonts w:ascii="Times New Roman" w:eastAsia="宋体" w:hAnsi="Times New Roman"/>
          <w:b/>
          <w:bCs/>
          <w:color w:val="000000"/>
          <w:sz w:val="20"/>
          <w:szCs w:val="20"/>
        </w:rPr>
        <w:t>costs, or customer defaults in payment.</w:t>
      </w:r>
    </w:p>
    <w:p w14:paraId="7DCFCEB9" w14:textId="77777777" w:rsidR="00C1563E" w:rsidRDefault="00C1563E"/>
    <w:p w14:paraId="7DCFCEBA" w14:textId="77777777" w:rsidR="00C1563E" w:rsidRDefault="000B648B">
      <w:r>
        <w:rPr>
          <w:rFonts w:ascii="Times New Roman" w:eastAsia="宋体" w:hAnsi="Times New Roman"/>
          <w:color w:val="000000"/>
          <w:sz w:val="20"/>
          <w:szCs w:val="20"/>
        </w:rPr>
        <w:t>We offer our ISG customers a range of consumption models for our services and solutions, including as-a-service, utility, leases, or immediate pay models, all designed to match customers’ consumption preferences. Th</w:t>
      </w:r>
      <w:r>
        <w:rPr>
          <w:rFonts w:ascii="Times New Roman" w:eastAsia="宋体" w:hAnsi="Times New Roman"/>
          <w:color w:val="000000"/>
          <w:sz w:val="20"/>
          <w:szCs w:val="20"/>
        </w:rPr>
        <w:t xml:space="preserve">ese solutions generally are multiyear agreements that typically result in recurring revenue streams over the term of the arrangement. Our financial results and growth depend, in part, on customers continuing to purchase our services and solutions over the </w:t>
      </w:r>
      <w:r>
        <w:rPr>
          <w:rFonts w:ascii="Times New Roman" w:eastAsia="宋体" w:hAnsi="Times New Roman"/>
          <w:color w:val="000000"/>
          <w:sz w:val="20"/>
          <w:szCs w:val="20"/>
        </w:rPr>
        <w:t>contract life on the agreed terms. The contracts allow customers to take actions that may adversely affect our recurring revenue and profitability. These actions include terminating a contract if our performance does not meet specified services levels, req</w:t>
      </w:r>
      <w:r>
        <w:rPr>
          <w:rFonts w:ascii="Times New Roman" w:eastAsia="宋体" w:hAnsi="Times New Roman"/>
          <w:color w:val="000000"/>
          <w:sz w:val="20"/>
          <w:szCs w:val="20"/>
        </w:rPr>
        <w:t>uesting rate reductions, reducing the use of our services and solutions or terminating a contract early upon payment of agreed fees. In addition, we estimate the costs of delivering the services and solutions at the outset of the contract. If we fail to es</w:t>
      </w:r>
      <w:r>
        <w:rPr>
          <w:rFonts w:ascii="Times New Roman" w:eastAsia="宋体" w:hAnsi="Times New Roman"/>
          <w:color w:val="000000"/>
          <w:sz w:val="20"/>
          <w:szCs w:val="20"/>
        </w:rPr>
        <w:t>timate such costs accurately and actual costs significantly exceed estimates, we may incur losses on the contracts. We also are subject to the risk of loss under the contracts as a result of a default, voluntarily or involuntarily, in payment by the custom</w:t>
      </w:r>
      <w:r>
        <w:rPr>
          <w:rFonts w:ascii="Times New Roman" w:eastAsia="宋体" w:hAnsi="Times New Roman"/>
          <w:color w:val="000000"/>
          <w:sz w:val="20"/>
          <w:szCs w:val="20"/>
        </w:rPr>
        <w:t>er, whether because of financial weakness or other reasons.</w:t>
      </w:r>
    </w:p>
    <w:p w14:paraId="7DCFCEBB" w14:textId="77777777" w:rsidR="00C1563E" w:rsidRDefault="00C1563E"/>
    <w:p w14:paraId="7DCFCEBC" w14:textId="77777777" w:rsidR="00C1563E" w:rsidRDefault="000B648B">
      <w:r>
        <w:rPr>
          <w:rFonts w:ascii="Times New Roman" w:eastAsia="宋体" w:hAnsi="Times New Roman"/>
          <w:b/>
          <w:bCs/>
          <w:color w:val="000000"/>
          <w:sz w:val="20"/>
          <w:szCs w:val="20"/>
        </w:rPr>
        <w:t xml:space="preserve">Loss of government contracts could harm our business. </w:t>
      </w:r>
    </w:p>
    <w:p w14:paraId="7DCFCEBD" w14:textId="77777777" w:rsidR="00C1563E" w:rsidRDefault="00C1563E"/>
    <w:p w14:paraId="7DCFCEBE" w14:textId="77777777" w:rsidR="00C1563E" w:rsidRDefault="000B648B">
      <w:r>
        <w:rPr>
          <w:rFonts w:ascii="Times New Roman" w:eastAsia="宋体" w:hAnsi="Times New Roman"/>
          <w:color w:val="000000"/>
          <w:sz w:val="20"/>
          <w:szCs w:val="20"/>
        </w:rPr>
        <w:t>Contracts with U.S. federal, state, and local governments and with foreign governments are subject to future funding that may affect the ex</w:t>
      </w:r>
      <w:r>
        <w:rPr>
          <w:rFonts w:ascii="Times New Roman" w:eastAsia="宋体" w:hAnsi="Times New Roman"/>
          <w:color w:val="000000"/>
          <w:sz w:val="20"/>
          <w:szCs w:val="20"/>
        </w:rPr>
        <w:t>tension or termination of programs and to the right of such governments to terminate contracts for convenience or non-appropriation. There is pressure on governments, both domestically and internationally, to reduce spending. Funding reductions or delays c</w:t>
      </w:r>
      <w:r>
        <w:rPr>
          <w:rFonts w:ascii="Times New Roman" w:eastAsia="宋体" w:hAnsi="Times New Roman"/>
          <w:color w:val="000000"/>
          <w:sz w:val="20"/>
          <w:szCs w:val="20"/>
        </w:rPr>
        <w:t xml:space="preserve">ould adversely affect public sector demand for our products and services. In addition, if we violate legal or regulatory requirements, the applicable government could suspend or disbar us as a contractor, which would unfavorably affect our net revenue and </w:t>
      </w:r>
      <w:r>
        <w:rPr>
          <w:rFonts w:ascii="Times New Roman" w:eastAsia="宋体" w:hAnsi="Times New Roman"/>
          <w:color w:val="000000"/>
          <w:sz w:val="20"/>
          <w:szCs w:val="20"/>
        </w:rPr>
        <w:t xml:space="preserve">profitability. </w:t>
      </w:r>
    </w:p>
    <w:p w14:paraId="7DCFCEBF" w14:textId="77777777" w:rsidR="00C1563E" w:rsidRDefault="00C1563E"/>
    <w:p w14:paraId="7DCFCEC0" w14:textId="77777777" w:rsidR="00C1563E" w:rsidRDefault="000B648B">
      <w:r>
        <w:rPr>
          <w:rFonts w:ascii="Times New Roman" w:eastAsia="宋体" w:hAnsi="Times New Roman"/>
          <w:b/>
          <w:bCs/>
          <w:color w:val="000000"/>
          <w:sz w:val="20"/>
          <w:szCs w:val="20"/>
        </w:rPr>
        <w:t xml:space="preserve">Our business could suffer if we do not develop and protect our proprietary intellectual property or obtain or protect licenses to intellectual property developed by others on commercially reasonable and competitive terms. </w:t>
      </w:r>
    </w:p>
    <w:p w14:paraId="7DCFCEC1" w14:textId="77777777" w:rsidR="00C1563E" w:rsidRDefault="00C1563E"/>
    <w:p w14:paraId="7DCFCEC2" w14:textId="77777777" w:rsidR="00C1563E" w:rsidRDefault="000B648B">
      <w:r>
        <w:rPr>
          <w:rFonts w:ascii="Times New Roman" w:eastAsia="宋体" w:hAnsi="Times New Roman"/>
          <w:color w:val="000000"/>
          <w:sz w:val="20"/>
          <w:szCs w:val="20"/>
        </w:rPr>
        <w:t>If we or our su</w:t>
      </w:r>
      <w:r>
        <w:rPr>
          <w:rFonts w:ascii="Times New Roman" w:eastAsia="宋体" w:hAnsi="Times New Roman"/>
          <w:color w:val="000000"/>
          <w:sz w:val="20"/>
          <w:szCs w:val="20"/>
        </w:rPr>
        <w:t>ppliers are unable to develop or protect desirable technology or technology licenses, we may be prevented from marketing products, may have to market products without desirable features, or may incur substantial costs to redesign products. We also may have</w:t>
      </w:r>
      <w:r>
        <w:rPr>
          <w:rFonts w:ascii="Times New Roman" w:eastAsia="宋体" w:hAnsi="Times New Roman"/>
          <w:color w:val="000000"/>
          <w:sz w:val="20"/>
          <w:szCs w:val="20"/>
        </w:rPr>
        <w:t xml:space="preserve"> to defend or enforce legal actions or pay damages if we are found to have violated the intellectual property of other parties. Although our suppliers might be contractually obligated to obtain or protect such licenses and indemnify us against related expe</w:t>
      </w:r>
      <w:r>
        <w:rPr>
          <w:rFonts w:ascii="Times New Roman" w:eastAsia="宋体" w:hAnsi="Times New Roman"/>
          <w:color w:val="000000"/>
          <w:sz w:val="20"/>
          <w:szCs w:val="20"/>
        </w:rPr>
        <w:t>nses, those suppliers could be unable to meet their obligations. We invest in research and development and obtain additional intellectual property through acquisitions, but those activities do not guarantee that we will develop or obtain intellectual prope</w:t>
      </w:r>
      <w:r>
        <w:rPr>
          <w:rFonts w:ascii="Times New Roman" w:eastAsia="宋体" w:hAnsi="Times New Roman"/>
          <w:color w:val="000000"/>
          <w:sz w:val="20"/>
          <w:szCs w:val="20"/>
        </w:rPr>
        <w:t xml:space="preserve">rty necessary for profitable operations. Costs involved in developing and protecting rights in intellectual property may have a negative impact on our business. In addition, our operating costs could increase because of copyright levies or similar fees by </w:t>
      </w:r>
      <w:r>
        <w:rPr>
          <w:rFonts w:ascii="Times New Roman" w:eastAsia="宋体" w:hAnsi="Times New Roman"/>
          <w:color w:val="000000"/>
          <w:sz w:val="20"/>
          <w:szCs w:val="20"/>
        </w:rPr>
        <w:t xml:space="preserve">rights holders and collection agencies in European and other countries. </w:t>
      </w:r>
    </w:p>
    <w:p w14:paraId="7DCFCEC3" w14:textId="77777777" w:rsidR="00C1563E" w:rsidRDefault="00C1563E"/>
    <w:p w14:paraId="7DCFCEC4" w14:textId="77777777" w:rsidR="00C1563E" w:rsidRDefault="000B648B">
      <w:r>
        <w:rPr>
          <w:rFonts w:ascii="Times New Roman" w:eastAsia="宋体" w:hAnsi="Times New Roman"/>
          <w:b/>
          <w:bCs/>
          <w:color w:val="000000"/>
          <w:sz w:val="20"/>
          <w:szCs w:val="20"/>
        </w:rPr>
        <w:t xml:space="preserve">Infrastructure disruptions could harm our business. </w:t>
      </w:r>
    </w:p>
    <w:p w14:paraId="7DCFCEC5" w14:textId="77777777" w:rsidR="00C1563E" w:rsidRDefault="00C1563E"/>
    <w:p w14:paraId="7DCFCEC6" w14:textId="77777777" w:rsidR="00C1563E" w:rsidRDefault="000B648B">
      <w:r>
        <w:rPr>
          <w:rFonts w:ascii="Times New Roman" w:eastAsia="宋体" w:hAnsi="Times New Roman"/>
          <w:color w:val="000000"/>
          <w:sz w:val="20"/>
          <w:szCs w:val="20"/>
        </w:rPr>
        <w:t xml:space="preserve">We depend on our information technology and manufacturing infrastructure to achieve our business objectives. Natural disasters, </w:t>
      </w:r>
      <w:r>
        <w:rPr>
          <w:rFonts w:ascii="Times New Roman" w:eastAsia="宋体" w:hAnsi="Times New Roman"/>
          <w:color w:val="000000"/>
          <w:sz w:val="20"/>
          <w:szCs w:val="20"/>
        </w:rPr>
        <w:t>manufacturing failures, telecommunications system failures, or defective or improperly installed new or upgraded business management systems could lead to disruptions in this infrastructure. Portions of our IT infrastructure also may experience interruptio</w:t>
      </w:r>
      <w:r>
        <w:rPr>
          <w:rFonts w:ascii="Times New Roman" w:eastAsia="宋体" w:hAnsi="Times New Roman"/>
          <w:color w:val="000000"/>
          <w:sz w:val="20"/>
          <w:szCs w:val="20"/>
        </w:rPr>
        <w:t>ns, delays, or cessations of service, or produce errors in connection with systems integration or migration work. Such disruptions may adversely affect our ability to receive or process orders, manufacture and ship products in a timely manner, or otherwise</w:t>
      </w:r>
      <w:r>
        <w:rPr>
          <w:rFonts w:ascii="Times New Roman" w:eastAsia="宋体" w:hAnsi="Times New Roman"/>
          <w:color w:val="000000"/>
          <w:sz w:val="20"/>
          <w:szCs w:val="20"/>
        </w:rPr>
        <w:t xml:space="preserve"> conduct business in the normal course. Further, portions of our services business involve the processing, storage, and transmission of data, which also would be negatively affected by such an event. Disruptions in our infrastructure could lead to loss of </w:t>
      </w:r>
      <w:r>
        <w:rPr>
          <w:rFonts w:ascii="Times New Roman" w:eastAsia="宋体" w:hAnsi="Times New Roman"/>
          <w:color w:val="000000"/>
          <w:sz w:val="20"/>
          <w:szCs w:val="20"/>
        </w:rPr>
        <w:t xml:space="preserve">customers and revenue, particularly during a period of heavy demand for our products and services. We also could incur significant expense in repairing system damage and taking other remedial measures. </w:t>
      </w:r>
    </w:p>
    <w:p w14:paraId="7DCFCEC7" w14:textId="77777777" w:rsidR="00C1563E" w:rsidRDefault="00C1563E">
      <w:pPr>
        <w:jc w:val="center"/>
      </w:pPr>
    </w:p>
    <w:p w14:paraId="7DCFCEC8" w14:textId="77777777" w:rsidR="00C1563E" w:rsidRDefault="000B648B">
      <w:pPr>
        <w:jc w:val="center"/>
      </w:pPr>
      <w:r>
        <w:rPr>
          <w:rFonts w:ascii="Times New Roman" w:eastAsia="宋体" w:hAnsi="Times New Roman"/>
          <w:color w:val="000000"/>
          <w:sz w:val="20"/>
          <w:szCs w:val="20"/>
        </w:rPr>
        <w:t>23</w:t>
      </w:r>
    </w:p>
    <w:p w14:paraId="7DCFCEC9" w14:textId="77777777" w:rsidR="00C1563E" w:rsidRDefault="00C1563E">
      <w:pPr>
        <w:jc w:val="center"/>
      </w:pPr>
    </w:p>
    <w:p w14:paraId="7DCFCECA" w14:textId="77777777" w:rsidR="00C1563E" w:rsidRDefault="000B648B">
      <w:r>
        <w:pict w14:anchorId="7DD0257D">
          <v:rect id="_x0000_i1047" style="width:415.3pt;height:1.5pt" o:hralign="center" o:hrstd="t" o:hr="t" fillcolor="#a0a0a0" stroked="f"/>
        </w:pict>
      </w:r>
    </w:p>
    <w:p w14:paraId="7DCFCECB" w14:textId="77777777" w:rsidR="00C1563E" w:rsidRDefault="000B648B">
      <w:hyperlink r:id="rId98" w:anchor="i418e32e4a35149ffbf7d3a25d66881b8_10" w:history="1">
        <w:r>
          <w:rPr>
            <w:rStyle w:val="a5"/>
            <w:rFonts w:ascii="Times New Roman" w:eastAsia="宋体" w:hAnsi="Times New Roman"/>
            <w:sz w:val="20"/>
            <w:szCs w:val="20"/>
          </w:rPr>
          <w:t>Table of Contents</w:t>
        </w:r>
      </w:hyperlink>
    </w:p>
    <w:p w14:paraId="7DCFCECC" w14:textId="77777777" w:rsidR="00C1563E" w:rsidRDefault="00C1563E"/>
    <w:p w14:paraId="7DCFCECD" w14:textId="77777777" w:rsidR="00C1563E" w:rsidRDefault="000B648B">
      <w:r>
        <w:rPr>
          <w:rFonts w:ascii="Times New Roman" w:eastAsia="宋体" w:hAnsi="Times New Roman"/>
          <w:b/>
          <w:bCs/>
          <w:color w:val="000000"/>
          <w:sz w:val="20"/>
          <w:szCs w:val="20"/>
        </w:rPr>
        <w:t>Failure to hedge effectively our exposure to fluctuations in foreign currency exchange rates and interest rates could adversely a</w:t>
      </w:r>
      <w:r>
        <w:rPr>
          <w:rFonts w:ascii="Times New Roman" w:eastAsia="宋体" w:hAnsi="Times New Roman"/>
          <w:b/>
          <w:bCs/>
          <w:color w:val="000000"/>
          <w:sz w:val="20"/>
          <w:szCs w:val="20"/>
        </w:rPr>
        <w:t xml:space="preserve">ffect our financial condition and results of operations. </w:t>
      </w:r>
    </w:p>
    <w:p w14:paraId="7DCFCECE" w14:textId="77777777" w:rsidR="00C1563E" w:rsidRDefault="00C1563E"/>
    <w:p w14:paraId="7DCFCECF" w14:textId="77777777" w:rsidR="00C1563E" w:rsidRDefault="000B648B">
      <w:r>
        <w:rPr>
          <w:rFonts w:ascii="Times New Roman" w:eastAsia="宋体" w:hAnsi="Times New Roman"/>
          <w:color w:val="000000"/>
          <w:sz w:val="20"/>
          <w:szCs w:val="20"/>
        </w:rPr>
        <w:t>We utilize derivative instruments to hedge our exposure to fluctuations in foreign currency exchange rates and interest rates. Some of these instruments and contracts may involve elements of market</w:t>
      </w:r>
      <w:r>
        <w:rPr>
          <w:rFonts w:ascii="Times New Roman" w:eastAsia="宋体" w:hAnsi="Times New Roman"/>
          <w:color w:val="000000"/>
          <w:sz w:val="20"/>
          <w:szCs w:val="20"/>
        </w:rPr>
        <w:t xml:space="preserve"> and credit risk in excess of the amounts recognized in our financial statements. Global economic events, including trade disputes, economic sanctions and emerging market volatility, and associated uncertainty may cause currencies to fluctuate, which may c</w:t>
      </w:r>
      <w:r>
        <w:rPr>
          <w:rFonts w:ascii="Times New Roman" w:eastAsia="宋体" w:hAnsi="Times New Roman"/>
          <w:color w:val="000000"/>
          <w:sz w:val="20"/>
          <w:szCs w:val="20"/>
        </w:rPr>
        <w:t>ontribute to variations in our sales of products and services in various jurisdictions. If we are not successful in monitoring our foreign exchange exposures and conducting an effective hedging program, our foreign currency hedging activities may not offse</w:t>
      </w:r>
      <w:r>
        <w:rPr>
          <w:rFonts w:ascii="Times New Roman" w:eastAsia="宋体" w:hAnsi="Times New Roman"/>
          <w:color w:val="000000"/>
          <w:sz w:val="20"/>
          <w:szCs w:val="20"/>
        </w:rPr>
        <w:t xml:space="preserve">t the impact of fluctuations in currency exchange rates on our future results of operations and financial position. </w:t>
      </w:r>
    </w:p>
    <w:p w14:paraId="7DCFCED0" w14:textId="77777777" w:rsidR="00C1563E" w:rsidRDefault="00C1563E"/>
    <w:p w14:paraId="7DCFCED1" w14:textId="77777777" w:rsidR="00C1563E" w:rsidRDefault="000B648B">
      <w:r>
        <w:rPr>
          <w:rFonts w:ascii="Times New Roman" w:eastAsia="宋体" w:hAnsi="Times New Roman"/>
          <w:b/>
          <w:bCs/>
          <w:color w:val="000000"/>
          <w:sz w:val="20"/>
          <w:szCs w:val="20"/>
        </w:rPr>
        <w:t>Adverse legislative or regulatory tax changes, the expiration of tax holidays or favorable tax rate structures, or unfavorable outcomes in</w:t>
      </w:r>
      <w:r>
        <w:rPr>
          <w:rFonts w:ascii="Times New Roman" w:eastAsia="宋体" w:hAnsi="Times New Roman"/>
          <w:b/>
          <w:bCs/>
          <w:color w:val="000000"/>
          <w:sz w:val="20"/>
          <w:szCs w:val="20"/>
        </w:rPr>
        <w:t xml:space="preserve"> tax audits and other tax compliance matters could result in an increase in our tax expense or our effective income tax rate. </w:t>
      </w:r>
    </w:p>
    <w:p w14:paraId="7DCFCED2" w14:textId="77777777" w:rsidR="00C1563E" w:rsidRDefault="00C1563E"/>
    <w:p w14:paraId="7DCFCED3" w14:textId="77777777" w:rsidR="00C1563E" w:rsidRDefault="000B648B">
      <w:r>
        <w:rPr>
          <w:rFonts w:ascii="Times New Roman" w:eastAsia="宋体" w:hAnsi="Times New Roman"/>
          <w:color w:val="000000"/>
          <w:sz w:val="20"/>
          <w:szCs w:val="20"/>
        </w:rPr>
        <w:t>Changes in tax laws (including any future U.S. Treasury notices or regulations related to the Tax Cuts and Jobs Act that was sig</w:t>
      </w:r>
      <w:r>
        <w:rPr>
          <w:rFonts w:ascii="Times New Roman" w:eastAsia="宋体" w:hAnsi="Times New Roman"/>
          <w:color w:val="000000"/>
          <w:sz w:val="20"/>
          <w:szCs w:val="20"/>
        </w:rPr>
        <w:t xml:space="preserve">ned into law on December 22, 2017) could adversely affect our operations and profitability. In recent years, numerous legislative, judicial, and administrative changes have been made to tax laws applicable to us and similar companies. The Organisation for </w:t>
      </w:r>
      <w:r>
        <w:rPr>
          <w:rFonts w:ascii="Times New Roman" w:eastAsia="宋体" w:hAnsi="Times New Roman"/>
          <w:color w:val="000000"/>
          <w:sz w:val="20"/>
          <w:szCs w:val="20"/>
        </w:rPr>
        <w:t>Economic Co-operation and Development (the “OECD”), an international association of 37 countries, including the United States, has issued guidelines that change long-standing tax principles. The OECD guidelines may introduce tax uncertainty as countries am</w:t>
      </w:r>
      <w:r>
        <w:rPr>
          <w:rFonts w:ascii="Times New Roman" w:eastAsia="宋体" w:hAnsi="Times New Roman"/>
          <w:color w:val="000000"/>
          <w:sz w:val="20"/>
          <w:szCs w:val="20"/>
        </w:rPr>
        <w:t>end their tax laws to adopt certain parts of the guidelines. Additional changes to tax laws are likely to occur, and such changes may adversely affect our tax liability.</w:t>
      </w:r>
    </w:p>
    <w:p w14:paraId="7DCFCED4" w14:textId="77777777" w:rsidR="00C1563E" w:rsidRDefault="00C1563E"/>
    <w:p w14:paraId="7DCFCED5" w14:textId="77777777" w:rsidR="00C1563E" w:rsidRDefault="000B648B">
      <w:r>
        <w:rPr>
          <w:rFonts w:ascii="Times New Roman" w:eastAsia="宋体" w:hAnsi="Times New Roman"/>
          <w:color w:val="000000"/>
          <w:sz w:val="20"/>
          <w:szCs w:val="20"/>
        </w:rPr>
        <w:t xml:space="preserve">Portions of our operations are subject to a reduced tax rate or are free of tax </w:t>
      </w:r>
      <w:r>
        <w:rPr>
          <w:rFonts w:ascii="Times New Roman" w:eastAsia="宋体" w:hAnsi="Times New Roman"/>
          <w:color w:val="000000"/>
          <w:sz w:val="20"/>
          <w:szCs w:val="20"/>
        </w:rPr>
        <w:t>under various tax holidays that expire in whole or in part from time to time. Many of these holidays may be extended when certain conditions are met, or may be terminated if certain conditions are not met. If the tax holidays are not extended, or if we fai</w:t>
      </w:r>
      <w:r>
        <w:rPr>
          <w:rFonts w:ascii="Times New Roman" w:eastAsia="宋体" w:hAnsi="Times New Roman"/>
          <w:color w:val="000000"/>
          <w:sz w:val="20"/>
          <w:szCs w:val="20"/>
        </w:rPr>
        <w:t>l to satisfy the conditions of the reduced tax rate, our effective tax rate would be affected. Our effective tax rate also could be impacted if our geographic sales mix changes. In addition, any actions by us to repatriate non-U.S. earnings for which we ha</w:t>
      </w:r>
      <w:r>
        <w:rPr>
          <w:rFonts w:ascii="Times New Roman" w:eastAsia="宋体" w:hAnsi="Times New Roman"/>
          <w:color w:val="000000"/>
          <w:sz w:val="20"/>
          <w:szCs w:val="20"/>
        </w:rPr>
        <w:t>ve not previously provided for U.S. taxes may affect the effective tax rate.</w:t>
      </w:r>
    </w:p>
    <w:p w14:paraId="7DCFCED6" w14:textId="77777777" w:rsidR="00C1563E" w:rsidRDefault="00C1563E"/>
    <w:p w14:paraId="7DCFCED7" w14:textId="77777777" w:rsidR="00C1563E" w:rsidRDefault="000B648B">
      <w:r>
        <w:rPr>
          <w:rFonts w:ascii="Times New Roman" w:eastAsia="宋体" w:hAnsi="Times New Roman"/>
          <w:color w:val="000000"/>
          <w:sz w:val="20"/>
          <w:szCs w:val="20"/>
        </w:rPr>
        <w:t>We are continually under audit in various tax jurisdictions. We may not be successful in resolving potential tax claims that arise from these audits. An unfavorable outcome in ce</w:t>
      </w:r>
      <w:r>
        <w:rPr>
          <w:rFonts w:ascii="Times New Roman" w:eastAsia="宋体" w:hAnsi="Times New Roman"/>
          <w:color w:val="000000"/>
          <w:sz w:val="20"/>
          <w:szCs w:val="20"/>
        </w:rPr>
        <w:t xml:space="preserve">rtain of these matters could result in a substantial increase in our tax expense. In addition, our provision for income taxes could be adversely affected by changes in the valuation of deferred tax assets. </w:t>
      </w:r>
    </w:p>
    <w:p w14:paraId="7DCFCED8" w14:textId="77777777" w:rsidR="00C1563E" w:rsidRDefault="00C1563E"/>
    <w:p w14:paraId="7DCFCED9" w14:textId="77777777" w:rsidR="00C1563E" w:rsidRDefault="000B648B">
      <w:r>
        <w:rPr>
          <w:rFonts w:ascii="Times New Roman" w:eastAsia="宋体" w:hAnsi="Times New Roman"/>
          <w:b/>
          <w:bCs/>
          <w:color w:val="000000"/>
          <w:sz w:val="20"/>
          <w:szCs w:val="20"/>
        </w:rPr>
        <w:t>Our profitability could suffer from any impairme</w:t>
      </w:r>
      <w:r>
        <w:rPr>
          <w:rFonts w:ascii="Times New Roman" w:eastAsia="宋体" w:hAnsi="Times New Roman"/>
          <w:b/>
          <w:bCs/>
          <w:color w:val="000000"/>
          <w:sz w:val="20"/>
          <w:szCs w:val="20"/>
        </w:rPr>
        <w:t xml:space="preserve">nt of our portfolio investments. </w:t>
      </w:r>
    </w:p>
    <w:p w14:paraId="7DCFCEDA" w14:textId="77777777" w:rsidR="00C1563E" w:rsidRDefault="00C1563E"/>
    <w:p w14:paraId="7DCFCEDB" w14:textId="77777777" w:rsidR="00C1563E" w:rsidRDefault="000B648B">
      <w:r>
        <w:rPr>
          <w:rFonts w:ascii="Times New Roman" w:eastAsia="宋体" w:hAnsi="Times New Roman"/>
          <w:color w:val="000000"/>
          <w:sz w:val="20"/>
          <w:szCs w:val="20"/>
        </w:rPr>
        <w:t>We invest a significant portion of available funds in a portfolio consisting primarily of debt securities of various types and maturities pending the deployment of these funds in our business. Our earnings performance cou</w:t>
      </w:r>
      <w:r>
        <w:rPr>
          <w:rFonts w:ascii="Times New Roman" w:eastAsia="宋体" w:hAnsi="Times New Roman"/>
          <w:color w:val="000000"/>
          <w:sz w:val="20"/>
          <w:szCs w:val="20"/>
        </w:rPr>
        <w:t>ld suffer from any impairment of our investments. Our portfolio securities generally are classified as available-for-sale and are recorded in our financial statements at fair value. If any such investments experience declines in market price and it is dete</w:t>
      </w:r>
      <w:r>
        <w:rPr>
          <w:rFonts w:ascii="Times New Roman" w:eastAsia="宋体" w:hAnsi="Times New Roman"/>
          <w:color w:val="000000"/>
          <w:sz w:val="20"/>
          <w:szCs w:val="20"/>
        </w:rPr>
        <w:t xml:space="preserve">rmined that such declines are other than temporary, we may have to recognize in earnings the decline in the fair market value of such investments below their cost or carrying value. </w:t>
      </w:r>
    </w:p>
    <w:p w14:paraId="7DCFCEDC" w14:textId="77777777" w:rsidR="00C1563E" w:rsidRDefault="00C1563E"/>
    <w:p w14:paraId="7DCFCEDD" w14:textId="77777777" w:rsidR="00C1563E" w:rsidRDefault="000B648B">
      <w:r>
        <w:rPr>
          <w:rFonts w:ascii="Times New Roman" w:eastAsia="宋体" w:hAnsi="Times New Roman"/>
          <w:b/>
          <w:bCs/>
          <w:color w:val="000000"/>
          <w:sz w:val="20"/>
          <w:szCs w:val="20"/>
        </w:rPr>
        <w:t>Unfavorable results of legal proceedings could harm our business and res</w:t>
      </w:r>
      <w:r>
        <w:rPr>
          <w:rFonts w:ascii="Times New Roman" w:eastAsia="宋体" w:hAnsi="Times New Roman"/>
          <w:b/>
          <w:bCs/>
          <w:color w:val="000000"/>
          <w:sz w:val="20"/>
          <w:szCs w:val="20"/>
        </w:rPr>
        <w:t xml:space="preserve">ult in substantial costs. </w:t>
      </w:r>
    </w:p>
    <w:p w14:paraId="7DCFCEDE" w14:textId="77777777" w:rsidR="00C1563E" w:rsidRDefault="00C1563E"/>
    <w:p w14:paraId="7DCFCEDF" w14:textId="77777777" w:rsidR="00C1563E" w:rsidRDefault="000B648B">
      <w:r>
        <w:rPr>
          <w:rFonts w:ascii="Times New Roman" w:eastAsia="宋体" w:hAnsi="Times New Roman"/>
          <w:color w:val="000000"/>
          <w:sz w:val="20"/>
          <w:szCs w:val="20"/>
        </w:rPr>
        <w:t>We are involved in various claims, suits, investigations, and legal proceedings that arise from time to time in the ordinary course of business, as well as those that arose in connection with the Class V transaction, including t</w:t>
      </w:r>
      <w:r>
        <w:rPr>
          <w:rFonts w:ascii="Times New Roman" w:eastAsia="宋体" w:hAnsi="Times New Roman"/>
          <w:color w:val="000000"/>
          <w:sz w:val="20"/>
          <w:szCs w:val="20"/>
        </w:rPr>
        <w:t>hose described elsewhere in this report. Additional legal claims or regulatory matters affecting us and our subsidiaries may arise in the future and could involve stockholder, consumer, regulatory, compliance, intellectual property, antitrust, tax, and oth</w:t>
      </w:r>
      <w:r>
        <w:rPr>
          <w:rFonts w:ascii="Times New Roman" w:eastAsia="宋体" w:hAnsi="Times New Roman"/>
          <w:color w:val="000000"/>
          <w:sz w:val="20"/>
          <w:szCs w:val="20"/>
        </w:rPr>
        <w:t>er issues on a global basis. Litigation is inherently unpredictable. Regardless of the merits of a claim, litigation may be both time-consuming and disruptive to our business. We could incur judgments or enter into settlements of claims that could adversel</w:t>
      </w:r>
      <w:r>
        <w:rPr>
          <w:rFonts w:ascii="Times New Roman" w:eastAsia="宋体" w:hAnsi="Times New Roman"/>
          <w:color w:val="000000"/>
          <w:sz w:val="20"/>
          <w:szCs w:val="20"/>
        </w:rPr>
        <w:t>y affect our operating results or cash flows in a particular period. In addition, our business, operating results, and financial condition could be adversely affected if any infringement or other intellectual property claim made against us by any third par</w:t>
      </w:r>
      <w:r>
        <w:rPr>
          <w:rFonts w:ascii="Times New Roman" w:eastAsia="宋体" w:hAnsi="Times New Roman"/>
          <w:color w:val="000000"/>
          <w:sz w:val="20"/>
          <w:szCs w:val="20"/>
        </w:rPr>
        <w:t xml:space="preserve">ty is successful, or </w:t>
      </w:r>
    </w:p>
    <w:p w14:paraId="7DCFCEE0" w14:textId="77777777" w:rsidR="00C1563E" w:rsidRDefault="00C1563E">
      <w:pPr>
        <w:jc w:val="center"/>
      </w:pPr>
    </w:p>
    <w:p w14:paraId="7DCFCEE1" w14:textId="77777777" w:rsidR="00C1563E" w:rsidRDefault="000B648B">
      <w:pPr>
        <w:jc w:val="center"/>
      </w:pPr>
      <w:r>
        <w:rPr>
          <w:rFonts w:ascii="Times New Roman" w:eastAsia="宋体" w:hAnsi="Times New Roman"/>
          <w:color w:val="000000"/>
          <w:sz w:val="20"/>
          <w:szCs w:val="20"/>
        </w:rPr>
        <w:t>24</w:t>
      </w:r>
    </w:p>
    <w:p w14:paraId="7DCFCEE2" w14:textId="77777777" w:rsidR="00C1563E" w:rsidRDefault="00C1563E">
      <w:pPr>
        <w:jc w:val="center"/>
      </w:pPr>
    </w:p>
    <w:p w14:paraId="7DCFCEE3" w14:textId="77777777" w:rsidR="00C1563E" w:rsidRDefault="000B648B">
      <w:r>
        <w:pict w14:anchorId="7DD0257E">
          <v:rect id="_x0000_i1048" style="width:415.3pt;height:1.5pt" o:hralign="center" o:hrstd="t" o:hr="t" fillcolor="#a0a0a0" stroked="f"/>
        </w:pict>
      </w:r>
    </w:p>
    <w:p w14:paraId="7DCFCEE4" w14:textId="77777777" w:rsidR="00C1563E" w:rsidRDefault="000B648B">
      <w:hyperlink r:id="rId99" w:anchor="i418e32e4a35149ffbf7d3a25d66881b8_10" w:history="1">
        <w:r>
          <w:rPr>
            <w:rStyle w:val="a5"/>
            <w:rFonts w:ascii="Times New Roman" w:eastAsia="宋体" w:hAnsi="Times New Roman"/>
            <w:sz w:val="20"/>
            <w:szCs w:val="20"/>
          </w:rPr>
          <w:t>Table of Contents</w:t>
        </w:r>
      </w:hyperlink>
    </w:p>
    <w:p w14:paraId="7DCFCEE5" w14:textId="77777777" w:rsidR="00C1563E" w:rsidRDefault="000B648B">
      <w:r>
        <w:rPr>
          <w:rFonts w:ascii="Times New Roman" w:eastAsia="宋体" w:hAnsi="Times New Roman"/>
          <w:color w:val="000000"/>
          <w:sz w:val="20"/>
          <w:szCs w:val="20"/>
        </w:rPr>
        <w:t>if we fail to develop non-infringing technology or license the proprietary rights on</w:t>
      </w:r>
      <w:r>
        <w:rPr>
          <w:rFonts w:ascii="Times New Roman" w:eastAsia="宋体" w:hAnsi="Times New Roman"/>
          <w:color w:val="000000"/>
          <w:sz w:val="20"/>
          <w:szCs w:val="20"/>
        </w:rPr>
        <w:t xml:space="preserve"> commercially reasonable terms and conditions. </w:t>
      </w:r>
    </w:p>
    <w:p w14:paraId="7DCFCEE6" w14:textId="77777777" w:rsidR="00C1563E" w:rsidRDefault="00C1563E"/>
    <w:p w14:paraId="7DCFCEE7" w14:textId="77777777" w:rsidR="00C1563E" w:rsidRDefault="000B648B">
      <w:r>
        <w:rPr>
          <w:rFonts w:ascii="Times New Roman" w:eastAsia="宋体" w:hAnsi="Times New Roman"/>
          <w:b/>
          <w:bCs/>
          <w:color w:val="000000"/>
          <w:sz w:val="20"/>
          <w:szCs w:val="20"/>
        </w:rPr>
        <w:t xml:space="preserve">Compliance requirements of current or future environmental and safety laws, or other laws, may increase costs, expose us to potential liability and otherwise harm our business. </w:t>
      </w:r>
    </w:p>
    <w:p w14:paraId="7DCFCEE8" w14:textId="77777777" w:rsidR="00C1563E" w:rsidRDefault="00C1563E"/>
    <w:p w14:paraId="7DCFCEE9" w14:textId="77777777" w:rsidR="00C1563E" w:rsidRDefault="000B648B">
      <w:r>
        <w:rPr>
          <w:rFonts w:ascii="Times New Roman" w:eastAsia="宋体" w:hAnsi="Times New Roman"/>
          <w:color w:val="000000"/>
          <w:sz w:val="20"/>
          <w:szCs w:val="20"/>
        </w:rPr>
        <w:t>Our operations are subject t</w:t>
      </w:r>
      <w:r>
        <w:rPr>
          <w:rFonts w:ascii="Times New Roman" w:eastAsia="宋体" w:hAnsi="Times New Roman"/>
          <w:color w:val="000000"/>
          <w:sz w:val="20"/>
          <w:szCs w:val="20"/>
        </w:rPr>
        <w:t>o environmental and safety regulations in all areas in which we conduct business. Product design and procurement operations must comply with new and future requirements relating to climate change laws and regulations, materials composition, sourcing, energ</w:t>
      </w:r>
      <w:r>
        <w:rPr>
          <w:rFonts w:ascii="Times New Roman" w:eastAsia="宋体" w:hAnsi="Times New Roman"/>
          <w:color w:val="000000"/>
          <w:sz w:val="20"/>
          <w:szCs w:val="20"/>
        </w:rPr>
        <w:t>y efficiency and collection, recycling, treatment, transportation, and disposal of electronics products, including restrictions on mercury, lead, cadmium, lithium metal, lithium ion, and other substances. If we fail to comply with applicable rules and regu</w:t>
      </w:r>
      <w:r>
        <w:rPr>
          <w:rFonts w:ascii="Times New Roman" w:eastAsia="宋体" w:hAnsi="Times New Roman"/>
          <w:color w:val="000000"/>
          <w:sz w:val="20"/>
          <w:szCs w:val="20"/>
        </w:rPr>
        <w:t xml:space="preserve">lations regarding the transportation, source, use, and sale of such regulated substances, we could be subject to liability. The costs and timing of costs under environmental and safety laws are difficult to predict, but could have an adverse impact on our </w:t>
      </w:r>
      <w:r>
        <w:rPr>
          <w:rFonts w:ascii="Times New Roman" w:eastAsia="宋体" w:hAnsi="Times New Roman"/>
          <w:color w:val="000000"/>
          <w:sz w:val="20"/>
          <w:szCs w:val="20"/>
        </w:rPr>
        <w:t xml:space="preserve">business. </w:t>
      </w:r>
    </w:p>
    <w:p w14:paraId="7DCFCEEA" w14:textId="77777777" w:rsidR="00C1563E" w:rsidRDefault="00C1563E"/>
    <w:p w14:paraId="7DCFCEEB" w14:textId="77777777" w:rsidR="00C1563E" w:rsidRDefault="000B648B">
      <w:r>
        <w:rPr>
          <w:rFonts w:ascii="Times New Roman" w:eastAsia="宋体" w:hAnsi="Times New Roman"/>
          <w:color w:val="000000"/>
          <w:sz w:val="20"/>
          <w:szCs w:val="20"/>
        </w:rPr>
        <w:t>In addition, we and our subsidiaries are subject to various anti-corruption laws that prohibit improper payments or offers of payments to foreign governments and their officials for the purpose of obtaining or retaining business, and are also s</w:t>
      </w:r>
      <w:r>
        <w:rPr>
          <w:rFonts w:ascii="Times New Roman" w:eastAsia="宋体" w:hAnsi="Times New Roman"/>
          <w:color w:val="000000"/>
          <w:sz w:val="20"/>
          <w:szCs w:val="20"/>
        </w:rPr>
        <w:t>ubject to export controls, customs, economic sanctions laws, and embargoes imposed by the U.S. government. Violations of the Foreign Corrupt Practices Act or other anti-corruption laws or export control, customs, or economic sanctions laws may result in se</w:t>
      </w:r>
      <w:r>
        <w:rPr>
          <w:rFonts w:ascii="Times New Roman" w:eastAsia="宋体" w:hAnsi="Times New Roman"/>
          <w:color w:val="000000"/>
          <w:sz w:val="20"/>
          <w:szCs w:val="20"/>
        </w:rPr>
        <w:t xml:space="preserve">vere criminal or civil sanctions and penalties, and we and our subsidiaries may be subject to other liabilities which could have a material adverse effect on our business, results of operations, and financial condition. </w:t>
      </w:r>
    </w:p>
    <w:p w14:paraId="7DCFCEEC" w14:textId="77777777" w:rsidR="00C1563E" w:rsidRDefault="00C1563E"/>
    <w:p w14:paraId="7DCFCEED" w14:textId="77777777" w:rsidR="00C1563E" w:rsidRDefault="000B648B">
      <w:r>
        <w:rPr>
          <w:rFonts w:ascii="Times New Roman" w:eastAsia="宋体" w:hAnsi="Times New Roman"/>
          <w:color w:val="000000"/>
          <w:sz w:val="20"/>
          <w:szCs w:val="20"/>
        </w:rPr>
        <w:t>We are subject to provisions of th</w:t>
      </w:r>
      <w:r>
        <w:rPr>
          <w:rFonts w:ascii="Times New Roman" w:eastAsia="宋体" w:hAnsi="Times New Roman"/>
          <w:color w:val="000000"/>
          <w:sz w:val="20"/>
          <w:szCs w:val="20"/>
        </w:rPr>
        <w:t>e Dodd-Frank Wall Street Reform and Consumer Protection Act intended to improve transparency and accountability concerning the supply of minerals originating from the conflict zones of the Democratic Republic of the Congo or adjoining countries. We incur c</w:t>
      </w:r>
      <w:r>
        <w:rPr>
          <w:rFonts w:ascii="Times New Roman" w:eastAsia="宋体" w:hAnsi="Times New Roman"/>
          <w:color w:val="000000"/>
          <w:sz w:val="20"/>
          <w:szCs w:val="20"/>
        </w:rPr>
        <w:t>osts to comply with the disclosure requirements of this law and other costs relating to the sourcing and availability of minerals used in our products. Further, we may face reputational harm if our customers or other stakeholders conclude that we are unabl</w:t>
      </w:r>
      <w:r>
        <w:rPr>
          <w:rFonts w:ascii="Times New Roman" w:eastAsia="宋体" w:hAnsi="Times New Roman"/>
          <w:color w:val="000000"/>
          <w:sz w:val="20"/>
          <w:szCs w:val="20"/>
        </w:rPr>
        <w:t xml:space="preserve">e to sufficiently verify the origins of the minerals used in our products. </w:t>
      </w:r>
    </w:p>
    <w:p w14:paraId="7DCFCEEE" w14:textId="77777777" w:rsidR="00C1563E" w:rsidRDefault="00C1563E"/>
    <w:p w14:paraId="7DCFCEEF" w14:textId="77777777" w:rsidR="00C1563E" w:rsidRDefault="000B648B">
      <w:r>
        <w:rPr>
          <w:rFonts w:ascii="Times New Roman" w:eastAsia="宋体" w:hAnsi="Times New Roman"/>
          <w:b/>
          <w:bCs/>
          <w:color w:val="000000"/>
          <w:sz w:val="20"/>
          <w:szCs w:val="20"/>
        </w:rPr>
        <w:t xml:space="preserve">Armed hostilities, terrorism, natural disasters, climate change, or public health issues could harm our business. </w:t>
      </w:r>
    </w:p>
    <w:p w14:paraId="7DCFCEF0" w14:textId="77777777" w:rsidR="00C1563E" w:rsidRDefault="00C1563E"/>
    <w:p w14:paraId="7DCFCEF1" w14:textId="77777777" w:rsidR="00C1563E" w:rsidRDefault="000B648B">
      <w:r>
        <w:rPr>
          <w:rFonts w:ascii="Times New Roman" w:eastAsia="宋体" w:hAnsi="Times New Roman"/>
          <w:color w:val="000000"/>
          <w:sz w:val="20"/>
          <w:szCs w:val="20"/>
        </w:rPr>
        <w:t>Armed hostilities, terrorism, natural disasters, climate change or public health issues, whether in the United States or in other countries, could cause damage or disruption to us or our suppliers and customers, or could create political or economic instab</w:t>
      </w:r>
      <w:r>
        <w:rPr>
          <w:rFonts w:ascii="Times New Roman" w:eastAsia="宋体" w:hAnsi="Times New Roman"/>
          <w:color w:val="000000"/>
          <w:sz w:val="20"/>
          <w:szCs w:val="20"/>
        </w:rPr>
        <w:t>ility, any of which could harm our business. For example, tornadoes in Tennessee, wildfires in California, and typhoons in the Phillipines disrupted our operations in those areas in recent periods. Any such events in the future could cause a decrease in de</w:t>
      </w:r>
      <w:r>
        <w:rPr>
          <w:rFonts w:ascii="Times New Roman" w:eastAsia="宋体" w:hAnsi="Times New Roman"/>
          <w:color w:val="000000"/>
          <w:sz w:val="20"/>
          <w:szCs w:val="20"/>
        </w:rPr>
        <w:t xml:space="preserve">mand for our products, make it difficult or impossible to deliver products or for suppliers to deliver components, and create delays and inefficiencies in our supply chain. </w:t>
      </w:r>
    </w:p>
    <w:p w14:paraId="7DCFCEF2" w14:textId="77777777" w:rsidR="00C1563E" w:rsidRDefault="00C1563E"/>
    <w:p w14:paraId="7DCFCEF3" w14:textId="77777777" w:rsidR="00C1563E" w:rsidRDefault="000B648B">
      <w:r>
        <w:rPr>
          <w:rFonts w:ascii="Times New Roman" w:eastAsia="宋体" w:hAnsi="Times New Roman"/>
          <w:color w:val="000000"/>
          <w:sz w:val="20"/>
          <w:szCs w:val="20"/>
        </w:rPr>
        <w:t>The long-term effects of climate change on the technology industry and the global</w:t>
      </w:r>
      <w:r>
        <w:rPr>
          <w:rFonts w:ascii="Times New Roman" w:eastAsia="宋体" w:hAnsi="Times New Roman"/>
          <w:color w:val="000000"/>
          <w:sz w:val="20"/>
          <w:szCs w:val="20"/>
        </w:rPr>
        <w:t xml:space="preserve"> economy are unclear. Climate change could result in certain types of natural disasters occurring more frequently or with more intensity. Such events could affect our ability to provide services and solutions to our customers and could result in reductions</w:t>
      </w:r>
      <w:r>
        <w:rPr>
          <w:rFonts w:ascii="Times New Roman" w:eastAsia="宋体" w:hAnsi="Times New Roman"/>
          <w:color w:val="000000"/>
          <w:sz w:val="20"/>
          <w:szCs w:val="20"/>
        </w:rPr>
        <w:t xml:space="preserve"> in sales, earnings, or productivity resulting from such potential impacts as production delays or limitations, adverse effects on distributors, supply chain disruptions, and reduced access to facilities.</w:t>
      </w:r>
    </w:p>
    <w:p w14:paraId="7DCFCEF4" w14:textId="77777777" w:rsidR="00C1563E" w:rsidRDefault="00C1563E"/>
    <w:p w14:paraId="7DCFCEF5" w14:textId="77777777" w:rsidR="00C1563E" w:rsidRDefault="000B648B">
      <w:r>
        <w:rPr>
          <w:rFonts w:ascii="Times New Roman" w:eastAsia="宋体" w:hAnsi="Times New Roman"/>
          <w:b/>
          <w:bCs/>
          <w:color w:val="000000"/>
          <w:sz w:val="20"/>
          <w:szCs w:val="20"/>
        </w:rPr>
        <w:t>We are highly dependent on the services of Michael</w:t>
      </w:r>
      <w:r>
        <w:rPr>
          <w:rFonts w:ascii="Times New Roman" w:eastAsia="宋体" w:hAnsi="Times New Roman"/>
          <w:b/>
          <w:bCs/>
          <w:color w:val="000000"/>
          <w:sz w:val="20"/>
          <w:szCs w:val="20"/>
        </w:rPr>
        <w:t xml:space="preserve"> S. Dell, our Chief Executive Officer, and our success depends on the ability to attract, retain, and motivate key employees. </w:t>
      </w:r>
    </w:p>
    <w:p w14:paraId="7DCFCEF6" w14:textId="77777777" w:rsidR="00C1563E" w:rsidRDefault="00C1563E"/>
    <w:p w14:paraId="7DCFCEF7" w14:textId="77777777" w:rsidR="00C1563E" w:rsidRDefault="000B648B">
      <w:r>
        <w:rPr>
          <w:rFonts w:ascii="Times New Roman" w:eastAsia="宋体" w:hAnsi="Times New Roman"/>
          <w:color w:val="000000"/>
          <w:sz w:val="20"/>
          <w:szCs w:val="20"/>
        </w:rPr>
        <w:t>We are highly dependent on the services of Michael S. Dell, our founder, Chief Executive Officer, and largest stockholder. If we</w:t>
      </w:r>
      <w:r>
        <w:rPr>
          <w:rFonts w:ascii="Times New Roman" w:eastAsia="宋体" w:hAnsi="Times New Roman"/>
          <w:color w:val="000000"/>
          <w:sz w:val="20"/>
          <w:szCs w:val="20"/>
        </w:rPr>
        <w:t xml:space="preserve"> lose the services of Mr. Dell, we may not be able to locate a suitable or qualified replacement, and we may incur additional expenses to recruit a replacement, which could severely disrupt our business and growth. Further, we rely on key personnel, includ</w:t>
      </w:r>
      <w:r>
        <w:rPr>
          <w:rFonts w:ascii="Times New Roman" w:eastAsia="宋体" w:hAnsi="Times New Roman"/>
          <w:color w:val="000000"/>
          <w:sz w:val="20"/>
          <w:szCs w:val="20"/>
        </w:rPr>
        <w:t>ing other members of our executive leadership team, to support our business and increasingly complex product and services offerings. We may not be able to attract, retain, and motivate the key professional, technical, marketing, and staff resources needed.</w:t>
      </w:r>
      <w:r>
        <w:rPr>
          <w:rFonts w:ascii="Times New Roman" w:eastAsia="宋体" w:hAnsi="Times New Roman"/>
          <w:color w:val="000000"/>
          <w:sz w:val="20"/>
          <w:szCs w:val="20"/>
        </w:rPr>
        <w:t xml:space="preserve"> </w:t>
      </w:r>
    </w:p>
    <w:p w14:paraId="7DCFCEF8" w14:textId="77777777" w:rsidR="00C1563E" w:rsidRDefault="00C1563E"/>
    <w:p w14:paraId="7DCFCEF9" w14:textId="77777777" w:rsidR="00C1563E" w:rsidRDefault="00C1563E"/>
    <w:p w14:paraId="7DCFCEFA" w14:textId="77777777" w:rsidR="00C1563E" w:rsidRDefault="00C1563E">
      <w:pPr>
        <w:jc w:val="center"/>
      </w:pPr>
    </w:p>
    <w:p w14:paraId="7DCFCEFB" w14:textId="77777777" w:rsidR="00C1563E" w:rsidRDefault="000B648B">
      <w:pPr>
        <w:jc w:val="center"/>
      </w:pPr>
      <w:r>
        <w:rPr>
          <w:rFonts w:ascii="Times New Roman" w:eastAsia="宋体" w:hAnsi="Times New Roman"/>
          <w:color w:val="000000"/>
          <w:sz w:val="20"/>
          <w:szCs w:val="20"/>
        </w:rPr>
        <w:t>25</w:t>
      </w:r>
    </w:p>
    <w:p w14:paraId="7DCFCEFC" w14:textId="77777777" w:rsidR="00C1563E" w:rsidRDefault="00C1563E">
      <w:pPr>
        <w:jc w:val="center"/>
      </w:pPr>
    </w:p>
    <w:p w14:paraId="7DCFCEFD" w14:textId="77777777" w:rsidR="00C1563E" w:rsidRDefault="000B648B">
      <w:r>
        <w:pict w14:anchorId="7DD0257F">
          <v:rect id="_x0000_i1049" style="width:415.3pt;height:1.5pt" o:hralign="center" o:hrstd="t" o:hr="t" fillcolor="#a0a0a0" stroked="f"/>
        </w:pict>
      </w:r>
    </w:p>
    <w:p w14:paraId="7DCFCEFE" w14:textId="77777777" w:rsidR="00C1563E" w:rsidRDefault="000B648B">
      <w:hyperlink r:id="rId100" w:anchor="i418e32e4a35149ffbf7d3a25d66881b8_10" w:history="1">
        <w:r>
          <w:rPr>
            <w:rStyle w:val="a5"/>
            <w:rFonts w:ascii="Times New Roman" w:eastAsia="宋体" w:hAnsi="Times New Roman"/>
            <w:sz w:val="20"/>
            <w:szCs w:val="20"/>
          </w:rPr>
          <w:t>Table of Contents</w:t>
        </w:r>
      </w:hyperlink>
    </w:p>
    <w:p w14:paraId="7DCFCEFF" w14:textId="77777777" w:rsidR="00C1563E" w:rsidRDefault="000B648B">
      <w:r>
        <w:rPr>
          <w:rFonts w:ascii="Times New Roman" w:eastAsia="宋体" w:hAnsi="Times New Roman"/>
          <w:b/>
          <w:bCs/>
          <w:color w:val="000000"/>
          <w:sz w:val="20"/>
          <w:szCs w:val="20"/>
        </w:rPr>
        <w:t>Our level of indebtedness could adversely affect our financial condition.</w:t>
      </w:r>
      <w:r>
        <w:rPr>
          <w:rFonts w:ascii="Times New Roman" w:eastAsia="宋体" w:hAnsi="Times New Roman"/>
          <w:b/>
          <w:bCs/>
          <w:color w:val="000000"/>
          <w:sz w:val="20"/>
          <w:szCs w:val="20"/>
        </w:rPr>
        <w:t xml:space="preserve"> </w:t>
      </w:r>
    </w:p>
    <w:p w14:paraId="7DCFCF00" w14:textId="77777777" w:rsidR="00C1563E" w:rsidRDefault="00C1563E"/>
    <w:p w14:paraId="7DCFCF01" w14:textId="77777777" w:rsidR="00C1563E" w:rsidRDefault="000B648B">
      <w:r>
        <w:rPr>
          <w:rFonts w:ascii="Times New Roman" w:eastAsia="宋体" w:hAnsi="Times New Roman"/>
          <w:color w:val="000000"/>
          <w:sz w:val="20"/>
          <w:szCs w:val="20"/>
        </w:rPr>
        <w:t>While we continue to prioritize debt paydown as part of our overall capital allocation strategy, our level of indebtedness requires significant interest and other debt service payments. As of January 29, 2021, we and our subsidiaries had approximately $</w:t>
      </w:r>
      <w:r>
        <w:rPr>
          <w:rFonts w:ascii="Times New Roman" w:eastAsia="宋体" w:hAnsi="Times New Roman"/>
          <w:color w:val="000000"/>
          <w:sz w:val="20"/>
          <w:szCs w:val="20"/>
        </w:rPr>
        <w:t xml:space="preserve">48.5 billion aggregate principal amount of indebtedness. As of the same date, we and our subsidiaries also had an additional $5.5 billion available for borrowing under our revolving credit facilities. </w:t>
      </w:r>
    </w:p>
    <w:p w14:paraId="7DCFCF02" w14:textId="77777777" w:rsidR="00C1563E" w:rsidRDefault="00C1563E"/>
    <w:p w14:paraId="7DCFCF03" w14:textId="77777777" w:rsidR="00C1563E" w:rsidRDefault="000B648B">
      <w:r>
        <w:rPr>
          <w:rFonts w:ascii="Times New Roman" w:eastAsia="宋体" w:hAnsi="Times New Roman"/>
          <w:color w:val="000000"/>
          <w:sz w:val="20"/>
          <w:szCs w:val="20"/>
        </w:rPr>
        <w:t>Our level of indebtedness could have important conseq</w:t>
      </w:r>
      <w:r>
        <w:rPr>
          <w:rFonts w:ascii="Times New Roman" w:eastAsia="宋体" w:hAnsi="Times New Roman"/>
          <w:color w:val="000000"/>
          <w:sz w:val="20"/>
          <w:szCs w:val="20"/>
        </w:rPr>
        <w:t xml:space="preserve">uences, including the following: </w:t>
      </w:r>
    </w:p>
    <w:p w14:paraId="7DCFCF04" w14:textId="77777777" w:rsidR="00C1563E" w:rsidRDefault="00C1563E"/>
    <w:p w14:paraId="7DCFCF05" w14:textId="77777777" w:rsidR="00C1563E" w:rsidRDefault="000B648B">
      <w:pPr>
        <w:ind w:hanging="360"/>
      </w:pPr>
      <w:r>
        <w:rPr>
          <w:rFonts w:ascii="Times New Roman" w:eastAsia="宋体" w:hAnsi="Times New Roman"/>
          <w:color w:val="000000"/>
          <w:sz w:val="20"/>
          <w:szCs w:val="20"/>
        </w:rPr>
        <w:t>•we must use a significant portion of our cash flow from operations to pay interest and principal on our senior credit facilities, our senior secured and senior unsecured notes, and our other indebtedness, which reduces f</w:t>
      </w:r>
      <w:r>
        <w:rPr>
          <w:rFonts w:ascii="Times New Roman" w:eastAsia="宋体" w:hAnsi="Times New Roman"/>
          <w:color w:val="000000"/>
          <w:sz w:val="20"/>
          <w:szCs w:val="20"/>
        </w:rPr>
        <w:t xml:space="preserve">unds available to us for other purposes such as working capital, capital expenditures, other general corporate purposes, and potential acquisitions; </w:t>
      </w:r>
    </w:p>
    <w:p w14:paraId="7DCFCF06" w14:textId="77777777" w:rsidR="00C1563E" w:rsidRDefault="00C1563E"/>
    <w:p w14:paraId="7DCFCF07" w14:textId="77777777" w:rsidR="00C1563E" w:rsidRDefault="000B648B">
      <w:pPr>
        <w:ind w:hanging="360"/>
      </w:pPr>
      <w:r>
        <w:rPr>
          <w:rFonts w:ascii="Times New Roman" w:eastAsia="宋体" w:hAnsi="Times New Roman"/>
          <w:color w:val="000000"/>
          <w:sz w:val="20"/>
          <w:szCs w:val="20"/>
        </w:rPr>
        <w:t>•our ability to refinance such indebtedness or to obtain additional financing for working capital, capita</w:t>
      </w:r>
      <w:r>
        <w:rPr>
          <w:rFonts w:ascii="Times New Roman" w:eastAsia="宋体" w:hAnsi="Times New Roman"/>
          <w:color w:val="000000"/>
          <w:sz w:val="20"/>
          <w:szCs w:val="20"/>
        </w:rPr>
        <w:t xml:space="preserve">l expenditures, acquisitions, or other general corporate purposes may be impaired; </w:t>
      </w:r>
    </w:p>
    <w:p w14:paraId="7DCFCF08" w14:textId="77777777" w:rsidR="00C1563E" w:rsidRDefault="00C1563E"/>
    <w:p w14:paraId="7DCFCF09" w14:textId="77777777" w:rsidR="00C1563E" w:rsidRDefault="000B648B">
      <w:pPr>
        <w:ind w:hanging="360"/>
      </w:pPr>
      <w:r>
        <w:rPr>
          <w:rFonts w:ascii="Times New Roman" w:eastAsia="宋体" w:hAnsi="Times New Roman"/>
          <w:color w:val="000000"/>
          <w:sz w:val="20"/>
          <w:szCs w:val="20"/>
        </w:rPr>
        <w:t xml:space="preserve">•we are exposed to fluctuations in interest rates because our senior credit facilities have variable rates of interest; </w:t>
      </w:r>
    </w:p>
    <w:p w14:paraId="7DCFCF0A" w14:textId="77777777" w:rsidR="00C1563E" w:rsidRDefault="00C1563E"/>
    <w:p w14:paraId="7DCFCF0B" w14:textId="77777777" w:rsidR="00C1563E" w:rsidRDefault="000B648B">
      <w:pPr>
        <w:ind w:hanging="360"/>
      </w:pPr>
      <w:r>
        <w:rPr>
          <w:rFonts w:ascii="Times New Roman" w:eastAsia="宋体" w:hAnsi="Times New Roman"/>
          <w:color w:val="000000"/>
          <w:sz w:val="20"/>
          <w:szCs w:val="20"/>
        </w:rPr>
        <w:t>•our level of indebtedness may be greater than th</w:t>
      </w:r>
      <w:r>
        <w:rPr>
          <w:rFonts w:ascii="Times New Roman" w:eastAsia="宋体" w:hAnsi="Times New Roman"/>
          <w:color w:val="000000"/>
          <w:sz w:val="20"/>
          <w:szCs w:val="20"/>
        </w:rPr>
        <w:t xml:space="preserve">at of some of our competitors, which may put us at a competitive disadvantage and reduce our flexibility in responding to current and changing industry and financial market conditions; and </w:t>
      </w:r>
    </w:p>
    <w:p w14:paraId="7DCFCF0C" w14:textId="77777777" w:rsidR="00C1563E" w:rsidRDefault="00C1563E"/>
    <w:p w14:paraId="7DCFCF0D" w14:textId="77777777" w:rsidR="00C1563E" w:rsidRDefault="000B648B">
      <w:pPr>
        <w:ind w:hanging="360"/>
      </w:pPr>
      <w:r>
        <w:rPr>
          <w:rFonts w:ascii="Times New Roman" w:eastAsia="宋体" w:hAnsi="Times New Roman"/>
          <w:color w:val="000000"/>
          <w:sz w:val="20"/>
          <w:szCs w:val="20"/>
        </w:rPr>
        <w:t>•we may be unable to comply with financial and other restrictive covenants in our senior credit facilities, our senior notes, and other indebtedness that limit our ability to incur additional debt, make investments and sell assets, which could result in an</w:t>
      </w:r>
      <w:r>
        <w:rPr>
          <w:rFonts w:ascii="Times New Roman" w:eastAsia="宋体" w:hAnsi="Times New Roman"/>
          <w:color w:val="000000"/>
          <w:sz w:val="20"/>
          <w:szCs w:val="20"/>
        </w:rPr>
        <w:t xml:space="preserve"> event of default that, if not cured or waived, would have an adverse effect on our business and prospects and could force it into bankruptcy or liquidation. </w:t>
      </w:r>
    </w:p>
    <w:p w14:paraId="7DCFCF0E" w14:textId="77777777" w:rsidR="00C1563E" w:rsidRDefault="00C1563E"/>
    <w:p w14:paraId="7DCFCF0F" w14:textId="77777777" w:rsidR="00C1563E" w:rsidRDefault="000B648B">
      <w:r>
        <w:rPr>
          <w:rFonts w:ascii="Times New Roman" w:eastAsia="宋体" w:hAnsi="Times New Roman"/>
          <w:color w:val="000000"/>
          <w:sz w:val="20"/>
          <w:szCs w:val="20"/>
        </w:rPr>
        <w:t xml:space="preserve">We and our subsidiaries may be able to incur substantial additional indebtedness in the future, </w:t>
      </w:r>
      <w:r>
        <w:rPr>
          <w:rFonts w:ascii="Times New Roman" w:eastAsia="宋体" w:hAnsi="Times New Roman"/>
          <w:color w:val="000000"/>
          <w:sz w:val="20"/>
          <w:szCs w:val="20"/>
        </w:rPr>
        <w:t>subject to the restrictions contained in our and our subsidiaries’ credit facilities and the indentures that govern the senior notes. If new indebtedness is added to the debt levels of us and our subsidiaries, the related risks that we now face could inten</w:t>
      </w:r>
      <w:r>
        <w:rPr>
          <w:rFonts w:ascii="Times New Roman" w:eastAsia="宋体" w:hAnsi="Times New Roman"/>
          <w:color w:val="000000"/>
          <w:sz w:val="20"/>
          <w:szCs w:val="20"/>
        </w:rPr>
        <w:t>sify. Our ability to access additional funding under existing revolving credit facilities will depend upon, among other factors, the absence of a default under any such facility, including any default arising from a failure to comply with the related coven</w:t>
      </w:r>
      <w:r>
        <w:rPr>
          <w:rFonts w:ascii="Times New Roman" w:eastAsia="宋体" w:hAnsi="Times New Roman"/>
          <w:color w:val="000000"/>
          <w:sz w:val="20"/>
          <w:szCs w:val="20"/>
        </w:rPr>
        <w:t xml:space="preserve">ants. If we are unable to comply with our covenants under our revolving credit facilities, our liquidity may be adversely affected. </w:t>
      </w:r>
    </w:p>
    <w:p w14:paraId="7DCFCF10" w14:textId="77777777" w:rsidR="00C1563E" w:rsidRDefault="00C1563E"/>
    <w:p w14:paraId="7DCFCF11" w14:textId="77777777" w:rsidR="00C1563E" w:rsidRDefault="000B648B">
      <w:r>
        <w:rPr>
          <w:rFonts w:ascii="Times New Roman" w:eastAsia="宋体" w:hAnsi="Times New Roman"/>
          <w:color w:val="000000"/>
          <w:sz w:val="20"/>
          <w:szCs w:val="20"/>
        </w:rPr>
        <w:t>From time to time, when we believe it is advantageous to do so, we may seek to reduce leverage by repaying or retiring certain of our indebtedness before the maturity dates of such indebtedness. We may be unable to generate operating cash flows and other c</w:t>
      </w:r>
      <w:r>
        <w:rPr>
          <w:rFonts w:ascii="Times New Roman" w:eastAsia="宋体" w:hAnsi="Times New Roman"/>
          <w:color w:val="000000"/>
          <w:sz w:val="20"/>
          <w:szCs w:val="20"/>
        </w:rPr>
        <w:t xml:space="preserve">ash necessary to achieve a level of debt reduction that will significantly enhance our credit quality and reduce the risks associated with our indebtedness. </w:t>
      </w:r>
    </w:p>
    <w:p w14:paraId="7DCFCF12" w14:textId="77777777" w:rsidR="00C1563E" w:rsidRDefault="00C1563E"/>
    <w:p w14:paraId="7DCFCF13" w14:textId="77777777" w:rsidR="00C1563E" w:rsidRDefault="000B648B">
      <w:r>
        <w:rPr>
          <w:rFonts w:ascii="Times New Roman" w:eastAsia="宋体" w:hAnsi="Times New Roman"/>
          <w:color w:val="000000"/>
          <w:sz w:val="20"/>
          <w:szCs w:val="20"/>
        </w:rPr>
        <w:t>As of January 29, 2021, approximately $11.3 billion of our debt was variable-rate indebtedness an</w:t>
      </w:r>
      <w:r>
        <w:rPr>
          <w:rFonts w:ascii="Times New Roman" w:eastAsia="宋体" w:hAnsi="Times New Roman"/>
          <w:color w:val="000000"/>
          <w:sz w:val="20"/>
          <w:szCs w:val="20"/>
        </w:rPr>
        <w:t>d a 100 basis point increase in interest rates would have resulted in an increase of approximately $93 million in annual interest expense on such indebtedness. Our ability to meet our expenses, to remain in compliance with our covenants under our debt inst</w:t>
      </w:r>
      <w:r>
        <w:rPr>
          <w:rFonts w:ascii="Times New Roman" w:eastAsia="宋体" w:hAnsi="Times New Roman"/>
          <w:color w:val="000000"/>
          <w:sz w:val="20"/>
          <w:szCs w:val="20"/>
        </w:rPr>
        <w:t>ruments and to make future principal and interest payments in respect of our indebtedness depends on, among other factors, our operating performance, competitive developments, and financial market conditions, all of which are significantly affected by fina</w:t>
      </w:r>
      <w:r>
        <w:rPr>
          <w:rFonts w:ascii="Times New Roman" w:eastAsia="宋体" w:hAnsi="Times New Roman"/>
          <w:color w:val="000000"/>
          <w:sz w:val="20"/>
          <w:szCs w:val="20"/>
        </w:rPr>
        <w:t xml:space="preserve">ncial, business, economic, and other factors. We are not able to control many of these factors. </w:t>
      </w:r>
    </w:p>
    <w:p w14:paraId="7DCFCF14" w14:textId="77777777" w:rsidR="00C1563E" w:rsidRDefault="00C1563E"/>
    <w:p w14:paraId="7DCFCF15" w14:textId="77777777" w:rsidR="00C1563E" w:rsidRDefault="000B648B">
      <w:r>
        <w:rPr>
          <w:rFonts w:ascii="Times New Roman" w:eastAsia="宋体" w:hAnsi="Times New Roman"/>
          <w:color w:val="000000"/>
          <w:sz w:val="20"/>
          <w:szCs w:val="20"/>
        </w:rPr>
        <w:t>Our current outstanding variable-rate indebtedness uses the London Interbank Offered Rate (“LIBOR”) as a benchmark for establishing the interest rate. LIBOR i</w:t>
      </w:r>
      <w:r>
        <w:rPr>
          <w:rFonts w:ascii="Times New Roman" w:eastAsia="宋体" w:hAnsi="Times New Roman"/>
          <w:color w:val="000000"/>
          <w:sz w:val="20"/>
          <w:szCs w:val="20"/>
        </w:rPr>
        <w:t>s the subject of recent national, international, and other regulatory guidance and proposals for reform. As result of these reforms, LIBOR is expected to be phased out starting on January 1, 2022 for the one-week and two-month USD LIBOR settings and starti</w:t>
      </w:r>
      <w:r>
        <w:rPr>
          <w:rFonts w:ascii="Times New Roman" w:eastAsia="宋体" w:hAnsi="Times New Roman"/>
          <w:color w:val="000000"/>
          <w:sz w:val="20"/>
          <w:szCs w:val="20"/>
        </w:rPr>
        <w:t>ng on July 1, 2023 for the remaining USD LIBOR settings. Alternatives to LIBOR may perform differently than in the past. We are in the process of amending relevant agreements based on LIBOR, but we cannot predict what alternative index will be negotiated w</w:t>
      </w:r>
      <w:r>
        <w:rPr>
          <w:rFonts w:ascii="Times New Roman" w:eastAsia="宋体" w:hAnsi="Times New Roman"/>
          <w:color w:val="000000"/>
          <w:sz w:val="20"/>
          <w:szCs w:val="20"/>
        </w:rPr>
        <w:t>ith our counterparties. As a result, our interest expense could increase and our available cash flow for general corporate requirements may be adversely affected. In addition, uncertainty as to the nature of a potential discontinuance, modification, altern</w:t>
      </w:r>
      <w:r>
        <w:rPr>
          <w:rFonts w:ascii="Times New Roman" w:eastAsia="宋体" w:hAnsi="Times New Roman"/>
          <w:color w:val="000000"/>
          <w:sz w:val="20"/>
          <w:szCs w:val="20"/>
        </w:rPr>
        <w:t xml:space="preserve">ative reference rates or other reforms may materially adversely </w:t>
      </w:r>
    </w:p>
    <w:p w14:paraId="7DCFCF16" w14:textId="77777777" w:rsidR="00C1563E" w:rsidRDefault="00C1563E">
      <w:pPr>
        <w:jc w:val="center"/>
      </w:pPr>
    </w:p>
    <w:p w14:paraId="7DCFCF17" w14:textId="77777777" w:rsidR="00C1563E" w:rsidRDefault="000B648B">
      <w:pPr>
        <w:jc w:val="center"/>
      </w:pPr>
      <w:r>
        <w:rPr>
          <w:rFonts w:ascii="Times New Roman" w:eastAsia="宋体" w:hAnsi="Times New Roman"/>
          <w:color w:val="000000"/>
          <w:sz w:val="20"/>
          <w:szCs w:val="20"/>
        </w:rPr>
        <w:t>26</w:t>
      </w:r>
    </w:p>
    <w:p w14:paraId="7DCFCF18" w14:textId="77777777" w:rsidR="00C1563E" w:rsidRDefault="00C1563E">
      <w:pPr>
        <w:jc w:val="center"/>
      </w:pPr>
    </w:p>
    <w:p w14:paraId="7DCFCF19" w14:textId="77777777" w:rsidR="00C1563E" w:rsidRDefault="000B648B">
      <w:r>
        <w:pict w14:anchorId="7DD02580">
          <v:rect id="_x0000_i1050" style="width:415.3pt;height:1.5pt" o:hralign="center" o:hrstd="t" o:hr="t" fillcolor="#a0a0a0" stroked="f"/>
        </w:pict>
      </w:r>
    </w:p>
    <w:p w14:paraId="7DCFCF1A" w14:textId="77777777" w:rsidR="00C1563E" w:rsidRDefault="000B648B">
      <w:hyperlink r:id="rId101" w:anchor="i418e32e4a35149ffbf7d3a25d66881b8_10" w:history="1">
        <w:r>
          <w:rPr>
            <w:rStyle w:val="a5"/>
            <w:rFonts w:ascii="Times New Roman" w:eastAsia="宋体" w:hAnsi="Times New Roman"/>
            <w:sz w:val="20"/>
            <w:szCs w:val="20"/>
          </w:rPr>
          <w:t>Table of Contents</w:t>
        </w:r>
      </w:hyperlink>
    </w:p>
    <w:p w14:paraId="7DCFCF1B" w14:textId="77777777" w:rsidR="00C1563E" w:rsidRDefault="000B648B">
      <w:r>
        <w:rPr>
          <w:rFonts w:ascii="Times New Roman" w:eastAsia="宋体" w:hAnsi="Times New Roman"/>
          <w:color w:val="000000"/>
          <w:sz w:val="20"/>
          <w:szCs w:val="20"/>
        </w:rPr>
        <w:t>affect the t</w:t>
      </w:r>
      <w:r>
        <w:rPr>
          <w:rFonts w:ascii="Times New Roman" w:eastAsia="宋体" w:hAnsi="Times New Roman"/>
          <w:color w:val="000000"/>
          <w:sz w:val="20"/>
          <w:szCs w:val="20"/>
        </w:rPr>
        <w:t>rading market for securities linked to such benchmarks. We, however, cannot predict the timing of these developments or their impact on our indebtedness or financial condition.</w:t>
      </w:r>
    </w:p>
    <w:p w14:paraId="7DCFCF1C" w14:textId="77777777" w:rsidR="00C1563E" w:rsidRDefault="00C1563E"/>
    <w:p w14:paraId="7DCFCF1D" w14:textId="77777777" w:rsidR="00C1563E" w:rsidRDefault="000B648B">
      <w:r>
        <w:rPr>
          <w:rFonts w:ascii="Times New Roman" w:eastAsia="宋体" w:hAnsi="Times New Roman"/>
          <w:b/>
          <w:bCs/>
          <w:color w:val="000000"/>
          <w:sz w:val="20"/>
          <w:szCs w:val="20"/>
        </w:rPr>
        <w:t xml:space="preserve">Our financial performance is affected by the financial performance of VMware, </w:t>
      </w:r>
      <w:r>
        <w:rPr>
          <w:rFonts w:ascii="Times New Roman" w:eastAsia="宋体" w:hAnsi="Times New Roman"/>
          <w:b/>
          <w:bCs/>
          <w:color w:val="000000"/>
          <w:sz w:val="20"/>
          <w:szCs w:val="20"/>
        </w:rPr>
        <w:t xml:space="preserve">Inc. </w:t>
      </w:r>
    </w:p>
    <w:p w14:paraId="7DCFCF1E" w14:textId="77777777" w:rsidR="00C1563E" w:rsidRDefault="00C1563E"/>
    <w:p w14:paraId="7DCFCF1F" w14:textId="77777777" w:rsidR="00C1563E" w:rsidRDefault="000B648B">
      <w:r>
        <w:rPr>
          <w:rFonts w:ascii="Times New Roman" w:eastAsia="宋体" w:hAnsi="Times New Roman"/>
          <w:color w:val="000000"/>
          <w:sz w:val="20"/>
          <w:szCs w:val="20"/>
        </w:rPr>
        <w:t>We consolidate the financial results of VMware, Inc., a publicly traded subsidiary, in our results of operations. Certain adjustments and eliminations are required to reconcile VMware, Inc.’s standalone financial results to the VMware reportable seg</w:t>
      </w:r>
      <w:r>
        <w:rPr>
          <w:rFonts w:ascii="Times New Roman" w:eastAsia="宋体" w:hAnsi="Times New Roman"/>
          <w:color w:val="000000"/>
          <w:sz w:val="20"/>
          <w:szCs w:val="20"/>
        </w:rPr>
        <w:t>ment financial results consolidated in our results of operations. Such adjustments and eliminations primarily consist of intercompany sales and allocated expenses, as well as expenses that are excluded from the VMware reportable segment, such as amortizati</w:t>
      </w:r>
      <w:r>
        <w:rPr>
          <w:rFonts w:ascii="Times New Roman" w:eastAsia="宋体" w:hAnsi="Times New Roman"/>
          <w:color w:val="000000"/>
          <w:sz w:val="20"/>
          <w:szCs w:val="20"/>
        </w:rPr>
        <w:t xml:space="preserve">on of intangible assets, stock-based compensation expense, severance, and integration and acquisition-related costs. For the fiscal year ended January 29, 2021, VMware reportable segment net revenue accounted for 13% of Dell Technologies’ total reportable </w:t>
      </w:r>
      <w:r>
        <w:rPr>
          <w:rFonts w:ascii="Times New Roman" w:eastAsia="宋体" w:hAnsi="Times New Roman"/>
          <w:color w:val="000000"/>
          <w:sz w:val="20"/>
          <w:szCs w:val="20"/>
        </w:rPr>
        <w:t>segment net revenue, and VMware reportable segment operating income accounted for 33% of Dell Technologies’ total reportable segment operating income. As a result, our financial performance is affected by the financial performance of VMware, Inc. and by th</w:t>
      </w:r>
      <w:r>
        <w:rPr>
          <w:rFonts w:ascii="Times New Roman" w:eastAsia="宋体" w:hAnsi="Times New Roman"/>
          <w:color w:val="000000"/>
          <w:sz w:val="20"/>
          <w:szCs w:val="20"/>
        </w:rPr>
        <w:t>e risks and uncertainties that could materially adversely affect VMware, Inc.’s business, operating results, financial condition or prospects. See Note 19 of the Notes to the Consolidated Financial Statements included in this report for a reconciliation of</w:t>
      </w:r>
      <w:r>
        <w:rPr>
          <w:rFonts w:ascii="Times New Roman" w:eastAsia="宋体" w:hAnsi="Times New Roman"/>
          <w:color w:val="000000"/>
          <w:sz w:val="20"/>
          <w:szCs w:val="20"/>
        </w:rPr>
        <w:t xml:space="preserve"> reportable segment results to consolidated results.</w:t>
      </w:r>
    </w:p>
    <w:p w14:paraId="7DCFCF20" w14:textId="77777777" w:rsidR="00C1563E" w:rsidRDefault="00C1563E"/>
    <w:p w14:paraId="7DCFCF21" w14:textId="77777777" w:rsidR="00C1563E" w:rsidRDefault="000B648B">
      <w:r>
        <w:rPr>
          <w:rFonts w:ascii="Times New Roman" w:eastAsia="宋体" w:hAnsi="Times New Roman"/>
          <w:b/>
          <w:bCs/>
          <w:color w:val="000000"/>
          <w:sz w:val="20"/>
          <w:szCs w:val="20"/>
        </w:rPr>
        <w:t xml:space="preserve">Risks Relating to Ownership of Our Class C Common Stock </w:t>
      </w:r>
    </w:p>
    <w:p w14:paraId="7DCFCF22" w14:textId="77777777" w:rsidR="00C1563E" w:rsidRDefault="000B648B">
      <w:pPr>
        <w:spacing w:before="240"/>
      </w:pPr>
      <w:r>
        <w:rPr>
          <w:rFonts w:ascii="Times New Roman" w:eastAsia="宋体" w:hAnsi="Times New Roman"/>
          <w:b/>
          <w:bCs/>
          <w:color w:val="000000"/>
          <w:sz w:val="20"/>
          <w:szCs w:val="20"/>
        </w:rPr>
        <w:t xml:space="preserve">Our multi-class common stock structure with different voting rights may adversely affect the trading price of the Class C Common Stock. </w:t>
      </w:r>
    </w:p>
    <w:p w14:paraId="7DCFCF23" w14:textId="77777777" w:rsidR="00C1563E" w:rsidRDefault="00C1563E"/>
    <w:p w14:paraId="7DCFCF24" w14:textId="77777777" w:rsidR="00C1563E" w:rsidRDefault="000B648B">
      <w:r>
        <w:rPr>
          <w:rFonts w:ascii="Times New Roman" w:eastAsia="宋体" w:hAnsi="Times New Roman"/>
          <w:color w:val="000000"/>
          <w:sz w:val="20"/>
          <w:szCs w:val="20"/>
        </w:rPr>
        <w:t>Each sh</w:t>
      </w:r>
      <w:r>
        <w:rPr>
          <w:rFonts w:ascii="Times New Roman" w:eastAsia="宋体" w:hAnsi="Times New Roman"/>
          <w:color w:val="000000"/>
          <w:sz w:val="20"/>
          <w:szCs w:val="20"/>
        </w:rPr>
        <w:t>are of our Class A Common Stock and each share of our Class B Common Stock has ten votes, while each share of our Class C Common Stock has one vote. Because of these disparate voting rights, Michael Dell and the Susan Lieberman Dell Separate Property Trust</w:t>
      </w:r>
      <w:r>
        <w:rPr>
          <w:rFonts w:ascii="Times New Roman" w:eastAsia="宋体" w:hAnsi="Times New Roman"/>
          <w:color w:val="000000"/>
          <w:sz w:val="20"/>
          <w:szCs w:val="20"/>
        </w:rPr>
        <w:t xml:space="preserve"> (the “MD stockholders”) and certain investment funds affiliated with Silver Lake Partners (the “SLP stockholders”) collectively held common stock representing approximately 94.8% of the total voting power of our outstanding common stock as of January 29, </w:t>
      </w:r>
      <w:r>
        <w:rPr>
          <w:rFonts w:ascii="Times New Roman" w:eastAsia="宋体" w:hAnsi="Times New Roman"/>
          <w:color w:val="000000"/>
          <w:sz w:val="20"/>
          <w:szCs w:val="20"/>
        </w:rPr>
        <w:t xml:space="preserve">2021. The limited ability of holders of the Class C Common Stock to influence matters requiring stockholder approval may adversely affect the market price of the Class C Common Stock. </w:t>
      </w:r>
    </w:p>
    <w:p w14:paraId="7DCFCF25" w14:textId="77777777" w:rsidR="00C1563E" w:rsidRDefault="00C1563E"/>
    <w:p w14:paraId="7DCFCF26" w14:textId="77777777" w:rsidR="00C1563E" w:rsidRDefault="000B648B">
      <w:r>
        <w:rPr>
          <w:rFonts w:ascii="Times New Roman" w:eastAsia="宋体" w:hAnsi="Times New Roman"/>
          <w:color w:val="000000"/>
          <w:sz w:val="20"/>
          <w:szCs w:val="20"/>
        </w:rPr>
        <w:t>In addition, in 2017, FTSE Russell and S&amp;P Dow Jones changed their eli</w:t>
      </w:r>
      <w:r>
        <w:rPr>
          <w:rFonts w:ascii="Times New Roman" w:eastAsia="宋体" w:hAnsi="Times New Roman"/>
          <w:color w:val="000000"/>
          <w:sz w:val="20"/>
          <w:szCs w:val="20"/>
        </w:rPr>
        <w:t>gibility criteria to exclude new companies with multiple classes of shares of common stock from being added to certain stock indices. FTSE Russell instituted a requirement that new and, beginning in September 2022, existing constituents of its indices have</w:t>
      </w:r>
      <w:r>
        <w:rPr>
          <w:rFonts w:ascii="Times New Roman" w:eastAsia="宋体" w:hAnsi="Times New Roman"/>
          <w:color w:val="000000"/>
          <w:sz w:val="20"/>
          <w:szCs w:val="20"/>
        </w:rPr>
        <w:t xml:space="preserve"> greater than 5% of their voting rights in the hands of public stockholders, as calculated by FTSE Russell, whereas S&amp;P Dow Jones announced that companies with multiple share classes, such as Dell Technologies, will not be eligible for inclusion in the S&amp;P</w:t>
      </w:r>
      <w:r>
        <w:rPr>
          <w:rFonts w:ascii="Times New Roman" w:eastAsia="宋体" w:hAnsi="Times New Roman"/>
          <w:color w:val="000000"/>
          <w:sz w:val="20"/>
          <w:szCs w:val="20"/>
        </w:rPr>
        <w:t xml:space="preserve"> 500, S&amp;P MidCap 400, and S&amp;P SmallCap 600, which together make up the S&amp;P Composite 1500. Other major stock indices might adopt similar requirements in the future. FTSE Russell’s determination may change at any time. Under the current criteria, at a minim</w:t>
      </w:r>
      <w:r>
        <w:rPr>
          <w:rFonts w:ascii="Times New Roman" w:eastAsia="宋体" w:hAnsi="Times New Roman"/>
          <w:color w:val="000000"/>
          <w:sz w:val="20"/>
          <w:szCs w:val="20"/>
        </w:rPr>
        <w:t>um, our multi-class capital structure makes it ineligible for inclusion in the S&amp;P Dow Jones indices, including those making up the S&amp;P Composite 1500, and, as a result, mutual funds, exchange-traded funds, and other investment vehicles that track these in</w:t>
      </w:r>
      <w:r>
        <w:rPr>
          <w:rFonts w:ascii="Times New Roman" w:eastAsia="宋体" w:hAnsi="Times New Roman"/>
          <w:color w:val="000000"/>
          <w:sz w:val="20"/>
          <w:szCs w:val="20"/>
        </w:rPr>
        <w:t>dices will not invest in the Class C Common Stock. It is unclear what effect, if any, exclusion from any indices will have on the valuations of the affected publicly-traded companies. It is possible that such policies may depress the valuations of public c</w:t>
      </w:r>
      <w:r>
        <w:rPr>
          <w:rFonts w:ascii="Times New Roman" w:eastAsia="宋体" w:hAnsi="Times New Roman"/>
          <w:color w:val="000000"/>
          <w:sz w:val="20"/>
          <w:szCs w:val="20"/>
        </w:rPr>
        <w:t xml:space="preserve">ompanies excluded from such indices compared to valuations of companies that are included. </w:t>
      </w:r>
    </w:p>
    <w:p w14:paraId="7DCFCF27" w14:textId="77777777" w:rsidR="00C1563E" w:rsidRDefault="00C1563E"/>
    <w:p w14:paraId="7DCFCF28" w14:textId="77777777" w:rsidR="00C1563E" w:rsidRDefault="000B648B">
      <w:r>
        <w:rPr>
          <w:rFonts w:ascii="Times New Roman" w:eastAsia="宋体" w:hAnsi="Times New Roman"/>
          <w:b/>
          <w:bCs/>
          <w:color w:val="000000"/>
          <w:sz w:val="20"/>
          <w:szCs w:val="20"/>
        </w:rPr>
        <w:t xml:space="preserve">Future sales, or the perception of future sales, of a substantial amount of shares of the Class C Common Stock could depress the trading price of the Class C Common Stock. </w:t>
      </w:r>
    </w:p>
    <w:p w14:paraId="7DCFCF29" w14:textId="77777777" w:rsidR="00C1563E" w:rsidRDefault="00C1563E"/>
    <w:p w14:paraId="7DCFCF2A" w14:textId="77777777" w:rsidR="00C1563E" w:rsidRDefault="000B648B">
      <w:r>
        <w:rPr>
          <w:rFonts w:ascii="Times New Roman" w:eastAsia="宋体" w:hAnsi="Times New Roman"/>
          <w:color w:val="000000"/>
          <w:sz w:val="20"/>
          <w:szCs w:val="20"/>
        </w:rPr>
        <w:t xml:space="preserve">Sales of a substantial number of shares of the Class C Common Stock in the public </w:t>
      </w:r>
      <w:r>
        <w:rPr>
          <w:rFonts w:ascii="Times New Roman" w:eastAsia="宋体" w:hAnsi="Times New Roman"/>
          <w:color w:val="000000"/>
          <w:sz w:val="20"/>
          <w:szCs w:val="20"/>
        </w:rPr>
        <w:t xml:space="preserve">market, or the perception that these sales may occur, could adversely affect the market price of the Class C Common Stock, which could make it more difficult for investors to sell their shares of Class C Common Stock at a time and price that they consider </w:t>
      </w:r>
      <w:r>
        <w:rPr>
          <w:rFonts w:ascii="Times New Roman" w:eastAsia="宋体" w:hAnsi="Times New Roman"/>
          <w:color w:val="000000"/>
          <w:sz w:val="20"/>
          <w:szCs w:val="20"/>
        </w:rPr>
        <w:t>appropriate. These sales, or the possibility that these sales may occur, also could impair our ability to sell equity securities in the future at a time and at a price we deem appropriate, and our ability to use Class C Common Stock as consideration for ac</w:t>
      </w:r>
      <w:r>
        <w:rPr>
          <w:rFonts w:ascii="Times New Roman" w:eastAsia="宋体" w:hAnsi="Times New Roman"/>
          <w:color w:val="000000"/>
          <w:sz w:val="20"/>
          <w:szCs w:val="20"/>
        </w:rPr>
        <w:t xml:space="preserve">quisitions of other businesses, investments, or other corporate purposes. As of January 29, 2021, we had a total of approximately 266 million shares of Class C Common Stock outstanding. </w:t>
      </w:r>
    </w:p>
    <w:p w14:paraId="7DCFCF2B" w14:textId="77777777" w:rsidR="00C1563E" w:rsidRDefault="00C1563E"/>
    <w:p w14:paraId="7DCFCF2C" w14:textId="77777777" w:rsidR="00C1563E" w:rsidRDefault="000B648B">
      <w:r>
        <w:rPr>
          <w:rFonts w:ascii="Times New Roman" w:eastAsia="宋体" w:hAnsi="Times New Roman"/>
          <w:color w:val="000000"/>
          <w:sz w:val="20"/>
          <w:szCs w:val="20"/>
        </w:rPr>
        <w:t>As of January 29, 2021, the 383,724,977 outstanding shares of Class </w:t>
      </w:r>
      <w:r>
        <w:rPr>
          <w:rFonts w:ascii="Times New Roman" w:eastAsia="宋体" w:hAnsi="Times New Roman"/>
          <w:color w:val="000000"/>
          <w:sz w:val="20"/>
          <w:szCs w:val="20"/>
        </w:rPr>
        <w:t xml:space="preserve">A Common Stock held by the MD stockholders and the 101,685,217 outstanding shares of Class B Common Stock held by the SLP stockholders are convertible into shares of Class C </w:t>
      </w:r>
    </w:p>
    <w:p w14:paraId="7DCFCF2D" w14:textId="77777777" w:rsidR="00C1563E" w:rsidRDefault="00C1563E">
      <w:pPr>
        <w:jc w:val="center"/>
      </w:pPr>
    </w:p>
    <w:p w14:paraId="7DCFCF2E" w14:textId="77777777" w:rsidR="00C1563E" w:rsidRDefault="000B648B">
      <w:pPr>
        <w:jc w:val="center"/>
      </w:pPr>
      <w:r>
        <w:rPr>
          <w:rFonts w:ascii="Times New Roman" w:eastAsia="宋体" w:hAnsi="Times New Roman"/>
          <w:color w:val="000000"/>
          <w:sz w:val="20"/>
          <w:szCs w:val="20"/>
        </w:rPr>
        <w:t>27</w:t>
      </w:r>
    </w:p>
    <w:p w14:paraId="7DCFCF2F" w14:textId="77777777" w:rsidR="00C1563E" w:rsidRDefault="00C1563E">
      <w:pPr>
        <w:jc w:val="center"/>
      </w:pPr>
    </w:p>
    <w:p w14:paraId="7DCFCF30" w14:textId="77777777" w:rsidR="00C1563E" w:rsidRDefault="000B648B">
      <w:r>
        <w:pict w14:anchorId="7DD02581">
          <v:rect id="_x0000_i1051" style="width:415.3pt;height:1.5pt" o:hralign="center" o:hrstd="t" o:hr="t" fillcolor="#a0a0a0" stroked="f"/>
        </w:pict>
      </w:r>
    </w:p>
    <w:p w14:paraId="7DCFCF31" w14:textId="77777777" w:rsidR="00C1563E" w:rsidRDefault="000B648B">
      <w:hyperlink r:id="rId102" w:anchor="i418e32e4a35149ffbf7d3a25d66881b8_10" w:history="1">
        <w:r>
          <w:rPr>
            <w:rStyle w:val="a5"/>
            <w:rFonts w:ascii="Times New Roman" w:eastAsia="宋体" w:hAnsi="Times New Roman"/>
            <w:sz w:val="20"/>
            <w:szCs w:val="20"/>
          </w:rPr>
          <w:t>Table of Contents</w:t>
        </w:r>
      </w:hyperlink>
    </w:p>
    <w:p w14:paraId="7DCFCF32" w14:textId="77777777" w:rsidR="00C1563E" w:rsidRDefault="000B648B">
      <w:r>
        <w:rPr>
          <w:rFonts w:ascii="Times New Roman" w:eastAsia="宋体" w:hAnsi="Times New Roman"/>
          <w:color w:val="000000"/>
          <w:sz w:val="20"/>
          <w:szCs w:val="20"/>
        </w:rPr>
        <w:t xml:space="preserve">Common Stock at any time on a one-to-one basis. Although the MD stockholders and the SLP stockholders generally are subject to agreements that restrict their </w:t>
      </w:r>
      <w:r>
        <w:rPr>
          <w:rFonts w:ascii="Times New Roman" w:eastAsia="宋体" w:hAnsi="Times New Roman"/>
          <w:color w:val="000000"/>
          <w:sz w:val="20"/>
          <w:szCs w:val="20"/>
        </w:rPr>
        <w:t>sale or other transfer of common stock until June 27, 2021, thereafter such shares, upon any conversion into shares of Class C Common Stock, will be eligible for resale in the public market pursuant to Rule 144 under the Securities Act of 1933 (the “Securi</w:t>
      </w:r>
      <w:r>
        <w:rPr>
          <w:rFonts w:ascii="Times New Roman" w:eastAsia="宋体" w:hAnsi="Times New Roman"/>
          <w:color w:val="000000"/>
          <w:sz w:val="20"/>
          <w:szCs w:val="20"/>
        </w:rPr>
        <w:t xml:space="preserve">ties Act”), subject to volume, manner of sale, and other limitations under Rule 144. </w:t>
      </w:r>
    </w:p>
    <w:p w14:paraId="7DCFCF33" w14:textId="77777777" w:rsidR="00C1563E" w:rsidRDefault="00C1563E"/>
    <w:p w14:paraId="7DCFCF34" w14:textId="77777777" w:rsidR="00C1563E" w:rsidRDefault="000B648B">
      <w:r>
        <w:rPr>
          <w:rFonts w:ascii="Times New Roman" w:eastAsia="宋体" w:hAnsi="Times New Roman"/>
          <w:color w:val="000000"/>
          <w:sz w:val="20"/>
          <w:szCs w:val="20"/>
        </w:rPr>
        <w:t>In addition, as of January 29, 2021, we entered into a registration rights agreement with holders of 383,724,977 outstanding shares of Class A Common Stock (which are co</w:t>
      </w:r>
      <w:r>
        <w:rPr>
          <w:rFonts w:ascii="Times New Roman" w:eastAsia="宋体" w:hAnsi="Times New Roman"/>
          <w:color w:val="000000"/>
          <w:sz w:val="20"/>
          <w:szCs w:val="20"/>
        </w:rPr>
        <w:t xml:space="preserve">nvertible into shares of Class C Common Stock), holders of all of the 101,685,217 outstanding shares of Class B Common Stock (which are convertible into shares of Class C Common Stock), and holders of 17,531,449 outstanding shares of Class C Common Stock, </w:t>
      </w:r>
      <w:r>
        <w:rPr>
          <w:rFonts w:ascii="Times New Roman" w:eastAsia="宋体" w:hAnsi="Times New Roman"/>
          <w:color w:val="000000"/>
          <w:sz w:val="20"/>
          <w:szCs w:val="20"/>
        </w:rPr>
        <w:t>pursuant to which we granted such holders and their permitted transferees shelf, demand and/or piggyback registration rights with respect to such shares. Registration of those shares under the Securities Act would permit such holders to sell the shares int</w:t>
      </w:r>
      <w:r>
        <w:rPr>
          <w:rFonts w:ascii="Times New Roman" w:eastAsia="宋体" w:hAnsi="Times New Roman"/>
          <w:color w:val="000000"/>
          <w:sz w:val="20"/>
          <w:szCs w:val="20"/>
        </w:rPr>
        <w:t xml:space="preserve">o the public market. </w:t>
      </w:r>
    </w:p>
    <w:p w14:paraId="7DCFCF35" w14:textId="77777777" w:rsidR="00C1563E" w:rsidRDefault="00C1563E"/>
    <w:p w14:paraId="7DCFCF36" w14:textId="77777777" w:rsidR="00C1563E" w:rsidRDefault="000B648B">
      <w:r>
        <w:rPr>
          <w:rFonts w:ascii="Times New Roman" w:eastAsia="宋体" w:hAnsi="Times New Roman"/>
          <w:color w:val="000000"/>
          <w:sz w:val="20"/>
          <w:szCs w:val="20"/>
        </w:rPr>
        <w:t>Further, as of January 29, 2021, we had 38,176,604 shares of Class C Common Stock that may be issued upon the exercise, vesting, or settlement of outstanding stock options, restricted stock units, or deferred stock units under our st</w:t>
      </w:r>
      <w:r>
        <w:rPr>
          <w:rFonts w:ascii="Times New Roman" w:eastAsia="宋体" w:hAnsi="Times New Roman"/>
          <w:color w:val="000000"/>
          <w:sz w:val="20"/>
          <w:szCs w:val="20"/>
        </w:rPr>
        <w:t>ock incentive plans, all of which would have been, upon issuance, eligible for sale in the public market, subject where applicable to expiration or waiver of contractual transfer restrictions, and an additional 31,650,562 shares of Class C Common Stock tha</w:t>
      </w:r>
      <w:r>
        <w:rPr>
          <w:rFonts w:ascii="Times New Roman" w:eastAsia="宋体" w:hAnsi="Times New Roman"/>
          <w:color w:val="000000"/>
          <w:sz w:val="20"/>
          <w:szCs w:val="20"/>
        </w:rPr>
        <w:t>t have been authorized and reserved for issuance pursuant to potential future awards under the stock incentive plans. We also may issue additional stock options in the future that may be exercised for additional shares of Class C Common Stock and additiona</w:t>
      </w:r>
      <w:r>
        <w:rPr>
          <w:rFonts w:ascii="Times New Roman" w:eastAsia="宋体" w:hAnsi="Times New Roman"/>
          <w:color w:val="000000"/>
          <w:sz w:val="20"/>
          <w:szCs w:val="20"/>
        </w:rPr>
        <w:t>l restricted stock units or deferred stock units that may vest. We expect that all shares of Class C Common Stock issuable with respect to such awards will be registered under one or more registration statements on Form S-8 under the Securities Act and ava</w:t>
      </w:r>
      <w:r>
        <w:rPr>
          <w:rFonts w:ascii="Times New Roman" w:eastAsia="宋体" w:hAnsi="Times New Roman"/>
          <w:color w:val="000000"/>
          <w:sz w:val="20"/>
          <w:szCs w:val="20"/>
        </w:rPr>
        <w:t xml:space="preserve">ilable for sale in the open market. </w:t>
      </w:r>
    </w:p>
    <w:p w14:paraId="7DCFCF37" w14:textId="77777777" w:rsidR="00C1563E" w:rsidRDefault="00C1563E"/>
    <w:p w14:paraId="7DCFCF38" w14:textId="77777777" w:rsidR="00C1563E" w:rsidRDefault="000B648B">
      <w:r>
        <w:rPr>
          <w:rFonts w:ascii="Times New Roman" w:eastAsia="宋体" w:hAnsi="Times New Roman"/>
          <w:b/>
          <w:bCs/>
          <w:color w:val="000000"/>
          <w:sz w:val="20"/>
          <w:szCs w:val="20"/>
        </w:rPr>
        <w:t xml:space="preserve">We do not presently intend to pay cash dividends on the Class C Common Stock. </w:t>
      </w:r>
    </w:p>
    <w:p w14:paraId="7DCFCF39" w14:textId="77777777" w:rsidR="00C1563E" w:rsidRDefault="00C1563E"/>
    <w:p w14:paraId="7DCFCF3A" w14:textId="77777777" w:rsidR="00C1563E" w:rsidRDefault="000B648B">
      <w:r>
        <w:rPr>
          <w:rFonts w:ascii="Times New Roman" w:eastAsia="宋体" w:hAnsi="Times New Roman"/>
          <w:color w:val="000000"/>
          <w:sz w:val="20"/>
          <w:szCs w:val="20"/>
        </w:rPr>
        <w:t>We do not presently intend to pay cash dividends on the Class C Common Stock. Accordingly, investors may have to rely on sales of the Clas</w:t>
      </w:r>
      <w:r>
        <w:rPr>
          <w:rFonts w:ascii="Times New Roman" w:eastAsia="宋体" w:hAnsi="Times New Roman"/>
          <w:color w:val="000000"/>
          <w:sz w:val="20"/>
          <w:szCs w:val="20"/>
        </w:rPr>
        <w:t xml:space="preserve">s C Common Stock after price appreciation, which may never occur, as the only way to realize any gains on their investment in the Class C Common Stock. </w:t>
      </w:r>
    </w:p>
    <w:p w14:paraId="7DCFCF3B" w14:textId="77777777" w:rsidR="00C1563E" w:rsidRDefault="00C1563E"/>
    <w:p w14:paraId="7DCFCF3C" w14:textId="77777777" w:rsidR="00C1563E" w:rsidRDefault="000B648B">
      <w:r>
        <w:rPr>
          <w:rFonts w:ascii="Times New Roman" w:eastAsia="宋体" w:hAnsi="Times New Roman"/>
          <w:b/>
          <w:bCs/>
          <w:color w:val="000000"/>
          <w:sz w:val="20"/>
          <w:szCs w:val="20"/>
        </w:rPr>
        <w:t xml:space="preserve">We are controlled by the MD stockholders, who, together with the SLP stockholders, collectively own a </w:t>
      </w:r>
      <w:r>
        <w:rPr>
          <w:rFonts w:ascii="Times New Roman" w:eastAsia="宋体" w:hAnsi="Times New Roman"/>
          <w:b/>
          <w:bCs/>
          <w:color w:val="000000"/>
          <w:sz w:val="20"/>
          <w:szCs w:val="20"/>
        </w:rPr>
        <w:t xml:space="preserve">substantial majority of our common stock and are able to effectively control our actions, including approval of mergers and other significant corporate transactions. </w:t>
      </w:r>
    </w:p>
    <w:p w14:paraId="7DCFCF3D" w14:textId="77777777" w:rsidR="00C1563E" w:rsidRDefault="00C1563E"/>
    <w:p w14:paraId="7DCFCF3E" w14:textId="77777777" w:rsidR="00C1563E" w:rsidRDefault="000B648B">
      <w:r>
        <w:rPr>
          <w:rFonts w:ascii="Times New Roman" w:eastAsia="宋体" w:hAnsi="Times New Roman"/>
          <w:color w:val="000000"/>
          <w:sz w:val="20"/>
          <w:szCs w:val="20"/>
        </w:rPr>
        <w:t>By reason of their ownership of Class A Common Stock possessing a majority of the aggregate votes entitled to be cast by holders of all outstanding shares of our common stock voting together as a single class, the MD stockholders have the ability to approv</w:t>
      </w:r>
      <w:r>
        <w:rPr>
          <w:rFonts w:ascii="Times New Roman" w:eastAsia="宋体" w:hAnsi="Times New Roman"/>
          <w:color w:val="000000"/>
          <w:sz w:val="20"/>
          <w:szCs w:val="20"/>
        </w:rPr>
        <w:t xml:space="preserve">e any matter submitted to the vote of all of the outstanding shares of the common stock voting together as a single class. </w:t>
      </w:r>
    </w:p>
    <w:p w14:paraId="7DCFCF3F" w14:textId="77777777" w:rsidR="00C1563E" w:rsidRDefault="000B648B">
      <w:r>
        <w:rPr>
          <w:rFonts w:ascii="Times New Roman" w:eastAsia="宋体" w:hAnsi="Times New Roman"/>
          <w:color w:val="000000"/>
          <w:sz w:val="20"/>
          <w:szCs w:val="20"/>
        </w:rPr>
        <w:t>Through their control, the MD stockholders are able to control our actions, including actions related to the election of our directo</w:t>
      </w:r>
      <w:r>
        <w:rPr>
          <w:rFonts w:ascii="Times New Roman" w:eastAsia="宋体" w:hAnsi="Times New Roman"/>
          <w:color w:val="000000"/>
          <w:sz w:val="20"/>
          <w:szCs w:val="20"/>
        </w:rPr>
        <w:t xml:space="preserve">rs and directors of our subsidiaries (including VMware, Inc. and its subsidiaries), amendments to our organizational documents, and the approval of significant corporate transactions, including mergers and sales of substantially all of our assets that our </w:t>
      </w:r>
      <w:r>
        <w:rPr>
          <w:rFonts w:ascii="Times New Roman" w:eastAsia="宋体" w:hAnsi="Times New Roman"/>
          <w:color w:val="000000"/>
          <w:sz w:val="20"/>
          <w:szCs w:val="20"/>
        </w:rPr>
        <w:t>stockholders may deem advantageous. For example, although our bylaws provide that the number of directors will be fixed by resolution of the board of directors, our stockholders may adopt, amend, or repeal the bylaws in accordance with the Delaware General</w:t>
      </w:r>
      <w:r>
        <w:rPr>
          <w:rFonts w:ascii="Times New Roman" w:eastAsia="宋体" w:hAnsi="Times New Roman"/>
          <w:color w:val="000000"/>
          <w:sz w:val="20"/>
          <w:szCs w:val="20"/>
        </w:rPr>
        <w:t xml:space="preserve"> Corporation Law. Through their control, the MD stockholders therefore may amend our bylaws to change the number of directors (within the limits of the certificate of incorporation), notwithstanding any determination by the board of directors regarding boa</w:t>
      </w:r>
      <w:r>
        <w:rPr>
          <w:rFonts w:ascii="Times New Roman" w:eastAsia="宋体" w:hAnsi="Times New Roman"/>
          <w:color w:val="000000"/>
          <w:sz w:val="20"/>
          <w:szCs w:val="20"/>
        </w:rPr>
        <w:t>rd size.</w:t>
      </w:r>
    </w:p>
    <w:p w14:paraId="7DCFCF40" w14:textId="77777777" w:rsidR="00C1563E" w:rsidRDefault="00C1563E"/>
    <w:p w14:paraId="7DCFCF41" w14:textId="77777777" w:rsidR="00C1563E" w:rsidRDefault="000B648B">
      <w:r>
        <w:rPr>
          <w:rFonts w:ascii="Times New Roman" w:eastAsia="宋体" w:hAnsi="Times New Roman"/>
          <w:color w:val="000000"/>
          <w:sz w:val="20"/>
          <w:szCs w:val="20"/>
        </w:rPr>
        <w:t>Further, as of January 29, 2021, the MD stockholders and the SLP stockholders collectively beneficially owned 65.2% of our outstanding common stock. This concentration of ownership together with the disparate voting rights of our common stock may</w:t>
      </w:r>
      <w:r>
        <w:rPr>
          <w:rFonts w:ascii="Times New Roman" w:eastAsia="宋体" w:hAnsi="Times New Roman"/>
          <w:color w:val="000000"/>
          <w:sz w:val="20"/>
          <w:szCs w:val="20"/>
        </w:rPr>
        <w:t xml:space="preserve"> delay or deter possible changes in control of Dell Technologies, which may reduce the value of an investment in the Class C Common Stock. So long as the MD stockholders and the SLP stockholders continue to own common stock representing a significant amoun</w:t>
      </w:r>
      <w:r>
        <w:rPr>
          <w:rFonts w:ascii="Times New Roman" w:eastAsia="宋体" w:hAnsi="Times New Roman"/>
          <w:color w:val="000000"/>
          <w:sz w:val="20"/>
          <w:szCs w:val="20"/>
        </w:rPr>
        <w:t xml:space="preserve">t of the combined voting power of our outstanding common stock, even if such amount is, individually or in the aggregate, less than 50%, such stockholders will continue to be able to strongly influence our decisions. </w:t>
      </w:r>
    </w:p>
    <w:p w14:paraId="7DCFCF42" w14:textId="77777777" w:rsidR="00C1563E" w:rsidRDefault="00C1563E"/>
    <w:p w14:paraId="7DCFCF43" w14:textId="77777777" w:rsidR="00C1563E" w:rsidRDefault="000B648B">
      <w:r>
        <w:rPr>
          <w:rFonts w:ascii="Times New Roman" w:eastAsia="宋体" w:hAnsi="Times New Roman"/>
          <w:color w:val="000000"/>
          <w:sz w:val="20"/>
          <w:szCs w:val="20"/>
        </w:rPr>
        <w:t>In addition, the MD stockholders and the SLP stockholders, respectively, have the right to nominate a number of individuals for election as Group I Directors which is equal to the percentage of the total voting power for the regular election of directors b</w:t>
      </w:r>
      <w:r>
        <w:rPr>
          <w:rFonts w:ascii="Times New Roman" w:eastAsia="宋体" w:hAnsi="Times New Roman"/>
          <w:color w:val="000000"/>
          <w:sz w:val="20"/>
          <w:szCs w:val="20"/>
        </w:rPr>
        <w:t xml:space="preserve">eneficially owned by the MD stockholders or by the SLP stockholders multiplied by the number of directors then on the board of directors who are not members of the audit committee, rounded up to the nearest whole number. Further, so long as the MD </w:t>
      </w:r>
    </w:p>
    <w:p w14:paraId="7DCFCF44" w14:textId="77777777" w:rsidR="00C1563E" w:rsidRDefault="00C1563E">
      <w:pPr>
        <w:jc w:val="center"/>
      </w:pPr>
    </w:p>
    <w:p w14:paraId="7DCFCF45" w14:textId="77777777" w:rsidR="00C1563E" w:rsidRDefault="000B648B">
      <w:pPr>
        <w:jc w:val="center"/>
      </w:pPr>
      <w:r>
        <w:rPr>
          <w:rFonts w:ascii="Times New Roman" w:eastAsia="宋体" w:hAnsi="Times New Roman"/>
          <w:color w:val="000000"/>
          <w:sz w:val="20"/>
          <w:szCs w:val="20"/>
        </w:rPr>
        <w:t>28</w:t>
      </w:r>
    </w:p>
    <w:p w14:paraId="7DCFCF46" w14:textId="77777777" w:rsidR="00C1563E" w:rsidRDefault="00C1563E">
      <w:pPr>
        <w:jc w:val="center"/>
      </w:pPr>
    </w:p>
    <w:p w14:paraId="7DCFCF47" w14:textId="77777777" w:rsidR="00C1563E" w:rsidRDefault="000B648B">
      <w:r>
        <w:pict w14:anchorId="7DD02582">
          <v:rect id="_x0000_i1052" style="width:415.3pt;height:1.5pt" o:hralign="center" o:hrstd="t" o:hr="t" fillcolor="#a0a0a0" stroked="f"/>
        </w:pict>
      </w:r>
    </w:p>
    <w:p w14:paraId="7DCFCF48" w14:textId="77777777" w:rsidR="00C1563E" w:rsidRDefault="000B648B">
      <w:hyperlink r:id="rId103" w:anchor="i418e32e4a35149ffbf7d3a25d66881b8_10" w:history="1">
        <w:r>
          <w:rPr>
            <w:rStyle w:val="a5"/>
            <w:rFonts w:ascii="Times New Roman" w:eastAsia="宋体" w:hAnsi="Times New Roman"/>
            <w:sz w:val="20"/>
            <w:szCs w:val="20"/>
          </w:rPr>
          <w:t>Table of Contents</w:t>
        </w:r>
      </w:hyperlink>
    </w:p>
    <w:p w14:paraId="7DCFCF49" w14:textId="77777777" w:rsidR="00C1563E" w:rsidRDefault="000B648B">
      <w:r>
        <w:rPr>
          <w:rFonts w:ascii="Times New Roman" w:eastAsia="宋体" w:hAnsi="Times New Roman"/>
          <w:color w:val="000000"/>
          <w:sz w:val="20"/>
          <w:szCs w:val="20"/>
        </w:rPr>
        <w:t>stockholders or the SLP stockholders each beneficially own at least 5% of all outsta</w:t>
      </w:r>
      <w:r>
        <w:rPr>
          <w:rFonts w:ascii="Times New Roman" w:eastAsia="宋体" w:hAnsi="Times New Roman"/>
          <w:color w:val="000000"/>
          <w:sz w:val="20"/>
          <w:szCs w:val="20"/>
        </w:rPr>
        <w:t xml:space="preserve">nding shares of the common stock entitled to vote generally in the election of directors, each of the MD stockholders or the SLP stockholders, as applicable, are entitled to nominate at least one individual for election as a Group I Director. </w:t>
      </w:r>
    </w:p>
    <w:p w14:paraId="7DCFCF4A" w14:textId="77777777" w:rsidR="00C1563E" w:rsidRDefault="00C1563E"/>
    <w:p w14:paraId="7DCFCF4B" w14:textId="77777777" w:rsidR="00C1563E" w:rsidRDefault="000B648B">
      <w:r>
        <w:rPr>
          <w:rFonts w:ascii="Times New Roman" w:eastAsia="宋体" w:hAnsi="Times New Roman"/>
          <w:b/>
          <w:bCs/>
          <w:color w:val="000000"/>
          <w:sz w:val="20"/>
          <w:szCs w:val="20"/>
        </w:rPr>
        <w:t>The MD stoc</w:t>
      </w:r>
      <w:r>
        <w:rPr>
          <w:rFonts w:ascii="Times New Roman" w:eastAsia="宋体" w:hAnsi="Times New Roman"/>
          <w:b/>
          <w:bCs/>
          <w:color w:val="000000"/>
          <w:sz w:val="20"/>
          <w:szCs w:val="20"/>
        </w:rPr>
        <w:t>kholders, the MSD Partners stockholders, and the SLP stockholders and their respective affiliates may have interests that conflict with the interests of other stockholders or those of Dell Technologies.</w:t>
      </w:r>
    </w:p>
    <w:p w14:paraId="7DCFCF4C" w14:textId="77777777" w:rsidR="00C1563E" w:rsidRDefault="00C1563E"/>
    <w:p w14:paraId="7DCFCF4D" w14:textId="77777777" w:rsidR="00C1563E" w:rsidRDefault="000B648B">
      <w:r>
        <w:rPr>
          <w:rFonts w:ascii="Times New Roman" w:eastAsia="宋体" w:hAnsi="Times New Roman"/>
          <w:color w:val="000000"/>
          <w:sz w:val="20"/>
          <w:szCs w:val="20"/>
        </w:rPr>
        <w:t>In the ordinary course of their business activities,</w:t>
      </w:r>
      <w:r>
        <w:rPr>
          <w:rFonts w:ascii="Times New Roman" w:eastAsia="宋体" w:hAnsi="Times New Roman"/>
          <w:color w:val="000000"/>
          <w:sz w:val="20"/>
          <w:szCs w:val="20"/>
        </w:rPr>
        <w:t xml:space="preserve"> the MD stockholders, certain investment funds affiliated with an investment firm formed by principals of the firm that manages the capital of Michael Dell and his family (the “MSD Partners stockholders”), and the SLP stockholders and their respective affi</w:t>
      </w:r>
      <w:r>
        <w:rPr>
          <w:rFonts w:ascii="Times New Roman" w:eastAsia="宋体" w:hAnsi="Times New Roman"/>
          <w:color w:val="000000"/>
          <w:sz w:val="20"/>
          <w:szCs w:val="20"/>
        </w:rPr>
        <w:t>liates may engage in activities in which their interests conflict with our interests or those of other stockholders. Our certificate of incorporation provides that none of the MD stockholders, the MSD Partners stockholders, the SLP stockholders, nor any of</w:t>
      </w:r>
      <w:r>
        <w:rPr>
          <w:rFonts w:ascii="Times New Roman" w:eastAsia="宋体" w:hAnsi="Times New Roman"/>
          <w:color w:val="000000"/>
          <w:sz w:val="20"/>
          <w:szCs w:val="20"/>
        </w:rPr>
        <w:t xml:space="preserve"> their respective affiliates or any director or officer of the Company who is also a director, officer, employee, managing director, or other affiliate (other than Michael Dell) have any duty to refrain from engaging, directly or indirectly, in the same bu</w:t>
      </w:r>
      <w:r>
        <w:rPr>
          <w:rFonts w:ascii="Times New Roman" w:eastAsia="宋体" w:hAnsi="Times New Roman"/>
          <w:color w:val="000000"/>
          <w:sz w:val="20"/>
          <w:szCs w:val="20"/>
        </w:rPr>
        <w:t>siness activities or similar business activities or lines of business in which we operate. The MD stockholders, the MSD Partners stockholders, and the SLP stockholders also may pursue acquisition opportunities that may be complementary to our business and,</w:t>
      </w:r>
      <w:r>
        <w:rPr>
          <w:rFonts w:ascii="Times New Roman" w:eastAsia="宋体" w:hAnsi="Times New Roman"/>
          <w:color w:val="000000"/>
          <w:sz w:val="20"/>
          <w:szCs w:val="20"/>
        </w:rPr>
        <w:t xml:space="preserve"> as a result, those acquisition opportunities may not be available to us. In addition, such stockholders may have an interest in pursuing acquisitions, divestitures, and other transactions that, in their judgment, could enhance the value of their investmen</w:t>
      </w:r>
      <w:r>
        <w:rPr>
          <w:rFonts w:ascii="Times New Roman" w:eastAsia="宋体" w:hAnsi="Times New Roman"/>
          <w:color w:val="000000"/>
          <w:sz w:val="20"/>
          <w:szCs w:val="20"/>
        </w:rPr>
        <w:t xml:space="preserve">t in Dell Technologies, even though such transactions might involve risks to other stockholders. </w:t>
      </w:r>
    </w:p>
    <w:p w14:paraId="7DCFCF4E" w14:textId="77777777" w:rsidR="00C1563E" w:rsidRDefault="00C1563E"/>
    <w:p w14:paraId="7DCFCF4F" w14:textId="77777777" w:rsidR="00C1563E" w:rsidRDefault="000B648B">
      <w:r>
        <w:rPr>
          <w:rFonts w:ascii="Times New Roman" w:eastAsia="宋体" w:hAnsi="Times New Roman"/>
          <w:b/>
          <w:bCs/>
          <w:color w:val="000000"/>
          <w:sz w:val="20"/>
          <w:szCs w:val="20"/>
        </w:rPr>
        <w:t>Because we are a “controlled company” within the meaning of NYSE rules and, as a result, qualify for, and rely on, exemptions from certain corporate governan</w:t>
      </w:r>
      <w:r>
        <w:rPr>
          <w:rFonts w:ascii="Times New Roman" w:eastAsia="宋体" w:hAnsi="Times New Roman"/>
          <w:b/>
          <w:bCs/>
          <w:color w:val="000000"/>
          <w:sz w:val="20"/>
          <w:szCs w:val="20"/>
        </w:rPr>
        <w:t xml:space="preserve">ce requirements, holders of Class C Common Stock do not have the same protections afforded to stockholders of companies that are subject to such requirements. </w:t>
      </w:r>
    </w:p>
    <w:p w14:paraId="7DCFCF50" w14:textId="77777777" w:rsidR="00C1563E" w:rsidRDefault="00C1563E"/>
    <w:p w14:paraId="7DCFCF51" w14:textId="77777777" w:rsidR="00C1563E" w:rsidRDefault="000B648B">
      <w:r>
        <w:rPr>
          <w:rFonts w:ascii="Times New Roman" w:eastAsia="宋体" w:hAnsi="Times New Roman"/>
          <w:color w:val="000000"/>
          <w:sz w:val="20"/>
          <w:szCs w:val="20"/>
        </w:rPr>
        <w:t>We are a “controlled company” within the meaning of NYSE rules because the MD stockholders hold</w:t>
      </w:r>
      <w:r>
        <w:rPr>
          <w:rFonts w:ascii="Times New Roman" w:eastAsia="宋体" w:hAnsi="Times New Roman"/>
          <w:color w:val="000000"/>
          <w:sz w:val="20"/>
          <w:szCs w:val="20"/>
        </w:rPr>
        <w:t xml:space="preserve"> common stock representing more than 50% of the voting power in the election of directors. As a controlled company, we may elect not to comply with certain corporate governance requirements under NYSE rules, including the requirements that we have a board </w:t>
      </w:r>
      <w:r>
        <w:rPr>
          <w:rFonts w:ascii="Times New Roman" w:eastAsia="宋体" w:hAnsi="Times New Roman"/>
          <w:color w:val="000000"/>
          <w:sz w:val="20"/>
          <w:szCs w:val="20"/>
        </w:rPr>
        <w:t>composed of a majority of “independent directors,” as defined under NYSE rules, and that we have a compensation committee and a nominating/corporate governance committee each composed entirely of independent directors. Although we currently maintain a boar</w:t>
      </w:r>
      <w:r>
        <w:rPr>
          <w:rFonts w:ascii="Times New Roman" w:eastAsia="宋体" w:hAnsi="Times New Roman"/>
          <w:color w:val="000000"/>
          <w:sz w:val="20"/>
          <w:szCs w:val="20"/>
        </w:rPr>
        <w:t>d composed of a majority of independent directors, we currently utilize the exemptions relating to committee composition and expect to continue to utilize those exemptions. As a result, none of the committees of the board of directors, other than the audit</w:t>
      </w:r>
      <w:r>
        <w:rPr>
          <w:rFonts w:ascii="Times New Roman" w:eastAsia="宋体" w:hAnsi="Times New Roman"/>
          <w:color w:val="000000"/>
          <w:sz w:val="20"/>
          <w:szCs w:val="20"/>
        </w:rPr>
        <w:t xml:space="preserve"> committee, consists entirely of independent directors. Further, we may decide in the future to change our board membership so that the board is not composed of a majority of independent directors. Accordingly, holders of Class C Common Stock do not have t</w:t>
      </w:r>
      <w:r>
        <w:rPr>
          <w:rFonts w:ascii="Times New Roman" w:eastAsia="宋体" w:hAnsi="Times New Roman"/>
          <w:color w:val="000000"/>
          <w:sz w:val="20"/>
          <w:szCs w:val="20"/>
        </w:rPr>
        <w:t xml:space="preserve">he same protections afforded to stockholders of companies that are subject to all of the NYSE’s corporate governance requirements. </w:t>
      </w:r>
    </w:p>
    <w:p w14:paraId="7DCFCF52" w14:textId="77777777" w:rsidR="00C1563E" w:rsidRDefault="00C1563E"/>
    <w:p w14:paraId="7DCFCF53" w14:textId="77777777" w:rsidR="00C1563E" w:rsidRDefault="000B648B">
      <w:r>
        <w:rPr>
          <w:rFonts w:ascii="Times New Roman" w:eastAsia="宋体" w:hAnsi="Times New Roman"/>
          <w:b/>
          <w:bCs/>
          <w:color w:val="000000"/>
          <w:sz w:val="20"/>
          <w:szCs w:val="20"/>
        </w:rPr>
        <w:t>Our certificate of incorporation designates a state court of the State of Delaware or the federal district court for the Di</w:t>
      </w:r>
      <w:r>
        <w:rPr>
          <w:rFonts w:ascii="Times New Roman" w:eastAsia="宋体" w:hAnsi="Times New Roman"/>
          <w:b/>
          <w:bCs/>
          <w:color w:val="000000"/>
          <w:sz w:val="20"/>
          <w:szCs w:val="20"/>
        </w:rPr>
        <w:t>strict of Delaware as the sole and exclusive forum for certain types of actions and proceedings that may be initiated by our stockholders, which could limit the ability of the holders of Class C Common Stock to obtain a favorable judicial forum for dispute</w:t>
      </w:r>
      <w:r>
        <w:rPr>
          <w:rFonts w:ascii="Times New Roman" w:eastAsia="宋体" w:hAnsi="Times New Roman"/>
          <w:b/>
          <w:bCs/>
          <w:color w:val="000000"/>
          <w:sz w:val="20"/>
          <w:szCs w:val="20"/>
        </w:rPr>
        <w:t xml:space="preserve">s with us or with our directors, officers, or controlling stockholders. </w:t>
      </w:r>
    </w:p>
    <w:p w14:paraId="7DCFCF54" w14:textId="77777777" w:rsidR="00C1563E" w:rsidRDefault="00C1563E"/>
    <w:p w14:paraId="7DCFCF55" w14:textId="77777777" w:rsidR="00C1563E" w:rsidRDefault="000B648B">
      <w:r>
        <w:rPr>
          <w:rFonts w:ascii="Times New Roman" w:eastAsia="宋体" w:hAnsi="Times New Roman"/>
          <w:color w:val="000000"/>
          <w:sz w:val="20"/>
          <w:szCs w:val="20"/>
        </w:rPr>
        <w:t>Under our certificate of incorporation, unless we consent in writing to the selection of an alternative forum, the sole and exclusive forum will be, to the fullest extent permitted b</w:t>
      </w:r>
      <w:r>
        <w:rPr>
          <w:rFonts w:ascii="Times New Roman" w:eastAsia="宋体" w:hAnsi="Times New Roman"/>
          <w:color w:val="000000"/>
          <w:sz w:val="20"/>
          <w:szCs w:val="20"/>
        </w:rPr>
        <w:t xml:space="preserve">y law, a state court located within the State of Delaware (or, if no state court located within the State of Delaware has jurisdiction, the federal district court for the District of Delaware) for: </w:t>
      </w:r>
    </w:p>
    <w:p w14:paraId="7DCFCF56" w14:textId="77777777" w:rsidR="00C1563E" w:rsidRDefault="00C1563E"/>
    <w:p w14:paraId="7DCFCF57" w14:textId="77777777" w:rsidR="00C1563E" w:rsidRDefault="000B648B">
      <w:pPr>
        <w:ind w:hanging="360"/>
      </w:pPr>
      <w:r>
        <w:rPr>
          <w:rFonts w:ascii="Times New Roman" w:eastAsia="宋体" w:hAnsi="Times New Roman"/>
          <w:color w:val="000000"/>
          <w:sz w:val="20"/>
          <w:szCs w:val="20"/>
        </w:rPr>
        <w:t>•any derivative action or proceeding brought on our beha</w:t>
      </w:r>
      <w:r>
        <w:rPr>
          <w:rFonts w:ascii="Times New Roman" w:eastAsia="宋体" w:hAnsi="Times New Roman"/>
          <w:color w:val="000000"/>
          <w:sz w:val="20"/>
          <w:szCs w:val="20"/>
        </w:rPr>
        <w:t xml:space="preserve">lf; </w:t>
      </w:r>
    </w:p>
    <w:p w14:paraId="7DCFCF58" w14:textId="77777777" w:rsidR="00C1563E" w:rsidRDefault="00C1563E"/>
    <w:p w14:paraId="7DCFCF59" w14:textId="77777777" w:rsidR="00C1563E" w:rsidRDefault="000B648B">
      <w:pPr>
        <w:ind w:hanging="360"/>
      </w:pPr>
      <w:r>
        <w:rPr>
          <w:rFonts w:ascii="Times New Roman" w:eastAsia="宋体" w:hAnsi="Times New Roman"/>
          <w:color w:val="000000"/>
          <w:sz w:val="20"/>
          <w:szCs w:val="20"/>
        </w:rPr>
        <w:t xml:space="preserve">•any action asserting a claim of breach of a fiduciary duty owed by any director or officer or stockholder of Dell Technologies to us or our stockholders; </w:t>
      </w:r>
    </w:p>
    <w:p w14:paraId="7DCFCF5A" w14:textId="77777777" w:rsidR="00C1563E" w:rsidRDefault="00C1563E"/>
    <w:p w14:paraId="7DCFCF5B" w14:textId="77777777" w:rsidR="00C1563E" w:rsidRDefault="000B648B">
      <w:pPr>
        <w:ind w:hanging="360"/>
      </w:pPr>
      <w:r>
        <w:rPr>
          <w:rFonts w:ascii="Times New Roman" w:eastAsia="宋体" w:hAnsi="Times New Roman"/>
          <w:color w:val="000000"/>
          <w:sz w:val="20"/>
          <w:szCs w:val="20"/>
        </w:rPr>
        <w:t>•any action asserting a claim against Dell Technologies or any director or officer or stockho</w:t>
      </w:r>
      <w:r>
        <w:rPr>
          <w:rFonts w:ascii="Times New Roman" w:eastAsia="宋体" w:hAnsi="Times New Roman"/>
          <w:color w:val="000000"/>
          <w:sz w:val="20"/>
          <w:szCs w:val="20"/>
        </w:rPr>
        <w:t xml:space="preserve">lder of Dell Technologies arising pursuant to any provision of the Delaware General Corporation Law or of our certificate of incorporation or bylaws; or </w:t>
      </w:r>
    </w:p>
    <w:p w14:paraId="7DCFCF5C" w14:textId="77777777" w:rsidR="00C1563E" w:rsidRDefault="00C1563E"/>
    <w:p w14:paraId="7DCFCF5D" w14:textId="77777777" w:rsidR="00C1563E" w:rsidRDefault="00C1563E">
      <w:pPr>
        <w:jc w:val="center"/>
      </w:pPr>
    </w:p>
    <w:p w14:paraId="7DCFCF5E" w14:textId="77777777" w:rsidR="00C1563E" w:rsidRDefault="000B648B">
      <w:pPr>
        <w:jc w:val="center"/>
      </w:pPr>
      <w:r>
        <w:rPr>
          <w:rFonts w:ascii="Times New Roman" w:eastAsia="宋体" w:hAnsi="Times New Roman"/>
          <w:color w:val="000000"/>
          <w:sz w:val="20"/>
          <w:szCs w:val="20"/>
        </w:rPr>
        <w:t>29</w:t>
      </w:r>
    </w:p>
    <w:p w14:paraId="7DCFCF5F" w14:textId="77777777" w:rsidR="00C1563E" w:rsidRDefault="00C1563E">
      <w:pPr>
        <w:jc w:val="center"/>
      </w:pPr>
    </w:p>
    <w:p w14:paraId="7DCFCF60" w14:textId="77777777" w:rsidR="00C1563E" w:rsidRDefault="000B648B">
      <w:r>
        <w:pict w14:anchorId="7DD02583">
          <v:rect id="_x0000_i1053" style="width:415.3pt;height:1.5pt" o:hralign="center" o:hrstd="t" o:hr="t" fillcolor="#a0a0a0" stroked="f"/>
        </w:pict>
      </w:r>
    </w:p>
    <w:p w14:paraId="7DCFCF61" w14:textId="77777777" w:rsidR="00C1563E" w:rsidRDefault="000B648B">
      <w:hyperlink r:id="rId104" w:anchor="i418e32e4a35149ffbf7d3a25d66881b8_10" w:history="1">
        <w:r>
          <w:rPr>
            <w:rStyle w:val="a5"/>
            <w:rFonts w:ascii="Times New Roman" w:eastAsia="宋体" w:hAnsi="Times New Roman"/>
            <w:sz w:val="20"/>
            <w:szCs w:val="20"/>
          </w:rPr>
          <w:t>Table of Contents</w:t>
        </w:r>
      </w:hyperlink>
    </w:p>
    <w:p w14:paraId="7DCFCF62" w14:textId="77777777" w:rsidR="00C1563E" w:rsidRDefault="000B648B">
      <w:pPr>
        <w:ind w:hanging="360"/>
      </w:pPr>
      <w:r>
        <w:rPr>
          <w:rFonts w:ascii="Times New Roman" w:eastAsia="宋体" w:hAnsi="Times New Roman"/>
          <w:color w:val="000000"/>
          <w:sz w:val="20"/>
          <w:szCs w:val="20"/>
        </w:rPr>
        <w:t>•any action asserting a claim against us or any director or officer or stockholder o</w:t>
      </w:r>
      <w:r>
        <w:rPr>
          <w:rFonts w:ascii="Times New Roman" w:eastAsia="宋体" w:hAnsi="Times New Roman"/>
          <w:color w:val="000000"/>
          <w:sz w:val="20"/>
          <w:szCs w:val="20"/>
        </w:rPr>
        <w:t xml:space="preserve">f Dell Technologies governed by our internal affairs doctrine. </w:t>
      </w:r>
    </w:p>
    <w:p w14:paraId="7DCFCF63" w14:textId="77777777" w:rsidR="00C1563E" w:rsidRDefault="00C1563E"/>
    <w:p w14:paraId="7DCFCF64" w14:textId="77777777" w:rsidR="00C1563E" w:rsidRDefault="000B648B">
      <w:r>
        <w:rPr>
          <w:rFonts w:ascii="Times New Roman" w:eastAsia="宋体" w:hAnsi="Times New Roman"/>
          <w:color w:val="000000"/>
          <w:sz w:val="20"/>
          <w:szCs w:val="20"/>
        </w:rPr>
        <w:t>These provisions of our certificate of incorporation could limit the ability of the holders of the Class C Common Stock to obtain a favorable judicial forum for disputes with us or with our d</w:t>
      </w:r>
      <w:r>
        <w:rPr>
          <w:rFonts w:ascii="Times New Roman" w:eastAsia="宋体" w:hAnsi="Times New Roman"/>
          <w:color w:val="000000"/>
          <w:sz w:val="20"/>
          <w:szCs w:val="20"/>
        </w:rPr>
        <w:t>irectors, officers, or controlling stockholders, which may discourage such lawsuits against us and our directors, officers, and stockholders. Alternatively, if a court were to find these provisions of our organizational documents inapplicable to, or unenfo</w:t>
      </w:r>
      <w:r>
        <w:rPr>
          <w:rFonts w:ascii="Times New Roman" w:eastAsia="宋体" w:hAnsi="Times New Roman"/>
          <w:color w:val="000000"/>
          <w:sz w:val="20"/>
          <w:szCs w:val="20"/>
        </w:rPr>
        <w:t>rceable in respect of, one or more of the specified types of actions or proceedings, we may incur additional costs associated with resolving such matters in other jurisdictions, which could adversely affect our business, financial condition, and results of</w:t>
      </w:r>
      <w:r>
        <w:rPr>
          <w:rFonts w:ascii="Times New Roman" w:eastAsia="宋体" w:hAnsi="Times New Roman"/>
          <w:color w:val="000000"/>
          <w:sz w:val="20"/>
          <w:szCs w:val="20"/>
        </w:rPr>
        <w:t xml:space="preserve"> operations. </w:t>
      </w:r>
    </w:p>
    <w:p w14:paraId="7DCFCF65" w14:textId="77777777" w:rsidR="00C1563E" w:rsidRDefault="00C1563E"/>
    <w:p w14:paraId="7DCFCF66" w14:textId="77777777" w:rsidR="00C1563E" w:rsidRDefault="000B648B">
      <w:r>
        <w:rPr>
          <w:rFonts w:ascii="Times New Roman" w:eastAsia="宋体" w:hAnsi="Times New Roman"/>
          <w:color w:val="000000"/>
          <w:sz w:val="20"/>
          <w:szCs w:val="20"/>
        </w:rPr>
        <w:t xml:space="preserve">The choice of forum provision is intended to apply to the fullest extent permitted by law to the above-specified types of actions and proceedings, including, to the extent permitted by the federal securities laws, to lawsuits asserting both </w:t>
      </w:r>
      <w:r>
        <w:rPr>
          <w:rFonts w:ascii="Times New Roman" w:eastAsia="宋体" w:hAnsi="Times New Roman"/>
          <w:color w:val="000000"/>
          <w:sz w:val="20"/>
          <w:szCs w:val="20"/>
        </w:rPr>
        <w:t>the above-specified claims and claims under the federal securities laws. Application of the choice of forum provision may be limited in some instances by applicable law. Section 27 of the Securities Exchange Act of 1934 (the “Exchange Act”) creates exclusi</w:t>
      </w:r>
      <w:r>
        <w:rPr>
          <w:rFonts w:ascii="Times New Roman" w:eastAsia="宋体" w:hAnsi="Times New Roman"/>
          <w:color w:val="000000"/>
          <w:sz w:val="20"/>
          <w:szCs w:val="20"/>
        </w:rPr>
        <w:t xml:space="preserve">ve federal jurisdiction over all suits brought to enforce any duty or liability created by the Exchange Act or the rules and regulations thereunder. As a result, the choice of forum provision will not apply to actions arising under the Exchange Act or the </w:t>
      </w:r>
      <w:r>
        <w:rPr>
          <w:rFonts w:ascii="Times New Roman" w:eastAsia="宋体" w:hAnsi="Times New Roman"/>
          <w:color w:val="000000"/>
          <w:sz w:val="20"/>
          <w:szCs w:val="20"/>
        </w:rPr>
        <w:t>rules and regulations thereunder. Section 22 of the Securities Act creates concurrent jurisdiction for federal and state courts over suits brought to enforce any duty or liability created by the Securities Act or the rules and regulations thereunder, subje</w:t>
      </w:r>
      <w:r>
        <w:rPr>
          <w:rFonts w:ascii="Times New Roman" w:eastAsia="宋体" w:hAnsi="Times New Roman"/>
          <w:color w:val="000000"/>
          <w:sz w:val="20"/>
          <w:szCs w:val="20"/>
        </w:rPr>
        <w:t>ct to a limited exception for certain “covered class actions.” There is uncertainty, particularly in light of current litigation, as to whether a court would enforce the choice of forum provision with respect to claims under the Securities Act. Our stockho</w:t>
      </w:r>
      <w:r>
        <w:rPr>
          <w:rFonts w:ascii="Times New Roman" w:eastAsia="宋体" w:hAnsi="Times New Roman"/>
          <w:color w:val="000000"/>
          <w:sz w:val="20"/>
          <w:szCs w:val="20"/>
        </w:rPr>
        <w:t xml:space="preserve">lders will not be deemed, by operation of the choice of forum provision, to have waived claims arising under the federal securities laws and the rules and regulations thereunder. </w:t>
      </w:r>
    </w:p>
    <w:p w14:paraId="7DCFCF67" w14:textId="77777777" w:rsidR="00C1563E" w:rsidRDefault="00C1563E"/>
    <w:p w14:paraId="7DCFCF68" w14:textId="77777777" w:rsidR="00C1563E" w:rsidRDefault="00C1563E">
      <w:pPr>
        <w:jc w:val="center"/>
      </w:pPr>
    </w:p>
    <w:p w14:paraId="7DCFCF69" w14:textId="77777777" w:rsidR="00C1563E" w:rsidRDefault="000B648B">
      <w:pPr>
        <w:jc w:val="center"/>
      </w:pPr>
      <w:r>
        <w:rPr>
          <w:rFonts w:ascii="Times New Roman" w:eastAsia="宋体" w:hAnsi="Times New Roman"/>
          <w:color w:val="000000"/>
          <w:sz w:val="20"/>
          <w:szCs w:val="20"/>
        </w:rPr>
        <w:t>30</w:t>
      </w:r>
    </w:p>
    <w:p w14:paraId="7DCFCF6A" w14:textId="77777777" w:rsidR="00C1563E" w:rsidRDefault="00C1563E">
      <w:pPr>
        <w:jc w:val="center"/>
      </w:pPr>
    </w:p>
    <w:p w14:paraId="7DCFCF6B" w14:textId="77777777" w:rsidR="00C1563E" w:rsidRDefault="000B648B">
      <w:r>
        <w:pict w14:anchorId="7DD02584">
          <v:rect id="_x0000_i1054" style="width:415.3pt;height:1.5pt" o:hralign="center" o:hrstd="t" o:hr="t" fillcolor="#a0a0a0" stroked="f"/>
        </w:pict>
      </w:r>
    </w:p>
    <w:p w14:paraId="7DCFCF6C" w14:textId="77777777" w:rsidR="00C1563E" w:rsidRDefault="000B648B">
      <w:hyperlink r:id="rId105" w:anchor="i418e32e4a35149ffbf7d3a25d66881b8_10" w:history="1">
        <w:r>
          <w:rPr>
            <w:rStyle w:val="a5"/>
            <w:rFonts w:ascii="Times New Roman" w:eastAsia="宋体" w:hAnsi="Times New Roman"/>
            <w:sz w:val="20"/>
            <w:szCs w:val="20"/>
          </w:rPr>
          <w:t>Table of Contents</w:t>
        </w:r>
      </w:hyperlink>
    </w:p>
    <w:p w14:paraId="7DCFCF6D" w14:textId="77777777" w:rsidR="00C1563E" w:rsidRDefault="000B648B">
      <w:r>
        <w:rPr>
          <w:rFonts w:ascii="Times New Roman" w:eastAsia="宋体" w:hAnsi="Times New Roman"/>
          <w:b/>
          <w:bCs/>
          <w:color w:val="000000"/>
          <w:sz w:val="20"/>
          <w:szCs w:val="20"/>
        </w:rPr>
        <w:t>ITEM 1B — UNRESOLVED STAFF COMMENTS</w:t>
      </w:r>
    </w:p>
    <w:p w14:paraId="7DCFCF6E" w14:textId="77777777" w:rsidR="00C1563E" w:rsidRDefault="00C1563E"/>
    <w:p w14:paraId="7DCFCF6F" w14:textId="77777777" w:rsidR="00C1563E" w:rsidRDefault="000B648B">
      <w:r>
        <w:rPr>
          <w:rFonts w:ascii="Times New Roman" w:eastAsia="宋体" w:hAnsi="Times New Roman"/>
          <w:color w:val="000000"/>
          <w:sz w:val="20"/>
          <w:szCs w:val="20"/>
        </w:rPr>
        <w:t>None.</w:t>
      </w:r>
    </w:p>
    <w:p w14:paraId="7DCFCF70" w14:textId="77777777" w:rsidR="00C1563E" w:rsidRDefault="00C1563E"/>
    <w:p w14:paraId="7DCFCF71" w14:textId="77777777" w:rsidR="00C1563E" w:rsidRDefault="000B648B">
      <w:r>
        <w:rPr>
          <w:rFonts w:ascii="Times New Roman" w:eastAsia="宋体" w:hAnsi="Times New Roman"/>
          <w:b/>
          <w:bCs/>
          <w:color w:val="000000"/>
          <w:sz w:val="20"/>
          <w:szCs w:val="20"/>
        </w:rPr>
        <w:t>ITEM 2 — PROPERTIES</w:t>
      </w:r>
    </w:p>
    <w:p w14:paraId="7DCFCF72" w14:textId="77777777" w:rsidR="00C1563E" w:rsidRDefault="00C1563E"/>
    <w:p w14:paraId="7DCFCF73" w14:textId="77777777" w:rsidR="00C1563E" w:rsidRDefault="000B648B">
      <w:r>
        <w:rPr>
          <w:rFonts w:ascii="Times New Roman" w:eastAsia="宋体" w:hAnsi="Times New Roman"/>
          <w:color w:val="000000"/>
          <w:sz w:val="20"/>
          <w:szCs w:val="20"/>
        </w:rPr>
        <w:t>Our principal execu</w:t>
      </w:r>
      <w:r>
        <w:rPr>
          <w:rFonts w:ascii="Times New Roman" w:eastAsia="宋体" w:hAnsi="Times New Roman"/>
          <w:color w:val="000000"/>
          <w:sz w:val="20"/>
          <w:szCs w:val="20"/>
        </w:rPr>
        <w:t>tive offices and global headquarters are located at One Dell Way, Round Rock, Texas.</w:t>
      </w:r>
    </w:p>
    <w:p w14:paraId="7DCFCF74" w14:textId="77777777" w:rsidR="00C1563E" w:rsidRDefault="00C1563E"/>
    <w:p w14:paraId="7DCFCF75" w14:textId="77777777" w:rsidR="00C1563E" w:rsidRDefault="000B648B">
      <w:r>
        <w:rPr>
          <w:rFonts w:ascii="Times New Roman" w:eastAsia="宋体" w:hAnsi="Times New Roman"/>
          <w:color w:val="000000"/>
          <w:sz w:val="20"/>
          <w:szCs w:val="20"/>
        </w:rPr>
        <w:t>As of January 29, 2021, as shown in the following table, we owned or leased 30.7 million square feet of office, manufacturing, and warehouse space worldwide:</w:t>
      </w:r>
    </w:p>
    <w:tbl>
      <w:tblPr>
        <w:tblW w:w="4993" w:type="pct"/>
        <w:jc w:val="center"/>
        <w:tblCellMar>
          <w:top w:w="15" w:type="dxa"/>
          <w:left w:w="15" w:type="dxa"/>
          <w:bottom w:w="15" w:type="dxa"/>
          <w:right w:w="15" w:type="dxa"/>
        </w:tblCellMar>
        <w:tblLook w:val="04A0" w:firstRow="1" w:lastRow="0" w:firstColumn="1" w:lastColumn="0" w:noHBand="0" w:noVBand="1"/>
      </w:tblPr>
      <w:tblGrid>
        <w:gridCol w:w="63"/>
        <w:gridCol w:w="4911"/>
        <w:gridCol w:w="37"/>
        <w:gridCol w:w="63"/>
        <w:gridCol w:w="1509"/>
        <w:gridCol w:w="36"/>
        <w:gridCol w:w="36"/>
        <w:gridCol w:w="36"/>
        <w:gridCol w:w="36"/>
        <w:gridCol w:w="52"/>
        <w:gridCol w:w="1509"/>
        <w:gridCol w:w="36"/>
      </w:tblGrid>
      <w:tr w:rsidR="00C1563E" w14:paraId="7DCFCF82" w14:textId="77777777">
        <w:trPr>
          <w:jc w:val="center"/>
        </w:trPr>
        <w:tc>
          <w:tcPr>
            <w:tcW w:w="50" w:type="pct"/>
            <w:shd w:val="clear" w:color="auto" w:fill="auto"/>
          </w:tcPr>
          <w:p w14:paraId="7DCFCF76" w14:textId="77777777" w:rsidR="00C1563E" w:rsidRDefault="00C1563E">
            <w:pPr>
              <w:rPr>
                <w:rFonts w:ascii="宋体"/>
              </w:rPr>
            </w:pPr>
          </w:p>
        </w:tc>
        <w:tc>
          <w:tcPr>
            <w:tcW w:w="2961" w:type="pct"/>
            <w:shd w:val="clear" w:color="auto" w:fill="auto"/>
          </w:tcPr>
          <w:p w14:paraId="7DCFCF77" w14:textId="77777777" w:rsidR="00C1563E" w:rsidRDefault="00C1563E">
            <w:pPr>
              <w:rPr>
                <w:rFonts w:ascii="宋体"/>
              </w:rPr>
            </w:pPr>
          </w:p>
        </w:tc>
        <w:tc>
          <w:tcPr>
            <w:tcW w:w="5" w:type="pct"/>
            <w:shd w:val="clear" w:color="auto" w:fill="auto"/>
          </w:tcPr>
          <w:p w14:paraId="7DCFCF78" w14:textId="77777777" w:rsidR="00C1563E" w:rsidRDefault="00C1563E">
            <w:pPr>
              <w:rPr>
                <w:rFonts w:ascii="宋体"/>
              </w:rPr>
            </w:pPr>
          </w:p>
        </w:tc>
        <w:tc>
          <w:tcPr>
            <w:tcW w:w="50" w:type="pct"/>
            <w:shd w:val="clear" w:color="auto" w:fill="auto"/>
          </w:tcPr>
          <w:p w14:paraId="7DCFCF79" w14:textId="77777777" w:rsidR="00C1563E" w:rsidRDefault="00C1563E">
            <w:pPr>
              <w:rPr>
                <w:rFonts w:ascii="宋体"/>
              </w:rPr>
            </w:pPr>
          </w:p>
        </w:tc>
        <w:tc>
          <w:tcPr>
            <w:tcW w:w="918" w:type="pct"/>
            <w:shd w:val="clear" w:color="auto" w:fill="auto"/>
          </w:tcPr>
          <w:p w14:paraId="7DCFCF7A" w14:textId="77777777" w:rsidR="00C1563E" w:rsidRDefault="00C1563E">
            <w:pPr>
              <w:rPr>
                <w:rFonts w:ascii="宋体"/>
              </w:rPr>
            </w:pPr>
          </w:p>
        </w:tc>
        <w:tc>
          <w:tcPr>
            <w:tcW w:w="5" w:type="pct"/>
            <w:shd w:val="clear" w:color="auto" w:fill="auto"/>
          </w:tcPr>
          <w:p w14:paraId="7DCFCF7B" w14:textId="77777777" w:rsidR="00C1563E" w:rsidRDefault="00C1563E">
            <w:pPr>
              <w:rPr>
                <w:rFonts w:ascii="宋体"/>
              </w:rPr>
            </w:pPr>
          </w:p>
        </w:tc>
        <w:tc>
          <w:tcPr>
            <w:tcW w:w="5" w:type="pct"/>
            <w:shd w:val="clear" w:color="auto" w:fill="auto"/>
          </w:tcPr>
          <w:p w14:paraId="7DCFCF7C" w14:textId="77777777" w:rsidR="00C1563E" w:rsidRDefault="00C1563E">
            <w:pPr>
              <w:rPr>
                <w:rFonts w:ascii="宋体"/>
              </w:rPr>
            </w:pPr>
          </w:p>
        </w:tc>
        <w:tc>
          <w:tcPr>
            <w:tcW w:w="26" w:type="pct"/>
            <w:shd w:val="clear" w:color="auto" w:fill="auto"/>
          </w:tcPr>
          <w:p w14:paraId="7DCFCF7D" w14:textId="77777777" w:rsidR="00C1563E" w:rsidRDefault="00C1563E">
            <w:pPr>
              <w:rPr>
                <w:rFonts w:ascii="宋体"/>
              </w:rPr>
            </w:pPr>
          </w:p>
        </w:tc>
        <w:tc>
          <w:tcPr>
            <w:tcW w:w="5" w:type="pct"/>
            <w:shd w:val="clear" w:color="auto" w:fill="auto"/>
          </w:tcPr>
          <w:p w14:paraId="7DCFCF7E" w14:textId="77777777" w:rsidR="00C1563E" w:rsidRDefault="00C1563E">
            <w:pPr>
              <w:rPr>
                <w:rFonts w:ascii="宋体"/>
              </w:rPr>
            </w:pPr>
          </w:p>
        </w:tc>
        <w:tc>
          <w:tcPr>
            <w:tcW w:w="50" w:type="pct"/>
            <w:shd w:val="clear" w:color="auto" w:fill="auto"/>
          </w:tcPr>
          <w:p w14:paraId="7DCFCF7F" w14:textId="77777777" w:rsidR="00C1563E" w:rsidRDefault="00C1563E">
            <w:pPr>
              <w:rPr>
                <w:rFonts w:ascii="宋体"/>
              </w:rPr>
            </w:pPr>
          </w:p>
        </w:tc>
        <w:tc>
          <w:tcPr>
            <w:tcW w:w="918" w:type="pct"/>
            <w:shd w:val="clear" w:color="auto" w:fill="auto"/>
          </w:tcPr>
          <w:p w14:paraId="7DCFCF80" w14:textId="77777777" w:rsidR="00C1563E" w:rsidRDefault="00C1563E">
            <w:pPr>
              <w:rPr>
                <w:rFonts w:ascii="宋体"/>
              </w:rPr>
            </w:pPr>
          </w:p>
        </w:tc>
        <w:tc>
          <w:tcPr>
            <w:tcW w:w="5" w:type="pct"/>
            <w:shd w:val="clear" w:color="auto" w:fill="auto"/>
          </w:tcPr>
          <w:p w14:paraId="7DCFCF81" w14:textId="77777777" w:rsidR="00C1563E" w:rsidRDefault="00C1563E">
            <w:pPr>
              <w:rPr>
                <w:rFonts w:ascii="宋体"/>
              </w:rPr>
            </w:pPr>
          </w:p>
        </w:tc>
      </w:tr>
      <w:tr w:rsidR="00C1563E" w14:paraId="7DCFCF87" w14:textId="77777777">
        <w:trPr>
          <w:jc w:val="center"/>
        </w:trPr>
        <w:tc>
          <w:tcPr>
            <w:tcW w:w="0" w:type="auto"/>
            <w:gridSpan w:val="3"/>
            <w:shd w:val="clear" w:color="auto" w:fill="auto"/>
            <w:tcMar>
              <w:top w:w="0" w:type="dxa"/>
              <w:left w:w="20" w:type="dxa"/>
              <w:bottom w:w="0" w:type="dxa"/>
              <w:right w:w="20" w:type="dxa"/>
            </w:tcMar>
          </w:tcPr>
          <w:p w14:paraId="7DCFCF8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F84" w14:textId="77777777" w:rsidR="00C1563E" w:rsidRDefault="000B648B">
            <w:pPr>
              <w:jc w:val="center"/>
              <w:textAlignment w:val="bottom"/>
            </w:pPr>
            <w:r>
              <w:rPr>
                <w:rFonts w:ascii="Times New Roman" w:eastAsia="宋体" w:hAnsi="Times New Roman"/>
                <w:b/>
                <w:bCs/>
                <w:color w:val="000000"/>
                <w:sz w:val="20"/>
                <w:szCs w:val="20"/>
              </w:rPr>
              <w:t>Owned</w:t>
            </w:r>
          </w:p>
        </w:tc>
        <w:tc>
          <w:tcPr>
            <w:tcW w:w="0" w:type="auto"/>
            <w:gridSpan w:val="3"/>
            <w:shd w:val="clear" w:color="auto" w:fill="auto"/>
            <w:tcMar>
              <w:top w:w="0" w:type="dxa"/>
              <w:left w:w="20" w:type="dxa"/>
              <w:bottom w:w="0" w:type="dxa"/>
              <w:right w:w="20" w:type="dxa"/>
            </w:tcMar>
          </w:tcPr>
          <w:p w14:paraId="7DCFCF85"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CF86" w14:textId="77777777" w:rsidR="00C1563E" w:rsidRDefault="000B648B">
            <w:pPr>
              <w:jc w:val="center"/>
              <w:textAlignment w:val="bottom"/>
            </w:pPr>
            <w:r>
              <w:rPr>
                <w:rFonts w:ascii="Times New Roman" w:eastAsia="宋体" w:hAnsi="Times New Roman"/>
                <w:b/>
                <w:bCs/>
                <w:color w:val="000000"/>
                <w:sz w:val="20"/>
                <w:szCs w:val="20"/>
              </w:rPr>
              <w:t>Leased</w:t>
            </w:r>
          </w:p>
        </w:tc>
      </w:tr>
      <w:tr w:rsidR="00C1563E" w14:paraId="7DCFCF8A" w14:textId="77777777">
        <w:trPr>
          <w:jc w:val="center"/>
        </w:trPr>
        <w:tc>
          <w:tcPr>
            <w:tcW w:w="0" w:type="auto"/>
            <w:gridSpan w:val="3"/>
            <w:shd w:val="clear" w:color="auto" w:fill="auto"/>
            <w:tcMar>
              <w:top w:w="0" w:type="dxa"/>
              <w:left w:w="20" w:type="dxa"/>
              <w:bottom w:w="0" w:type="dxa"/>
              <w:right w:w="20" w:type="dxa"/>
            </w:tcMar>
          </w:tcPr>
          <w:p w14:paraId="7DCFCF88"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CF89"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CF91" w14:textId="77777777">
        <w:trPr>
          <w:jc w:val="center"/>
        </w:trPr>
        <w:tc>
          <w:tcPr>
            <w:tcW w:w="0" w:type="auto"/>
            <w:gridSpan w:val="3"/>
            <w:shd w:val="clear" w:color="auto" w:fill="CCEEFF"/>
            <w:tcMar>
              <w:top w:w="40" w:type="dxa"/>
              <w:left w:w="20" w:type="dxa"/>
              <w:bottom w:w="40" w:type="dxa"/>
              <w:right w:w="20" w:type="dxa"/>
            </w:tcMar>
            <w:vAlign w:val="bottom"/>
          </w:tcPr>
          <w:p w14:paraId="7DCFCF8B" w14:textId="77777777" w:rsidR="00C1563E" w:rsidRDefault="000B648B">
            <w:pPr>
              <w:textAlignment w:val="bottom"/>
            </w:pPr>
            <w:r>
              <w:rPr>
                <w:rFonts w:ascii="Times New Roman" w:eastAsia="宋体" w:hAnsi="Times New Roman"/>
                <w:color w:val="000000"/>
                <w:sz w:val="20"/>
                <w:szCs w:val="20"/>
              </w:rPr>
              <w:t>U.S. facilities</w:t>
            </w:r>
          </w:p>
        </w:tc>
        <w:tc>
          <w:tcPr>
            <w:tcW w:w="0" w:type="auto"/>
            <w:gridSpan w:val="2"/>
            <w:shd w:val="clear" w:color="auto" w:fill="CCEEFF"/>
            <w:tcMar>
              <w:top w:w="40" w:type="dxa"/>
              <w:left w:w="20" w:type="dxa"/>
              <w:bottom w:w="40" w:type="dxa"/>
              <w:right w:w="0" w:type="dxa"/>
            </w:tcMar>
            <w:vAlign w:val="bottom"/>
          </w:tcPr>
          <w:p w14:paraId="7DCFCF8C" w14:textId="77777777" w:rsidR="00C1563E" w:rsidRDefault="000B648B">
            <w:pPr>
              <w:jc w:val="right"/>
              <w:textAlignment w:val="bottom"/>
            </w:pPr>
            <w:r>
              <w:rPr>
                <w:rFonts w:ascii="Times New Roman" w:eastAsia="宋体" w:hAnsi="Times New Roman"/>
                <w:color w:val="000000"/>
                <w:sz w:val="20"/>
                <w:szCs w:val="20"/>
              </w:rPr>
              <w:t>9.9 </w:t>
            </w:r>
          </w:p>
        </w:tc>
        <w:tc>
          <w:tcPr>
            <w:tcW w:w="0" w:type="auto"/>
            <w:shd w:val="clear" w:color="auto" w:fill="CCEEFF"/>
            <w:tcMar>
              <w:top w:w="40" w:type="dxa"/>
              <w:left w:w="0" w:type="dxa"/>
              <w:bottom w:w="40" w:type="dxa"/>
              <w:right w:w="20" w:type="dxa"/>
            </w:tcMar>
            <w:vAlign w:val="bottom"/>
          </w:tcPr>
          <w:p w14:paraId="7DCFCF8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CF8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CF8F" w14:textId="77777777" w:rsidR="00C1563E" w:rsidRDefault="000B648B">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7DCFCF90" w14:textId="77777777" w:rsidR="00C1563E" w:rsidRDefault="00C1563E">
            <w:pPr>
              <w:jc w:val="right"/>
              <w:rPr>
                <w:rFonts w:ascii="宋体"/>
              </w:rPr>
            </w:pPr>
          </w:p>
        </w:tc>
      </w:tr>
      <w:tr w:rsidR="00C1563E" w14:paraId="7DCFCF98" w14:textId="77777777">
        <w:trPr>
          <w:jc w:val="center"/>
        </w:trPr>
        <w:tc>
          <w:tcPr>
            <w:tcW w:w="0" w:type="auto"/>
            <w:gridSpan w:val="3"/>
            <w:shd w:val="clear" w:color="auto" w:fill="FFFFFF"/>
            <w:tcMar>
              <w:top w:w="40" w:type="dxa"/>
              <w:left w:w="20" w:type="dxa"/>
              <w:bottom w:w="40" w:type="dxa"/>
              <w:right w:w="20" w:type="dxa"/>
            </w:tcMar>
            <w:vAlign w:val="bottom"/>
          </w:tcPr>
          <w:p w14:paraId="7DCFCF92" w14:textId="77777777" w:rsidR="00C1563E" w:rsidRDefault="000B648B">
            <w:pPr>
              <w:textAlignment w:val="bottom"/>
            </w:pPr>
            <w:r>
              <w:rPr>
                <w:rFonts w:ascii="Times New Roman" w:eastAsia="宋体" w:hAnsi="Times New Roman"/>
                <w:color w:val="000000"/>
                <w:sz w:val="20"/>
                <w:szCs w:val="20"/>
              </w:rPr>
              <w:t>International facilities</w:t>
            </w:r>
          </w:p>
        </w:tc>
        <w:tc>
          <w:tcPr>
            <w:tcW w:w="0" w:type="auto"/>
            <w:gridSpan w:val="2"/>
            <w:shd w:val="clear" w:color="auto" w:fill="FFFFFF"/>
            <w:tcMar>
              <w:top w:w="40" w:type="dxa"/>
              <w:left w:w="20" w:type="dxa"/>
              <w:bottom w:w="40" w:type="dxa"/>
              <w:right w:w="0" w:type="dxa"/>
            </w:tcMar>
            <w:vAlign w:val="bottom"/>
          </w:tcPr>
          <w:p w14:paraId="7DCFCF93"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7DCFCF9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CF9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CF96" w14:textId="77777777" w:rsidR="00C1563E" w:rsidRDefault="000B648B">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7DCFCF97" w14:textId="77777777" w:rsidR="00C1563E" w:rsidRDefault="00C1563E">
            <w:pPr>
              <w:jc w:val="right"/>
              <w:rPr>
                <w:rFonts w:ascii="宋体"/>
              </w:rPr>
            </w:pPr>
          </w:p>
        </w:tc>
      </w:tr>
      <w:tr w:rsidR="00C1563E" w14:paraId="7DCFCF9F" w14:textId="77777777">
        <w:trPr>
          <w:jc w:val="center"/>
        </w:trPr>
        <w:tc>
          <w:tcPr>
            <w:tcW w:w="0" w:type="auto"/>
            <w:gridSpan w:val="3"/>
            <w:shd w:val="clear" w:color="auto" w:fill="CCEEFF"/>
            <w:tcMar>
              <w:top w:w="40" w:type="dxa"/>
              <w:left w:w="20" w:type="dxa"/>
              <w:bottom w:w="40" w:type="dxa"/>
              <w:right w:w="20" w:type="dxa"/>
            </w:tcMar>
            <w:vAlign w:val="bottom"/>
          </w:tcPr>
          <w:p w14:paraId="7DCFCF99" w14:textId="77777777" w:rsidR="00C1563E" w:rsidRDefault="000B648B">
            <w:pPr>
              <w:textAlignment w:val="bottom"/>
            </w:pPr>
            <w:r>
              <w:rPr>
                <w:rFonts w:ascii="Times New Roman" w:eastAsia="宋体" w:hAnsi="Times New Roman"/>
                <w:color w:val="000000"/>
                <w:sz w:val="20"/>
                <w:szCs w:val="20"/>
              </w:rPr>
              <w:t>Total (a)</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CF9A" w14:textId="77777777" w:rsidR="00C1563E" w:rsidRDefault="000B648B">
            <w:pPr>
              <w:jc w:val="right"/>
              <w:textAlignment w:val="bottom"/>
            </w:pPr>
            <w:r>
              <w:rPr>
                <w:rFonts w:ascii="Times New Roman" w:eastAsia="宋体" w:hAnsi="Times New Roman"/>
                <w:color w:val="000000"/>
                <w:sz w:val="20"/>
                <w:szCs w:val="20"/>
              </w:rPr>
              <w:t>14.4 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CF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CF9C"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CF9D" w14:textId="77777777" w:rsidR="00C1563E" w:rsidRDefault="000B648B">
            <w:pPr>
              <w:jc w:val="right"/>
              <w:textAlignment w:val="bottom"/>
            </w:pPr>
            <w:r>
              <w:rPr>
                <w:rFonts w:ascii="Times New Roman" w:eastAsia="宋体" w:hAnsi="Times New Roman"/>
                <w:color w:val="000000"/>
                <w:sz w:val="20"/>
                <w:szCs w:val="20"/>
              </w:rPr>
              <w:t>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CF9E" w14:textId="77777777" w:rsidR="00C1563E" w:rsidRDefault="00C1563E">
            <w:pPr>
              <w:jc w:val="right"/>
              <w:rPr>
                <w:rFonts w:ascii="宋体"/>
              </w:rPr>
            </w:pPr>
          </w:p>
        </w:tc>
      </w:tr>
    </w:tbl>
    <w:p w14:paraId="7DCFCFA0" w14:textId="77777777" w:rsidR="00C1563E" w:rsidRDefault="000B648B">
      <w:r>
        <w:rPr>
          <w:rFonts w:ascii="Times New Roman" w:eastAsia="宋体" w:hAnsi="Times New Roman"/>
          <w:color w:val="000000"/>
          <w:sz w:val="20"/>
          <w:szCs w:val="20"/>
        </w:rPr>
        <w:t>____________________</w:t>
      </w:r>
    </w:p>
    <w:p w14:paraId="7DCFCFA1" w14:textId="77777777" w:rsidR="00C1563E" w:rsidRDefault="000B648B">
      <w:pPr>
        <w:ind w:hanging="360"/>
      </w:pPr>
      <w:r>
        <w:rPr>
          <w:rFonts w:ascii="Times New Roman" w:eastAsia="宋体" w:hAnsi="Times New Roman"/>
          <w:color w:val="000000"/>
          <w:sz w:val="20"/>
          <w:szCs w:val="20"/>
        </w:rPr>
        <w:t>(a)    Includes 2.9 million square feet of subleased or vacant space.</w:t>
      </w:r>
    </w:p>
    <w:p w14:paraId="7DCFCFA2" w14:textId="77777777" w:rsidR="00C1563E" w:rsidRDefault="00C1563E"/>
    <w:p w14:paraId="7DCFCFA3" w14:textId="77777777" w:rsidR="00C1563E" w:rsidRDefault="000B648B">
      <w:r>
        <w:rPr>
          <w:rFonts w:ascii="Times New Roman" w:eastAsia="宋体" w:hAnsi="Times New Roman"/>
          <w:color w:val="000000"/>
          <w:sz w:val="20"/>
          <w:szCs w:val="20"/>
        </w:rPr>
        <w:t xml:space="preserve">As of January 29, 2021, our </w:t>
      </w:r>
      <w:r>
        <w:rPr>
          <w:rFonts w:ascii="Times New Roman" w:eastAsia="宋体" w:hAnsi="Times New Roman"/>
          <w:color w:val="000000"/>
          <w:sz w:val="20"/>
          <w:szCs w:val="20"/>
        </w:rPr>
        <w:t>facilities consisted of business centers, which include facilities that contain operations for sales, technical support, administrative, and support functions; manufacturing operations; and research and development centers. For additional information about</w:t>
      </w:r>
      <w:r>
        <w:rPr>
          <w:rFonts w:ascii="Times New Roman" w:eastAsia="宋体" w:hAnsi="Times New Roman"/>
          <w:color w:val="000000"/>
          <w:sz w:val="20"/>
          <w:szCs w:val="20"/>
        </w:rPr>
        <w:t xml:space="preserve"> our facilities, including the location of certain facilities, see “Item 1 — Business — Manufacturing and Materials.”</w:t>
      </w:r>
    </w:p>
    <w:p w14:paraId="7DCFCFA4" w14:textId="77777777" w:rsidR="00C1563E" w:rsidRDefault="00C1563E"/>
    <w:p w14:paraId="7DCFCFA5" w14:textId="77777777" w:rsidR="00C1563E" w:rsidRDefault="000B648B">
      <w:r>
        <w:rPr>
          <w:rFonts w:ascii="Times New Roman" w:eastAsia="宋体" w:hAnsi="Times New Roman"/>
          <w:color w:val="000000"/>
          <w:sz w:val="20"/>
          <w:szCs w:val="20"/>
        </w:rPr>
        <w:t xml:space="preserve">Because of the interrelation of the products and services offered in each of our segments, we generally do not designate our </w:t>
      </w:r>
      <w:r>
        <w:rPr>
          <w:rFonts w:ascii="Times New Roman" w:eastAsia="宋体" w:hAnsi="Times New Roman"/>
          <w:color w:val="000000"/>
          <w:sz w:val="20"/>
          <w:szCs w:val="20"/>
        </w:rPr>
        <w:t>properties to any segment. With limited exceptions, each property is used at least in part by all of our segments, and we retain the flexibility to make future use of each of the properties available to each of the segments. Of our properties as of January</w:t>
      </w:r>
      <w:r>
        <w:rPr>
          <w:rFonts w:ascii="Times New Roman" w:eastAsia="宋体" w:hAnsi="Times New Roman"/>
          <w:color w:val="000000"/>
          <w:sz w:val="20"/>
          <w:szCs w:val="20"/>
        </w:rPr>
        <w:t> 29, 2021, approximately 6.2 million square feet of space that house executive and administrative offices, research and development, sales and marketing functions, and data centers were used solely by our VMware segment.</w:t>
      </w:r>
    </w:p>
    <w:p w14:paraId="7DCFCFA6" w14:textId="77777777" w:rsidR="00C1563E" w:rsidRDefault="00C1563E"/>
    <w:p w14:paraId="7DCFCFA7" w14:textId="77777777" w:rsidR="00C1563E" w:rsidRDefault="000B648B">
      <w:r>
        <w:rPr>
          <w:rFonts w:ascii="Times New Roman" w:eastAsia="宋体" w:hAnsi="Times New Roman"/>
          <w:color w:val="000000"/>
          <w:sz w:val="20"/>
          <w:szCs w:val="20"/>
        </w:rPr>
        <w:t>We believe that our existing prope</w:t>
      </w:r>
      <w:r>
        <w:rPr>
          <w:rFonts w:ascii="Times New Roman" w:eastAsia="宋体" w:hAnsi="Times New Roman"/>
          <w:color w:val="000000"/>
          <w:sz w:val="20"/>
          <w:szCs w:val="20"/>
        </w:rPr>
        <w:t>rties are suitable and adequate for our current needs, and we will continue to assess our facilities requirements, considering the increased number of employees who are adopting flexible work arrangements under our Connected Workplace programs. This evolut</w:t>
      </w:r>
      <w:r>
        <w:rPr>
          <w:rFonts w:ascii="Times New Roman" w:eastAsia="宋体" w:hAnsi="Times New Roman"/>
          <w:color w:val="000000"/>
          <w:sz w:val="20"/>
          <w:szCs w:val="20"/>
        </w:rPr>
        <w:t xml:space="preserve">ion may result in an overall reduction in square footage of our facilities over the next three fiscal years. </w:t>
      </w:r>
    </w:p>
    <w:p w14:paraId="7DCFCFA8" w14:textId="77777777" w:rsidR="00C1563E" w:rsidRDefault="00C1563E"/>
    <w:p w14:paraId="7DCFCFA9" w14:textId="77777777" w:rsidR="00C1563E" w:rsidRDefault="000B648B">
      <w:r>
        <w:rPr>
          <w:rFonts w:ascii="Times New Roman" w:eastAsia="宋体" w:hAnsi="Times New Roman"/>
          <w:b/>
          <w:bCs/>
          <w:color w:val="000000"/>
          <w:sz w:val="20"/>
          <w:szCs w:val="20"/>
        </w:rPr>
        <w:t>ITEM 3 — LEGAL PROCEEDINGS</w:t>
      </w:r>
    </w:p>
    <w:p w14:paraId="7DCFCFAA" w14:textId="77777777" w:rsidR="00C1563E" w:rsidRDefault="00C1563E"/>
    <w:p w14:paraId="7DCFCFAB" w14:textId="77777777" w:rsidR="00C1563E" w:rsidRDefault="000B648B">
      <w:r>
        <w:rPr>
          <w:rFonts w:ascii="Times New Roman" w:eastAsia="宋体" w:hAnsi="Times New Roman"/>
          <w:color w:val="000000"/>
          <w:sz w:val="20"/>
          <w:szCs w:val="20"/>
          <w:shd w:val="clear" w:color="auto" w:fill="FFFFFF"/>
        </w:rPr>
        <w:t>The information required by this Item 3 is incorporated herein by reference to the information set forth under the ca</w:t>
      </w:r>
      <w:r>
        <w:rPr>
          <w:rFonts w:ascii="Times New Roman" w:eastAsia="宋体" w:hAnsi="Times New Roman"/>
          <w:color w:val="000000"/>
          <w:sz w:val="20"/>
          <w:szCs w:val="20"/>
          <w:shd w:val="clear" w:color="auto" w:fill="FFFFFF"/>
        </w:rPr>
        <w:t xml:space="preserve">ption “Legal Matters” in Note 10 of the </w:t>
      </w:r>
      <w:r>
        <w:rPr>
          <w:rFonts w:ascii="Times New Roman" w:eastAsia="宋体" w:hAnsi="Times New Roman"/>
          <w:color w:val="000000"/>
          <w:sz w:val="20"/>
          <w:szCs w:val="20"/>
        </w:rPr>
        <w:t>Notes to the Consolidated Financial Statements</w:t>
      </w:r>
      <w:r>
        <w:rPr>
          <w:rFonts w:ascii="Times New Roman" w:eastAsia="宋体" w:hAnsi="Times New Roman"/>
          <w:color w:val="000000"/>
          <w:sz w:val="20"/>
          <w:szCs w:val="20"/>
          <w:shd w:val="clear" w:color="auto" w:fill="FFFFFF"/>
        </w:rPr>
        <w:t xml:space="preserve"> included in “Part II — Item 8 — Financial Statements and Supplementary Data.”</w:t>
      </w:r>
    </w:p>
    <w:p w14:paraId="7DCFCFAC" w14:textId="77777777" w:rsidR="00C1563E" w:rsidRDefault="00C1563E"/>
    <w:p w14:paraId="7DCFCFAD" w14:textId="77777777" w:rsidR="00C1563E" w:rsidRDefault="000B648B">
      <w:r>
        <w:rPr>
          <w:rFonts w:ascii="Times New Roman" w:eastAsia="宋体" w:hAnsi="Times New Roman"/>
          <w:b/>
          <w:bCs/>
          <w:color w:val="000000"/>
          <w:sz w:val="20"/>
          <w:szCs w:val="20"/>
        </w:rPr>
        <w:t>ITEM 4 — MINE SAFETY DISCLOSURES</w:t>
      </w:r>
    </w:p>
    <w:p w14:paraId="7DCFCFAE" w14:textId="77777777" w:rsidR="00C1563E" w:rsidRDefault="00C1563E"/>
    <w:p w14:paraId="7DCFCFAF" w14:textId="77777777" w:rsidR="00C1563E" w:rsidRDefault="000B648B">
      <w:r>
        <w:rPr>
          <w:rFonts w:ascii="Times New Roman" w:eastAsia="宋体" w:hAnsi="Times New Roman"/>
          <w:color w:val="000000"/>
          <w:sz w:val="20"/>
          <w:szCs w:val="20"/>
        </w:rPr>
        <w:t>Not applicable.</w:t>
      </w:r>
    </w:p>
    <w:p w14:paraId="7DCFCFB0" w14:textId="77777777" w:rsidR="00C1563E" w:rsidRDefault="00C1563E"/>
    <w:p w14:paraId="7DCFCFB1" w14:textId="77777777" w:rsidR="00C1563E" w:rsidRDefault="00C1563E">
      <w:pPr>
        <w:jc w:val="center"/>
      </w:pPr>
    </w:p>
    <w:p w14:paraId="7DCFCFB2" w14:textId="77777777" w:rsidR="00C1563E" w:rsidRDefault="000B648B">
      <w:pPr>
        <w:jc w:val="center"/>
      </w:pPr>
      <w:r>
        <w:rPr>
          <w:rFonts w:ascii="Times New Roman" w:eastAsia="宋体" w:hAnsi="Times New Roman"/>
          <w:color w:val="000000"/>
          <w:sz w:val="20"/>
          <w:szCs w:val="20"/>
        </w:rPr>
        <w:t>31</w:t>
      </w:r>
    </w:p>
    <w:p w14:paraId="7DCFCFB3" w14:textId="77777777" w:rsidR="00C1563E" w:rsidRDefault="00C1563E">
      <w:pPr>
        <w:jc w:val="center"/>
      </w:pPr>
    </w:p>
    <w:p w14:paraId="7DCFCFB4" w14:textId="77777777" w:rsidR="00C1563E" w:rsidRDefault="000B648B">
      <w:r>
        <w:pict w14:anchorId="7DD02585">
          <v:rect id="_x0000_i1055" style="width:415.3pt;height:1.5pt" o:hralign="center" o:hrstd="t" o:hr="t" fillcolor="#a0a0a0" stroked="f"/>
        </w:pict>
      </w:r>
    </w:p>
    <w:p w14:paraId="7DCFCFB5" w14:textId="77777777" w:rsidR="00C1563E" w:rsidRDefault="000B648B">
      <w:hyperlink r:id="rId106" w:anchor="i418e32e4a35149ffbf7d3a25d66881b8_10" w:history="1">
        <w:r>
          <w:rPr>
            <w:rStyle w:val="a5"/>
            <w:rFonts w:ascii="Times New Roman" w:eastAsia="宋体" w:hAnsi="Times New Roman"/>
            <w:sz w:val="20"/>
            <w:szCs w:val="20"/>
          </w:rPr>
          <w:t>Table of Contents</w:t>
        </w:r>
      </w:hyperlink>
    </w:p>
    <w:p w14:paraId="7DCFCFB6" w14:textId="77777777" w:rsidR="00C1563E" w:rsidRDefault="000B648B">
      <w:pPr>
        <w:jc w:val="center"/>
      </w:pPr>
      <w:r>
        <w:rPr>
          <w:rFonts w:ascii="Times New Roman" w:eastAsia="宋体" w:hAnsi="Times New Roman"/>
          <w:b/>
          <w:bCs/>
          <w:color w:val="000000"/>
          <w:sz w:val="20"/>
          <w:szCs w:val="20"/>
        </w:rPr>
        <w:t>PART II</w:t>
      </w:r>
    </w:p>
    <w:p w14:paraId="7DCFCFB7" w14:textId="77777777" w:rsidR="00C1563E" w:rsidRDefault="00C1563E">
      <w:pPr>
        <w:jc w:val="center"/>
      </w:pPr>
    </w:p>
    <w:p w14:paraId="7DCFCFB8" w14:textId="77777777" w:rsidR="00C1563E" w:rsidRDefault="000B648B">
      <w:r>
        <w:rPr>
          <w:rFonts w:ascii="Times New Roman" w:eastAsia="宋体" w:hAnsi="Times New Roman"/>
          <w:b/>
          <w:bCs/>
          <w:color w:val="000000"/>
          <w:sz w:val="20"/>
          <w:szCs w:val="20"/>
        </w:rPr>
        <w:t xml:space="preserve">ITEM 5 — MARKET FOR REGISTRANT’S COMMON EQUITY, RELATED STOCKHOLDER MATTERS AND ISSUER PURCHASES OF EQUITY </w:t>
      </w:r>
      <w:r>
        <w:rPr>
          <w:rFonts w:ascii="Times New Roman" w:eastAsia="宋体" w:hAnsi="Times New Roman"/>
          <w:b/>
          <w:bCs/>
          <w:color w:val="000000"/>
          <w:sz w:val="20"/>
          <w:szCs w:val="20"/>
        </w:rPr>
        <w:t>SECURITIES</w:t>
      </w:r>
    </w:p>
    <w:p w14:paraId="7DCFCFB9" w14:textId="77777777" w:rsidR="00C1563E" w:rsidRDefault="00C1563E"/>
    <w:p w14:paraId="7DCFCFBA" w14:textId="77777777" w:rsidR="00C1563E" w:rsidRDefault="000B648B">
      <w:pPr>
        <w:jc w:val="both"/>
      </w:pPr>
      <w:r>
        <w:rPr>
          <w:rFonts w:ascii="Times New Roman" w:eastAsia="宋体" w:hAnsi="Times New Roman"/>
          <w:b/>
          <w:bCs/>
          <w:color w:val="000000"/>
          <w:sz w:val="20"/>
          <w:szCs w:val="20"/>
        </w:rPr>
        <w:t>Market for Class C Common Stock</w:t>
      </w:r>
    </w:p>
    <w:p w14:paraId="7DCFCFBB" w14:textId="77777777" w:rsidR="00C1563E" w:rsidRDefault="00C1563E"/>
    <w:p w14:paraId="7DCFCFBC" w14:textId="77777777" w:rsidR="00C1563E" w:rsidRDefault="000B648B">
      <w:r>
        <w:rPr>
          <w:rFonts w:ascii="Times New Roman" w:eastAsia="宋体" w:hAnsi="Times New Roman"/>
          <w:color w:val="000000"/>
          <w:sz w:val="20"/>
          <w:szCs w:val="20"/>
        </w:rPr>
        <w:t>Our Class C Common Stock is listed and traded on the New York Stock Exchange under the symbol “DELL.” The Class C Common Stock began trading on the NYSE on a regular-way basis on December 28, 2018.</w:t>
      </w:r>
    </w:p>
    <w:p w14:paraId="7DCFCFBD" w14:textId="77777777" w:rsidR="00C1563E" w:rsidRDefault="00C1563E"/>
    <w:p w14:paraId="7DCFCFBE" w14:textId="77777777" w:rsidR="00C1563E" w:rsidRDefault="000B648B">
      <w:r>
        <w:rPr>
          <w:rFonts w:ascii="Times New Roman" w:eastAsia="宋体" w:hAnsi="Times New Roman"/>
          <w:color w:val="000000"/>
          <w:sz w:val="20"/>
          <w:szCs w:val="20"/>
        </w:rPr>
        <w:t>In connectio</w:t>
      </w:r>
      <w:r>
        <w:rPr>
          <w:rFonts w:ascii="Times New Roman" w:eastAsia="宋体" w:hAnsi="Times New Roman"/>
          <w:color w:val="000000"/>
          <w:sz w:val="20"/>
          <w:szCs w:val="20"/>
        </w:rPr>
        <w:t>n with the completion of the Class V transaction described under “Part I — Item 1 — Business — Class V Transaction,” our Class V Common Stock, which had been traded on the NYSE since the completion of the EMC merger transaction on September 7, 2016, ceased</w:t>
      </w:r>
      <w:r>
        <w:rPr>
          <w:rFonts w:ascii="Times New Roman" w:eastAsia="宋体" w:hAnsi="Times New Roman"/>
          <w:color w:val="000000"/>
          <w:sz w:val="20"/>
          <w:szCs w:val="20"/>
        </w:rPr>
        <w:t xml:space="preserve"> trading on the NYSE prior to the opening of trading on December 28, 2018.</w:t>
      </w:r>
    </w:p>
    <w:p w14:paraId="7DCFCFBF" w14:textId="77777777" w:rsidR="00C1563E" w:rsidRDefault="00C1563E"/>
    <w:p w14:paraId="7DCFCFC0" w14:textId="77777777" w:rsidR="00C1563E" w:rsidRDefault="000B648B">
      <w:r>
        <w:rPr>
          <w:rFonts w:ascii="Times New Roman" w:eastAsia="宋体" w:hAnsi="Times New Roman"/>
          <w:color w:val="000000"/>
          <w:sz w:val="20"/>
          <w:szCs w:val="20"/>
        </w:rPr>
        <w:t>There is no public market for our Class A Common Stock or Class B Common Stock. No shares of our Class D Common Stock were outstanding as of January 29, 2021.</w:t>
      </w:r>
    </w:p>
    <w:p w14:paraId="7DCFCFC1" w14:textId="77777777" w:rsidR="00C1563E" w:rsidRDefault="00C1563E"/>
    <w:p w14:paraId="7DCFCFC2" w14:textId="77777777" w:rsidR="00C1563E" w:rsidRDefault="000B648B">
      <w:r>
        <w:rPr>
          <w:rFonts w:ascii="Times New Roman" w:eastAsia="宋体" w:hAnsi="Times New Roman"/>
          <w:b/>
          <w:bCs/>
          <w:color w:val="000000"/>
          <w:sz w:val="20"/>
          <w:szCs w:val="20"/>
        </w:rPr>
        <w:t>Holders</w:t>
      </w:r>
    </w:p>
    <w:p w14:paraId="7DCFCFC3" w14:textId="77777777" w:rsidR="00C1563E" w:rsidRDefault="00C1563E"/>
    <w:p w14:paraId="7DCFCFC4" w14:textId="77777777" w:rsidR="00C1563E" w:rsidRDefault="000B648B">
      <w:r>
        <w:rPr>
          <w:rFonts w:ascii="Times New Roman" w:eastAsia="宋体" w:hAnsi="Times New Roman"/>
          <w:color w:val="000000"/>
          <w:sz w:val="20"/>
          <w:szCs w:val="20"/>
        </w:rPr>
        <w:t xml:space="preserve">As </w:t>
      </w:r>
      <w:r>
        <w:rPr>
          <w:rFonts w:ascii="Times New Roman" w:eastAsia="宋体" w:hAnsi="Times New Roman"/>
          <w:color w:val="000000"/>
          <w:sz w:val="20"/>
          <w:szCs w:val="20"/>
        </w:rPr>
        <w:t>of March 23, 2021, there were 4,425 holders of record of our Class C Common Stock, eight holders of record of our Class A Common Stock, and six holders of record of our Class B Common Stock. The number of record holders does not include individuals or enti</w:t>
      </w:r>
      <w:r>
        <w:rPr>
          <w:rFonts w:ascii="Times New Roman" w:eastAsia="宋体" w:hAnsi="Times New Roman"/>
          <w:color w:val="000000"/>
          <w:sz w:val="20"/>
          <w:szCs w:val="20"/>
        </w:rPr>
        <w:t>ties that beneficially own shares of any class of our common stock, but whose shares are held of record by a broker, bank, or other nominee.</w:t>
      </w:r>
    </w:p>
    <w:p w14:paraId="7DCFCFC5" w14:textId="77777777" w:rsidR="00C1563E" w:rsidRDefault="00C1563E"/>
    <w:p w14:paraId="7DCFCFC6" w14:textId="77777777" w:rsidR="00C1563E" w:rsidRDefault="000B648B">
      <w:r>
        <w:rPr>
          <w:rFonts w:ascii="Times New Roman" w:eastAsia="宋体" w:hAnsi="Times New Roman"/>
          <w:b/>
          <w:bCs/>
          <w:color w:val="000000"/>
          <w:sz w:val="20"/>
          <w:szCs w:val="20"/>
        </w:rPr>
        <w:t>Dividends</w:t>
      </w:r>
    </w:p>
    <w:p w14:paraId="7DCFCFC7" w14:textId="77777777" w:rsidR="00C1563E" w:rsidRDefault="00C1563E"/>
    <w:p w14:paraId="7DCFCFC8" w14:textId="77777777" w:rsidR="00C1563E" w:rsidRDefault="000B648B">
      <w:r>
        <w:rPr>
          <w:rFonts w:ascii="Times New Roman" w:eastAsia="宋体" w:hAnsi="Times New Roman"/>
          <w:color w:val="000000"/>
          <w:sz w:val="20"/>
          <w:szCs w:val="20"/>
        </w:rPr>
        <w:t>Since the listing of our Class C Common Stock on the NYSE on December 28, 2018, the Company has not pai</w:t>
      </w:r>
      <w:r>
        <w:rPr>
          <w:rFonts w:ascii="Times New Roman" w:eastAsia="宋体" w:hAnsi="Times New Roman"/>
          <w:color w:val="000000"/>
          <w:sz w:val="20"/>
          <w:szCs w:val="20"/>
        </w:rPr>
        <w:t xml:space="preserve">d or declared cash dividends on its common stock. The Company does not currently intend to pay cash dividends on its common stock in the foreseeable future. Any future determination to declare cash dividends will be made at the discretion of the Company’s </w:t>
      </w:r>
      <w:r>
        <w:rPr>
          <w:rFonts w:ascii="Times New Roman" w:eastAsia="宋体" w:hAnsi="Times New Roman"/>
          <w:color w:val="000000"/>
          <w:sz w:val="20"/>
          <w:szCs w:val="20"/>
        </w:rPr>
        <w:t xml:space="preserve">board of directors and will depend upon the Company’s results of operations, financial condition and business prospects, limitations on the payment of dividends under the Company’s certificate of incorporation, the terms of its indebtedness and applicable </w:t>
      </w:r>
      <w:r>
        <w:rPr>
          <w:rFonts w:ascii="Times New Roman" w:eastAsia="宋体" w:hAnsi="Times New Roman"/>
          <w:color w:val="000000"/>
          <w:sz w:val="20"/>
          <w:szCs w:val="20"/>
        </w:rPr>
        <w:t xml:space="preserve">law, and such other factors as the board of directors may deem relevant. </w:t>
      </w:r>
    </w:p>
    <w:p w14:paraId="7DCFCFC9" w14:textId="77777777" w:rsidR="00C1563E" w:rsidRDefault="00C1563E"/>
    <w:p w14:paraId="7DCFCFCA" w14:textId="77777777" w:rsidR="00C1563E" w:rsidRDefault="000B648B">
      <w:r>
        <w:rPr>
          <w:rFonts w:ascii="Times New Roman" w:eastAsia="宋体" w:hAnsi="Times New Roman"/>
          <w:b/>
          <w:bCs/>
          <w:color w:val="000000"/>
          <w:sz w:val="20"/>
          <w:szCs w:val="20"/>
        </w:rPr>
        <w:t>Sales of Unregistered Securities</w:t>
      </w:r>
    </w:p>
    <w:p w14:paraId="7DCFCFCB" w14:textId="77777777" w:rsidR="00C1563E" w:rsidRDefault="00C1563E"/>
    <w:p w14:paraId="7DCFCFCC" w14:textId="77777777" w:rsidR="00C1563E" w:rsidRDefault="000B648B">
      <w:r>
        <w:rPr>
          <w:rFonts w:ascii="Times New Roman" w:eastAsia="宋体" w:hAnsi="Times New Roman"/>
          <w:color w:val="000000"/>
          <w:sz w:val="20"/>
          <w:szCs w:val="20"/>
        </w:rPr>
        <w:t xml:space="preserve">During the fourth quarter of Fiscal 2021, we issued to employees a total of 12,658 shares of the Class C Common Stock for an aggregate </w:t>
      </w:r>
      <w:r>
        <w:rPr>
          <w:rFonts w:ascii="Times New Roman" w:eastAsia="宋体" w:hAnsi="Times New Roman"/>
          <w:color w:val="000000"/>
          <w:sz w:val="20"/>
          <w:szCs w:val="20"/>
        </w:rPr>
        <w:t xml:space="preserve">purchase price of approximately $194 thousand pursuant to exercises of stock options granted under the Dell Inc. Amended and Restated 2002 Long-Term Incentive Plan. The foregoing transactions were effected without registration in reliance on the exemption </w:t>
      </w:r>
      <w:r>
        <w:rPr>
          <w:rFonts w:ascii="Times New Roman" w:eastAsia="宋体" w:hAnsi="Times New Roman"/>
          <w:color w:val="000000"/>
          <w:sz w:val="20"/>
          <w:szCs w:val="20"/>
        </w:rPr>
        <w:t>from registration under the Securities Act of 1933 afforded by Rule 701 thereunder as transactions pursuant to compensatory benefit plans or contracts relating to compensation as provided under such rule.</w:t>
      </w:r>
    </w:p>
    <w:p w14:paraId="7DCFCFCD" w14:textId="77777777" w:rsidR="00C1563E" w:rsidRDefault="00C1563E"/>
    <w:p w14:paraId="7DCFCFCE" w14:textId="77777777" w:rsidR="00C1563E" w:rsidRDefault="00C1563E"/>
    <w:p w14:paraId="7DCFCFCF" w14:textId="77777777" w:rsidR="00C1563E" w:rsidRDefault="00C1563E">
      <w:pPr>
        <w:jc w:val="center"/>
      </w:pPr>
    </w:p>
    <w:p w14:paraId="7DCFCFD0" w14:textId="77777777" w:rsidR="00C1563E" w:rsidRDefault="000B648B">
      <w:pPr>
        <w:jc w:val="center"/>
      </w:pPr>
      <w:r>
        <w:rPr>
          <w:rFonts w:ascii="Times New Roman" w:eastAsia="宋体" w:hAnsi="Times New Roman"/>
          <w:color w:val="000000"/>
          <w:sz w:val="20"/>
          <w:szCs w:val="20"/>
        </w:rPr>
        <w:t>32</w:t>
      </w:r>
    </w:p>
    <w:p w14:paraId="7DCFCFD1" w14:textId="77777777" w:rsidR="00C1563E" w:rsidRDefault="00C1563E">
      <w:pPr>
        <w:jc w:val="center"/>
      </w:pPr>
    </w:p>
    <w:p w14:paraId="7DCFCFD2" w14:textId="77777777" w:rsidR="00C1563E" w:rsidRDefault="000B648B">
      <w:r>
        <w:pict w14:anchorId="7DD02586">
          <v:rect id="_x0000_i1056" style="width:415.3pt;height:1.5pt" o:hralign="center" o:hrstd="t" o:hr="t" fillcolor="#a0a0a0" stroked="f"/>
        </w:pict>
      </w:r>
    </w:p>
    <w:p w14:paraId="7DCFCFD3" w14:textId="77777777" w:rsidR="00C1563E" w:rsidRDefault="000B648B">
      <w:hyperlink r:id="rId107" w:anchor="i418e32e4a35149ffbf7d3a25d66881b8_10" w:history="1">
        <w:r>
          <w:rPr>
            <w:rStyle w:val="a5"/>
            <w:rFonts w:ascii="Times New Roman" w:eastAsia="宋体" w:hAnsi="Times New Roman"/>
            <w:sz w:val="20"/>
            <w:szCs w:val="20"/>
          </w:rPr>
          <w:t>Table of Contents</w:t>
        </w:r>
      </w:hyperlink>
    </w:p>
    <w:p w14:paraId="7DCFCFD4" w14:textId="77777777" w:rsidR="00C1563E" w:rsidRDefault="000B648B">
      <w:r>
        <w:rPr>
          <w:rFonts w:ascii="Times New Roman" w:eastAsia="宋体" w:hAnsi="Times New Roman"/>
          <w:b/>
          <w:bCs/>
          <w:color w:val="000000"/>
          <w:sz w:val="20"/>
          <w:szCs w:val="20"/>
        </w:rPr>
        <w:t>Stock Performance Graph</w:t>
      </w:r>
    </w:p>
    <w:p w14:paraId="7DCFCFD5" w14:textId="77777777" w:rsidR="00C1563E" w:rsidRDefault="00C1563E"/>
    <w:p w14:paraId="7DCFCFD6" w14:textId="77777777" w:rsidR="00C1563E" w:rsidRDefault="000B648B">
      <w:r>
        <w:rPr>
          <w:rFonts w:ascii="Times New Roman" w:eastAsia="宋体" w:hAnsi="Times New Roman"/>
          <w:i/>
          <w:iCs/>
          <w:color w:val="000000"/>
          <w:sz w:val="20"/>
          <w:szCs w:val="20"/>
          <w:u w:val="single"/>
        </w:rPr>
        <w:t>Class C Common Stock</w:t>
      </w:r>
    </w:p>
    <w:p w14:paraId="7DCFCFD7" w14:textId="77777777" w:rsidR="00C1563E" w:rsidRDefault="00C1563E"/>
    <w:p w14:paraId="7DCFCFD8" w14:textId="77777777" w:rsidR="00C1563E" w:rsidRDefault="000B648B">
      <w:r>
        <w:rPr>
          <w:rFonts w:ascii="Times New Roman" w:eastAsia="宋体" w:hAnsi="Times New Roman"/>
          <w:color w:val="000000"/>
          <w:sz w:val="20"/>
          <w:szCs w:val="20"/>
        </w:rPr>
        <w:t>The following graph compares the cumulative total return on the Company’s Class</w:t>
      </w:r>
      <w:r>
        <w:rPr>
          <w:rFonts w:ascii="Times New Roman" w:eastAsia="宋体" w:hAnsi="Times New Roman"/>
          <w:color w:val="000000"/>
          <w:sz w:val="20"/>
          <w:szCs w:val="20"/>
        </w:rPr>
        <w:t xml:space="preserve"> C Common Stock for the period from December 28, 2018, the date on which the Class C Common Stock began trading on the NYSE, through January 29, 2021, with the total return over the same period on the S&amp;P 500 Index and the S&amp;P 500 Systems Software Index. T</w:t>
      </w:r>
      <w:r>
        <w:rPr>
          <w:rFonts w:ascii="Times New Roman" w:eastAsia="宋体" w:hAnsi="Times New Roman"/>
          <w:color w:val="000000"/>
          <w:sz w:val="20"/>
          <w:szCs w:val="20"/>
        </w:rPr>
        <w:t>he graph assumes that $100 was invested on December 28, 2018 in the Class C Common Stock and in each of the foregoing indices and assumes reinvestment of dividends, if any. The comparisons in the graph are based on historical data.</w:t>
      </w:r>
    </w:p>
    <w:p w14:paraId="7DCFCFD9" w14:textId="77777777" w:rsidR="00C1563E" w:rsidRDefault="00C1563E"/>
    <w:p w14:paraId="7DCFCFDA" w14:textId="77777777" w:rsidR="00C1563E" w:rsidRDefault="000B648B">
      <w:r>
        <w:rPr>
          <w:rFonts w:ascii="宋体" w:eastAsia="宋体" w:hAnsi="宋体" w:cs="宋体"/>
        </w:rPr>
        <w:fldChar w:fldCharType="begin"/>
      </w:r>
      <w:r>
        <w:rPr>
          <w:rFonts w:ascii="宋体" w:eastAsia="宋体" w:hAnsi="宋体" w:cs="宋体"/>
        </w:rPr>
        <w:instrText>INCLUDEPICTURE \d "/Use</w:instrText>
      </w:r>
      <w:r>
        <w:rPr>
          <w:rFonts w:ascii="宋体" w:eastAsia="宋体" w:hAnsi="宋体" w:cs="宋体"/>
        </w:rPr>
        <w:instrText xml:space="preserve">rs/xuxinrun/Document/04 msra/20230209 </w:instrText>
      </w:r>
      <w:r>
        <w:rPr>
          <w:rFonts w:ascii="宋体" w:eastAsia="宋体" w:hAnsi="宋体" w:cs="宋体"/>
        </w:rPr>
        <w:instrText>公司财报</w:instrText>
      </w:r>
      <w:r>
        <w:rPr>
          <w:rFonts w:ascii="宋体" w:eastAsia="宋体" w:hAnsi="宋体" w:cs="宋体"/>
        </w:rPr>
        <w:instrText xml:space="preserve">/Dell/./Inline XBRL Viewer7_files/dell-20210129_g1.jpg"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DD02587" wp14:editId="7DD02588">
            <wp:extent cx="304800" cy="304800"/>
            <wp:effectExtent l="0" t="0" r="0" b="0"/>
            <wp:docPr id="43"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6" descr="IMG_256"/>
                    <pic:cNvPicPr>
                      <a:picLocks noChangeAspect="1"/>
                    </pic:cNvPicPr>
                  </pic:nvPicPr>
                  <pic:blipFill>
                    <a:blip r:embed="rId108"/>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2896"/>
        <w:gridCol w:w="36"/>
        <w:gridCol w:w="37"/>
        <w:gridCol w:w="118"/>
        <w:gridCol w:w="36"/>
        <w:gridCol w:w="60"/>
        <w:gridCol w:w="1107"/>
        <w:gridCol w:w="36"/>
        <w:gridCol w:w="36"/>
        <w:gridCol w:w="36"/>
        <w:gridCol w:w="36"/>
        <w:gridCol w:w="56"/>
        <w:gridCol w:w="1112"/>
        <w:gridCol w:w="36"/>
        <w:gridCol w:w="36"/>
        <w:gridCol w:w="36"/>
        <w:gridCol w:w="36"/>
        <w:gridCol w:w="50"/>
        <w:gridCol w:w="1118"/>
        <w:gridCol w:w="36"/>
        <w:gridCol w:w="36"/>
        <w:gridCol w:w="36"/>
        <w:gridCol w:w="36"/>
        <w:gridCol w:w="50"/>
        <w:gridCol w:w="1118"/>
        <w:gridCol w:w="36"/>
      </w:tblGrid>
      <w:tr w:rsidR="00C1563E" w14:paraId="7DCFCFF6" w14:textId="77777777">
        <w:trPr>
          <w:jc w:val="center"/>
        </w:trPr>
        <w:tc>
          <w:tcPr>
            <w:tcW w:w="50" w:type="pct"/>
            <w:shd w:val="clear" w:color="auto" w:fill="auto"/>
          </w:tcPr>
          <w:p w14:paraId="7DCFCFDB" w14:textId="77777777" w:rsidR="00C1563E" w:rsidRDefault="00C1563E">
            <w:pPr>
              <w:rPr>
                <w:rFonts w:ascii="宋体"/>
              </w:rPr>
            </w:pPr>
          </w:p>
        </w:tc>
        <w:tc>
          <w:tcPr>
            <w:tcW w:w="1773" w:type="pct"/>
            <w:shd w:val="clear" w:color="auto" w:fill="auto"/>
          </w:tcPr>
          <w:p w14:paraId="7DCFCFDC" w14:textId="77777777" w:rsidR="00C1563E" w:rsidRDefault="00C1563E">
            <w:pPr>
              <w:rPr>
                <w:rFonts w:ascii="宋体"/>
              </w:rPr>
            </w:pPr>
          </w:p>
        </w:tc>
        <w:tc>
          <w:tcPr>
            <w:tcW w:w="5" w:type="pct"/>
            <w:shd w:val="clear" w:color="auto" w:fill="auto"/>
          </w:tcPr>
          <w:p w14:paraId="7DCFCFDD" w14:textId="77777777" w:rsidR="00C1563E" w:rsidRDefault="00C1563E">
            <w:pPr>
              <w:rPr>
                <w:rFonts w:ascii="宋体"/>
              </w:rPr>
            </w:pPr>
          </w:p>
        </w:tc>
        <w:tc>
          <w:tcPr>
            <w:tcW w:w="5" w:type="pct"/>
            <w:shd w:val="clear" w:color="auto" w:fill="auto"/>
          </w:tcPr>
          <w:p w14:paraId="7DCFCFDE" w14:textId="77777777" w:rsidR="00C1563E" w:rsidRDefault="00C1563E">
            <w:pPr>
              <w:rPr>
                <w:rFonts w:ascii="宋体"/>
              </w:rPr>
            </w:pPr>
          </w:p>
        </w:tc>
        <w:tc>
          <w:tcPr>
            <w:tcW w:w="19" w:type="pct"/>
            <w:shd w:val="clear" w:color="auto" w:fill="auto"/>
          </w:tcPr>
          <w:p w14:paraId="7DCFCFDF" w14:textId="77777777" w:rsidR="00C1563E" w:rsidRDefault="00C1563E">
            <w:pPr>
              <w:rPr>
                <w:rFonts w:ascii="宋体"/>
              </w:rPr>
            </w:pPr>
          </w:p>
        </w:tc>
        <w:tc>
          <w:tcPr>
            <w:tcW w:w="5" w:type="pct"/>
            <w:shd w:val="clear" w:color="auto" w:fill="auto"/>
          </w:tcPr>
          <w:p w14:paraId="7DCFCFE0" w14:textId="77777777" w:rsidR="00C1563E" w:rsidRDefault="00C1563E">
            <w:pPr>
              <w:rPr>
                <w:rFonts w:ascii="宋体"/>
              </w:rPr>
            </w:pPr>
          </w:p>
        </w:tc>
        <w:tc>
          <w:tcPr>
            <w:tcW w:w="50" w:type="pct"/>
            <w:shd w:val="clear" w:color="auto" w:fill="auto"/>
          </w:tcPr>
          <w:p w14:paraId="7DCFCFE1" w14:textId="77777777" w:rsidR="00C1563E" w:rsidRDefault="00C1563E">
            <w:pPr>
              <w:rPr>
                <w:rFonts w:ascii="宋体"/>
              </w:rPr>
            </w:pPr>
          </w:p>
        </w:tc>
        <w:tc>
          <w:tcPr>
            <w:tcW w:w="708" w:type="pct"/>
            <w:shd w:val="clear" w:color="auto" w:fill="auto"/>
          </w:tcPr>
          <w:p w14:paraId="7DCFCFE2" w14:textId="77777777" w:rsidR="00C1563E" w:rsidRDefault="00C1563E">
            <w:pPr>
              <w:rPr>
                <w:rFonts w:ascii="宋体"/>
              </w:rPr>
            </w:pPr>
          </w:p>
        </w:tc>
        <w:tc>
          <w:tcPr>
            <w:tcW w:w="5" w:type="pct"/>
            <w:shd w:val="clear" w:color="auto" w:fill="auto"/>
          </w:tcPr>
          <w:p w14:paraId="7DCFCFE3" w14:textId="77777777" w:rsidR="00C1563E" w:rsidRDefault="00C1563E">
            <w:pPr>
              <w:rPr>
                <w:rFonts w:ascii="宋体"/>
              </w:rPr>
            </w:pPr>
          </w:p>
        </w:tc>
        <w:tc>
          <w:tcPr>
            <w:tcW w:w="5" w:type="pct"/>
            <w:shd w:val="clear" w:color="auto" w:fill="auto"/>
          </w:tcPr>
          <w:p w14:paraId="7DCFCFE4" w14:textId="77777777" w:rsidR="00C1563E" w:rsidRDefault="00C1563E">
            <w:pPr>
              <w:rPr>
                <w:rFonts w:ascii="宋体"/>
              </w:rPr>
            </w:pPr>
          </w:p>
        </w:tc>
        <w:tc>
          <w:tcPr>
            <w:tcW w:w="19" w:type="pct"/>
            <w:shd w:val="clear" w:color="auto" w:fill="auto"/>
          </w:tcPr>
          <w:p w14:paraId="7DCFCFE5" w14:textId="77777777" w:rsidR="00C1563E" w:rsidRDefault="00C1563E">
            <w:pPr>
              <w:rPr>
                <w:rFonts w:ascii="宋体"/>
              </w:rPr>
            </w:pPr>
          </w:p>
        </w:tc>
        <w:tc>
          <w:tcPr>
            <w:tcW w:w="5" w:type="pct"/>
            <w:shd w:val="clear" w:color="auto" w:fill="auto"/>
          </w:tcPr>
          <w:p w14:paraId="7DCFCFE6" w14:textId="77777777" w:rsidR="00C1563E" w:rsidRDefault="00C1563E">
            <w:pPr>
              <w:rPr>
                <w:rFonts w:ascii="宋体"/>
              </w:rPr>
            </w:pPr>
          </w:p>
        </w:tc>
        <w:tc>
          <w:tcPr>
            <w:tcW w:w="50" w:type="pct"/>
            <w:shd w:val="clear" w:color="auto" w:fill="auto"/>
          </w:tcPr>
          <w:p w14:paraId="7DCFCFE7" w14:textId="77777777" w:rsidR="00C1563E" w:rsidRDefault="00C1563E">
            <w:pPr>
              <w:rPr>
                <w:rFonts w:ascii="宋体"/>
              </w:rPr>
            </w:pPr>
          </w:p>
        </w:tc>
        <w:tc>
          <w:tcPr>
            <w:tcW w:w="708" w:type="pct"/>
            <w:shd w:val="clear" w:color="auto" w:fill="auto"/>
          </w:tcPr>
          <w:p w14:paraId="7DCFCFE8" w14:textId="77777777" w:rsidR="00C1563E" w:rsidRDefault="00C1563E">
            <w:pPr>
              <w:rPr>
                <w:rFonts w:ascii="宋体"/>
              </w:rPr>
            </w:pPr>
          </w:p>
        </w:tc>
        <w:tc>
          <w:tcPr>
            <w:tcW w:w="5" w:type="pct"/>
            <w:shd w:val="clear" w:color="auto" w:fill="auto"/>
          </w:tcPr>
          <w:p w14:paraId="7DCFCFE9" w14:textId="77777777" w:rsidR="00C1563E" w:rsidRDefault="00C1563E">
            <w:pPr>
              <w:rPr>
                <w:rFonts w:ascii="宋体"/>
              </w:rPr>
            </w:pPr>
          </w:p>
        </w:tc>
        <w:tc>
          <w:tcPr>
            <w:tcW w:w="5" w:type="pct"/>
            <w:shd w:val="clear" w:color="auto" w:fill="auto"/>
          </w:tcPr>
          <w:p w14:paraId="7DCFCFEA" w14:textId="77777777" w:rsidR="00C1563E" w:rsidRDefault="00C1563E">
            <w:pPr>
              <w:rPr>
                <w:rFonts w:ascii="宋体"/>
              </w:rPr>
            </w:pPr>
          </w:p>
        </w:tc>
        <w:tc>
          <w:tcPr>
            <w:tcW w:w="19" w:type="pct"/>
            <w:shd w:val="clear" w:color="auto" w:fill="auto"/>
          </w:tcPr>
          <w:p w14:paraId="7DCFCFEB" w14:textId="77777777" w:rsidR="00C1563E" w:rsidRDefault="00C1563E">
            <w:pPr>
              <w:rPr>
                <w:rFonts w:ascii="宋体"/>
              </w:rPr>
            </w:pPr>
          </w:p>
        </w:tc>
        <w:tc>
          <w:tcPr>
            <w:tcW w:w="5" w:type="pct"/>
            <w:shd w:val="clear" w:color="auto" w:fill="auto"/>
          </w:tcPr>
          <w:p w14:paraId="7DCFCFEC" w14:textId="77777777" w:rsidR="00C1563E" w:rsidRDefault="00C1563E">
            <w:pPr>
              <w:rPr>
                <w:rFonts w:ascii="宋体"/>
              </w:rPr>
            </w:pPr>
          </w:p>
        </w:tc>
        <w:tc>
          <w:tcPr>
            <w:tcW w:w="50" w:type="pct"/>
            <w:shd w:val="clear" w:color="auto" w:fill="auto"/>
          </w:tcPr>
          <w:p w14:paraId="7DCFCFED" w14:textId="77777777" w:rsidR="00C1563E" w:rsidRDefault="00C1563E">
            <w:pPr>
              <w:rPr>
                <w:rFonts w:ascii="宋体"/>
              </w:rPr>
            </w:pPr>
          </w:p>
        </w:tc>
        <w:tc>
          <w:tcPr>
            <w:tcW w:w="708" w:type="pct"/>
            <w:shd w:val="clear" w:color="auto" w:fill="auto"/>
          </w:tcPr>
          <w:p w14:paraId="7DCFCFEE" w14:textId="77777777" w:rsidR="00C1563E" w:rsidRDefault="00C1563E">
            <w:pPr>
              <w:rPr>
                <w:rFonts w:ascii="宋体"/>
              </w:rPr>
            </w:pPr>
          </w:p>
        </w:tc>
        <w:tc>
          <w:tcPr>
            <w:tcW w:w="5" w:type="pct"/>
            <w:shd w:val="clear" w:color="auto" w:fill="auto"/>
          </w:tcPr>
          <w:p w14:paraId="7DCFCFEF" w14:textId="77777777" w:rsidR="00C1563E" w:rsidRDefault="00C1563E">
            <w:pPr>
              <w:rPr>
                <w:rFonts w:ascii="宋体"/>
              </w:rPr>
            </w:pPr>
          </w:p>
        </w:tc>
        <w:tc>
          <w:tcPr>
            <w:tcW w:w="5" w:type="pct"/>
            <w:shd w:val="clear" w:color="auto" w:fill="auto"/>
          </w:tcPr>
          <w:p w14:paraId="7DCFCFF0" w14:textId="77777777" w:rsidR="00C1563E" w:rsidRDefault="00C1563E">
            <w:pPr>
              <w:rPr>
                <w:rFonts w:ascii="宋体"/>
              </w:rPr>
            </w:pPr>
          </w:p>
        </w:tc>
        <w:tc>
          <w:tcPr>
            <w:tcW w:w="19" w:type="pct"/>
            <w:shd w:val="clear" w:color="auto" w:fill="auto"/>
          </w:tcPr>
          <w:p w14:paraId="7DCFCFF1" w14:textId="77777777" w:rsidR="00C1563E" w:rsidRDefault="00C1563E">
            <w:pPr>
              <w:rPr>
                <w:rFonts w:ascii="宋体"/>
              </w:rPr>
            </w:pPr>
          </w:p>
        </w:tc>
        <w:tc>
          <w:tcPr>
            <w:tcW w:w="5" w:type="pct"/>
            <w:shd w:val="clear" w:color="auto" w:fill="auto"/>
          </w:tcPr>
          <w:p w14:paraId="7DCFCFF2" w14:textId="77777777" w:rsidR="00C1563E" w:rsidRDefault="00C1563E">
            <w:pPr>
              <w:rPr>
                <w:rFonts w:ascii="宋体"/>
              </w:rPr>
            </w:pPr>
          </w:p>
        </w:tc>
        <w:tc>
          <w:tcPr>
            <w:tcW w:w="50" w:type="pct"/>
            <w:shd w:val="clear" w:color="auto" w:fill="auto"/>
          </w:tcPr>
          <w:p w14:paraId="7DCFCFF3" w14:textId="77777777" w:rsidR="00C1563E" w:rsidRDefault="00C1563E">
            <w:pPr>
              <w:rPr>
                <w:rFonts w:ascii="宋体"/>
              </w:rPr>
            </w:pPr>
          </w:p>
        </w:tc>
        <w:tc>
          <w:tcPr>
            <w:tcW w:w="708" w:type="pct"/>
            <w:shd w:val="clear" w:color="auto" w:fill="auto"/>
          </w:tcPr>
          <w:p w14:paraId="7DCFCFF4" w14:textId="77777777" w:rsidR="00C1563E" w:rsidRDefault="00C1563E">
            <w:pPr>
              <w:rPr>
                <w:rFonts w:ascii="宋体"/>
              </w:rPr>
            </w:pPr>
          </w:p>
        </w:tc>
        <w:tc>
          <w:tcPr>
            <w:tcW w:w="5" w:type="pct"/>
            <w:shd w:val="clear" w:color="auto" w:fill="auto"/>
          </w:tcPr>
          <w:p w14:paraId="7DCFCFF5" w14:textId="77777777" w:rsidR="00C1563E" w:rsidRDefault="00C1563E">
            <w:pPr>
              <w:rPr>
                <w:rFonts w:ascii="宋体"/>
              </w:rPr>
            </w:pPr>
          </w:p>
        </w:tc>
      </w:tr>
      <w:tr w:rsidR="00C1563E" w14:paraId="7DCFD000" w14:textId="77777777">
        <w:trPr>
          <w:jc w:val="center"/>
        </w:trPr>
        <w:tc>
          <w:tcPr>
            <w:tcW w:w="0" w:type="auto"/>
            <w:gridSpan w:val="3"/>
            <w:shd w:val="clear" w:color="auto" w:fill="auto"/>
            <w:tcMar>
              <w:top w:w="0" w:type="dxa"/>
              <w:left w:w="20" w:type="dxa"/>
              <w:bottom w:w="0" w:type="dxa"/>
              <w:right w:w="20" w:type="dxa"/>
            </w:tcMar>
          </w:tcPr>
          <w:p w14:paraId="7DCFCFF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CFF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FF9" w14:textId="77777777" w:rsidR="00C1563E" w:rsidRDefault="000B648B">
            <w:pPr>
              <w:jc w:val="center"/>
              <w:textAlignment w:val="bottom"/>
            </w:pPr>
            <w:r>
              <w:rPr>
                <w:rFonts w:ascii="Times New Roman" w:eastAsia="宋体" w:hAnsi="Times New Roman"/>
                <w:b/>
                <w:bCs/>
                <w:color w:val="000000"/>
                <w:sz w:val="20"/>
                <w:szCs w:val="20"/>
              </w:rPr>
              <w:t>December 28, 2018</w:t>
            </w:r>
          </w:p>
        </w:tc>
        <w:tc>
          <w:tcPr>
            <w:tcW w:w="0" w:type="auto"/>
            <w:gridSpan w:val="3"/>
            <w:shd w:val="clear" w:color="auto" w:fill="auto"/>
            <w:tcMar>
              <w:top w:w="0" w:type="dxa"/>
              <w:left w:w="20" w:type="dxa"/>
              <w:bottom w:w="0" w:type="dxa"/>
              <w:right w:w="20" w:type="dxa"/>
            </w:tcMar>
          </w:tcPr>
          <w:p w14:paraId="7DCFCFF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FFB" w14:textId="77777777" w:rsidR="00C1563E" w:rsidRDefault="000B648B">
            <w:pPr>
              <w:jc w:val="center"/>
              <w:textAlignment w:val="bottom"/>
            </w:pPr>
            <w:r>
              <w:rPr>
                <w:rFonts w:ascii="Times New Roman" w:eastAsia="宋体" w:hAnsi="Times New Roman"/>
                <w:b/>
                <w:bCs/>
                <w:color w:val="000000"/>
                <w:sz w:val="20"/>
                <w:szCs w:val="20"/>
              </w:rPr>
              <w:t>February 1, 2019</w:t>
            </w:r>
          </w:p>
        </w:tc>
        <w:tc>
          <w:tcPr>
            <w:tcW w:w="0" w:type="auto"/>
            <w:gridSpan w:val="3"/>
            <w:shd w:val="clear" w:color="auto" w:fill="auto"/>
            <w:tcMar>
              <w:top w:w="0" w:type="dxa"/>
              <w:left w:w="20" w:type="dxa"/>
              <w:bottom w:w="0" w:type="dxa"/>
              <w:right w:w="20" w:type="dxa"/>
            </w:tcMar>
          </w:tcPr>
          <w:p w14:paraId="7DCFCFF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FFD"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Mar>
              <w:top w:w="0" w:type="dxa"/>
              <w:left w:w="20" w:type="dxa"/>
              <w:bottom w:w="0" w:type="dxa"/>
              <w:right w:w="20" w:type="dxa"/>
            </w:tcMar>
          </w:tcPr>
          <w:p w14:paraId="7DCFCFF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CFFF"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CFD00A" w14:textId="77777777">
        <w:trPr>
          <w:jc w:val="center"/>
        </w:trPr>
        <w:tc>
          <w:tcPr>
            <w:tcW w:w="0" w:type="auto"/>
            <w:gridSpan w:val="3"/>
            <w:shd w:val="clear" w:color="auto" w:fill="CCEEFF"/>
            <w:tcMar>
              <w:top w:w="40" w:type="dxa"/>
              <w:left w:w="20" w:type="dxa"/>
              <w:bottom w:w="40" w:type="dxa"/>
              <w:right w:w="20" w:type="dxa"/>
            </w:tcMar>
            <w:vAlign w:val="bottom"/>
          </w:tcPr>
          <w:p w14:paraId="7DCFD001" w14:textId="77777777" w:rsidR="00C1563E" w:rsidRDefault="000B648B">
            <w:pPr>
              <w:textAlignment w:val="bottom"/>
            </w:pPr>
            <w:r>
              <w:rPr>
                <w:rFonts w:ascii="Times New Roman" w:eastAsia="宋体" w:hAnsi="Times New Roman"/>
                <w:color w:val="000000"/>
                <w:sz w:val="20"/>
                <w:szCs w:val="20"/>
              </w:rPr>
              <w:t>Class C Common Stock</w:t>
            </w:r>
          </w:p>
        </w:tc>
        <w:tc>
          <w:tcPr>
            <w:tcW w:w="0" w:type="auto"/>
            <w:gridSpan w:val="3"/>
            <w:shd w:val="clear" w:color="auto" w:fill="CCEEFF"/>
            <w:tcMar>
              <w:top w:w="0" w:type="dxa"/>
              <w:left w:w="20" w:type="dxa"/>
              <w:bottom w:w="0" w:type="dxa"/>
              <w:right w:w="20" w:type="dxa"/>
            </w:tcMar>
          </w:tcPr>
          <w:p w14:paraId="7DCFD002"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03"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CCEEFF"/>
            <w:tcMar>
              <w:top w:w="0" w:type="dxa"/>
              <w:left w:w="20" w:type="dxa"/>
              <w:bottom w:w="0" w:type="dxa"/>
              <w:right w:w="20" w:type="dxa"/>
            </w:tcMar>
          </w:tcPr>
          <w:p w14:paraId="7DCFD004"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05" w14:textId="77777777" w:rsidR="00C1563E" w:rsidRDefault="000B648B">
            <w:pPr>
              <w:jc w:val="right"/>
              <w:textAlignment w:val="bottom"/>
            </w:pPr>
            <w:r>
              <w:rPr>
                <w:rFonts w:ascii="Times New Roman" w:eastAsia="宋体" w:hAnsi="Times New Roman"/>
                <w:color w:val="000000"/>
                <w:sz w:val="20"/>
                <w:szCs w:val="20"/>
              </w:rPr>
              <w:t>$109.29</w:t>
            </w:r>
          </w:p>
        </w:tc>
        <w:tc>
          <w:tcPr>
            <w:tcW w:w="0" w:type="auto"/>
            <w:gridSpan w:val="3"/>
            <w:shd w:val="clear" w:color="auto" w:fill="CCEEFF"/>
            <w:tcMar>
              <w:top w:w="0" w:type="dxa"/>
              <w:left w:w="20" w:type="dxa"/>
              <w:bottom w:w="0" w:type="dxa"/>
              <w:right w:w="20" w:type="dxa"/>
            </w:tcMar>
          </w:tcPr>
          <w:p w14:paraId="7DCFD006"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07" w14:textId="77777777" w:rsidR="00C1563E" w:rsidRDefault="000B648B">
            <w:pPr>
              <w:jc w:val="right"/>
              <w:textAlignment w:val="bottom"/>
            </w:pPr>
            <w:r>
              <w:rPr>
                <w:rFonts w:ascii="Times New Roman" w:eastAsia="宋体" w:hAnsi="Times New Roman"/>
                <w:color w:val="000000"/>
                <w:sz w:val="20"/>
                <w:szCs w:val="20"/>
              </w:rPr>
              <w:t>$107.35</w:t>
            </w:r>
          </w:p>
        </w:tc>
        <w:tc>
          <w:tcPr>
            <w:tcW w:w="0" w:type="auto"/>
            <w:gridSpan w:val="3"/>
            <w:shd w:val="clear" w:color="auto" w:fill="CCEEFF"/>
            <w:tcMar>
              <w:top w:w="0" w:type="dxa"/>
              <w:left w:w="20" w:type="dxa"/>
              <w:bottom w:w="0" w:type="dxa"/>
              <w:right w:w="20" w:type="dxa"/>
            </w:tcMar>
          </w:tcPr>
          <w:p w14:paraId="7DCFD008"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09" w14:textId="77777777" w:rsidR="00C1563E" w:rsidRDefault="000B648B">
            <w:pPr>
              <w:jc w:val="right"/>
              <w:textAlignment w:val="bottom"/>
            </w:pPr>
            <w:r>
              <w:rPr>
                <w:rFonts w:ascii="Times New Roman" w:eastAsia="宋体" w:hAnsi="Times New Roman"/>
                <w:color w:val="000000"/>
                <w:sz w:val="20"/>
                <w:szCs w:val="20"/>
              </w:rPr>
              <w:t>$160.44</w:t>
            </w:r>
          </w:p>
        </w:tc>
      </w:tr>
      <w:tr w:rsidR="00C1563E" w14:paraId="7DCFD014" w14:textId="77777777">
        <w:trPr>
          <w:jc w:val="center"/>
        </w:trPr>
        <w:tc>
          <w:tcPr>
            <w:tcW w:w="0" w:type="auto"/>
            <w:gridSpan w:val="3"/>
            <w:shd w:val="clear" w:color="auto" w:fill="FFFFFF"/>
            <w:tcMar>
              <w:top w:w="40" w:type="dxa"/>
              <w:left w:w="20" w:type="dxa"/>
              <w:bottom w:w="40" w:type="dxa"/>
              <w:right w:w="20" w:type="dxa"/>
            </w:tcMar>
            <w:vAlign w:val="bottom"/>
          </w:tcPr>
          <w:p w14:paraId="7DCFD00B" w14:textId="77777777" w:rsidR="00C1563E" w:rsidRDefault="000B648B">
            <w:pPr>
              <w:textAlignment w:val="bottom"/>
            </w:pPr>
            <w:r>
              <w:rPr>
                <w:rFonts w:ascii="Times New Roman" w:eastAsia="宋体" w:hAnsi="Times New Roman"/>
                <w:color w:val="000000"/>
                <w:sz w:val="20"/>
                <w:szCs w:val="20"/>
              </w:rPr>
              <w:t>S&amp;P 500</w:t>
            </w:r>
          </w:p>
        </w:tc>
        <w:tc>
          <w:tcPr>
            <w:tcW w:w="0" w:type="auto"/>
            <w:gridSpan w:val="3"/>
            <w:shd w:val="clear" w:color="auto" w:fill="FFFFFF"/>
            <w:tcMar>
              <w:top w:w="0" w:type="dxa"/>
              <w:left w:w="155" w:type="dxa"/>
              <w:bottom w:w="0" w:type="dxa"/>
              <w:right w:w="20" w:type="dxa"/>
            </w:tcMar>
          </w:tcPr>
          <w:p w14:paraId="7DCFD00C"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0D"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FFFFFF"/>
            <w:tcMar>
              <w:top w:w="0" w:type="dxa"/>
              <w:left w:w="20" w:type="dxa"/>
              <w:bottom w:w="0" w:type="dxa"/>
              <w:right w:w="20" w:type="dxa"/>
            </w:tcMar>
          </w:tcPr>
          <w:p w14:paraId="7DCFD00E"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0F" w14:textId="77777777" w:rsidR="00C1563E" w:rsidRDefault="000B648B">
            <w:pPr>
              <w:jc w:val="right"/>
              <w:textAlignment w:val="bottom"/>
            </w:pPr>
            <w:r>
              <w:rPr>
                <w:rFonts w:ascii="Times New Roman" w:eastAsia="宋体" w:hAnsi="Times New Roman"/>
                <w:color w:val="000000"/>
                <w:sz w:val="20"/>
                <w:szCs w:val="20"/>
              </w:rPr>
              <w:t>$109.06</w:t>
            </w:r>
          </w:p>
        </w:tc>
        <w:tc>
          <w:tcPr>
            <w:tcW w:w="0" w:type="auto"/>
            <w:gridSpan w:val="3"/>
            <w:shd w:val="clear" w:color="auto" w:fill="FFFFFF"/>
            <w:tcMar>
              <w:top w:w="0" w:type="dxa"/>
              <w:left w:w="20" w:type="dxa"/>
              <w:bottom w:w="0" w:type="dxa"/>
              <w:right w:w="20" w:type="dxa"/>
            </w:tcMar>
          </w:tcPr>
          <w:p w14:paraId="7DCFD010"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11" w14:textId="77777777" w:rsidR="00C1563E" w:rsidRDefault="000B648B">
            <w:pPr>
              <w:jc w:val="right"/>
              <w:textAlignment w:val="bottom"/>
            </w:pPr>
            <w:r>
              <w:rPr>
                <w:rFonts w:ascii="Times New Roman" w:eastAsia="宋体" w:hAnsi="Times New Roman"/>
                <w:color w:val="000000"/>
                <w:sz w:val="20"/>
                <w:szCs w:val="20"/>
              </w:rPr>
              <w:t>$132.57</w:t>
            </w:r>
          </w:p>
        </w:tc>
        <w:tc>
          <w:tcPr>
            <w:tcW w:w="0" w:type="auto"/>
            <w:gridSpan w:val="3"/>
            <w:shd w:val="clear" w:color="auto" w:fill="FFFFFF"/>
            <w:tcMar>
              <w:top w:w="0" w:type="dxa"/>
              <w:left w:w="20" w:type="dxa"/>
              <w:bottom w:w="0" w:type="dxa"/>
              <w:right w:w="20" w:type="dxa"/>
            </w:tcMar>
          </w:tcPr>
          <w:p w14:paraId="7DCFD012"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13" w14:textId="77777777" w:rsidR="00C1563E" w:rsidRDefault="000B648B">
            <w:pPr>
              <w:jc w:val="right"/>
              <w:textAlignment w:val="bottom"/>
            </w:pPr>
            <w:r>
              <w:rPr>
                <w:rFonts w:ascii="Times New Roman" w:eastAsia="宋体" w:hAnsi="Times New Roman"/>
                <w:color w:val="000000"/>
                <w:sz w:val="20"/>
                <w:szCs w:val="20"/>
              </w:rPr>
              <w:t>$155.44</w:t>
            </w:r>
          </w:p>
        </w:tc>
      </w:tr>
      <w:tr w:rsidR="00C1563E" w14:paraId="7DCFD01E" w14:textId="77777777">
        <w:trPr>
          <w:jc w:val="center"/>
        </w:trPr>
        <w:tc>
          <w:tcPr>
            <w:tcW w:w="0" w:type="auto"/>
            <w:gridSpan w:val="3"/>
            <w:shd w:val="clear" w:color="auto" w:fill="CCEEFF"/>
            <w:tcMar>
              <w:top w:w="40" w:type="dxa"/>
              <w:left w:w="20" w:type="dxa"/>
              <w:bottom w:w="40" w:type="dxa"/>
              <w:right w:w="20" w:type="dxa"/>
            </w:tcMar>
            <w:vAlign w:val="bottom"/>
          </w:tcPr>
          <w:p w14:paraId="7DCFD015" w14:textId="77777777" w:rsidR="00C1563E" w:rsidRDefault="000B648B">
            <w:pPr>
              <w:textAlignment w:val="bottom"/>
            </w:pPr>
            <w:r>
              <w:rPr>
                <w:rFonts w:ascii="Times New Roman" w:eastAsia="宋体" w:hAnsi="Times New Roman"/>
                <w:color w:val="000000"/>
                <w:sz w:val="20"/>
                <w:szCs w:val="20"/>
              </w:rPr>
              <w:t xml:space="preserve">S&amp;P 500 Systems </w:t>
            </w:r>
            <w:r>
              <w:rPr>
                <w:rFonts w:ascii="Times New Roman" w:eastAsia="宋体" w:hAnsi="Times New Roman"/>
                <w:color w:val="000000"/>
                <w:sz w:val="20"/>
                <w:szCs w:val="20"/>
              </w:rPr>
              <w:t>Software Index</w:t>
            </w:r>
          </w:p>
        </w:tc>
        <w:tc>
          <w:tcPr>
            <w:tcW w:w="0" w:type="auto"/>
            <w:gridSpan w:val="3"/>
            <w:shd w:val="clear" w:color="auto" w:fill="CCEEFF"/>
            <w:tcMar>
              <w:top w:w="0" w:type="dxa"/>
              <w:left w:w="155" w:type="dxa"/>
              <w:bottom w:w="0" w:type="dxa"/>
              <w:right w:w="20" w:type="dxa"/>
            </w:tcMar>
          </w:tcPr>
          <w:p w14:paraId="7DCFD016"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17"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CCEEFF"/>
            <w:tcMar>
              <w:top w:w="0" w:type="dxa"/>
              <w:left w:w="20" w:type="dxa"/>
              <w:bottom w:w="0" w:type="dxa"/>
              <w:right w:w="20" w:type="dxa"/>
            </w:tcMar>
          </w:tcPr>
          <w:p w14:paraId="7DCFD018"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19" w14:textId="77777777" w:rsidR="00C1563E" w:rsidRDefault="000B648B">
            <w:pPr>
              <w:jc w:val="right"/>
              <w:textAlignment w:val="bottom"/>
            </w:pPr>
            <w:r>
              <w:rPr>
                <w:rFonts w:ascii="Times New Roman" w:eastAsia="宋体" w:hAnsi="Times New Roman"/>
                <w:color w:val="000000"/>
                <w:sz w:val="20"/>
                <w:szCs w:val="20"/>
              </w:rPr>
              <w:t>$104.13</w:t>
            </w:r>
          </w:p>
        </w:tc>
        <w:tc>
          <w:tcPr>
            <w:tcW w:w="0" w:type="auto"/>
            <w:gridSpan w:val="3"/>
            <w:shd w:val="clear" w:color="auto" w:fill="CCEEFF"/>
            <w:tcMar>
              <w:top w:w="0" w:type="dxa"/>
              <w:left w:w="20" w:type="dxa"/>
              <w:bottom w:w="0" w:type="dxa"/>
              <w:right w:w="20" w:type="dxa"/>
            </w:tcMar>
          </w:tcPr>
          <w:p w14:paraId="7DCFD01A"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1B" w14:textId="77777777" w:rsidR="00C1563E" w:rsidRDefault="000B648B">
            <w:pPr>
              <w:jc w:val="right"/>
              <w:textAlignment w:val="bottom"/>
            </w:pPr>
            <w:r>
              <w:rPr>
                <w:rFonts w:ascii="Times New Roman" w:eastAsia="宋体" w:hAnsi="Times New Roman"/>
                <w:color w:val="000000"/>
                <w:sz w:val="20"/>
                <w:szCs w:val="20"/>
              </w:rPr>
              <w:t>$164.89</w:t>
            </w:r>
          </w:p>
        </w:tc>
        <w:tc>
          <w:tcPr>
            <w:tcW w:w="0" w:type="auto"/>
            <w:gridSpan w:val="3"/>
            <w:shd w:val="clear" w:color="auto" w:fill="CCEEFF"/>
            <w:tcMar>
              <w:top w:w="0" w:type="dxa"/>
              <w:left w:w="20" w:type="dxa"/>
              <w:bottom w:w="0" w:type="dxa"/>
              <w:right w:w="20" w:type="dxa"/>
            </w:tcMar>
          </w:tcPr>
          <w:p w14:paraId="7DCFD01C"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1D" w14:textId="77777777" w:rsidR="00C1563E" w:rsidRDefault="000B648B">
            <w:pPr>
              <w:jc w:val="right"/>
              <w:textAlignment w:val="bottom"/>
            </w:pPr>
            <w:r>
              <w:rPr>
                <w:rFonts w:ascii="Times New Roman" w:eastAsia="宋体" w:hAnsi="Times New Roman"/>
                <w:color w:val="000000"/>
                <w:sz w:val="20"/>
                <w:szCs w:val="20"/>
              </w:rPr>
              <w:t>$226.05</w:t>
            </w:r>
          </w:p>
        </w:tc>
      </w:tr>
    </w:tbl>
    <w:p w14:paraId="7DCFD01F" w14:textId="77777777" w:rsidR="00C1563E" w:rsidRDefault="00C1563E"/>
    <w:p w14:paraId="7DCFD020" w14:textId="77777777" w:rsidR="00C1563E" w:rsidRDefault="00C1563E">
      <w:pPr>
        <w:jc w:val="center"/>
      </w:pPr>
    </w:p>
    <w:p w14:paraId="7DCFD021" w14:textId="77777777" w:rsidR="00C1563E" w:rsidRDefault="000B648B">
      <w:pPr>
        <w:jc w:val="center"/>
      </w:pPr>
      <w:r>
        <w:rPr>
          <w:rFonts w:ascii="Times New Roman" w:eastAsia="宋体" w:hAnsi="Times New Roman"/>
          <w:color w:val="000000"/>
          <w:sz w:val="20"/>
          <w:szCs w:val="20"/>
        </w:rPr>
        <w:t>33</w:t>
      </w:r>
    </w:p>
    <w:p w14:paraId="7DCFD022" w14:textId="77777777" w:rsidR="00C1563E" w:rsidRDefault="00C1563E">
      <w:pPr>
        <w:jc w:val="center"/>
      </w:pPr>
    </w:p>
    <w:p w14:paraId="7DCFD023" w14:textId="77777777" w:rsidR="00C1563E" w:rsidRDefault="000B648B">
      <w:r>
        <w:pict w14:anchorId="7DD02589">
          <v:rect id="_x0000_i1057" style="width:415.3pt;height:1.5pt" o:hralign="center" o:hrstd="t" o:hr="t" fillcolor="#a0a0a0" stroked="f"/>
        </w:pict>
      </w:r>
    </w:p>
    <w:p w14:paraId="7DCFD024" w14:textId="77777777" w:rsidR="00C1563E" w:rsidRDefault="000B648B">
      <w:hyperlink r:id="rId109" w:anchor="i418e32e4a35149ffbf7d3a25d66881b8_10" w:history="1">
        <w:r>
          <w:rPr>
            <w:rStyle w:val="a5"/>
            <w:rFonts w:ascii="Times New Roman" w:eastAsia="宋体" w:hAnsi="Times New Roman"/>
            <w:sz w:val="20"/>
            <w:szCs w:val="20"/>
          </w:rPr>
          <w:t>Table of Contents</w:t>
        </w:r>
      </w:hyperlink>
    </w:p>
    <w:p w14:paraId="7DCFD025" w14:textId="77777777" w:rsidR="00C1563E" w:rsidRDefault="000B648B">
      <w:r>
        <w:rPr>
          <w:rFonts w:ascii="Times New Roman" w:eastAsia="宋体" w:hAnsi="Times New Roman"/>
          <w:i/>
          <w:iCs/>
          <w:color w:val="000000"/>
          <w:sz w:val="20"/>
          <w:szCs w:val="20"/>
          <w:u w:val="single"/>
        </w:rPr>
        <w:t>Class V Common Stock</w:t>
      </w:r>
    </w:p>
    <w:p w14:paraId="7DCFD026" w14:textId="77777777" w:rsidR="00C1563E" w:rsidRDefault="00C1563E"/>
    <w:p w14:paraId="7DCFD027" w14:textId="77777777" w:rsidR="00C1563E" w:rsidRDefault="000B648B">
      <w:r>
        <w:rPr>
          <w:rFonts w:ascii="Times New Roman" w:eastAsia="宋体" w:hAnsi="Times New Roman"/>
          <w:color w:val="000000"/>
          <w:sz w:val="20"/>
          <w:szCs w:val="20"/>
        </w:rPr>
        <w:t>The following graph compares the cumulative total return on the Company’s Class V Common Stock for the period from September 7, 2016 through December 27, 2018, the last date on which the Class V Common Stock traded on the NYSE, with the total return over t</w:t>
      </w:r>
      <w:r>
        <w:rPr>
          <w:rFonts w:ascii="Times New Roman" w:eastAsia="宋体" w:hAnsi="Times New Roman"/>
          <w:color w:val="000000"/>
          <w:sz w:val="20"/>
          <w:szCs w:val="20"/>
        </w:rPr>
        <w:t>he same period on the S&amp;P 500 Index and the S&amp;P 500 Systems Software Index. The graph assumes that $100 was invested on September 7, 2016 in the Class V Common Stock and in each of the foregoing indices and assumes reinvestment of dividends, if any. The co</w:t>
      </w:r>
      <w:r>
        <w:rPr>
          <w:rFonts w:ascii="Times New Roman" w:eastAsia="宋体" w:hAnsi="Times New Roman"/>
          <w:color w:val="000000"/>
          <w:sz w:val="20"/>
          <w:szCs w:val="20"/>
        </w:rPr>
        <w:t xml:space="preserve">mparisons in the graph are based on historical data. </w:t>
      </w:r>
    </w:p>
    <w:p w14:paraId="7DCFD028" w14:textId="77777777" w:rsidR="00C1563E" w:rsidRDefault="00C1563E"/>
    <w:p w14:paraId="7DCFD029" w14:textId="77777777" w:rsidR="00C1563E" w:rsidRDefault="000B648B">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/Dell/./Inline XBRL Viewer7_files/dell-20210129_g2.jpg"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DD0258A" wp14:editId="7DD0258B">
            <wp:extent cx="304800" cy="304800"/>
            <wp:effectExtent l="0" t="0" r="0" b="0"/>
            <wp:docPr id="42" name="图片 6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8" descr="IMG_257"/>
                    <pic:cNvPicPr>
                      <a:picLocks noChangeAspect="1"/>
                    </pic:cNvPicPr>
                  </pic:nvPicPr>
                  <pic:blipFill>
                    <a:blip r:embed="rId108"/>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85" w:type="pct"/>
        <w:jc w:val="center"/>
        <w:tblCellMar>
          <w:top w:w="15" w:type="dxa"/>
          <w:left w:w="15" w:type="dxa"/>
          <w:bottom w:w="15" w:type="dxa"/>
          <w:right w:w="15" w:type="dxa"/>
        </w:tblCellMar>
        <w:tblLook w:val="04A0" w:firstRow="1" w:lastRow="0" w:firstColumn="1" w:lastColumn="0" w:noHBand="0" w:noVBand="1"/>
      </w:tblPr>
      <w:tblGrid>
        <w:gridCol w:w="48"/>
        <w:gridCol w:w="2910"/>
        <w:gridCol w:w="36"/>
        <w:gridCol w:w="36"/>
        <w:gridCol w:w="36"/>
        <w:gridCol w:w="36"/>
        <w:gridCol w:w="64"/>
        <w:gridCol w:w="1128"/>
        <w:gridCol w:w="36"/>
        <w:gridCol w:w="36"/>
        <w:gridCol w:w="36"/>
        <w:gridCol w:w="36"/>
        <w:gridCol w:w="56"/>
        <w:gridCol w:w="1109"/>
        <w:gridCol w:w="36"/>
        <w:gridCol w:w="36"/>
        <w:gridCol w:w="36"/>
        <w:gridCol w:w="36"/>
        <w:gridCol w:w="56"/>
        <w:gridCol w:w="1136"/>
        <w:gridCol w:w="36"/>
        <w:gridCol w:w="36"/>
        <w:gridCol w:w="36"/>
        <w:gridCol w:w="36"/>
        <w:gridCol w:w="60"/>
        <w:gridCol w:w="1132"/>
        <w:gridCol w:w="36"/>
      </w:tblGrid>
      <w:tr w:rsidR="00C1563E" w14:paraId="7DCFD045" w14:textId="77777777">
        <w:trPr>
          <w:jc w:val="center"/>
        </w:trPr>
        <w:tc>
          <w:tcPr>
            <w:tcW w:w="50" w:type="pct"/>
            <w:shd w:val="clear" w:color="auto" w:fill="auto"/>
          </w:tcPr>
          <w:p w14:paraId="7DCFD02A" w14:textId="77777777" w:rsidR="00C1563E" w:rsidRDefault="00C1563E">
            <w:pPr>
              <w:rPr>
                <w:rFonts w:ascii="宋体"/>
              </w:rPr>
            </w:pPr>
          </w:p>
        </w:tc>
        <w:tc>
          <w:tcPr>
            <w:tcW w:w="1770" w:type="pct"/>
            <w:shd w:val="clear" w:color="auto" w:fill="auto"/>
          </w:tcPr>
          <w:p w14:paraId="7DCFD02B" w14:textId="77777777" w:rsidR="00C1563E" w:rsidRDefault="00C1563E">
            <w:pPr>
              <w:rPr>
                <w:rFonts w:ascii="宋体"/>
              </w:rPr>
            </w:pPr>
          </w:p>
        </w:tc>
        <w:tc>
          <w:tcPr>
            <w:tcW w:w="5" w:type="pct"/>
            <w:shd w:val="clear" w:color="auto" w:fill="auto"/>
          </w:tcPr>
          <w:p w14:paraId="7DCFD02C" w14:textId="77777777" w:rsidR="00C1563E" w:rsidRDefault="00C1563E">
            <w:pPr>
              <w:rPr>
                <w:rFonts w:ascii="宋体"/>
              </w:rPr>
            </w:pPr>
          </w:p>
        </w:tc>
        <w:tc>
          <w:tcPr>
            <w:tcW w:w="5" w:type="pct"/>
            <w:shd w:val="clear" w:color="auto" w:fill="auto"/>
          </w:tcPr>
          <w:p w14:paraId="7DCFD02D" w14:textId="77777777" w:rsidR="00C1563E" w:rsidRDefault="00C1563E">
            <w:pPr>
              <w:rPr>
                <w:rFonts w:ascii="宋体"/>
              </w:rPr>
            </w:pPr>
          </w:p>
        </w:tc>
        <w:tc>
          <w:tcPr>
            <w:tcW w:w="19" w:type="pct"/>
            <w:shd w:val="clear" w:color="auto" w:fill="auto"/>
          </w:tcPr>
          <w:p w14:paraId="7DCFD02E" w14:textId="77777777" w:rsidR="00C1563E" w:rsidRDefault="00C1563E">
            <w:pPr>
              <w:rPr>
                <w:rFonts w:ascii="宋体"/>
              </w:rPr>
            </w:pPr>
          </w:p>
        </w:tc>
        <w:tc>
          <w:tcPr>
            <w:tcW w:w="5" w:type="pct"/>
            <w:shd w:val="clear" w:color="auto" w:fill="auto"/>
          </w:tcPr>
          <w:p w14:paraId="7DCFD02F" w14:textId="77777777" w:rsidR="00C1563E" w:rsidRDefault="00C1563E">
            <w:pPr>
              <w:rPr>
                <w:rFonts w:ascii="宋体"/>
              </w:rPr>
            </w:pPr>
          </w:p>
        </w:tc>
        <w:tc>
          <w:tcPr>
            <w:tcW w:w="50" w:type="pct"/>
            <w:shd w:val="clear" w:color="auto" w:fill="auto"/>
          </w:tcPr>
          <w:p w14:paraId="7DCFD030" w14:textId="77777777" w:rsidR="00C1563E" w:rsidRDefault="00C1563E">
            <w:pPr>
              <w:rPr>
                <w:rFonts w:ascii="宋体"/>
              </w:rPr>
            </w:pPr>
          </w:p>
        </w:tc>
        <w:tc>
          <w:tcPr>
            <w:tcW w:w="707" w:type="pct"/>
            <w:shd w:val="clear" w:color="auto" w:fill="auto"/>
          </w:tcPr>
          <w:p w14:paraId="7DCFD031" w14:textId="77777777" w:rsidR="00C1563E" w:rsidRDefault="00C1563E">
            <w:pPr>
              <w:rPr>
                <w:rFonts w:ascii="宋体"/>
              </w:rPr>
            </w:pPr>
          </w:p>
        </w:tc>
        <w:tc>
          <w:tcPr>
            <w:tcW w:w="5" w:type="pct"/>
            <w:shd w:val="clear" w:color="auto" w:fill="auto"/>
          </w:tcPr>
          <w:p w14:paraId="7DCFD032" w14:textId="77777777" w:rsidR="00C1563E" w:rsidRDefault="00C1563E">
            <w:pPr>
              <w:rPr>
                <w:rFonts w:ascii="宋体"/>
              </w:rPr>
            </w:pPr>
          </w:p>
        </w:tc>
        <w:tc>
          <w:tcPr>
            <w:tcW w:w="5" w:type="pct"/>
            <w:shd w:val="clear" w:color="auto" w:fill="auto"/>
          </w:tcPr>
          <w:p w14:paraId="7DCFD033" w14:textId="77777777" w:rsidR="00C1563E" w:rsidRDefault="00C1563E">
            <w:pPr>
              <w:rPr>
                <w:rFonts w:ascii="宋体"/>
              </w:rPr>
            </w:pPr>
          </w:p>
        </w:tc>
        <w:tc>
          <w:tcPr>
            <w:tcW w:w="26" w:type="pct"/>
            <w:shd w:val="clear" w:color="auto" w:fill="auto"/>
          </w:tcPr>
          <w:p w14:paraId="7DCFD034" w14:textId="77777777" w:rsidR="00C1563E" w:rsidRDefault="00C1563E">
            <w:pPr>
              <w:rPr>
                <w:rFonts w:ascii="宋体"/>
              </w:rPr>
            </w:pPr>
          </w:p>
        </w:tc>
        <w:tc>
          <w:tcPr>
            <w:tcW w:w="5" w:type="pct"/>
            <w:shd w:val="clear" w:color="auto" w:fill="auto"/>
          </w:tcPr>
          <w:p w14:paraId="7DCFD035" w14:textId="77777777" w:rsidR="00C1563E" w:rsidRDefault="00C1563E">
            <w:pPr>
              <w:rPr>
                <w:rFonts w:ascii="宋体"/>
              </w:rPr>
            </w:pPr>
          </w:p>
        </w:tc>
        <w:tc>
          <w:tcPr>
            <w:tcW w:w="50" w:type="pct"/>
            <w:shd w:val="clear" w:color="auto" w:fill="auto"/>
          </w:tcPr>
          <w:p w14:paraId="7DCFD036" w14:textId="77777777" w:rsidR="00C1563E" w:rsidRDefault="00C1563E">
            <w:pPr>
              <w:rPr>
                <w:rFonts w:ascii="宋体"/>
              </w:rPr>
            </w:pPr>
          </w:p>
        </w:tc>
        <w:tc>
          <w:tcPr>
            <w:tcW w:w="707" w:type="pct"/>
            <w:shd w:val="clear" w:color="auto" w:fill="auto"/>
          </w:tcPr>
          <w:p w14:paraId="7DCFD037" w14:textId="77777777" w:rsidR="00C1563E" w:rsidRDefault="00C1563E">
            <w:pPr>
              <w:rPr>
                <w:rFonts w:ascii="宋体"/>
              </w:rPr>
            </w:pPr>
          </w:p>
        </w:tc>
        <w:tc>
          <w:tcPr>
            <w:tcW w:w="5" w:type="pct"/>
            <w:shd w:val="clear" w:color="auto" w:fill="auto"/>
          </w:tcPr>
          <w:p w14:paraId="7DCFD038" w14:textId="77777777" w:rsidR="00C1563E" w:rsidRDefault="00C1563E">
            <w:pPr>
              <w:rPr>
                <w:rFonts w:ascii="宋体"/>
              </w:rPr>
            </w:pPr>
          </w:p>
        </w:tc>
        <w:tc>
          <w:tcPr>
            <w:tcW w:w="5" w:type="pct"/>
            <w:shd w:val="clear" w:color="auto" w:fill="auto"/>
          </w:tcPr>
          <w:p w14:paraId="7DCFD039" w14:textId="77777777" w:rsidR="00C1563E" w:rsidRDefault="00C1563E">
            <w:pPr>
              <w:rPr>
                <w:rFonts w:ascii="宋体"/>
              </w:rPr>
            </w:pPr>
          </w:p>
        </w:tc>
        <w:tc>
          <w:tcPr>
            <w:tcW w:w="19" w:type="pct"/>
            <w:shd w:val="clear" w:color="auto" w:fill="auto"/>
          </w:tcPr>
          <w:p w14:paraId="7DCFD03A" w14:textId="77777777" w:rsidR="00C1563E" w:rsidRDefault="00C1563E">
            <w:pPr>
              <w:rPr>
                <w:rFonts w:ascii="宋体"/>
              </w:rPr>
            </w:pPr>
          </w:p>
        </w:tc>
        <w:tc>
          <w:tcPr>
            <w:tcW w:w="5" w:type="pct"/>
            <w:shd w:val="clear" w:color="auto" w:fill="auto"/>
          </w:tcPr>
          <w:p w14:paraId="7DCFD03B" w14:textId="77777777" w:rsidR="00C1563E" w:rsidRDefault="00C1563E">
            <w:pPr>
              <w:rPr>
                <w:rFonts w:ascii="宋体"/>
              </w:rPr>
            </w:pPr>
          </w:p>
        </w:tc>
        <w:tc>
          <w:tcPr>
            <w:tcW w:w="50" w:type="pct"/>
            <w:shd w:val="clear" w:color="auto" w:fill="auto"/>
          </w:tcPr>
          <w:p w14:paraId="7DCFD03C" w14:textId="77777777" w:rsidR="00C1563E" w:rsidRDefault="00C1563E">
            <w:pPr>
              <w:rPr>
                <w:rFonts w:ascii="宋体"/>
              </w:rPr>
            </w:pPr>
          </w:p>
        </w:tc>
        <w:tc>
          <w:tcPr>
            <w:tcW w:w="707" w:type="pct"/>
            <w:shd w:val="clear" w:color="auto" w:fill="auto"/>
          </w:tcPr>
          <w:p w14:paraId="7DCFD03D" w14:textId="77777777" w:rsidR="00C1563E" w:rsidRDefault="00C1563E">
            <w:pPr>
              <w:rPr>
                <w:rFonts w:ascii="宋体"/>
              </w:rPr>
            </w:pPr>
          </w:p>
        </w:tc>
        <w:tc>
          <w:tcPr>
            <w:tcW w:w="5" w:type="pct"/>
            <w:shd w:val="clear" w:color="auto" w:fill="auto"/>
          </w:tcPr>
          <w:p w14:paraId="7DCFD03E" w14:textId="77777777" w:rsidR="00C1563E" w:rsidRDefault="00C1563E">
            <w:pPr>
              <w:rPr>
                <w:rFonts w:ascii="宋体"/>
              </w:rPr>
            </w:pPr>
          </w:p>
        </w:tc>
        <w:tc>
          <w:tcPr>
            <w:tcW w:w="5" w:type="pct"/>
            <w:shd w:val="clear" w:color="auto" w:fill="auto"/>
          </w:tcPr>
          <w:p w14:paraId="7DCFD03F" w14:textId="77777777" w:rsidR="00C1563E" w:rsidRDefault="00C1563E">
            <w:pPr>
              <w:rPr>
                <w:rFonts w:ascii="宋体"/>
              </w:rPr>
            </w:pPr>
          </w:p>
        </w:tc>
        <w:tc>
          <w:tcPr>
            <w:tcW w:w="19" w:type="pct"/>
            <w:shd w:val="clear" w:color="auto" w:fill="auto"/>
          </w:tcPr>
          <w:p w14:paraId="7DCFD040" w14:textId="77777777" w:rsidR="00C1563E" w:rsidRDefault="00C1563E">
            <w:pPr>
              <w:rPr>
                <w:rFonts w:ascii="宋体"/>
              </w:rPr>
            </w:pPr>
          </w:p>
        </w:tc>
        <w:tc>
          <w:tcPr>
            <w:tcW w:w="5" w:type="pct"/>
            <w:shd w:val="clear" w:color="auto" w:fill="auto"/>
          </w:tcPr>
          <w:p w14:paraId="7DCFD041" w14:textId="77777777" w:rsidR="00C1563E" w:rsidRDefault="00C1563E">
            <w:pPr>
              <w:rPr>
                <w:rFonts w:ascii="宋体"/>
              </w:rPr>
            </w:pPr>
          </w:p>
        </w:tc>
        <w:tc>
          <w:tcPr>
            <w:tcW w:w="50" w:type="pct"/>
            <w:shd w:val="clear" w:color="auto" w:fill="auto"/>
          </w:tcPr>
          <w:p w14:paraId="7DCFD042" w14:textId="77777777" w:rsidR="00C1563E" w:rsidRDefault="00C1563E">
            <w:pPr>
              <w:rPr>
                <w:rFonts w:ascii="宋体"/>
              </w:rPr>
            </w:pPr>
          </w:p>
        </w:tc>
        <w:tc>
          <w:tcPr>
            <w:tcW w:w="707" w:type="pct"/>
            <w:shd w:val="clear" w:color="auto" w:fill="auto"/>
          </w:tcPr>
          <w:p w14:paraId="7DCFD043" w14:textId="77777777" w:rsidR="00C1563E" w:rsidRDefault="00C1563E">
            <w:pPr>
              <w:rPr>
                <w:rFonts w:ascii="宋体"/>
              </w:rPr>
            </w:pPr>
          </w:p>
        </w:tc>
        <w:tc>
          <w:tcPr>
            <w:tcW w:w="5" w:type="pct"/>
            <w:shd w:val="clear" w:color="auto" w:fill="auto"/>
          </w:tcPr>
          <w:p w14:paraId="7DCFD044" w14:textId="77777777" w:rsidR="00C1563E" w:rsidRDefault="00C1563E">
            <w:pPr>
              <w:rPr>
                <w:rFonts w:ascii="宋体"/>
              </w:rPr>
            </w:pPr>
          </w:p>
        </w:tc>
      </w:tr>
      <w:tr w:rsidR="00C1563E" w14:paraId="7DCFD04F" w14:textId="77777777">
        <w:trPr>
          <w:jc w:val="center"/>
        </w:trPr>
        <w:tc>
          <w:tcPr>
            <w:tcW w:w="0" w:type="auto"/>
            <w:gridSpan w:val="3"/>
            <w:shd w:val="clear" w:color="auto" w:fill="auto"/>
            <w:tcMar>
              <w:top w:w="0" w:type="dxa"/>
              <w:left w:w="20" w:type="dxa"/>
              <w:bottom w:w="0" w:type="dxa"/>
              <w:right w:w="20" w:type="dxa"/>
            </w:tcMar>
          </w:tcPr>
          <w:p w14:paraId="7DCFD04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04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D048" w14:textId="77777777" w:rsidR="00C1563E" w:rsidRDefault="000B648B">
            <w:pPr>
              <w:jc w:val="center"/>
              <w:textAlignment w:val="bottom"/>
            </w:pPr>
            <w:r>
              <w:rPr>
                <w:rFonts w:ascii="Times New Roman" w:eastAsia="宋体" w:hAnsi="Times New Roman"/>
                <w:b/>
                <w:bCs/>
                <w:color w:val="000000"/>
                <w:sz w:val="20"/>
                <w:szCs w:val="20"/>
              </w:rPr>
              <w:t>September 7, 2016</w:t>
            </w:r>
          </w:p>
        </w:tc>
        <w:tc>
          <w:tcPr>
            <w:tcW w:w="0" w:type="auto"/>
            <w:gridSpan w:val="3"/>
            <w:shd w:val="clear" w:color="auto" w:fill="auto"/>
            <w:tcMar>
              <w:top w:w="0" w:type="dxa"/>
              <w:left w:w="20" w:type="dxa"/>
              <w:bottom w:w="0" w:type="dxa"/>
              <w:right w:w="20" w:type="dxa"/>
            </w:tcMar>
          </w:tcPr>
          <w:p w14:paraId="7DCFD04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D04A" w14:textId="77777777" w:rsidR="00C1563E" w:rsidRDefault="000B648B">
            <w:pPr>
              <w:jc w:val="center"/>
              <w:textAlignment w:val="bottom"/>
            </w:pPr>
            <w:r>
              <w:rPr>
                <w:rFonts w:ascii="Times New Roman" w:eastAsia="宋体" w:hAnsi="Times New Roman"/>
                <w:b/>
                <w:bCs/>
                <w:color w:val="000000"/>
                <w:sz w:val="20"/>
                <w:szCs w:val="20"/>
              </w:rPr>
              <w:t>February 3, 2017</w:t>
            </w:r>
          </w:p>
        </w:tc>
        <w:tc>
          <w:tcPr>
            <w:tcW w:w="0" w:type="auto"/>
            <w:gridSpan w:val="3"/>
            <w:shd w:val="clear" w:color="auto" w:fill="auto"/>
            <w:tcMar>
              <w:top w:w="0" w:type="dxa"/>
              <w:left w:w="20" w:type="dxa"/>
              <w:bottom w:w="0" w:type="dxa"/>
              <w:right w:w="20" w:type="dxa"/>
            </w:tcMar>
          </w:tcPr>
          <w:p w14:paraId="7DCFD04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D04C" w14:textId="77777777" w:rsidR="00C1563E" w:rsidRDefault="000B648B">
            <w:pPr>
              <w:jc w:val="center"/>
              <w:textAlignment w:val="bottom"/>
            </w:pPr>
            <w:r>
              <w:rPr>
                <w:rFonts w:ascii="Times New Roman" w:eastAsia="宋体" w:hAnsi="Times New Roman"/>
                <w:b/>
                <w:bCs/>
                <w:color w:val="000000"/>
                <w:sz w:val="20"/>
                <w:szCs w:val="20"/>
              </w:rPr>
              <w:t>February 2, 2018</w:t>
            </w:r>
          </w:p>
        </w:tc>
        <w:tc>
          <w:tcPr>
            <w:tcW w:w="0" w:type="auto"/>
            <w:gridSpan w:val="3"/>
            <w:shd w:val="clear" w:color="auto" w:fill="auto"/>
            <w:tcMar>
              <w:top w:w="0" w:type="dxa"/>
              <w:left w:w="20" w:type="dxa"/>
              <w:bottom w:w="0" w:type="dxa"/>
              <w:right w:w="20" w:type="dxa"/>
            </w:tcMar>
          </w:tcPr>
          <w:p w14:paraId="7DCFD04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D04E" w14:textId="77777777" w:rsidR="00C1563E" w:rsidRDefault="000B648B">
            <w:pPr>
              <w:jc w:val="center"/>
              <w:textAlignment w:val="bottom"/>
            </w:pPr>
            <w:r>
              <w:rPr>
                <w:rFonts w:ascii="Times New Roman" w:eastAsia="宋体" w:hAnsi="Times New Roman"/>
                <w:b/>
                <w:bCs/>
                <w:color w:val="000000"/>
                <w:sz w:val="20"/>
                <w:szCs w:val="20"/>
              </w:rPr>
              <w:t>December 27, 2018</w:t>
            </w:r>
          </w:p>
        </w:tc>
      </w:tr>
      <w:tr w:rsidR="00C1563E" w14:paraId="7DCFD059" w14:textId="77777777">
        <w:trPr>
          <w:jc w:val="center"/>
        </w:trPr>
        <w:tc>
          <w:tcPr>
            <w:tcW w:w="0" w:type="auto"/>
            <w:gridSpan w:val="3"/>
            <w:shd w:val="clear" w:color="auto" w:fill="CCEEFF"/>
            <w:tcMar>
              <w:top w:w="40" w:type="dxa"/>
              <w:left w:w="20" w:type="dxa"/>
              <w:bottom w:w="40" w:type="dxa"/>
              <w:right w:w="20" w:type="dxa"/>
            </w:tcMar>
            <w:vAlign w:val="bottom"/>
          </w:tcPr>
          <w:p w14:paraId="7DCFD050" w14:textId="77777777" w:rsidR="00C1563E" w:rsidRDefault="000B648B">
            <w:pPr>
              <w:textAlignment w:val="bottom"/>
            </w:pPr>
            <w:r>
              <w:rPr>
                <w:rFonts w:ascii="Times New Roman" w:eastAsia="宋体" w:hAnsi="Times New Roman"/>
                <w:color w:val="000000"/>
                <w:sz w:val="20"/>
                <w:szCs w:val="20"/>
              </w:rPr>
              <w:t>Class V Common Stock</w:t>
            </w:r>
          </w:p>
        </w:tc>
        <w:tc>
          <w:tcPr>
            <w:tcW w:w="0" w:type="auto"/>
            <w:gridSpan w:val="3"/>
            <w:shd w:val="clear" w:color="auto" w:fill="CCEEFF"/>
            <w:tcMar>
              <w:top w:w="0" w:type="dxa"/>
              <w:left w:w="20" w:type="dxa"/>
              <w:bottom w:w="0" w:type="dxa"/>
              <w:right w:w="20" w:type="dxa"/>
            </w:tcMar>
          </w:tcPr>
          <w:p w14:paraId="7DCFD051"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52"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CCEEFF"/>
            <w:tcMar>
              <w:top w:w="0" w:type="dxa"/>
              <w:left w:w="20" w:type="dxa"/>
              <w:bottom w:w="0" w:type="dxa"/>
              <w:right w:w="20" w:type="dxa"/>
            </w:tcMar>
          </w:tcPr>
          <w:p w14:paraId="7DCFD053"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54" w14:textId="77777777" w:rsidR="00C1563E" w:rsidRDefault="000B648B">
            <w:pPr>
              <w:jc w:val="right"/>
              <w:textAlignment w:val="bottom"/>
            </w:pPr>
            <w:r>
              <w:rPr>
                <w:rFonts w:ascii="Times New Roman" w:eastAsia="宋体" w:hAnsi="Times New Roman"/>
                <w:color w:val="000000"/>
                <w:sz w:val="20"/>
                <w:szCs w:val="20"/>
              </w:rPr>
              <w:t>$134.06</w:t>
            </w:r>
          </w:p>
        </w:tc>
        <w:tc>
          <w:tcPr>
            <w:tcW w:w="0" w:type="auto"/>
            <w:gridSpan w:val="3"/>
            <w:shd w:val="clear" w:color="auto" w:fill="CCEEFF"/>
            <w:tcMar>
              <w:top w:w="0" w:type="dxa"/>
              <w:left w:w="20" w:type="dxa"/>
              <w:bottom w:w="0" w:type="dxa"/>
              <w:right w:w="20" w:type="dxa"/>
            </w:tcMar>
          </w:tcPr>
          <w:p w14:paraId="7DCFD055"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56" w14:textId="77777777" w:rsidR="00C1563E" w:rsidRDefault="000B648B">
            <w:pPr>
              <w:jc w:val="right"/>
              <w:textAlignment w:val="bottom"/>
            </w:pPr>
            <w:r>
              <w:rPr>
                <w:rFonts w:ascii="Times New Roman" w:eastAsia="宋体" w:hAnsi="Times New Roman"/>
                <w:color w:val="000000"/>
                <w:sz w:val="20"/>
                <w:szCs w:val="20"/>
              </w:rPr>
              <w:t>$147.71</w:t>
            </w:r>
          </w:p>
        </w:tc>
        <w:tc>
          <w:tcPr>
            <w:tcW w:w="0" w:type="auto"/>
            <w:gridSpan w:val="3"/>
            <w:shd w:val="clear" w:color="auto" w:fill="CCEEFF"/>
            <w:tcMar>
              <w:top w:w="0" w:type="dxa"/>
              <w:left w:w="20" w:type="dxa"/>
              <w:bottom w:w="0" w:type="dxa"/>
              <w:right w:w="20" w:type="dxa"/>
            </w:tcMar>
          </w:tcPr>
          <w:p w14:paraId="7DCFD057"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D058" w14:textId="77777777" w:rsidR="00C1563E" w:rsidRDefault="000B648B">
            <w:pPr>
              <w:jc w:val="right"/>
              <w:textAlignment w:val="bottom"/>
            </w:pPr>
            <w:r>
              <w:rPr>
                <w:rFonts w:ascii="Times New Roman" w:eastAsia="宋体" w:hAnsi="Times New Roman"/>
                <w:color w:val="000000"/>
                <w:sz w:val="20"/>
                <w:szCs w:val="20"/>
              </w:rPr>
              <w:t>$166.67</w:t>
            </w:r>
          </w:p>
        </w:tc>
      </w:tr>
      <w:tr w:rsidR="00C1563E" w14:paraId="7DCFD063" w14:textId="77777777">
        <w:trPr>
          <w:jc w:val="center"/>
        </w:trPr>
        <w:tc>
          <w:tcPr>
            <w:tcW w:w="0" w:type="auto"/>
            <w:gridSpan w:val="3"/>
            <w:shd w:val="clear" w:color="auto" w:fill="FFFFFF"/>
            <w:tcMar>
              <w:top w:w="40" w:type="dxa"/>
              <w:left w:w="20" w:type="dxa"/>
              <w:bottom w:w="40" w:type="dxa"/>
              <w:right w:w="20" w:type="dxa"/>
            </w:tcMar>
            <w:vAlign w:val="bottom"/>
          </w:tcPr>
          <w:p w14:paraId="7DCFD05A" w14:textId="77777777" w:rsidR="00C1563E" w:rsidRDefault="000B648B">
            <w:pPr>
              <w:textAlignment w:val="bottom"/>
            </w:pPr>
            <w:r>
              <w:rPr>
                <w:rFonts w:ascii="Times New Roman" w:eastAsia="宋体" w:hAnsi="Times New Roman"/>
                <w:color w:val="000000"/>
                <w:sz w:val="20"/>
                <w:szCs w:val="20"/>
              </w:rPr>
              <w:t>S&amp;P 500</w:t>
            </w:r>
          </w:p>
        </w:tc>
        <w:tc>
          <w:tcPr>
            <w:tcW w:w="0" w:type="auto"/>
            <w:gridSpan w:val="3"/>
            <w:shd w:val="clear" w:color="auto" w:fill="FFFFFF"/>
            <w:tcMar>
              <w:top w:w="0" w:type="dxa"/>
              <w:left w:w="20" w:type="dxa"/>
              <w:bottom w:w="0" w:type="dxa"/>
              <w:right w:w="20" w:type="dxa"/>
            </w:tcMar>
          </w:tcPr>
          <w:p w14:paraId="7DCFD05B"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5C"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FFFFFF"/>
            <w:tcMar>
              <w:top w:w="0" w:type="dxa"/>
              <w:left w:w="20" w:type="dxa"/>
              <w:bottom w:w="0" w:type="dxa"/>
              <w:right w:w="20" w:type="dxa"/>
            </w:tcMar>
          </w:tcPr>
          <w:p w14:paraId="7DCFD05D"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5E" w14:textId="77777777" w:rsidR="00C1563E" w:rsidRDefault="000B648B">
            <w:pPr>
              <w:jc w:val="right"/>
              <w:textAlignment w:val="bottom"/>
            </w:pPr>
            <w:r>
              <w:rPr>
                <w:rFonts w:ascii="Times New Roman" w:eastAsia="宋体" w:hAnsi="Times New Roman"/>
                <w:color w:val="000000"/>
                <w:sz w:val="20"/>
                <w:szCs w:val="20"/>
              </w:rPr>
              <w:t>$105.94</w:t>
            </w:r>
          </w:p>
        </w:tc>
        <w:tc>
          <w:tcPr>
            <w:tcW w:w="0" w:type="auto"/>
            <w:gridSpan w:val="3"/>
            <w:shd w:val="clear" w:color="auto" w:fill="FFFFFF"/>
            <w:tcMar>
              <w:top w:w="0" w:type="dxa"/>
              <w:left w:w="20" w:type="dxa"/>
              <w:bottom w:w="0" w:type="dxa"/>
              <w:right w:w="20" w:type="dxa"/>
            </w:tcMar>
          </w:tcPr>
          <w:p w14:paraId="7DCFD05F"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60" w14:textId="77777777" w:rsidR="00C1563E" w:rsidRDefault="000B648B">
            <w:pPr>
              <w:jc w:val="right"/>
              <w:textAlignment w:val="bottom"/>
            </w:pPr>
            <w:r>
              <w:rPr>
                <w:rFonts w:ascii="Times New Roman" w:eastAsia="宋体" w:hAnsi="Times New Roman"/>
                <w:color w:val="000000"/>
                <w:sz w:val="20"/>
                <w:szCs w:val="20"/>
              </w:rPr>
              <w:t>$129.92</w:t>
            </w:r>
          </w:p>
        </w:tc>
        <w:tc>
          <w:tcPr>
            <w:tcW w:w="0" w:type="auto"/>
            <w:gridSpan w:val="3"/>
            <w:shd w:val="clear" w:color="auto" w:fill="FFFFFF"/>
            <w:tcMar>
              <w:top w:w="0" w:type="dxa"/>
              <w:left w:w="20" w:type="dxa"/>
              <w:bottom w:w="0" w:type="dxa"/>
              <w:right w:w="20" w:type="dxa"/>
            </w:tcMar>
          </w:tcPr>
          <w:p w14:paraId="7DCFD061"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D062" w14:textId="77777777" w:rsidR="00C1563E" w:rsidRDefault="000B648B">
            <w:pPr>
              <w:jc w:val="right"/>
              <w:textAlignment w:val="bottom"/>
            </w:pPr>
            <w:r>
              <w:rPr>
                <w:rFonts w:ascii="Times New Roman" w:eastAsia="宋体" w:hAnsi="Times New Roman"/>
                <w:color w:val="000000"/>
                <w:sz w:val="20"/>
                <w:szCs w:val="20"/>
              </w:rPr>
              <w:t>$119.92</w:t>
            </w:r>
          </w:p>
        </w:tc>
      </w:tr>
      <w:tr w:rsidR="00C1563E" w14:paraId="7DCFD06D" w14:textId="77777777">
        <w:trPr>
          <w:jc w:val="center"/>
        </w:trPr>
        <w:tc>
          <w:tcPr>
            <w:tcW w:w="0" w:type="auto"/>
            <w:gridSpan w:val="3"/>
            <w:shd w:val="clear" w:color="auto" w:fill="CCEEFF"/>
            <w:tcMar>
              <w:top w:w="40" w:type="dxa"/>
              <w:left w:w="20" w:type="dxa"/>
              <w:bottom w:w="40" w:type="dxa"/>
              <w:right w:w="20" w:type="dxa"/>
            </w:tcMar>
            <w:vAlign w:val="bottom"/>
          </w:tcPr>
          <w:p w14:paraId="7DCFD064" w14:textId="77777777" w:rsidR="00C1563E" w:rsidRDefault="000B648B">
            <w:pPr>
              <w:textAlignment w:val="bottom"/>
            </w:pPr>
            <w:r>
              <w:rPr>
                <w:rFonts w:ascii="Times New Roman" w:eastAsia="宋体" w:hAnsi="Times New Roman"/>
                <w:color w:val="000000"/>
                <w:sz w:val="20"/>
                <w:szCs w:val="20"/>
              </w:rPr>
              <w:t xml:space="preserve">S&amp;P 500 Systems </w:t>
            </w:r>
            <w:r>
              <w:rPr>
                <w:rFonts w:ascii="Times New Roman" w:eastAsia="宋体" w:hAnsi="Times New Roman"/>
                <w:color w:val="000000"/>
                <w:sz w:val="20"/>
                <w:szCs w:val="20"/>
              </w:rPr>
              <w:t>Software Index</w:t>
            </w:r>
          </w:p>
        </w:tc>
        <w:tc>
          <w:tcPr>
            <w:tcW w:w="0" w:type="auto"/>
            <w:gridSpan w:val="3"/>
            <w:shd w:val="clear" w:color="auto" w:fill="CCEEFF"/>
            <w:tcMar>
              <w:top w:w="0" w:type="dxa"/>
              <w:left w:w="20" w:type="dxa"/>
              <w:bottom w:w="0" w:type="dxa"/>
              <w:right w:w="20" w:type="dxa"/>
            </w:tcMar>
          </w:tcPr>
          <w:p w14:paraId="7DCFD065"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66" w14:textId="77777777" w:rsidR="00C1563E" w:rsidRDefault="000B648B">
            <w:pPr>
              <w:jc w:val="right"/>
              <w:textAlignment w:val="bottom"/>
            </w:pPr>
            <w:r>
              <w:rPr>
                <w:rFonts w:ascii="Times New Roman" w:eastAsia="宋体" w:hAnsi="Times New Roman"/>
                <w:color w:val="000000"/>
                <w:sz w:val="20"/>
                <w:szCs w:val="20"/>
              </w:rPr>
              <w:t>$100.00</w:t>
            </w:r>
          </w:p>
        </w:tc>
        <w:tc>
          <w:tcPr>
            <w:tcW w:w="0" w:type="auto"/>
            <w:gridSpan w:val="3"/>
            <w:shd w:val="clear" w:color="auto" w:fill="CCEEFF"/>
            <w:tcMar>
              <w:top w:w="0" w:type="dxa"/>
              <w:left w:w="20" w:type="dxa"/>
              <w:bottom w:w="0" w:type="dxa"/>
              <w:right w:w="20" w:type="dxa"/>
            </w:tcMar>
          </w:tcPr>
          <w:p w14:paraId="7DCFD067"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68" w14:textId="77777777" w:rsidR="00C1563E" w:rsidRDefault="000B648B">
            <w:pPr>
              <w:jc w:val="right"/>
              <w:textAlignment w:val="bottom"/>
            </w:pPr>
            <w:r>
              <w:rPr>
                <w:rFonts w:ascii="Times New Roman" w:eastAsia="宋体" w:hAnsi="Times New Roman"/>
                <w:color w:val="000000"/>
                <w:sz w:val="20"/>
                <w:szCs w:val="20"/>
              </w:rPr>
              <w:t>$108.32</w:t>
            </w:r>
          </w:p>
        </w:tc>
        <w:tc>
          <w:tcPr>
            <w:tcW w:w="0" w:type="auto"/>
            <w:gridSpan w:val="3"/>
            <w:shd w:val="clear" w:color="auto" w:fill="CCEEFF"/>
            <w:tcMar>
              <w:top w:w="0" w:type="dxa"/>
              <w:left w:w="20" w:type="dxa"/>
              <w:bottom w:w="0" w:type="dxa"/>
              <w:right w:w="20" w:type="dxa"/>
            </w:tcMar>
          </w:tcPr>
          <w:p w14:paraId="7DCFD069"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6A" w14:textId="77777777" w:rsidR="00C1563E" w:rsidRDefault="000B648B">
            <w:pPr>
              <w:jc w:val="right"/>
              <w:textAlignment w:val="bottom"/>
            </w:pPr>
            <w:r>
              <w:rPr>
                <w:rFonts w:ascii="Times New Roman" w:eastAsia="宋体" w:hAnsi="Times New Roman"/>
                <w:color w:val="000000"/>
                <w:sz w:val="20"/>
                <w:szCs w:val="20"/>
              </w:rPr>
              <w:t>$153.56</w:t>
            </w:r>
          </w:p>
        </w:tc>
        <w:tc>
          <w:tcPr>
            <w:tcW w:w="0" w:type="auto"/>
            <w:gridSpan w:val="3"/>
            <w:shd w:val="clear" w:color="auto" w:fill="CCEEFF"/>
            <w:tcMar>
              <w:top w:w="0" w:type="dxa"/>
              <w:left w:w="20" w:type="dxa"/>
              <w:bottom w:w="0" w:type="dxa"/>
              <w:right w:w="20" w:type="dxa"/>
            </w:tcMar>
          </w:tcPr>
          <w:p w14:paraId="7DCFD06B"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06C" w14:textId="77777777" w:rsidR="00C1563E" w:rsidRDefault="000B648B">
            <w:pPr>
              <w:jc w:val="right"/>
              <w:textAlignment w:val="bottom"/>
            </w:pPr>
            <w:r>
              <w:rPr>
                <w:rFonts w:ascii="Times New Roman" w:eastAsia="宋体" w:hAnsi="Times New Roman"/>
                <w:color w:val="000000"/>
                <w:sz w:val="20"/>
                <w:szCs w:val="20"/>
              </w:rPr>
              <w:t>$166.55</w:t>
            </w:r>
          </w:p>
        </w:tc>
      </w:tr>
    </w:tbl>
    <w:p w14:paraId="7DCFD06E" w14:textId="77777777" w:rsidR="00C1563E" w:rsidRDefault="00C1563E"/>
    <w:p w14:paraId="7DCFD06F" w14:textId="77777777" w:rsidR="00C1563E" w:rsidRDefault="000B648B">
      <w:r>
        <w:rPr>
          <w:rFonts w:ascii="Times New Roman" w:eastAsia="宋体" w:hAnsi="Times New Roman"/>
          <w:color w:val="000000"/>
          <w:sz w:val="20"/>
          <w:szCs w:val="20"/>
        </w:rPr>
        <w:t xml:space="preserve">The preceding stock performance graphs shall not be deemed to be incorporated by reference by means of any general statement incorporating by reference this annual report on Form 10-K into any </w:t>
      </w:r>
      <w:r>
        <w:rPr>
          <w:rFonts w:ascii="Times New Roman" w:eastAsia="宋体" w:hAnsi="Times New Roman"/>
          <w:color w:val="000000"/>
          <w:sz w:val="20"/>
          <w:szCs w:val="20"/>
        </w:rPr>
        <w:t>filing under the Securities Act of 1933 or the Securities Exchange Act of 1934, except to the extent that Dell Technologies specifically incorporates such information by reference, and shall not otherwise be deemed filed under such Acts.</w:t>
      </w:r>
    </w:p>
    <w:p w14:paraId="7DCFD070" w14:textId="77777777" w:rsidR="00C1563E" w:rsidRDefault="00C1563E"/>
    <w:p w14:paraId="7DCFD071" w14:textId="77777777" w:rsidR="00C1563E" w:rsidRDefault="000B648B">
      <w:r>
        <w:rPr>
          <w:rFonts w:ascii="Times New Roman" w:eastAsia="宋体" w:hAnsi="Times New Roman"/>
          <w:b/>
          <w:bCs/>
          <w:color w:val="000000"/>
          <w:sz w:val="20"/>
          <w:szCs w:val="20"/>
        </w:rPr>
        <w:t>ITEM 6 — SELECTED</w:t>
      </w:r>
      <w:r>
        <w:rPr>
          <w:rFonts w:ascii="Times New Roman" w:eastAsia="宋体" w:hAnsi="Times New Roman"/>
          <w:b/>
          <w:bCs/>
          <w:color w:val="000000"/>
          <w:sz w:val="20"/>
          <w:szCs w:val="20"/>
        </w:rPr>
        <w:t xml:space="preserve"> FINANCIAL DATA</w:t>
      </w:r>
    </w:p>
    <w:p w14:paraId="7DCFD072" w14:textId="77777777" w:rsidR="00C1563E" w:rsidRDefault="00C1563E"/>
    <w:p w14:paraId="7DCFD073" w14:textId="77777777" w:rsidR="00C1563E" w:rsidRDefault="000B648B">
      <w:r>
        <w:rPr>
          <w:rFonts w:ascii="Times New Roman" w:eastAsia="宋体" w:hAnsi="Times New Roman"/>
          <w:color w:val="000000"/>
          <w:sz w:val="20"/>
          <w:szCs w:val="20"/>
        </w:rPr>
        <w:t>Data responsive to Item 6 have not been presented in accordance with the Company’s early compliance with amendments to Item 301 of Regulation S-K that became effective on February 10, 2021.</w:t>
      </w:r>
    </w:p>
    <w:p w14:paraId="7DCFD074" w14:textId="77777777" w:rsidR="00C1563E" w:rsidRDefault="00C1563E"/>
    <w:p w14:paraId="7DCFD075" w14:textId="77777777" w:rsidR="00C1563E" w:rsidRDefault="00C1563E">
      <w:pPr>
        <w:jc w:val="center"/>
      </w:pPr>
    </w:p>
    <w:p w14:paraId="7DCFD076" w14:textId="77777777" w:rsidR="00C1563E" w:rsidRDefault="000B648B">
      <w:pPr>
        <w:jc w:val="center"/>
      </w:pPr>
      <w:r>
        <w:rPr>
          <w:rFonts w:ascii="Times New Roman" w:eastAsia="宋体" w:hAnsi="Times New Roman"/>
          <w:color w:val="000000"/>
          <w:sz w:val="20"/>
          <w:szCs w:val="20"/>
        </w:rPr>
        <w:t>34</w:t>
      </w:r>
    </w:p>
    <w:p w14:paraId="7DCFD077" w14:textId="77777777" w:rsidR="00C1563E" w:rsidRDefault="00C1563E">
      <w:pPr>
        <w:jc w:val="center"/>
      </w:pPr>
    </w:p>
    <w:p w14:paraId="7DCFD078" w14:textId="77777777" w:rsidR="00C1563E" w:rsidRDefault="000B648B">
      <w:r>
        <w:pict w14:anchorId="7DD0258C">
          <v:rect id="_x0000_i1058" style="width:415.3pt;height:1.5pt" o:hralign="center" o:hrstd="t" o:hr="t" fillcolor="#a0a0a0" stroked="f"/>
        </w:pict>
      </w:r>
    </w:p>
    <w:p w14:paraId="7DCFD079" w14:textId="77777777" w:rsidR="00C1563E" w:rsidRDefault="000B648B">
      <w:hyperlink r:id="rId110" w:anchor="i418e32e4a35149ffbf7d3a25d66881b8_10" w:history="1">
        <w:r>
          <w:rPr>
            <w:rStyle w:val="a5"/>
            <w:rFonts w:ascii="Times New Roman" w:eastAsia="宋体" w:hAnsi="Times New Roman"/>
            <w:sz w:val="20"/>
            <w:szCs w:val="20"/>
          </w:rPr>
          <w:t>Table of Contents</w:t>
        </w:r>
      </w:hyperlink>
    </w:p>
    <w:p w14:paraId="7DCFD07A" w14:textId="77777777" w:rsidR="00C1563E" w:rsidRDefault="000B648B">
      <w:r>
        <w:rPr>
          <w:rFonts w:ascii="Times New Roman" w:eastAsia="宋体" w:hAnsi="Times New Roman"/>
          <w:b/>
          <w:bCs/>
          <w:color w:val="000000"/>
          <w:sz w:val="20"/>
          <w:szCs w:val="20"/>
        </w:rPr>
        <w:t xml:space="preserve">ITEM 7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 xml:space="preserve">MANAGEMENT’S DISCUSSION AND ANALYSIS OF FINANCIAL CONDITION AND RESULTS OF </w:t>
      </w:r>
      <w:r>
        <w:rPr>
          <w:rFonts w:ascii="Times New Roman" w:eastAsia="宋体" w:hAnsi="Times New Roman"/>
          <w:b/>
          <w:bCs/>
          <w:color w:val="000000"/>
          <w:sz w:val="20"/>
          <w:szCs w:val="20"/>
        </w:rPr>
        <w:t>OPERATIONS</w:t>
      </w:r>
    </w:p>
    <w:p w14:paraId="7DCFD07B" w14:textId="77777777" w:rsidR="00C1563E" w:rsidRDefault="00C1563E"/>
    <w:p w14:paraId="7DCFD07C" w14:textId="77777777" w:rsidR="00C1563E" w:rsidRDefault="000B648B">
      <w:r>
        <w:rPr>
          <w:rFonts w:ascii="Times New Roman" w:eastAsia="宋体" w:hAnsi="Times New Roman"/>
          <w:b/>
          <w:bCs/>
          <w:i/>
          <w:iCs/>
          <w:color w:val="000000"/>
          <w:sz w:val="20"/>
          <w:szCs w:val="20"/>
        </w:rPr>
        <w:t>This management’s discussion and analysis should be read in conjunction with the audited Consolidated Financial Statements and accompanying Notes included in this Annual Report on Form 10-K. This section of this Form 10-K generally discusses Fi</w:t>
      </w:r>
      <w:r>
        <w:rPr>
          <w:rFonts w:ascii="Times New Roman" w:eastAsia="宋体" w:hAnsi="Times New Roman"/>
          <w:b/>
          <w:bCs/>
          <w:i/>
          <w:iCs/>
          <w:color w:val="000000"/>
          <w:sz w:val="20"/>
          <w:szCs w:val="20"/>
        </w:rPr>
        <w:t>scal 2021 and Fiscal 2020 items and year-to-year comparisons between Fiscal 2021 and Fiscal 2020. Discussions of Fiscal 2019 items and year-to-year comparisons between Fiscal 2020 and Fiscal 2019 that are not included in this Form 10-K can be found in “Par</w:t>
      </w:r>
      <w:r>
        <w:rPr>
          <w:rFonts w:ascii="Times New Roman" w:eastAsia="宋体" w:hAnsi="Times New Roman"/>
          <w:b/>
          <w:bCs/>
          <w:i/>
          <w:iCs/>
          <w:color w:val="000000"/>
          <w:sz w:val="20"/>
          <w:szCs w:val="20"/>
        </w:rPr>
        <w:t xml:space="preserve">t II — Item 7 — Management’s Discussion and Analysis of Financial Condition and Results of Operations” of the Company’s Annual Report on Form 10-K for the fiscal year ended January 31, 2020, as filed with the SEC on March 27, 2020, which is available free </w:t>
      </w:r>
      <w:r>
        <w:rPr>
          <w:rFonts w:ascii="Times New Roman" w:eastAsia="宋体" w:hAnsi="Times New Roman"/>
          <w:b/>
          <w:bCs/>
          <w:i/>
          <w:iCs/>
          <w:color w:val="000000"/>
          <w:sz w:val="20"/>
          <w:szCs w:val="20"/>
        </w:rPr>
        <w:t>of charge on the SEC’s website at www.sec.gov and on our Investor Relations website at investors.delltechnologies.com.</w:t>
      </w:r>
    </w:p>
    <w:p w14:paraId="7DCFD07D" w14:textId="77777777" w:rsidR="00C1563E" w:rsidRDefault="00C1563E"/>
    <w:p w14:paraId="7DCFD07E" w14:textId="77777777" w:rsidR="00C1563E" w:rsidRDefault="000B648B">
      <w:r>
        <w:rPr>
          <w:rFonts w:ascii="Times New Roman" w:eastAsia="宋体" w:hAnsi="Times New Roman"/>
          <w:b/>
          <w:bCs/>
          <w:i/>
          <w:iCs/>
          <w:color w:val="000000"/>
          <w:sz w:val="20"/>
          <w:szCs w:val="20"/>
        </w:rPr>
        <w:t>In addition to historical financial information, the following discussion contains forward-looking statements that reflect our plans, es</w:t>
      </w:r>
      <w:r>
        <w:rPr>
          <w:rFonts w:ascii="Times New Roman" w:eastAsia="宋体" w:hAnsi="Times New Roman"/>
          <w:b/>
          <w:bCs/>
          <w:i/>
          <w:iCs/>
          <w:color w:val="000000"/>
          <w:sz w:val="20"/>
          <w:szCs w:val="20"/>
        </w:rPr>
        <w:t>timates, and beliefs, and that are subject to numerous risks and uncertainties. Our actual results may differ materially from those expressed or implied in any forward-looking statements.</w:t>
      </w:r>
    </w:p>
    <w:p w14:paraId="7DCFD07F" w14:textId="77777777" w:rsidR="00C1563E" w:rsidRDefault="00C1563E"/>
    <w:p w14:paraId="7DCFD080" w14:textId="77777777" w:rsidR="00C1563E" w:rsidRDefault="000B648B">
      <w:r>
        <w:rPr>
          <w:rFonts w:ascii="Times New Roman" w:eastAsia="宋体" w:hAnsi="Times New Roman"/>
          <w:b/>
          <w:bCs/>
          <w:i/>
          <w:iCs/>
          <w:color w:val="000000"/>
          <w:sz w:val="20"/>
          <w:szCs w:val="20"/>
        </w:rPr>
        <w:t xml:space="preserve">Unless otherwise indicated, all results presented are </w:t>
      </w:r>
      <w:r>
        <w:rPr>
          <w:rFonts w:ascii="Times New Roman" w:eastAsia="宋体" w:hAnsi="Times New Roman"/>
          <w:b/>
          <w:bCs/>
          <w:i/>
          <w:iCs/>
          <w:color w:val="000000"/>
          <w:sz w:val="20"/>
          <w:szCs w:val="20"/>
        </w:rPr>
        <w:t xml:space="preserve">prepared in a manner that complies, in all material respects, with accounting principles generally accepted in the United States of America (“GAAP”). Additionally, unless otherwise indicated, all changes identified for the current-period results represent </w:t>
      </w:r>
      <w:r>
        <w:rPr>
          <w:rFonts w:ascii="Times New Roman" w:eastAsia="宋体" w:hAnsi="Times New Roman"/>
          <w:b/>
          <w:bCs/>
          <w:i/>
          <w:iCs/>
          <w:color w:val="000000"/>
          <w:sz w:val="20"/>
          <w:szCs w:val="20"/>
        </w:rPr>
        <w:t>comparisons to results for the prior corresponding fiscal period.</w:t>
      </w:r>
    </w:p>
    <w:p w14:paraId="7DCFD081" w14:textId="77777777" w:rsidR="00C1563E" w:rsidRDefault="00C1563E"/>
    <w:p w14:paraId="7DCFD082" w14:textId="77777777" w:rsidR="00C1563E" w:rsidRDefault="000B648B">
      <w:r>
        <w:rPr>
          <w:rFonts w:ascii="Times New Roman" w:eastAsia="宋体" w:hAnsi="Times New Roman"/>
          <w:b/>
          <w:bCs/>
          <w:i/>
          <w:iCs/>
          <w:color w:val="000000"/>
          <w:sz w:val="20"/>
          <w:szCs w:val="20"/>
        </w:rPr>
        <w:t>Unless the context indicates otherwise, references in this report to “we,” “us,” “our,” the “Company,” and “Dell Technologies” mean Dell Technologies Inc. and its consolidated subsidiaries,</w:t>
      </w:r>
      <w:r>
        <w:rPr>
          <w:rFonts w:ascii="Times New Roman" w:eastAsia="宋体" w:hAnsi="Times New Roman"/>
          <w:b/>
          <w:bCs/>
          <w:i/>
          <w:iCs/>
          <w:color w:val="000000"/>
          <w:sz w:val="20"/>
          <w:szCs w:val="20"/>
        </w:rPr>
        <w:t xml:space="preserve"> references to “Dell” mean Dell Inc. and Dell Inc.’s consolidated subsidiaries, and references to “EMC” mean EMC Corporation and EMC Corporation’s consolidated subsidiaries.</w:t>
      </w:r>
    </w:p>
    <w:p w14:paraId="7DCFD083" w14:textId="77777777" w:rsidR="00C1563E" w:rsidRDefault="00C1563E"/>
    <w:p w14:paraId="7DCFD084" w14:textId="77777777" w:rsidR="00C1563E" w:rsidRDefault="000B648B">
      <w:r>
        <w:rPr>
          <w:rFonts w:ascii="Times New Roman" w:eastAsia="宋体" w:hAnsi="Times New Roman"/>
          <w:b/>
          <w:bCs/>
          <w:i/>
          <w:iCs/>
          <w:color w:val="000000"/>
          <w:sz w:val="20"/>
          <w:szCs w:val="20"/>
        </w:rPr>
        <w:t>Our fiscal year is the 52- or 53-week period ending on the Friday nearest January</w:t>
      </w:r>
      <w:r>
        <w:rPr>
          <w:rFonts w:ascii="Times New Roman" w:eastAsia="宋体" w:hAnsi="Times New Roman"/>
          <w:b/>
          <w:bCs/>
          <w:i/>
          <w:iCs/>
          <w:color w:val="000000"/>
          <w:sz w:val="20"/>
          <w:szCs w:val="20"/>
        </w:rPr>
        <w:t xml:space="preserve"> 31. We refer to our fiscal years ended January 29, 2021, January 31, 2020, and February 1, 2019 as “Fiscal 2021,” “Fiscal 2020,” and “Fiscal 2019,” respectively. All fiscal years presented included 52 weeks.</w:t>
      </w:r>
    </w:p>
    <w:p w14:paraId="7DCFD085" w14:textId="77777777" w:rsidR="00C1563E" w:rsidRDefault="00C1563E"/>
    <w:p w14:paraId="7DCFD086" w14:textId="77777777" w:rsidR="00C1563E" w:rsidRDefault="000B648B">
      <w:r>
        <w:rPr>
          <w:rFonts w:ascii="Times New Roman" w:eastAsia="宋体" w:hAnsi="Times New Roman"/>
          <w:b/>
          <w:bCs/>
          <w:color w:val="000000"/>
          <w:sz w:val="20"/>
          <w:szCs w:val="20"/>
        </w:rPr>
        <w:t>INTRODUCTION</w:t>
      </w:r>
    </w:p>
    <w:p w14:paraId="7DCFD087" w14:textId="77777777" w:rsidR="00C1563E" w:rsidRDefault="00C1563E"/>
    <w:p w14:paraId="7DCFD088" w14:textId="77777777" w:rsidR="00C1563E" w:rsidRDefault="000B648B">
      <w:r>
        <w:rPr>
          <w:rFonts w:ascii="Times New Roman" w:eastAsia="宋体" w:hAnsi="Times New Roman"/>
          <w:color w:val="000000"/>
          <w:sz w:val="20"/>
          <w:szCs w:val="20"/>
        </w:rPr>
        <w:t>Dell Technologies helps organiza</w:t>
      </w:r>
      <w:r>
        <w:rPr>
          <w:rFonts w:ascii="Times New Roman" w:eastAsia="宋体" w:hAnsi="Times New Roman"/>
          <w:color w:val="000000"/>
          <w:sz w:val="20"/>
          <w:szCs w:val="20"/>
        </w:rPr>
        <w:t xml:space="preserve">tions and individuals build their digital future and transform how they work, live and play. We provide customers with the industry’s broadest and most innovative technology and services portfolio for the data era, spanning both traditional infrastructure </w:t>
      </w:r>
      <w:r>
        <w:rPr>
          <w:rFonts w:ascii="Times New Roman" w:eastAsia="宋体" w:hAnsi="Times New Roman"/>
          <w:color w:val="000000"/>
          <w:sz w:val="20"/>
          <w:szCs w:val="20"/>
        </w:rPr>
        <w:t>and emerging multi-cloud technologies. We continue to seamlessly deliver differentiated and holistic IT solutions to our customers, which has driven significant revenue growth and share gains.</w:t>
      </w:r>
    </w:p>
    <w:p w14:paraId="7DCFD089" w14:textId="77777777" w:rsidR="00C1563E" w:rsidRDefault="00C1563E"/>
    <w:p w14:paraId="7DCFD08A" w14:textId="77777777" w:rsidR="00C1563E" w:rsidRDefault="000B648B">
      <w:r>
        <w:rPr>
          <w:rFonts w:ascii="Times New Roman" w:eastAsia="宋体" w:hAnsi="Times New Roman"/>
          <w:color w:val="000000"/>
          <w:sz w:val="20"/>
          <w:szCs w:val="20"/>
        </w:rPr>
        <w:t>Dell Technologies’ integrated solutions help customers moderni</w:t>
      </w:r>
      <w:r>
        <w:rPr>
          <w:rFonts w:ascii="Times New Roman" w:eastAsia="宋体" w:hAnsi="Times New Roman"/>
          <w:color w:val="000000"/>
          <w:sz w:val="20"/>
          <w:szCs w:val="20"/>
        </w:rPr>
        <w:t>ze their IT infrastructure, manage and operate in a multi-cloud world, address workforce transformation, and provide critical solutions that keep people and organizations connected, which has proven even more important in this current time of disruption ca</w:t>
      </w:r>
      <w:r>
        <w:rPr>
          <w:rFonts w:ascii="Times New Roman" w:eastAsia="宋体" w:hAnsi="Times New Roman"/>
          <w:color w:val="000000"/>
          <w:sz w:val="20"/>
          <w:szCs w:val="20"/>
        </w:rPr>
        <w:t>used by the coronavirus pandemic. We are helping customers accelerate their digital transformations to improve and strengthen business and workforce productivity. With our extensive portfolio and our commitment to innovation, we offer secure, integrated so</w:t>
      </w:r>
      <w:r>
        <w:rPr>
          <w:rFonts w:ascii="Times New Roman" w:eastAsia="宋体" w:hAnsi="Times New Roman"/>
          <w:color w:val="000000"/>
          <w:sz w:val="20"/>
          <w:szCs w:val="20"/>
        </w:rPr>
        <w:t>lutions that extend from the edge to the core to the cloud, and we are at the forefront of the software-defined and cloud native infrastructure era. As further evidence of our commitment to innovation, in Fiscal 2021 we announced our plan to evolve and exp</w:t>
      </w:r>
      <w:r>
        <w:rPr>
          <w:rFonts w:ascii="Times New Roman" w:eastAsia="宋体" w:hAnsi="Times New Roman"/>
          <w:color w:val="000000"/>
          <w:sz w:val="20"/>
          <w:szCs w:val="20"/>
        </w:rPr>
        <w:t>and our IT as-a-Service and cloud offerings through Apex. Apex will provide our customers with greater flexibility to scale IT to meet their evolving business needs and budgets.</w:t>
      </w:r>
    </w:p>
    <w:p w14:paraId="7DCFD08B" w14:textId="77777777" w:rsidR="00C1563E" w:rsidRDefault="00C1563E"/>
    <w:p w14:paraId="7DCFD08C" w14:textId="77777777" w:rsidR="00C1563E" w:rsidRDefault="000B648B">
      <w:r>
        <w:rPr>
          <w:rFonts w:ascii="Times New Roman" w:eastAsia="宋体" w:hAnsi="Times New Roman"/>
          <w:color w:val="000000"/>
          <w:sz w:val="20"/>
          <w:szCs w:val="20"/>
        </w:rPr>
        <w:t>Dell Technologies’ end-to-end portfolio is supported by a world-class organiz</w:t>
      </w:r>
      <w:r>
        <w:rPr>
          <w:rFonts w:ascii="Times New Roman" w:eastAsia="宋体" w:hAnsi="Times New Roman"/>
          <w:color w:val="000000"/>
          <w:sz w:val="20"/>
          <w:szCs w:val="20"/>
        </w:rPr>
        <w:t>ation with unmatched size and scale. We operate globally in 180 countries across key functional areas, including technology and product development, marketing, sales, financial services, and global services. Our go-to-market engine includes a 39,000-person</w:t>
      </w:r>
      <w:r>
        <w:rPr>
          <w:rFonts w:ascii="Times New Roman" w:eastAsia="宋体" w:hAnsi="Times New Roman"/>
          <w:color w:val="000000"/>
          <w:sz w:val="20"/>
          <w:szCs w:val="20"/>
        </w:rPr>
        <w:t xml:space="preserve"> sales force and a global network of over 200,000 channel partners. Dell Financial Services and its affiliates (“DFS”) offer customer payment flexibility and enables synergies across the business. DFS funded $9 billion of originations in Fiscal 2021 and ma</w:t>
      </w:r>
      <w:r>
        <w:rPr>
          <w:rFonts w:ascii="Times New Roman" w:eastAsia="宋体" w:hAnsi="Times New Roman"/>
          <w:color w:val="000000"/>
          <w:sz w:val="20"/>
          <w:szCs w:val="20"/>
        </w:rPr>
        <w:t>intains a $10 billion global portfolio of high-quality financing receivables. We employ 34,000 full-time service and support professionals and maintain more than 2,400 vendor-managed service centers. We manage a world-class supply chain that drives long-te</w:t>
      </w:r>
      <w:r>
        <w:rPr>
          <w:rFonts w:ascii="Times New Roman" w:eastAsia="宋体" w:hAnsi="Times New Roman"/>
          <w:color w:val="000000"/>
          <w:sz w:val="20"/>
          <w:szCs w:val="20"/>
        </w:rPr>
        <w:t>rm growth and operating efficiencies, with approximately $70 billion in annual procurement expenditures and over 750 parts distribution centers. Together, these elements provide a critical foundation for our success.</w:t>
      </w:r>
    </w:p>
    <w:p w14:paraId="7DCFD08D" w14:textId="77777777" w:rsidR="00C1563E" w:rsidRDefault="00C1563E"/>
    <w:p w14:paraId="7DCFD08E" w14:textId="77777777" w:rsidR="00C1563E" w:rsidRDefault="00C1563E">
      <w:pPr>
        <w:jc w:val="center"/>
      </w:pPr>
    </w:p>
    <w:p w14:paraId="7DCFD08F" w14:textId="77777777" w:rsidR="00C1563E" w:rsidRDefault="000B648B">
      <w:pPr>
        <w:jc w:val="center"/>
      </w:pPr>
      <w:r>
        <w:rPr>
          <w:rFonts w:ascii="Times New Roman" w:eastAsia="宋体" w:hAnsi="Times New Roman"/>
          <w:color w:val="000000"/>
          <w:sz w:val="20"/>
          <w:szCs w:val="20"/>
        </w:rPr>
        <w:t>35</w:t>
      </w:r>
    </w:p>
    <w:p w14:paraId="7DCFD090" w14:textId="77777777" w:rsidR="00C1563E" w:rsidRDefault="00C1563E">
      <w:pPr>
        <w:jc w:val="center"/>
      </w:pPr>
    </w:p>
    <w:p w14:paraId="7DCFD091" w14:textId="77777777" w:rsidR="00C1563E" w:rsidRDefault="000B648B">
      <w:r>
        <w:pict w14:anchorId="7DD0258D">
          <v:rect id="_x0000_i1059" style="width:415.3pt;height:1.5pt" o:hralign="center" o:hrstd="t" o:hr="t" fillcolor="#a0a0a0" stroked="f"/>
        </w:pict>
      </w:r>
    </w:p>
    <w:p w14:paraId="7DCFD092" w14:textId="77777777" w:rsidR="00C1563E" w:rsidRDefault="000B648B">
      <w:hyperlink r:id="rId111" w:anchor="i418e32e4a35149ffbf7d3a25d66881b8_10" w:history="1">
        <w:r>
          <w:rPr>
            <w:rStyle w:val="a5"/>
            <w:rFonts w:ascii="Times New Roman" w:eastAsia="宋体" w:hAnsi="Times New Roman"/>
            <w:sz w:val="20"/>
            <w:szCs w:val="20"/>
          </w:rPr>
          <w:t>Table of Contents</w:t>
        </w:r>
      </w:hyperlink>
    </w:p>
    <w:p w14:paraId="7DCFD093" w14:textId="77777777" w:rsidR="00C1563E" w:rsidRDefault="00C1563E"/>
    <w:p w14:paraId="7DCFD094" w14:textId="77777777" w:rsidR="00C1563E" w:rsidRDefault="000B648B">
      <w:r>
        <w:rPr>
          <w:rFonts w:ascii="Times New Roman" w:eastAsia="宋体" w:hAnsi="Times New Roman"/>
          <w:b/>
          <w:bCs/>
          <w:color w:val="000000"/>
          <w:sz w:val="20"/>
          <w:szCs w:val="20"/>
        </w:rPr>
        <w:t>Products and Services</w:t>
      </w:r>
    </w:p>
    <w:p w14:paraId="7DCFD095" w14:textId="77777777" w:rsidR="00C1563E" w:rsidRDefault="00C1563E"/>
    <w:p w14:paraId="7DCFD096" w14:textId="77777777" w:rsidR="00C1563E" w:rsidRDefault="000B648B">
      <w:r>
        <w:rPr>
          <w:rFonts w:ascii="Times New Roman" w:eastAsia="宋体" w:hAnsi="Times New Roman"/>
          <w:color w:val="000000"/>
          <w:sz w:val="20"/>
          <w:szCs w:val="20"/>
        </w:rPr>
        <w:t>We design, develop, manufacture, market, sell, and support a</w:t>
      </w:r>
      <w:r>
        <w:rPr>
          <w:rFonts w:ascii="Times New Roman" w:eastAsia="宋体" w:hAnsi="Times New Roman"/>
          <w:color w:val="000000"/>
          <w:sz w:val="20"/>
          <w:szCs w:val="20"/>
        </w:rPr>
        <w:t xml:space="preserve"> wide range of comprehensive and integrated solutions, products, and services. We are organized into the following business units, which are our reportable segments: Infrastructure Solutions Group; Client Solutions Group; and VMware.</w:t>
      </w:r>
    </w:p>
    <w:p w14:paraId="7DCFD097" w14:textId="77777777" w:rsidR="00C1563E" w:rsidRDefault="00C1563E">
      <w:pPr>
        <w:ind w:hanging="360"/>
      </w:pPr>
    </w:p>
    <w:p w14:paraId="7DCFD098"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w:t>
      </w:r>
      <w:r>
        <w:rPr>
          <w:rFonts w:ascii="Times New Roman" w:eastAsia="宋体" w:hAnsi="Times New Roman"/>
          <w:i/>
          <w:iCs/>
          <w:color w:val="000000"/>
          <w:sz w:val="20"/>
          <w:szCs w:val="20"/>
          <w:u w:val="single"/>
        </w:rPr>
        <w: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works with customers in the area of hybrid cloud deployment with the goal of si</w:t>
      </w:r>
      <w:r>
        <w:rPr>
          <w:rFonts w:ascii="Times New Roman" w:eastAsia="宋体" w:hAnsi="Times New Roman"/>
          <w:color w:val="000000"/>
          <w:sz w:val="20"/>
          <w:szCs w:val="20"/>
        </w:rPr>
        <w:t>mplifying, streamlining, and automating cloud operations. ISG solutions are built for multi-cloud environments and are optimized to run cloud native workloads in both public and private clouds, as well as traditional on-premise workloads.</w:t>
      </w:r>
    </w:p>
    <w:p w14:paraId="7DCFD099" w14:textId="77777777" w:rsidR="00C1563E" w:rsidRDefault="00C1563E"/>
    <w:p w14:paraId="7DCFD09A" w14:textId="77777777" w:rsidR="00C1563E" w:rsidRDefault="000B648B">
      <w:r>
        <w:rPr>
          <w:rFonts w:ascii="Times New Roman" w:eastAsia="宋体" w:hAnsi="Times New Roman"/>
          <w:color w:val="000000"/>
          <w:sz w:val="20"/>
          <w:szCs w:val="20"/>
        </w:rPr>
        <w:t>Our comprehensiv</w:t>
      </w:r>
      <w:r>
        <w:rPr>
          <w:rFonts w:ascii="Times New Roman" w:eastAsia="宋体" w:hAnsi="Times New Roman"/>
          <w:color w:val="000000"/>
          <w:sz w:val="20"/>
          <w:szCs w:val="20"/>
        </w:rPr>
        <w:t>e portfolio of advanced storage solutions includes traditional storage solutions as well as next-generation storage solutions (such as all-flash arrays, scale-out file, object platforms, and software-defined solutions). We have simplified our storage portf</w:t>
      </w:r>
      <w:r>
        <w:rPr>
          <w:rFonts w:ascii="Times New Roman" w:eastAsia="宋体" w:hAnsi="Times New Roman"/>
          <w:color w:val="000000"/>
          <w:sz w:val="20"/>
          <w:szCs w:val="20"/>
        </w:rPr>
        <w:t xml:space="preserve">olio to ensure that we deliver the technology needed for our customers’ digital transformation. We continue to make enhancements to our storage solutions offerings and expect that these offerings, including our new PowerStore storage array released in May </w:t>
      </w:r>
      <w:r>
        <w:rPr>
          <w:rFonts w:ascii="Times New Roman" w:eastAsia="宋体" w:hAnsi="Times New Roman"/>
          <w:color w:val="000000"/>
          <w:sz w:val="20"/>
          <w:szCs w:val="20"/>
        </w:rPr>
        <w:t>2020, will drive long-term improvements in the business. Our server portfolio includes high-performance rack, blade, tower, and hyperscale servers, optimized for artificial intelligence and machine learning workloads. Our networking portfolio helps our bus</w:t>
      </w:r>
      <w:r>
        <w:rPr>
          <w:rFonts w:ascii="Times New Roman" w:eastAsia="宋体" w:hAnsi="Times New Roman"/>
          <w:color w:val="000000"/>
          <w:sz w:val="20"/>
          <w:szCs w:val="20"/>
        </w:rPr>
        <w:t>iness customers transform and modernize their infrastructure, mobilize and enrich end-user experiences, and accelerate business applications and processes. Our strengths in server, storage, and virtualization software solutions enable us to offer leading c</w:t>
      </w:r>
      <w:r>
        <w:rPr>
          <w:rFonts w:ascii="Times New Roman" w:eastAsia="宋体" w:hAnsi="Times New Roman"/>
          <w:color w:val="000000"/>
          <w:sz w:val="20"/>
          <w:szCs w:val="20"/>
        </w:rPr>
        <w:t>onverged and hyper-converged solutions, allowing our customers to accelerate their IT transformation by acquiring scalable integrated IT solutions instead of building and assembling their own IT platforms. ISG also offers attached software, peripherals and</w:t>
      </w:r>
      <w:r>
        <w:rPr>
          <w:rFonts w:ascii="Times New Roman" w:eastAsia="宋体" w:hAnsi="Times New Roman"/>
          <w:color w:val="000000"/>
          <w:sz w:val="20"/>
          <w:szCs w:val="20"/>
        </w:rPr>
        <w:t xml:space="preserve"> services, including support and deployment, configuration, and extended warranty services.</w:t>
      </w:r>
    </w:p>
    <w:p w14:paraId="7DCFD09B" w14:textId="77777777" w:rsidR="00C1563E" w:rsidRDefault="00C1563E"/>
    <w:p w14:paraId="7DCFD09C" w14:textId="77777777" w:rsidR="00C1563E" w:rsidRDefault="000B648B">
      <w:r>
        <w:rPr>
          <w:rFonts w:ascii="Times New Roman" w:eastAsia="宋体" w:hAnsi="Times New Roman"/>
          <w:color w:val="000000"/>
          <w:sz w:val="20"/>
          <w:szCs w:val="20"/>
        </w:rPr>
        <w:t>Approximately half of ISG revenue is generated by sales to customers in the Americas, with the remaining portion derived from sales to customers in the Europe, Mid</w:t>
      </w:r>
      <w:r>
        <w:rPr>
          <w:rFonts w:ascii="Times New Roman" w:eastAsia="宋体" w:hAnsi="Times New Roman"/>
          <w:color w:val="000000"/>
          <w:sz w:val="20"/>
          <w:szCs w:val="20"/>
        </w:rPr>
        <w:t>dle East, and Africa region (“EMEA”) and the Asia-Pacific and Japan region (“APJ”).</w:t>
      </w:r>
    </w:p>
    <w:p w14:paraId="7DCFD09D" w14:textId="77777777" w:rsidR="00C1563E" w:rsidRDefault="00C1563E"/>
    <w:p w14:paraId="7DCFD09E"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and projectors), </w:t>
      </w:r>
      <w:r>
        <w:rPr>
          <w:rFonts w:ascii="Times New Roman" w:eastAsia="宋体" w:hAnsi="Times New Roman"/>
          <w:color w:val="000000"/>
          <w:sz w:val="20"/>
          <w:szCs w:val="20"/>
        </w:rPr>
        <w:t>as well as third-party software and peripherals. Our computing devices are designed with our commercial and consumer customers’ needs in mind, and we seek to optimize performance, reliability, manageability, design, and security. In addition to our traditi</w:t>
      </w:r>
      <w:r>
        <w:rPr>
          <w:rFonts w:ascii="Times New Roman" w:eastAsia="宋体" w:hAnsi="Times New Roman"/>
          <w:color w:val="000000"/>
          <w:sz w:val="20"/>
          <w:szCs w:val="20"/>
        </w:rPr>
        <w:t>onal hardware business, we have a portfolio of thin client offerings that we believe will allow us to benefit from the growth trends in cloud computing. For our customers that are seeking to simplify client lifecycle management, Dell PC as a Service offeri</w:t>
      </w:r>
      <w:r>
        <w:rPr>
          <w:rFonts w:ascii="Times New Roman" w:eastAsia="宋体" w:hAnsi="Times New Roman"/>
          <w:color w:val="000000"/>
          <w:sz w:val="20"/>
          <w:szCs w:val="20"/>
        </w:rPr>
        <w:t>ng combines hardware, software, lifecycle services, and financing into one all-encompassing solution that provides predictable pricing per seat per month. CSG also offers attached software, peripherals, and services, including support and deployment, confi</w:t>
      </w:r>
      <w:r>
        <w:rPr>
          <w:rFonts w:ascii="Times New Roman" w:eastAsia="宋体" w:hAnsi="Times New Roman"/>
          <w:color w:val="000000"/>
          <w:sz w:val="20"/>
          <w:szCs w:val="20"/>
        </w:rPr>
        <w:t>guration, and extended warranty services.</w:t>
      </w:r>
    </w:p>
    <w:p w14:paraId="7DCFD09F" w14:textId="77777777" w:rsidR="00C1563E" w:rsidRDefault="00C1563E"/>
    <w:p w14:paraId="7DCFD0A0" w14:textId="77777777" w:rsidR="00C1563E" w:rsidRDefault="000B648B">
      <w:r>
        <w:rPr>
          <w:rFonts w:ascii="Times New Roman" w:eastAsia="宋体" w:hAnsi="Times New Roman"/>
          <w:color w:val="000000"/>
          <w:sz w:val="20"/>
          <w:szCs w:val="20"/>
        </w:rPr>
        <w:t>Approximately half of CSG revenue is generated by sales to customers in the Americas, with the remaining portion derived from sales to customers in EMEA and APJ.</w:t>
      </w:r>
    </w:p>
    <w:p w14:paraId="7DCFD0A1" w14:textId="77777777" w:rsidR="00C1563E" w:rsidRDefault="00C1563E"/>
    <w:p w14:paraId="7DCFD0A2"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VMware reportable segment (“VMware”)</w:t>
      </w:r>
      <w:r>
        <w:rPr>
          <w:rFonts w:ascii="Times New Roman" w:eastAsia="宋体" w:hAnsi="Times New Roman"/>
          <w:color w:val="000000"/>
          <w:sz w:val="20"/>
          <w:szCs w:val="20"/>
        </w:rPr>
        <w:t xml:space="preserve"> reflects the operations of VMware, Inc. (NYSE: VMW) within Dell Technologies. VMware works with customers in the areas of hybrid and multi-cloud, modern applications, networking, security, and digital workspaces, helping customers manage their IT resource</w:t>
      </w:r>
      <w:r>
        <w:rPr>
          <w:rFonts w:ascii="Times New Roman" w:eastAsia="宋体" w:hAnsi="Times New Roman"/>
          <w:color w:val="000000"/>
          <w:sz w:val="20"/>
          <w:szCs w:val="20"/>
        </w:rPr>
        <w:t>s across private clouds and complex multi-cloud, multi-device environments. VMware’s portfolio supports and addresses the key IT priorities of customers: accelerating their cloud journey, migrating and modernizing their applications, empowering digital wor</w:t>
      </w:r>
      <w:r>
        <w:rPr>
          <w:rFonts w:ascii="Times New Roman" w:eastAsia="宋体" w:hAnsi="Times New Roman"/>
          <w:color w:val="000000"/>
          <w:sz w:val="20"/>
          <w:szCs w:val="20"/>
        </w:rPr>
        <w:t>kspaces, transforming networking, and embracing intrinsic security. VMware enables its customers to digitally transform their operations as they ready their applications, infrastructure, and employees for constantly evolving business needs.</w:t>
      </w:r>
    </w:p>
    <w:p w14:paraId="7DCFD0A3" w14:textId="77777777" w:rsidR="00C1563E" w:rsidRDefault="00C1563E"/>
    <w:p w14:paraId="7DCFD0A4" w14:textId="77777777" w:rsidR="00C1563E" w:rsidRDefault="000B648B">
      <w:r>
        <w:rPr>
          <w:rFonts w:ascii="Times New Roman" w:eastAsia="宋体" w:hAnsi="Times New Roman"/>
          <w:color w:val="000000"/>
          <w:sz w:val="20"/>
          <w:szCs w:val="20"/>
        </w:rPr>
        <w:t>During the thi</w:t>
      </w:r>
      <w:r>
        <w:rPr>
          <w:rFonts w:ascii="Times New Roman" w:eastAsia="宋体" w:hAnsi="Times New Roman"/>
          <w:color w:val="000000"/>
          <w:sz w:val="20"/>
          <w:szCs w:val="20"/>
        </w:rPr>
        <w:t xml:space="preserve">rd quarter of Fiscal 2020, VMware, Inc. completed its acquisition of Carbon Black, Inc. (“Carbon Black”), a developer of cloud-native endpoint protection. </w:t>
      </w:r>
    </w:p>
    <w:p w14:paraId="7DCFD0A5" w14:textId="77777777" w:rsidR="00C1563E" w:rsidRDefault="00C1563E"/>
    <w:p w14:paraId="7DCFD0A6" w14:textId="77777777" w:rsidR="00C1563E" w:rsidRDefault="00C1563E">
      <w:pPr>
        <w:jc w:val="center"/>
      </w:pPr>
    </w:p>
    <w:p w14:paraId="7DCFD0A7" w14:textId="77777777" w:rsidR="00C1563E" w:rsidRDefault="000B648B">
      <w:pPr>
        <w:jc w:val="center"/>
      </w:pPr>
      <w:r>
        <w:rPr>
          <w:rFonts w:ascii="Times New Roman" w:eastAsia="宋体" w:hAnsi="Times New Roman"/>
          <w:color w:val="000000"/>
          <w:sz w:val="20"/>
          <w:szCs w:val="20"/>
        </w:rPr>
        <w:t>36</w:t>
      </w:r>
    </w:p>
    <w:p w14:paraId="7DCFD0A8" w14:textId="77777777" w:rsidR="00C1563E" w:rsidRDefault="00C1563E">
      <w:pPr>
        <w:jc w:val="center"/>
      </w:pPr>
    </w:p>
    <w:p w14:paraId="7DCFD0A9" w14:textId="77777777" w:rsidR="00C1563E" w:rsidRDefault="000B648B">
      <w:r>
        <w:pict w14:anchorId="7DD0258E">
          <v:rect id="_x0000_i1060" style="width:415.3pt;height:1.5pt" o:hralign="center" o:hrstd="t" o:hr="t" fillcolor="#a0a0a0" stroked="f"/>
        </w:pict>
      </w:r>
    </w:p>
    <w:p w14:paraId="7DCFD0AA" w14:textId="77777777" w:rsidR="00C1563E" w:rsidRDefault="000B648B">
      <w:hyperlink r:id="rId112" w:anchor="i418e32e4a35149ffbf7d3a25d66881b8_10" w:history="1">
        <w:r>
          <w:rPr>
            <w:rStyle w:val="a5"/>
            <w:rFonts w:ascii="Times New Roman" w:eastAsia="宋体" w:hAnsi="Times New Roman"/>
            <w:sz w:val="20"/>
            <w:szCs w:val="20"/>
          </w:rPr>
          <w:t>Table of Contents</w:t>
        </w:r>
      </w:hyperlink>
    </w:p>
    <w:p w14:paraId="7DCFD0AB" w14:textId="77777777" w:rsidR="00C1563E" w:rsidRDefault="000B648B">
      <w:r>
        <w:rPr>
          <w:rFonts w:ascii="Times New Roman" w:eastAsia="宋体" w:hAnsi="Times New Roman"/>
          <w:color w:val="000000"/>
          <w:sz w:val="20"/>
          <w:szCs w:val="20"/>
        </w:rPr>
        <w:t>On December 30, 2019, VMware, Inc. completed its acquisition of Pivotal, Inc. (“Pivo</w:t>
      </w:r>
      <w:r>
        <w:rPr>
          <w:rFonts w:ascii="Times New Roman" w:eastAsia="宋体" w:hAnsi="Times New Roman"/>
          <w:color w:val="000000"/>
          <w:sz w:val="20"/>
          <w:szCs w:val="20"/>
        </w:rPr>
        <w:t>tal”). Before the transaction, Pivotal was a majority-owned subsidiary of Dell Technologies through EMC and VMware, Inc. Pivotal provides a leading cloud-native platform that makes software development and IT operations a strategic advantage for customers.</w:t>
      </w:r>
      <w:r>
        <w:rPr>
          <w:rFonts w:ascii="Times New Roman" w:eastAsia="宋体" w:hAnsi="Times New Roman"/>
          <w:color w:val="000000"/>
          <w:sz w:val="20"/>
          <w:szCs w:val="20"/>
        </w:rPr>
        <w:t xml:space="preserve"> Pivotal’s cloud-native platform, Pivotal Cloud Foundry, accelerates and streamlines software development by reducing the complexity of building, deploying and operating new cloud-native applications, and modernizing legacy applications. With the acquisiti</w:t>
      </w:r>
      <w:r>
        <w:rPr>
          <w:rFonts w:ascii="Times New Roman" w:eastAsia="宋体" w:hAnsi="Times New Roman"/>
          <w:color w:val="000000"/>
          <w:sz w:val="20"/>
          <w:szCs w:val="20"/>
        </w:rPr>
        <w:t>on, which aligns key software assets, VMware, Inc. builds on a comprehensive development platform with Kubernetes.</w:t>
      </w:r>
    </w:p>
    <w:p w14:paraId="7DCFD0AC" w14:textId="77777777" w:rsidR="00C1563E" w:rsidRDefault="00C1563E"/>
    <w:p w14:paraId="7DCFD0AD" w14:textId="77777777" w:rsidR="00C1563E" w:rsidRDefault="000B648B">
      <w:r>
        <w:rPr>
          <w:rFonts w:ascii="Times New Roman" w:eastAsia="宋体" w:hAnsi="Times New Roman"/>
          <w:color w:val="000000"/>
          <w:sz w:val="20"/>
          <w:szCs w:val="20"/>
        </w:rPr>
        <w:t>Dell Technologies now reports Pivotal results within the VMware reportable segment, and the historical segment results were recast to reflec</w:t>
      </w:r>
      <w:r>
        <w:rPr>
          <w:rFonts w:ascii="Times New Roman" w:eastAsia="宋体" w:hAnsi="Times New Roman"/>
          <w:color w:val="000000"/>
          <w:sz w:val="20"/>
          <w:szCs w:val="20"/>
        </w:rPr>
        <w:t>t this change. Pivotal results were previously reported within Other businesses. See Note 19 of the Notes to the Consolidated Financial Statements included in this report for the recast of segment results.</w:t>
      </w:r>
    </w:p>
    <w:p w14:paraId="7DCFD0AE" w14:textId="77777777" w:rsidR="00C1563E" w:rsidRDefault="00C1563E"/>
    <w:p w14:paraId="7DCFD0AF" w14:textId="77777777" w:rsidR="00C1563E" w:rsidRDefault="000B648B">
      <w:r>
        <w:rPr>
          <w:rFonts w:ascii="Times New Roman" w:eastAsia="宋体" w:hAnsi="Times New Roman"/>
          <w:color w:val="000000"/>
          <w:sz w:val="20"/>
          <w:szCs w:val="20"/>
        </w:rPr>
        <w:t>Approximately half of VMware revenue is generated</w:t>
      </w:r>
      <w:r>
        <w:rPr>
          <w:rFonts w:ascii="Times New Roman" w:eastAsia="宋体" w:hAnsi="Times New Roman"/>
          <w:color w:val="000000"/>
          <w:sz w:val="20"/>
          <w:szCs w:val="20"/>
        </w:rPr>
        <w:t xml:space="preserve"> by sales to customers in the United States. </w:t>
      </w:r>
    </w:p>
    <w:p w14:paraId="7DCFD0B0" w14:textId="77777777" w:rsidR="00C1563E" w:rsidRDefault="00C1563E"/>
    <w:p w14:paraId="7DCFD0B1" w14:textId="77777777" w:rsidR="00C1563E" w:rsidRDefault="000B648B">
      <w:r>
        <w:rPr>
          <w:rFonts w:ascii="Times New Roman" w:eastAsia="宋体" w:hAnsi="Times New Roman"/>
          <w:color w:val="000000"/>
          <w:sz w:val="20"/>
          <w:szCs w:val="20"/>
        </w:rPr>
        <w:t>Our other businesses, described below, consist of product and service offerings of Secureworks, Virtustream, and Boomi, each of which is majority-owned by Dell Technologies. These businesses are not classified</w:t>
      </w:r>
      <w:r>
        <w:rPr>
          <w:rFonts w:ascii="Times New Roman" w:eastAsia="宋体" w:hAnsi="Times New Roman"/>
          <w:color w:val="000000"/>
          <w:sz w:val="20"/>
          <w:szCs w:val="20"/>
        </w:rPr>
        <w:t xml:space="preserve"> as reportable segments, either individually or collectively, as the results of the businesses are not material to our overall results and the businesses do not meet the criteria for reportable segments. </w:t>
      </w:r>
    </w:p>
    <w:p w14:paraId="7DCFD0B2" w14:textId="77777777" w:rsidR="00C1563E" w:rsidRDefault="00C1563E"/>
    <w:p w14:paraId="7DCFD0B3"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w:t>
      </w:r>
      <w:r>
        <w:rPr>
          <w:rFonts w:ascii="Times New Roman" w:eastAsia="宋体" w:hAnsi="Times New Roman"/>
          <w:color w:val="000000"/>
          <w:sz w:val="20"/>
          <w:szCs w:val="20"/>
        </w:rPr>
        <w:t>ovider of intelligence-driven information security solutions singularly focused on protecting its clients from cyber attacks. The solutions offered by Secureworks enable organizations of varying size and complexity to fortify their cyber defenses to preven</w:t>
      </w:r>
      <w:r>
        <w:rPr>
          <w:rFonts w:ascii="Times New Roman" w:eastAsia="宋体" w:hAnsi="Times New Roman"/>
          <w:color w:val="000000"/>
          <w:sz w:val="20"/>
          <w:szCs w:val="20"/>
        </w:rPr>
        <w:t>t security breaches, detect malicious activity in near real time, prioritize and respond rapidly to security incidents and predict emerging threats.</w:t>
      </w:r>
    </w:p>
    <w:p w14:paraId="7DCFD0B4" w14:textId="77777777" w:rsidR="00C1563E" w:rsidRDefault="00C1563E"/>
    <w:p w14:paraId="7DCFD0B5"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enable customers to migr</w:t>
      </w:r>
      <w:r>
        <w:rPr>
          <w:rFonts w:ascii="Times New Roman" w:eastAsia="宋体" w:hAnsi="Times New Roman"/>
          <w:color w:val="000000"/>
          <w:sz w:val="20"/>
          <w:szCs w:val="20"/>
        </w:rPr>
        <w:t>ate, run, and manage mission-critical applications in cloud-based IT environments. Beginning in the first quarter of Fiscal 2019, Virtustream results are reported within other businesses, rather than within ISG. This change in reporting structure did not i</w:t>
      </w:r>
      <w:r>
        <w:rPr>
          <w:rFonts w:ascii="Times New Roman" w:eastAsia="宋体" w:hAnsi="Times New Roman"/>
          <w:color w:val="000000"/>
          <w:sz w:val="20"/>
          <w:szCs w:val="20"/>
        </w:rPr>
        <w:t>mpact our previously reported consolidated financial results, but our prior period segment results have been recast to reflect the change.</w:t>
      </w:r>
    </w:p>
    <w:p w14:paraId="7DCFD0B6" w14:textId="77777777" w:rsidR="00C1563E" w:rsidRDefault="00C1563E"/>
    <w:p w14:paraId="7DCFD0B7"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Boomi</w:t>
      </w:r>
      <w:r>
        <w:rPr>
          <w:rFonts w:ascii="Times New Roman" w:eastAsia="宋体" w:hAnsi="Times New Roman"/>
          <w:color w:val="000000"/>
          <w:sz w:val="20"/>
          <w:szCs w:val="20"/>
        </w:rPr>
        <w:t xml:space="preserve"> specializes in cloud-based integration, connecting information between existing on-premise and cloud-based applications to ensure business processes are optimized, data is accurate and workflow is reliable.</w:t>
      </w:r>
    </w:p>
    <w:p w14:paraId="7DCFD0B8" w14:textId="77777777" w:rsidR="00C1563E" w:rsidRDefault="00C1563E"/>
    <w:p w14:paraId="7DCFD0B9" w14:textId="77777777" w:rsidR="00C1563E" w:rsidRDefault="000B648B">
      <w:r>
        <w:rPr>
          <w:rFonts w:ascii="Times New Roman" w:eastAsia="宋体" w:hAnsi="Times New Roman"/>
          <w:color w:val="000000"/>
          <w:sz w:val="20"/>
          <w:szCs w:val="20"/>
        </w:rPr>
        <w:t>On February 18, 2020, we announced our entry in</w:t>
      </w:r>
      <w:r>
        <w:rPr>
          <w:rFonts w:ascii="Times New Roman" w:eastAsia="宋体" w:hAnsi="Times New Roman"/>
          <w:color w:val="000000"/>
          <w:sz w:val="20"/>
          <w:szCs w:val="20"/>
        </w:rPr>
        <w:t>to a definitive agreement with a consortium of investors to sell RSA Security, which provides cybersecurity solutions. On September 1, 2020, the parties closed the transaction. At the completion of the sale, we received total cash consideration of approxim</w:t>
      </w:r>
      <w:r>
        <w:rPr>
          <w:rFonts w:ascii="Times New Roman" w:eastAsia="宋体" w:hAnsi="Times New Roman"/>
          <w:color w:val="000000"/>
          <w:sz w:val="20"/>
          <w:szCs w:val="20"/>
        </w:rPr>
        <w:t>ately $2.082 billion, resulting in a pre-tax gain on sale of $338 million. The Company ultimately recorded a $21 million loss net of taxes. The transaction was intended to further simplify our product portfolio and corporate structure. Prior to the divesti</w:t>
      </w:r>
      <w:r>
        <w:rPr>
          <w:rFonts w:ascii="Times New Roman" w:eastAsia="宋体" w:hAnsi="Times New Roman"/>
          <w:color w:val="000000"/>
          <w:sz w:val="20"/>
          <w:szCs w:val="20"/>
        </w:rPr>
        <w:t>ture, RSA Security’s operating results were included within Other businesses. See Note 1 of the Notes to the Consolidated Financial Statements included in this report for more information about this transaction.</w:t>
      </w:r>
    </w:p>
    <w:p w14:paraId="7DCFD0BA" w14:textId="77777777" w:rsidR="00C1563E" w:rsidRDefault="00C1563E"/>
    <w:p w14:paraId="7DCFD0BB" w14:textId="77777777" w:rsidR="00C1563E" w:rsidRDefault="000B648B">
      <w:r>
        <w:rPr>
          <w:rFonts w:ascii="Times New Roman" w:eastAsia="宋体" w:hAnsi="Times New Roman"/>
          <w:color w:val="000000"/>
          <w:sz w:val="20"/>
          <w:szCs w:val="20"/>
        </w:rPr>
        <w:t>We believe the collaboration, innovation, a</w:t>
      </w:r>
      <w:r>
        <w:rPr>
          <w:rFonts w:ascii="Times New Roman" w:eastAsia="宋体" w:hAnsi="Times New Roman"/>
          <w:color w:val="000000"/>
          <w:sz w:val="20"/>
          <w:szCs w:val="20"/>
        </w:rPr>
        <w:t>nd coordination of the operations and strategies across all segments of our business, as well as our differentiated go-to-market model, will continue to drive revenue synergies. Through our coordinated research and development activities, we are able to jo</w:t>
      </w:r>
      <w:r>
        <w:rPr>
          <w:rFonts w:ascii="Times New Roman" w:eastAsia="宋体" w:hAnsi="Times New Roman"/>
          <w:color w:val="000000"/>
          <w:sz w:val="20"/>
          <w:szCs w:val="20"/>
        </w:rPr>
        <w:t>intly engineer leading innovative solutions that incorporate the distinct set of hardware, software, and services across all segments of our business.</w:t>
      </w:r>
    </w:p>
    <w:p w14:paraId="7DCFD0BC" w14:textId="77777777" w:rsidR="00C1563E" w:rsidRDefault="00C1563E"/>
    <w:p w14:paraId="7DCFD0BD" w14:textId="77777777" w:rsidR="00C1563E" w:rsidRDefault="000B648B">
      <w:r>
        <w:rPr>
          <w:rFonts w:ascii="Times New Roman" w:eastAsia="宋体" w:hAnsi="Times New Roman"/>
          <w:color w:val="000000"/>
          <w:sz w:val="20"/>
          <w:szCs w:val="20"/>
        </w:rPr>
        <w:t>Our products and services offerings are continually evolving in response to industry dynamics. As a resu</w:t>
      </w:r>
      <w:r>
        <w:rPr>
          <w:rFonts w:ascii="Times New Roman" w:eastAsia="宋体" w:hAnsi="Times New Roman"/>
          <w:color w:val="000000"/>
          <w:sz w:val="20"/>
          <w:szCs w:val="20"/>
        </w:rPr>
        <w:t xml:space="preserve">lt, reclassifications of certain products and services solutions in major product categories may be required. For further discussion regarding our current reportable segments, see “Results of Operations — Business Unit Results” and Note 19 of the Notes to </w:t>
      </w:r>
      <w:r>
        <w:rPr>
          <w:rFonts w:ascii="Times New Roman" w:eastAsia="宋体" w:hAnsi="Times New Roman"/>
          <w:color w:val="000000"/>
          <w:sz w:val="20"/>
          <w:szCs w:val="20"/>
        </w:rPr>
        <w:t xml:space="preserve">the Consolidated Financial Statements included in this report. </w:t>
      </w:r>
    </w:p>
    <w:p w14:paraId="7DCFD0BE" w14:textId="77777777" w:rsidR="00C1563E" w:rsidRDefault="00C1563E"/>
    <w:p w14:paraId="7DCFD0BF" w14:textId="77777777" w:rsidR="00C1563E" w:rsidRDefault="000B648B">
      <w:pPr>
        <w:ind w:hanging="360"/>
      </w:pPr>
      <w:r>
        <w:rPr>
          <w:rFonts w:ascii="Times New Roman" w:eastAsia="宋体" w:hAnsi="Times New Roman"/>
          <w:b/>
          <w:bCs/>
          <w:color w:val="000000"/>
          <w:sz w:val="20"/>
          <w:szCs w:val="20"/>
        </w:rPr>
        <w:t>Dell Financial Services</w:t>
      </w:r>
    </w:p>
    <w:p w14:paraId="7DCFD0C0" w14:textId="77777777" w:rsidR="00C1563E" w:rsidRDefault="00C1563E">
      <w:pPr>
        <w:ind w:hanging="360"/>
      </w:pPr>
    </w:p>
    <w:p w14:paraId="7DCFD0C1" w14:textId="77777777" w:rsidR="00C1563E" w:rsidRDefault="000B648B">
      <w:r>
        <w:rPr>
          <w:rFonts w:ascii="Times New Roman" w:eastAsia="宋体" w:hAnsi="Times New Roman"/>
          <w:color w:val="000000"/>
          <w:sz w:val="20"/>
          <w:szCs w:val="20"/>
        </w:rPr>
        <w:t xml:space="preserve">DFS supports our businesses by offering and arranging various financing options and services for our customers primarily in North America, Europe, Australia, and New </w:t>
      </w:r>
      <w:r>
        <w:rPr>
          <w:rFonts w:ascii="Times New Roman" w:eastAsia="宋体" w:hAnsi="Times New Roman"/>
          <w:color w:val="000000"/>
          <w:sz w:val="20"/>
          <w:szCs w:val="20"/>
        </w:rPr>
        <w:t>Zealand. DFS originates, collects, and services customer receivables primarily related to the purchase or use of our product, software, and services solutions. We also arrange financing for some of our customers in various countries where DFS does not curr</w:t>
      </w:r>
      <w:r>
        <w:rPr>
          <w:rFonts w:ascii="Times New Roman" w:eastAsia="宋体" w:hAnsi="Times New Roman"/>
          <w:color w:val="000000"/>
          <w:sz w:val="20"/>
          <w:szCs w:val="20"/>
        </w:rPr>
        <w:t xml:space="preserve">ently operate as a captive. DFS further strengthens our customer </w:t>
      </w:r>
    </w:p>
    <w:p w14:paraId="7DCFD0C2" w14:textId="77777777" w:rsidR="00C1563E" w:rsidRDefault="00C1563E">
      <w:pPr>
        <w:jc w:val="center"/>
      </w:pPr>
    </w:p>
    <w:p w14:paraId="7DCFD0C3" w14:textId="77777777" w:rsidR="00C1563E" w:rsidRDefault="000B648B">
      <w:pPr>
        <w:jc w:val="center"/>
      </w:pPr>
      <w:r>
        <w:rPr>
          <w:rFonts w:ascii="Times New Roman" w:eastAsia="宋体" w:hAnsi="Times New Roman"/>
          <w:color w:val="000000"/>
          <w:sz w:val="20"/>
          <w:szCs w:val="20"/>
        </w:rPr>
        <w:t>37</w:t>
      </w:r>
    </w:p>
    <w:p w14:paraId="7DCFD0C4" w14:textId="77777777" w:rsidR="00C1563E" w:rsidRDefault="00C1563E">
      <w:pPr>
        <w:jc w:val="center"/>
      </w:pPr>
    </w:p>
    <w:p w14:paraId="7DCFD0C5" w14:textId="77777777" w:rsidR="00C1563E" w:rsidRDefault="000B648B">
      <w:r>
        <w:pict w14:anchorId="7DD0258F">
          <v:rect id="_x0000_i1061" style="width:415.3pt;height:1.5pt" o:hralign="center" o:hrstd="t" o:hr="t" fillcolor="#a0a0a0" stroked="f"/>
        </w:pict>
      </w:r>
    </w:p>
    <w:p w14:paraId="7DCFD0C6" w14:textId="77777777" w:rsidR="00C1563E" w:rsidRDefault="000B648B">
      <w:hyperlink r:id="rId113" w:anchor="i418e32e4a35149ffbf7d3a25d66881b8_10" w:history="1">
        <w:r>
          <w:rPr>
            <w:rStyle w:val="a5"/>
            <w:rFonts w:ascii="Times New Roman" w:eastAsia="宋体" w:hAnsi="Times New Roman"/>
            <w:sz w:val="20"/>
            <w:szCs w:val="20"/>
          </w:rPr>
          <w:t>Table of Contents</w:t>
        </w:r>
      </w:hyperlink>
    </w:p>
    <w:p w14:paraId="7DCFD0C7" w14:textId="77777777" w:rsidR="00C1563E" w:rsidRDefault="000B648B">
      <w:r>
        <w:rPr>
          <w:rFonts w:ascii="Times New Roman" w:eastAsia="宋体" w:hAnsi="Times New Roman"/>
          <w:color w:val="000000"/>
          <w:sz w:val="20"/>
          <w:szCs w:val="20"/>
        </w:rPr>
        <w:t xml:space="preserve">relationships through its flexible consumption models, which enable us to offer our </w:t>
      </w:r>
      <w:r>
        <w:rPr>
          <w:rFonts w:ascii="Times New Roman" w:eastAsia="宋体" w:hAnsi="Times New Roman"/>
          <w:color w:val="000000"/>
          <w:sz w:val="20"/>
          <w:szCs w:val="20"/>
        </w:rPr>
        <w:t>customers the option to pay over time and, in certain cases, based on utilization, provide them with financial flexibility to meet their changing technological requirements. The results of these operations are allocated to our segments based on the underly</w:t>
      </w:r>
      <w:r>
        <w:rPr>
          <w:rFonts w:ascii="Times New Roman" w:eastAsia="宋体" w:hAnsi="Times New Roman"/>
          <w:color w:val="000000"/>
          <w:sz w:val="20"/>
          <w:szCs w:val="20"/>
        </w:rPr>
        <w:t>ing product or service financed. For additional information about our financing arrangements, see Note 4 of the Notes to the Consolidated Financial Statements included in this report.</w:t>
      </w:r>
    </w:p>
    <w:p w14:paraId="7DCFD0C8" w14:textId="77777777" w:rsidR="00C1563E" w:rsidRDefault="00C1563E"/>
    <w:p w14:paraId="7DCFD0C9" w14:textId="77777777" w:rsidR="00C1563E" w:rsidRDefault="000B648B">
      <w:r>
        <w:rPr>
          <w:rFonts w:ascii="Times New Roman" w:eastAsia="宋体" w:hAnsi="Times New Roman"/>
          <w:b/>
          <w:bCs/>
          <w:color w:val="000000"/>
          <w:sz w:val="20"/>
          <w:szCs w:val="20"/>
        </w:rPr>
        <w:t>Strategic Investments and Acquisitions</w:t>
      </w:r>
    </w:p>
    <w:p w14:paraId="7DCFD0CA" w14:textId="77777777" w:rsidR="00C1563E" w:rsidRDefault="00C1563E"/>
    <w:p w14:paraId="7DCFD0CB" w14:textId="77777777" w:rsidR="00C1563E" w:rsidRDefault="000B648B">
      <w:r>
        <w:rPr>
          <w:rFonts w:ascii="Times New Roman" w:eastAsia="宋体" w:hAnsi="Times New Roman"/>
          <w:color w:val="000000"/>
          <w:sz w:val="20"/>
          <w:szCs w:val="20"/>
        </w:rPr>
        <w:t>As part of our strategy, we wil</w:t>
      </w:r>
      <w:r>
        <w:rPr>
          <w:rFonts w:ascii="Times New Roman" w:eastAsia="宋体" w:hAnsi="Times New Roman"/>
          <w:color w:val="000000"/>
          <w:sz w:val="20"/>
          <w:szCs w:val="20"/>
        </w:rPr>
        <w:t>l continue to evaluate opportunities for strategic investments through our venture capital investment arm, Dell Technologies Capital, with a focus on emerging technology areas that are relevant to all segments of our business and that will complement our e</w:t>
      </w:r>
      <w:r>
        <w:rPr>
          <w:rFonts w:ascii="Times New Roman" w:eastAsia="宋体" w:hAnsi="Times New Roman"/>
          <w:color w:val="000000"/>
          <w:sz w:val="20"/>
          <w:szCs w:val="20"/>
        </w:rPr>
        <w:t>xisting portfolio of solutions. Our investment areas include storage, software-defined networking, management and orchestration, security, machine learning and artificial intelligence, Big Data and analytics, cloud, Internet of Things (“IoT”), and software</w:t>
      </w:r>
      <w:r>
        <w:rPr>
          <w:rFonts w:ascii="Times New Roman" w:eastAsia="宋体" w:hAnsi="Times New Roman"/>
          <w:color w:val="000000"/>
          <w:sz w:val="20"/>
          <w:szCs w:val="20"/>
        </w:rPr>
        <w:t xml:space="preserve"> development operations. In addition to these investments, we also may make disciplined acquisitions targeting businesses that advance our strategic objectives. As of January 29, 2021 and January 31, 2020, Dell Technologies held strategic investments of $1</w:t>
      </w:r>
      <w:r>
        <w:rPr>
          <w:rFonts w:ascii="Times New Roman" w:eastAsia="宋体" w:hAnsi="Times New Roman"/>
          <w:color w:val="000000"/>
          <w:sz w:val="20"/>
          <w:szCs w:val="20"/>
        </w:rPr>
        <w:t xml:space="preserve">.4 billion and $0.9 billion, respectively. </w:t>
      </w:r>
    </w:p>
    <w:p w14:paraId="7DCFD0CC" w14:textId="77777777" w:rsidR="00C1563E" w:rsidRDefault="00C1563E"/>
    <w:p w14:paraId="7DCFD0CD" w14:textId="77777777" w:rsidR="00C1563E" w:rsidRDefault="000B648B">
      <w:r>
        <w:rPr>
          <w:rFonts w:ascii="Times New Roman" w:eastAsia="宋体" w:hAnsi="Times New Roman"/>
          <w:b/>
          <w:bCs/>
          <w:color w:val="000000"/>
          <w:sz w:val="20"/>
          <w:szCs w:val="20"/>
        </w:rPr>
        <w:t>Business Trends and Challenges</w:t>
      </w:r>
    </w:p>
    <w:p w14:paraId="7DCFD0CE" w14:textId="77777777" w:rsidR="00C1563E" w:rsidRDefault="00C1563E"/>
    <w:p w14:paraId="7DCFD0CF" w14:textId="77777777" w:rsidR="00C1563E" w:rsidRDefault="000B648B">
      <w:r>
        <w:rPr>
          <w:rFonts w:ascii="Times New Roman" w:eastAsia="宋体" w:hAnsi="Times New Roman"/>
          <w:i/>
          <w:iCs/>
          <w:color w:val="000000"/>
          <w:sz w:val="20"/>
          <w:szCs w:val="20"/>
          <w:u w:val="single"/>
        </w:rPr>
        <w:t>COVID-19 Pandemic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In March 2020, the World Health Organization (“WHO”) declared the outbreak of the COVID-19 a pandemic. This declaration was followed by significan</w:t>
      </w:r>
      <w:r>
        <w:rPr>
          <w:rFonts w:ascii="Times New Roman" w:eastAsia="宋体" w:hAnsi="Times New Roman"/>
          <w:color w:val="000000"/>
          <w:sz w:val="20"/>
          <w:szCs w:val="20"/>
        </w:rPr>
        <w:t>t governmental measures implemented in the United States and globally, including travel bans and restrictions, shelter-in-place orders, limitations and closures of non-essential businesses, and social distancing requirements in efforts to slow down and con</w:t>
      </w:r>
      <w:r>
        <w:rPr>
          <w:rFonts w:ascii="Times New Roman" w:eastAsia="宋体" w:hAnsi="Times New Roman"/>
          <w:color w:val="000000"/>
          <w:sz w:val="20"/>
          <w:szCs w:val="20"/>
        </w:rPr>
        <w:t xml:space="preserve">trol the spread of the virus. </w:t>
      </w:r>
    </w:p>
    <w:p w14:paraId="7DCFD0D0" w14:textId="77777777" w:rsidR="00C1563E" w:rsidRDefault="00C1563E"/>
    <w:p w14:paraId="7DCFD0D1" w14:textId="77777777" w:rsidR="00C1563E" w:rsidRDefault="000B648B">
      <w:r>
        <w:rPr>
          <w:rFonts w:ascii="Times New Roman" w:eastAsia="宋体" w:hAnsi="Times New Roman"/>
          <w:color w:val="000000"/>
          <w:sz w:val="20"/>
          <w:szCs w:val="20"/>
        </w:rPr>
        <w:t>The health of our employees, customers, business partners, and communities remains our primary focus. During Fiscal 2021, we took numerous actions in response to COVID-19, including a swift implementation of our business con</w:t>
      </w:r>
      <w:r>
        <w:rPr>
          <w:rFonts w:ascii="Times New Roman" w:eastAsia="宋体" w:hAnsi="Times New Roman"/>
          <w:color w:val="000000"/>
          <w:sz w:val="20"/>
          <w:szCs w:val="20"/>
        </w:rPr>
        <w:t xml:space="preserve">tinuity plans. Our crisis management team is actively engaged to respond to changes in our environment quickly and effectively, and to ensure that our ongoing response activities are aligned with recommendations of the WHO and the U.S. Centers for Disease </w:t>
      </w:r>
      <w:r>
        <w:rPr>
          <w:rFonts w:ascii="Times New Roman" w:eastAsia="宋体" w:hAnsi="Times New Roman"/>
          <w:color w:val="000000"/>
          <w:sz w:val="20"/>
          <w:szCs w:val="20"/>
        </w:rPr>
        <w:t>Control and Prevention, and with governmental regulations. We are adjusting restrictions previously implemented as new information becomes available, governmental regulations are updated, and vaccines become more widely distributed. Most of our employees w</w:t>
      </w:r>
      <w:r>
        <w:rPr>
          <w:rFonts w:ascii="Times New Roman" w:eastAsia="宋体" w:hAnsi="Times New Roman"/>
          <w:color w:val="000000"/>
          <w:sz w:val="20"/>
          <w:szCs w:val="20"/>
        </w:rPr>
        <w:t>ere previously equipped with remote work capabilities over the past several years, which enabled us to quickly establish a work-from-home posture for the majority of our employees. Further, we implemented pandemic-specific protocols for our essential emplo</w:t>
      </w:r>
      <w:r>
        <w:rPr>
          <w:rFonts w:ascii="Times New Roman" w:eastAsia="宋体" w:hAnsi="Times New Roman"/>
          <w:color w:val="000000"/>
          <w:sz w:val="20"/>
          <w:szCs w:val="20"/>
        </w:rPr>
        <w:t xml:space="preserve">yees whose jobs require them to be on-site or with customers. We are deploying return-to-site processes in certain regions based on ongoing assessments of local conditions by our management team. We will continue to monitor regional conditions and utilize </w:t>
      </w:r>
      <w:r>
        <w:rPr>
          <w:rFonts w:ascii="Times New Roman" w:eastAsia="宋体" w:hAnsi="Times New Roman"/>
          <w:color w:val="000000"/>
          <w:sz w:val="20"/>
          <w:szCs w:val="20"/>
        </w:rPr>
        <w:t>remote work practices to ensure the health and safety of our employees, customers, and business partners.</w:t>
      </w:r>
    </w:p>
    <w:p w14:paraId="7DCFD0D2" w14:textId="77777777" w:rsidR="00C1563E" w:rsidRDefault="00C1563E"/>
    <w:p w14:paraId="7DCFD0D3" w14:textId="77777777" w:rsidR="00C1563E" w:rsidRDefault="000B648B">
      <w:r>
        <w:rPr>
          <w:rFonts w:ascii="Times New Roman" w:eastAsia="宋体" w:hAnsi="Times New Roman"/>
          <w:color w:val="000000"/>
          <w:sz w:val="20"/>
          <w:szCs w:val="20"/>
        </w:rPr>
        <w:t>During Fiscal 2021, we worked closely with our customers and business partners to support them as they expanded their own remote work solutions and c</w:t>
      </w:r>
      <w:r>
        <w:rPr>
          <w:rFonts w:ascii="Times New Roman" w:eastAsia="宋体" w:hAnsi="Times New Roman"/>
          <w:color w:val="000000"/>
          <w:sz w:val="20"/>
          <w:szCs w:val="20"/>
        </w:rPr>
        <w:t>ontingency plans and to help them access our products and services remotely. Our agility, our breadth, and our scale will continue to benefit us in serving our customers and business partners during this period of accelerated digital transformation and unc</w:t>
      </w:r>
      <w:r>
        <w:rPr>
          <w:rFonts w:ascii="Times New Roman" w:eastAsia="宋体" w:hAnsi="Times New Roman"/>
          <w:color w:val="000000"/>
          <w:sz w:val="20"/>
          <w:szCs w:val="20"/>
        </w:rPr>
        <w:t>ertainty relating to the effects of COVID-19. Notable actions we have taken to date include the following:</w:t>
      </w:r>
    </w:p>
    <w:p w14:paraId="7DCFD0D4" w14:textId="77777777" w:rsidR="00C1563E" w:rsidRDefault="00C1563E"/>
    <w:p w14:paraId="7DCFD0D5" w14:textId="77777777" w:rsidR="00C1563E" w:rsidRDefault="000B648B">
      <w:pPr>
        <w:ind w:hanging="360"/>
      </w:pPr>
      <w:r>
        <w:rPr>
          <w:rFonts w:ascii="Times New Roman" w:eastAsia="宋体" w:hAnsi="Times New Roman"/>
          <w:color w:val="000000"/>
          <w:sz w:val="20"/>
          <w:szCs w:val="20"/>
        </w:rPr>
        <w:t>•Our global sales teams embraced a new selling process and are successfully supporting our customers and partners remotely.</w:t>
      </w:r>
    </w:p>
    <w:p w14:paraId="7DCFD0D6" w14:textId="77777777" w:rsidR="00C1563E" w:rsidRDefault="00C1563E"/>
    <w:p w14:paraId="7DCFD0D7" w14:textId="77777777" w:rsidR="00C1563E" w:rsidRDefault="000B648B">
      <w:pPr>
        <w:ind w:hanging="360"/>
      </w:pPr>
      <w:r>
        <w:rPr>
          <w:rFonts w:ascii="Times New Roman" w:eastAsia="宋体" w:hAnsi="Times New Roman"/>
          <w:color w:val="000000"/>
          <w:sz w:val="20"/>
          <w:szCs w:val="20"/>
        </w:rPr>
        <w:t xml:space="preserve">•We are helping to address our customers’ cash flow requirements by expanding our as-a-service and financing offerings. </w:t>
      </w:r>
    </w:p>
    <w:p w14:paraId="7DCFD0D8" w14:textId="77777777" w:rsidR="00C1563E" w:rsidRDefault="00C1563E"/>
    <w:p w14:paraId="7DCFD0D9" w14:textId="77777777" w:rsidR="00C1563E" w:rsidRDefault="000B648B">
      <w:pPr>
        <w:ind w:hanging="360"/>
      </w:pPr>
      <w:r>
        <w:rPr>
          <w:rFonts w:ascii="Times New Roman" w:eastAsia="宋体" w:hAnsi="Times New Roman"/>
          <w:color w:val="000000"/>
          <w:sz w:val="20"/>
          <w:szCs w:val="20"/>
        </w:rPr>
        <w:t>•Our close relationships and ability to connect directly with our customers through our e-commerce business have enabled us to quickly</w:t>
      </w:r>
      <w:r>
        <w:rPr>
          <w:rFonts w:ascii="Times New Roman" w:eastAsia="宋体" w:hAnsi="Times New Roman"/>
          <w:color w:val="000000"/>
          <w:sz w:val="20"/>
          <w:szCs w:val="20"/>
        </w:rPr>
        <w:t xml:space="preserve"> meet the immediate demands of the new work- and learn-from-home environments.</w:t>
      </w:r>
    </w:p>
    <w:p w14:paraId="7DCFD0DA" w14:textId="77777777" w:rsidR="00C1563E" w:rsidRDefault="00C1563E"/>
    <w:p w14:paraId="7DCFD0DB" w14:textId="77777777" w:rsidR="00C1563E" w:rsidRDefault="000B648B">
      <w:pPr>
        <w:ind w:hanging="360"/>
      </w:pPr>
      <w:r>
        <w:rPr>
          <w:rFonts w:ascii="Times New Roman" w:eastAsia="宋体" w:hAnsi="Times New Roman"/>
          <w:color w:val="000000"/>
          <w:sz w:val="20"/>
          <w:szCs w:val="20"/>
        </w:rPr>
        <w:t>•The strength, scale, and resiliency of our global supply chain have afforded us flexibility to manage through this challenging period. We adapted to events unfolding real-time</w:t>
      </w:r>
      <w:r>
        <w:rPr>
          <w:rFonts w:ascii="Times New Roman" w:eastAsia="宋体" w:hAnsi="Times New Roman"/>
          <w:color w:val="000000"/>
          <w:sz w:val="20"/>
          <w:szCs w:val="20"/>
        </w:rPr>
        <w:t xml:space="preserve"> by applying predictive analytics to model a variety of outcomes to respond quickly to the changing environment.  We optimized our global supply chain footprint to maximize factory uptime, for both Dell Technologies and our suppliers, by working through va</w:t>
      </w:r>
      <w:r>
        <w:rPr>
          <w:rFonts w:ascii="Times New Roman" w:eastAsia="宋体" w:hAnsi="Times New Roman"/>
          <w:color w:val="000000"/>
          <w:sz w:val="20"/>
          <w:szCs w:val="20"/>
        </w:rPr>
        <w:t>rious local governmental regulations and mandates. During this period, we established robust safety measures to protect the health and safety of our essential team members.</w:t>
      </w:r>
    </w:p>
    <w:p w14:paraId="7DCFD0DC" w14:textId="77777777" w:rsidR="00C1563E" w:rsidRDefault="00C1563E">
      <w:pPr>
        <w:jc w:val="center"/>
      </w:pPr>
    </w:p>
    <w:p w14:paraId="7DCFD0DD" w14:textId="77777777" w:rsidR="00C1563E" w:rsidRDefault="000B648B">
      <w:pPr>
        <w:jc w:val="center"/>
      </w:pPr>
      <w:r>
        <w:rPr>
          <w:rFonts w:ascii="Times New Roman" w:eastAsia="宋体" w:hAnsi="Times New Roman"/>
          <w:color w:val="000000"/>
          <w:sz w:val="20"/>
          <w:szCs w:val="20"/>
        </w:rPr>
        <w:t>38</w:t>
      </w:r>
    </w:p>
    <w:p w14:paraId="7DCFD0DE" w14:textId="77777777" w:rsidR="00C1563E" w:rsidRDefault="00C1563E">
      <w:pPr>
        <w:jc w:val="center"/>
      </w:pPr>
    </w:p>
    <w:p w14:paraId="7DCFD0DF" w14:textId="77777777" w:rsidR="00C1563E" w:rsidRDefault="000B648B">
      <w:r>
        <w:pict w14:anchorId="7DD02590">
          <v:rect id="_x0000_i1062" style="width:415.3pt;height:1.5pt" o:hralign="center" o:hrstd="t" o:hr="t" fillcolor="#a0a0a0" stroked="f"/>
        </w:pict>
      </w:r>
    </w:p>
    <w:p w14:paraId="7DCFD0E0" w14:textId="77777777" w:rsidR="00C1563E" w:rsidRDefault="000B648B">
      <w:hyperlink r:id="rId114" w:anchor="i418e32e4a35149ffbf7d3a25d66881b8_10" w:history="1">
        <w:r>
          <w:rPr>
            <w:rStyle w:val="a5"/>
            <w:rFonts w:ascii="Times New Roman" w:eastAsia="宋体" w:hAnsi="Times New Roman"/>
            <w:sz w:val="20"/>
            <w:szCs w:val="20"/>
          </w:rPr>
          <w:t>Table of Contents</w:t>
        </w:r>
      </w:hyperlink>
    </w:p>
    <w:p w14:paraId="7DCFD0E1" w14:textId="77777777" w:rsidR="00C1563E" w:rsidRDefault="00C1563E"/>
    <w:p w14:paraId="7DCFD0E2" w14:textId="77777777" w:rsidR="00C1563E" w:rsidRDefault="000B648B">
      <w:pPr>
        <w:ind w:hanging="360"/>
      </w:pPr>
      <w:r>
        <w:rPr>
          <w:rFonts w:ascii="Times New Roman" w:eastAsia="宋体" w:hAnsi="Times New Roman"/>
          <w:color w:val="000000"/>
          <w:sz w:val="20"/>
          <w:szCs w:val="20"/>
        </w:rPr>
        <w:t xml:space="preserve">•We continue to drive innovation and excellence in engineering with a largely remote workforce. Engineers and product teams delivered several critical </w:t>
      </w:r>
      <w:r>
        <w:rPr>
          <w:rFonts w:ascii="Times New Roman" w:eastAsia="宋体" w:hAnsi="Times New Roman"/>
          <w:color w:val="000000"/>
          <w:sz w:val="20"/>
          <w:szCs w:val="20"/>
        </w:rPr>
        <w:t>solutions during Fiscal 2021, including cloud updates and key client product refreshes, as well as the May 2020 launch of the PowerStore midrange storage solution.</w:t>
      </w:r>
    </w:p>
    <w:p w14:paraId="7DCFD0E3" w14:textId="77777777" w:rsidR="00C1563E" w:rsidRDefault="00C1563E"/>
    <w:p w14:paraId="7DCFD0E4" w14:textId="77777777" w:rsidR="00C1563E" w:rsidRDefault="000B648B">
      <w:r>
        <w:rPr>
          <w:rFonts w:ascii="Times New Roman" w:eastAsia="宋体" w:hAnsi="Times New Roman"/>
          <w:color w:val="000000"/>
          <w:sz w:val="20"/>
          <w:szCs w:val="20"/>
        </w:rPr>
        <w:t>During Fiscal 2021, we took precautionary measures to increase our cash position and preser</w:t>
      </w:r>
      <w:r>
        <w:rPr>
          <w:rFonts w:ascii="Times New Roman" w:eastAsia="宋体" w:hAnsi="Times New Roman"/>
          <w:color w:val="000000"/>
          <w:sz w:val="20"/>
          <w:szCs w:val="20"/>
        </w:rPr>
        <w:t>ve financial flexibility. We also took a series of prudent steps to manage expenses and preserve liquidity that included, among others, global hiring limitations, reductions in consulting and contractor costs and facilities-related costs, global travel res</w:t>
      </w:r>
      <w:r>
        <w:rPr>
          <w:rFonts w:ascii="Times New Roman" w:eastAsia="宋体" w:hAnsi="Times New Roman"/>
          <w:color w:val="000000"/>
          <w:sz w:val="20"/>
          <w:szCs w:val="20"/>
        </w:rPr>
        <w:t xml:space="preserve">trictions, and temporary suspension of the Dell 401(k) match program for U.S. employees. </w:t>
      </w:r>
    </w:p>
    <w:p w14:paraId="7DCFD0E5" w14:textId="77777777" w:rsidR="00C1563E" w:rsidRDefault="00C1563E"/>
    <w:p w14:paraId="7DCFD0E6" w14:textId="77777777" w:rsidR="00C1563E" w:rsidRDefault="000B648B">
      <w:r>
        <w:rPr>
          <w:rFonts w:ascii="Times New Roman" w:eastAsia="宋体" w:hAnsi="Times New Roman"/>
          <w:color w:val="000000"/>
          <w:sz w:val="20"/>
          <w:szCs w:val="20"/>
        </w:rPr>
        <w:t>In the fourth quarter of Fiscal 2021, we began to</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reinstate selected employee-related compensation benefits, which we expect will put pressure on operating income in</w:t>
      </w:r>
      <w:r>
        <w:rPr>
          <w:rFonts w:ascii="Times New Roman" w:eastAsia="宋体" w:hAnsi="Times New Roman"/>
          <w:color w:val="000000"/>
          <w:sz w:val="20"/>
          <w:szCs w:val="20"/>
        </w:rPr>
        <w:t xml:space="preserve"> Fiscal 2022. Effective January 1, 2021, we resumed the Dell 401(k) match program for U.S. employees. We will continue to invest in long-term projects, while focusing on operating expense controls in certain areas of the business. All of these actions are </w:t>
      </w:r>
      <w:r>
        <w:rPr>
          <w:rFonts w:ascii="Times New Roman" w:eastAsia="宋体" w:hAnsi="Times New Roman"/>
          <w:color w:val="000000"/>
          <w:sz w:val="20"/>
          <w:szCs w:val="20"/>
        </w:rPr>
        <w:t xml:space="preserve">aligned with our strategy, which remains unchanged, of focusing on gaining market share, integrating and innovating across the Dell Technologies portfolio, and strengthening our capital structure. </w:t>
      </w:r>
    </w:p>
    <w:p w14:paraId="7DCFD0E7" w14:textId="77777777" w:rsidR="00C1563E" w:rsidRDefault="00C1563E"/>
    <w:p w14:paraId="7DCFD0E8" w14:textId="77777777" w:rsidR="00C1563E" w:rsidRDefault="000B648B">
      <w:r>
        <w:rPr>
          <w:rFonts w:ascii="Times New Roman" w:eastAsia="宋体" w:hAnsi="Times New Roman"/>
          <w:color w:val="000000"/>
          <w:sz w:val="20"/>
          <w:szCs w:val="20"/>
        </w:rPr>
        <w:t>We saw unique demand dynamics during Fiscal 2021. In CSG,</w:t>
      </w:r>
      <w:r>
        <w:rPr>
          <w:rFonts w:ascii="Times New Roman" w:eastAsia="宋体" w:hAnsi="Times New Roman"/>
          <w:color w:val="000000"/>
          <w:sz w:val="20"/>
          <w:szCs w:val="20"/>
        </w:rPr>
        <w:t xml:space="preserve"> strong demand was driven by the imperative for remote work and remote learning solutions, as business, government, and education customers sought to maintain productivity in the midst of COVID-19. In ISG, the demand environment weakened as enterprise cust</w:t>
      </w:r>
      <w:r>
        <w:rPr>
          <w:rFonts w:ascii="Times New Roman" w:eastAsia="宋体" w:hAnsi="Times New Roman"/>
          <w:color w:val="000000"/>
          <w:sz w:val="20"/>
          <w:szCs w:val="20"/>
        </w:rPr>
        <w:t>omers shifted their investments towards remote work and business continuity solutions. For additional information about impacts of COVID-19 on our operations, see “Results of Operations—Consolidated Results” and “—Business Unit Results.”</w:t>
      </w:r>
    </w:p>
    <w:p w14:paraId="7DCFD0E9" w14:textId="77777777" w:rsidR="00C1563E" w:rsidRDefault="00C1563E"/>
    <w:p w14:paraId="7DCFD0EA" w14:textId="77777777" w:rsidR="00C1563E" w:rsidRDefault="000B648B">
      <w:r>
        <w:rPr>
          <w:rFonts w:ascii="Times New Roman" w:eastAsia="宋体" w:hAnsi="Times New Roman"/>
          <w:color w:val="000000"/>
          <w:sz w:val="20"/>
          <w:szCs w:val="20"/>
        </w:rPr>
        <w:t>Although we conti</w:t>
      </w:r>
      <w:r>
        <w:rPr>
          <w:rFonts w:ascii="Times New Roman" w:eastAsia="宋体" w:hAnsi="Times New Roman"/>
          <w:color w:val="000000"/>
          <w:sz w:val="20"/>
          <w:szCs w:val="20"/>
        </w:rPr>
        <w:t xml:space="preserve">nue to experience some uncertainty in the global markets as a result of the ongoing COVID-19 pandemic, we see opportunities to create value and grow in Fiscal 2022 in the midst of resilient demand for our IT solutions driven by a technology-enabled world. </w:t>
      </w:r>
      <w:r>
        <w:rPr>
          <w:rFonts w:ascii="Times New Roman" w:eastAsia="宋体" w:hAnsi="Times New Roman"/>
          <w:color w:val="000000"/>
          <w:sz w:val="20"/>
          <w:szCs w:val="20"/>
        </w:rPr>
        <w:t xml:space="preserve">We will continue to actively monitor global events and pursue prudent decisions to navigate in this uncertain and ever-changing environment. </w:t>
      </w:r>
    </w:p>
    <w:p w14:paraId="7DCFD0EB" w14:textId="77777777" w:rsidR="00C1563E" w:rsidRDefault="00C1563E"/>
    <w:p w14:paraId="7DCFD0EC" w14:textId="77777777" w:rsidR="00C1563E" w:rsidRDefault="000B648B">
      <w:r>
        <w:rPr>
          <w:rFonts w:ascii="Times New Roman" w:eastAsia="宋体" w:hAnsi="Times New Roman"/>
          <w:i/>
          <w:iCs/>
          <w:color w:val="000000"/>
          <w:sz w:val="20"/>
          <w:szCs w:val="20"/>
          <w:u w:val="single"/>
        </w:rPr>
        <w:t>Dell Technologies Vision and Innovation</w:t>
      </w:r>
      <w:r>
        <w:rPr>
          <w:rFonts w:ascii="Times New Roman" w:eastAsia="宋体" w:hAnsi="Times New Roman"/>
          <w:color w:val="000000"/>
          <w:sz w:val="20"/>
          <w:szCs w:val="20"/>
        </w:rPr>
        <w:t xml:space="preserve"> — Our vision is to be the essential technology company for the data era a</w:t>
      </w:r>
      <w:r>
        <w:rPr>
          <w:rFonts w:ascii="Times New Roman" w:eastAsia="宋体" w:hAnsi="Times New Roman"/>
          <w:color w:val="000000"/>
          <w:sz w:val="20"/>
          <w:szCs w:val="20"/>
        </w:rPr>
        <w:t>nd a leader in end-user computing, software-defined data center solutions, data management, virtualization, IoT, and cloud software. We believe that our results will benefit from an integrated go-to-market strategy, including enhanced coordination across a</w:t>
      </w:r>
      <w:r>
        <w:rPr>
          <w:rFonts w:ascii="Times New Roman" w:eastAsia="宋体" w:hAnsi="Times New Roman"/>
          <w:color w:val="000000"/>
          <w:sz w:val="20"/>
          <w:szCs w:val="20"/>
        </w:rPr>
        <w:t>ll segments of our business, and from our differentiated products and solutions capabilities. We intend to continue to execute on our business model and seek to balance liquidity, profitability, and growth to position our company for long-term success.</w:t>
      </w:r>
    </w:p>
    <w:p w14:paraId="7DCFD0ED" w14:textId="77777777" w:rsidR="00C1563E" w:rsidRDefault="00C1563E"/>
    <w:p w14:paraId="7DCFD0EE" w14:textId="77777777" w:rsidR="00C1563E" w:rsidRDefault="000B648B">
      <w:r>
        <w:rPr>
          <w:rFonts w:ascii="Times New Roman" w:eastAsia="宋体" w:hAnsi="Times New Roman"/>
          <w:color w:val="000000"/>
          <w:sz w:val="20"/>
          <w:szCs w:val="20"/>
        </w:rPr>
        <w:t>We</w:t>
      </w:r>
      <w:r>
        <w:rPr>
          <w:rFonts w:ascii="Times New Roman" w:eastAsia="宋体" w:hAnsi="Times New Roman"/>
          <w:color w:val="000000"/>
          <w:sz w:val="20"/>
          <w:szCs w:val="20"/>
        </w:rPr>
        <w:t xml:space="preserve"> are seeing an accelerated rate of change in the IT industry. We seek to address our customers’ evolving needs and their broader digital transformation objectives as they embrace the hybrid multi-cloud environment of today. Currently for many customers, a </w:t>
      </w:r>
      <w:r>
        <w:rPr>
          <w:rFonts w:ascii="Times New Roman" w:eastAsia="宋体" w:hAnsi="Times New Roman"/>
          <w:color w:val="000000"/>
          <w:sz w:val="20"/>
          <w:szCs w:val="20"/>
        </w:rPr>
        <w:t>top digital priority is to build stable and resilient remote operational capabilities. We are seeing demand for simpler, more agile IT across multiple clouds. The pandemic has accelerated the introduction and adoption of new technologies to ensure producti</w:t>
      </w:r>
      <w:r>
        <w:rPr>
          <w:rFonts w:ascii="Times New Roman" w:eastAsia="宋体" w:hAnsi="Times New Roman"/>
          <w:color w:val="000000"/>
          <w:sz w:val="20"/>
          <w:szCs w:val="20"/>
        </w:rPr>
        <w:t>vity and collaboration from anywhere. In light of this rapid pace of innovation, we continue to invest in research and development, sales, and other key areas of our business to deliver superior products and solutions capabilities and to drive long-term su</w:t>
      </w:r>
      <w:r>
        <w:rPr>
          <w:rFonts w:ascii="Times New Roman" w:eastAsia="宋体" w:hAnsi="Times New Roman"/>
          <w:color w:val="000000"/>
          <w:sz w:val="20"/>
          <w:szCs w:val="20"/>
        </w:rPr>
        <w:t xml:space="preserve">stainable growth. </w:t>
      </w:r>
    </w:p>
    <w:p w14:paraId="7DCFD0EF" w14:textId="77777777" w:rsidR="00C1563E" w:rsidRDefault="00C1563E"/>
    <w:p w14:paraId="7DCFD0F0" w14:textId="77777777" w:rsidR="00C1563E" w:rsidRDefault="000B648B">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infrastructure market and competitive environment. The overall server demand environment was down for Fiscal 2021 and continues to exhibit variabilit</w:t>
      </w:r>
      <w:r>
        <w:rPr>
          <w:rFonts w:ascii="Times New Roman" w:eastAsia="宋体" w:hAnsi="Times New Roman"/>
          <w:color w:val="000000"/>
          <w:sz w:val="20"/>
          <w:szCs w:val="20"/>
        </w:rPr>
        <w:t>y across international regions. However, we expect ISG will benefit from forecasted improvements to the macroeconomic environment as we move through Fiscal 2022. We will continue to be selective in determining whether to pursue certain large hyperscale and</w:t>
      </w:r>
      <w:r>
        <w:rPr>
          <w:rFonts w:ascii="Times New Roman" w:eastAsia="宋体" w:hAnsi="Times New Roman"/>
          <w:color w:val="000000"/>
          <w:sz w:val="20"/>
          <w:szCs w:val="20"/>
        </w:rPr>
        <w:t xml:space="preserve"> other server transactions as we drive for balanced growth and profitability. With our scale and strong solutions portfolio, we believe we are well-positioned to respond to ongoing competitive dynamics. We continue to focus on customer base expansion and l</w:t>
      </w:r>
      <w:r>
        <w:rPr>
          <w:rFonts w:ascii="Times New Roman" w:eastAsia="宋体" w:hAnsi="Times New Roman"/>
          <w:color w:val="000000"/>
          <w:sz w:val="20"/>
          <w:szCs w:val="20"/>
        </w:rPr>
        <w:t>ifetime value of customer relationships.</w:t>
      </w:r>
    </w:p>
    <w:p w14:paraId="7DCFD0F1" w14:textId="77777777" w:rsidR="00C1563E" w:rsidRDefault="00C1563E"/>
    <w:p w14:paraId="7DCFD0F2" w14:textId="77777777" w:rsidR="00C1563E" w:rsidRDefault="000B648B">
      <w:r>
        <w:rPr>
          <w:rFonts w:ascii="Times New Roman" w:eastAsia="宋体" w:hAnsi="Times New Roman"/>
          <w:color w:val="000000"/>
          <w:sz w:val="20"/>
          <w:szCs w:val="20"/>
        </w:rPr>
        <w:t>Cloud-native applications are expected to continue as a primary growth driver in the infrastructure market. We believe the complementary cloud solutions across our business position us to meet these demands for our</w:t>
      </w:r>
      <w:r>
        <w:rPr>
          <w:rFonts w:ascii="Times New Roman" w:eastAsia="宋体" w:hAnsi="Times New Roman"/>
          <w:color w:val="000000"/>
          <w:sz w:val="20"/>
          <w:szCs w:val="20"/>
        </w:rPr>
        <w:t xml:space="preserve"> customers. The unprecedented data growth throughout all industries is generating continued demand for our storage solutions and services. We benefit by offering solutions that address the emerging trends of enterprises deploying software-defined storage, </w:t>
      </w:r>
      <w:r>
        <w:rPr>
          <w:rFonts w:ascii="Times New Roman" w:eastAsia="宋体" w:hAnsi="Times New Roman"/>
          <w:color w:val="000000"/>
          <w:sz w:val="20"/>
          <w:szCs w:val="20"/>
        </w:rPr>
        <w:t xml:space="preserve">hyper-converged infrastructure, and modular solutions based on server-centric architectures. These trends are changing the way customers are consuming our traditional storage offerings. We continue to expand our offerings in external storage arrays, which </w:t>
      </w:r>
      <w:r>
        <w:rPr>
          <w:rFonts w:ascii="Times New Roman" w:eastAsia="宋体" w:hAnsi="Times New Roman"/>
          <w:color w:val="000000"/>
          <w:sz w:val="20"/>
          <w:szCs w:val="20"/>
        </w:rPr>
        <w:t xml:space="preserve">incorporate flexible, cloud-based functionality. Through our research and development efforts, we are developing new solutions in this rapidly changing industry that we believe will enable us to continue to provide superior solutions to our customers. </w:t>
      </w:r>
    </w:p>
    <w:p w14:paraId="7DCFD0F3" w14:textId="77777777" w:rsidR="00C1563E" w:rsidRDefault="00C1563E">
      <w:pPr>
        <w:jc w:val="center"/>
      </w:pPr>
    </w:p>
    <w:p w14:paraId="7DCFD0F4" w14:textId="77777777" w:rsidR="00C1563E" w:rsidRDefault="000B648B">
      <w:pPr>
        <w:jc w:val="center"/>
      </w:pPr>
      <w:r>
        <w:rPr>
          <w:rFonts w:ascii="Times New Roman" w:eastAsia="宋体" w:hAnsi="Times New Roman"/>
          <w:color w:val="000000"/>
          <w:sz w:val="20"/>
          <w:szCs w:val="20"/>
        </w:rPr>
        <w:t>39</w:t>
      </w:r>
    </w:p>
    <w:p w14:paraId="7DCFD0F5" w14:textId="77777777" w:rsidR="00C1563E" w:rsidRDefault="00C1563E">
      <w:pPr>
        <w:jc w:val="center"/>
      </w:pPr>
    </w:p>
    <w:p w14:paraId="7DCFD0F6" w14:textId="77777777" w:rsidR="00C1563E" w:rsidRDefault="000B648B">
      <w:r>
        <w:pict w14:anchorId="7DD02591">
          <v:rect id="_x0000_i1063" style="width:415.3pt;height:1.5pt" o:hralign="center" o:hrstd="t" o:hr="t" fillcolor="#a0a0a0" stroked="f"/>
        </w:pict>
      </w:r>
    </w:p>
    <w:p w14:paraId="7DCFD0F7" w14:textId="77777777" w:rsidR="00C1563E" w:rsidRDefault="000B648B">
      <w:hyperlink r:id="rId115" w:anchor="i418e32e4a35149ffbf7d3a25d66881b8_10" w:history="1">
        <w:r>
          <w:rPr>
            <w:rStyle w:val="a5"/>
            <w:rFonts w:ascii="Times New Roman" w:eastAsia="宋体" w:hAnsi="Times New Roman"/>
            <w:sz w:val="20"/>
            <w:szCs w:val="20"/>
          </w:rPr>
          <w:t>Table of Contents</w:t>
        </w:r>
      </w:hyperlink>
    </w:p>
    <w:p w14:paraId="7DCFD0F8" w14:textId="77777777" w:rsidR="00C1563E" w:rsidRDefault="00C1563E"/>
    <w:p w14:paraId="7DCFD0F9" w14:textId="77777777" w:rsidR="00C1563E" w:rsidRDefault="000B648B">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offerings are an important element of our strategy, generating strong cash flow and opportunities for cross-selling of complementary solutions. During Fiscal 2021, CSG demand was strong in certain product lines, particularly for notebooks and ga</w:t>
      </w:r>
      <w:r>
        <w:rPr>
          <w:rFonts w:ascii="Times New Roman" w:eastAsia="宋体" w:hAnsi="Times New Roman"/>
          <w:color w:val="000000"/>
          <w:sz w:val="20"/>
          <w:szCs w:val="20"/>
        </w:rPr>
        <w:t>ming systems, while demand for commercial desktops decreased. These demand dynamics were driven by the imperative for remote work and remote learning solutions, as business, government, and education customers sought to maintain productivity in the midst o</w:t>
      </w:r>
      <w:r>
        <w:rPr>
          <w:rFonts w:ascii="Times New Roman" w:eastAsia="宋体" w:hAnsi="Times New Roman"/>
          <w:color w:val="000000"/>
          <w:sz w:val="20"/>
          <w:szCs w:val="20"/>
        </w:rPr>
        <w:t xml:space="preserve">f COVID-19. We continue to deploy Dell PC as-a-Service offerings for customers who are seeking simplified solutions and lifecycle management with predictable pricing through DFS. We expect that the CSG demand environment will continue to be cyclical. </w:t>
      </w:r>
    </w:p>
    <w:p w14:paraId="7DCFD0FA" w14:textId="77777777" w:rsidR="00C1563E" w:rsidRDefault="00C1563E"/>
    <w:p w14:paraId="7DCFD0FB" w14:textId="77777777" w:rsidR="00C1563E" w:rsidRDefault="000B648B">
      <w:r>
        <w:rPr>
          <w:rFonts w:ascii="Times New Roman" w:eastAsia="宋体" w:hAnsi="Times New Roman"/>
          <w:color w:val="000000"/>
          <w:sz w:val="20"/>
          <w:szCs w:val="20"/>
        </w:rPr>
        <w:t xml:space="preserve">We </w:t>
      </w:r>
      <w:r>
        <w:rPr>
          <w:rFonts w:ascii="Times New Roman" w:eastAsia="宋体" w:hAnsi="Times New Roman"/>
          <w:color w:val="000000"/>
          <w:sz w:val="20"/>
          <w:szCs w:val="20"/>
        </w:rPr>
        <w:t>anticipate continued strong CSG demand in Fiscal 2022, particularly in the first half of the fiscal year, in line with industry demand forecasts, although the cost environment will continue to fluctuate depending on supplier capacity and demand for certain</w:t>
      </w:r>
      <w:r>
        <w:rPr>
          <w:rFonts w:ascii="Times New Roman" w:eastAsia="宋体" w:hAnsi="Times New Roman"/>
          <w:color w:val="000000"/>
          <w:sz w:val="20"/>
          <w:szCs w:val="20"/>
        </w:rPr>
        <w:t xml:space="preserve"> components. We remain committed to our long-term strategy for CSG and will continue to innovate across the portfolio, while benefiting from consolidation trends that are occurring in the markets in which we compete. Competitive dynamics will continue to b</w:t>
      </w:r>
      <w:r>
        <w:rPr>
          <w:rFonts w:ascii="Times New Roman" w:eastAsia="宋体" w:hAnsi="Times New Roman"/>
          <w:color w:val="000000"/>
          <w:sz w:val="20"/>
          <w:szCs w:val="20"/>
        </w:rPr>
        <w:t xml:space="preserve">e a factor in our CSG business as we seek to balance profitability and growth. </w:t>
      </w:r>
    </w:p>
    <w:p w14:paraId="7DCFD0FC" w14:textId="77777777" w:rsidR="00C1563E" w:rsidRDefault="00C1563E"/>
    <w:p w14:paraId="7DCFD0FD" w14:textId="77777777" w:rsidR="00C1563E" w:rsidRDefault="000B648B">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interested in new and innovative models that address how they consume our solutions. We offer options that include</w:t>
      </w:r>
      <w:r>
        <w:rPr>
          <w:rFonts w:ascii="Times New Roman" w:eastAsia="宋体" w:hAnsi="Times New Roman"/>
          <w:color w:val="000000"/>
          <w:sz w:val="20"/>
          <w:szCs w:val="20"/>
        </w:rPr>
        <w:t xml:space="preserve"> as-a-service, utility, leases, and immediate pay models, all designed to match customers’ consumption and financing preferences. Our multiyear agreements typically result in recurring revenue streams over the term of the arrangement. During Fiscal 2021, w</w:t>
      </w:r>
      <w:r>
        <w:rPr>
          <w:rFonts w:ascii="Times New Roman" w:eastAsia="宋体" w:hAnsi="Times New Roman"/>
          <w:color w:val="000000"/>
          <w:sz w:val="20"/>
          <w:szCs w:val="20"/>
        </w:rPr>
        <w:t>e announced our intention to continue to evolve and expand our IT as-a-Service and cloud offerings through Apex. We expect that our flexible consumption models and as-a-service offerings will further strengthen our customer relationships and provide a foun</w:t>
      </w:r>
      <w:r>
        <w:rPr>
          <w:rFonts w:ascii="Times New Roman" w:eastAsia="宋体" w:hAnsi="Times New Roman"/>
          <w:color w:val="000000"/>
          <w:sz w:val="20"/>
          <w:szCs w:val="20"/>
        </w:rPr>
        <w:t xml:space="preserve">dation for growth in recurring revenue. </w:t>
      </w:r>
    </w:p>
    <w:p w14:paraId="7DCFD0FE" w14:textId="77777777" w:rsidR="00C1563E" w:rsidRDefault="00C1563E"/>
    <w:p w14:paraId="7DCFD0FF" w14:textId="77777777" w:rsidR="00C1563E" w:rsidRDefault="000B648B">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 xml:space="preserve">— During Fiscal 2020, we recognized benefits to our CSG and ISG operating results from significant component cost declines. During Fiscal 2021, component costs continued to decline in the </w:t>
      </w:r>
      <w:r>
        <w:rPr>
          <w:rFonts w:ascii="Times New Roman" w:eastAsia="宋体" w:hAnsi="Times New Roman"/>
          <w:color w:val="000000"/>
          <w:sz w:val="20"/>
          <w:szCs w:val="20"/>
        </w:rPr>
        <w:t>aggregate, but at a lower rate than in Fiscal 2020. We expect the deflationary trends in the overall component cost environment to taper off and then shift to inflationary during the first half of Fiscal 2022. Component cost trends are dependent on the str</w:t>
      </w:r>
      <w:r>
        <w:rPr>
          <w:rFonts w:ascii="Times New Roman" w:eastAsia="宋体" w:hAnsi="Times New Roman"/>
          <w:color w:val="000000"/>
          <w:sz w:val="20"/>
          <w:szCs w:val="20"/>
        </w:rPr>
        <w:t>ength or weakness of actual end user demand and supply dynamics, which will continue to evolve and ultimately impact the translation of the cost environment to pricing and operating results.</w:t>
      </w:r>
    </w:p>
    <w:p w14:paraId="7DCFD100" w14:textId="77777777" w:rsidR="00C1563E" w:rsidRDefault="00C1563E"/>
    <w:p w14:paraId="7DCFD101" w14:textId="77777777" w:rsidR="00C1563E" w:rsidRDefault="000B648B">
      <w:r>
        <w:rPr>
          <w:rFonts w:ascii="Times New Roman" w:eastAsia="宋体" w:hAnsi="Times New Roman"/>
          <w:color w:val="000000"/>
          <w:sz w:val="20"/>
          <w:szCs w:val="20"/>
        </w:rPr>
        <w:t>Dell Technologies maintains limited-source supplier relationship</w:t>
      </w:r>
      <w:r>
        <w:rPr>
          <w:rFonts w:ascii="Times New Roman" w:eastAsia="宋体" w:hAnsi="Times New Roman"/>
          <w:color w:val="000000"/>
          <w:sz w:val="20"/>
          <w:szCs w:val="20"/>
        </w:rPr>
        <w:t>s for certain components, because the relationships are advantageous in the areas of performance, quality, support, delivery, capacity, and price considerations. In recent periods, we have been impacted by component supply constraints in certain product of</w:t>
      </w:r>
      <w:r>
        <w:rPr>
          <w:rFonts w:ascii="Times New Roman" w:eastAsia="宋体" w:hAnsi="Times New Roman"/>
          <w:color w:val="000000"/>
          <w:sz w:val="20"/>
          <w:szCs w:val="20"/>
        </w:rPr>
        <w:t>ferings, some of which resulted from COVID-19 driven demand patterns. Delays in the supply of limited-source components, including as a result of COVID-19, are affecting the timing of shipments of certain products in desired quantities or configurations. A</w:t>
      </w:r>
      <w:r>
        <w:rPr>
          <w:rFonts w:ascii="Times New Roman" w:eastAsia="宋体" w:hAnsi="Times New Roman"/>
          <w:color w:val="000000"/>
          <w:sz w:val="20"/>
          <w:szCs w:val="20"/>
        </w:rPr>
        <w:t xml:space="preserve">dditionally, we have experienced increased freight costs for expedited shipments of components and rate increases in the freight network as air capacity remains constrained. We expect elevated freight costs to continue to put pressure on operating results </w:t>
      </w:r>
      <w:r>
        <w:rPr>
          <w:rFonts w:ascii="Times New Roman" w:eastAsia="宋体" w:hAnsi="Times New Roman"/>
          <w:color w:val="000000"/>
          <w:sz w:val="20"/>
          <w:szCs w:val="20"/>
        </w:rPr>
        <w:t xml:space="preserve">through the first half of Fiscal 2022. </w:t>
      </w:r>
    </w:p>
    <w:p w14:paraId="7DCFD102" w14:textId="77777777" w:rsidR="00C1563E" w:rsidRDefault="00C1563E"/>
    <w:p w14:paraId="7DCFD103" w14:textId="77777777" w:rsidR="00C1563E" w:rsidRDefault="000B648B">
      <w:r>
        <w:rPr>
          <w:rFonts w:ascii="Times New Roman" w:eastAsia="宋体" w:hAnsi="Times New Roman"/>
          <w:i/>
          <w:iCs/>
          <w:color w:val="000000"/>
          <w:sz w:val="20"/>
          <w:szCs w:val="20"/>
          <w:u w:val="single"/>
        </w:rPr>
        <w:t>Macroeconomic Risks and Uncertainties</w:t>
      </w:r>
      <w:r>
        <w:rPr>
          <w:rFonts w:ascii="Times New Roman" w:eastAsia="宋体" w:hAnsi="Times New Roman"/>
          <w:color w:val="000000"/>
          <w:sz w:val="20"/>
          <w:szCs w:val="20"/>
        </w:rPr>
        <w:t xml:space="preserve"> — The impacts of trade protection measures, including increases in tariffs and trade barriers, and changes in government policies and international trade arrangements may affect</w:t>
      </w:r>
      <w:r>
        <w:rPr>
          <w:rFonts w:ascii="Times New Roman" w:eastAsia="宋体" w:hAnsi="Times New Roman"/>
          <w:color w:val="000000"/>
          <w:sz w:val="20"/>
          <w:szCs w:val="20"/>
        </w:rPr>
        <w:t xml:space="preserve"> our ability to conduct business in some non-U.S. markets. We monitor and seek to mitigate these risks with adjustments to our manufacturing, supply chain, and distribution networks.</w:t>
      </w:r>
    </w:p>
    <w:p w14:paraId="7DCFD104" w14:textId="77777777" w:rsidR="00C1563E" w:rsidRDefault="00C1563E"/>
    <w:p w14:paraId="7DCFD105" w14:textId="77777777" w:rsidR="00C1563E" w:rsidRDefault="000B648B">
      <w:r>
        <w:rPr>
          <w:rFonts w:ascii="Times New Roman" w:eastAsia="宋体" w:hAnsi="Times New Roman"/>
          <w:color w:val="000000"/>
          <w:sz w:val="20"/>
          <w:szCs w:val="20"/>
        </w:rPr>
        <w:t xml:space="preserve">We manage our business on a U.S. dollar basis. However, we have a large </w:t>
      </w:r>
      <w:r>
        <w:rPr>
          <w:rFonts w:ascii="Times New Roman" w:eastAsia="宋体" w:hAnsi="Times New Roman"/>
          <w:color w:val="000000"/>
          <w:sz w:val="20"/>
          <w:szCs w:val="20"/>
        </w:rPr>
        <w:t>global presence, generating approximately half of our net revenue from sales to customers outside of the United States during Fiscal 2021, Fiscal 2020, and Fiscal 2019. As a result, our revenue can be impacted by fluctuations in foreign currency exchange r</w:t>
      </w:r>
      <w:r>
        <w:rPr>
          <w:rFonts w:ascii="Times New Roman" w:eastAsia="宋体" w:hAnsi="Times New Roman"/>
          <w:color w:val="000000"/>
          <w:sz w:val="20"/>
          <w:szCs w:val="20"/>
        </w:rPr>
        <w:t>ates. We utilize a comprehensive hedging strategy intended to mitigate the impact of foreign currency volatility over time, and we adjust pricing when possible to further minimize foreign currency impacts.</w:t>
      </w:r>
    </w:p>
    <w:p w14:paraId="7DCFD106" w14:textId="77777777" w:rsidR="00C1563E" w:rsidRDefault="00C1563E"/>
    <w:p w14:paraId="7DCFD107" w14:textId="77777777" w:rsidR="00C1563E" w:rsidRDefault="000B648B">
      <w:r>
        <w:rPr>
          <w:rFonts w:ascii="Times New Roman" w:eastAsia="宋体" w:hAnsi="Times New Roman"/>
          <w:b/>
          <w:bCs/>
          <w:color w:val="000000"/>
          <w:sz w:val="20"/>
          <w:szCs w:val="20"/>
          <w:shd w:val="clear" w:color="auto" w:fill="FFFFFF"/>
        </w:rPr>
        <w:t>Key Performance Metrics</w:t>
      </w:r>
    </w:p>
    <w:p w14:paraId="7DCFD108" w14:textId="77777777" w:rsidR="00C1563E" w:rsidRDefault="00C1563E"/>
    <w:p w14:paraId="7DCFD109" w14:textId="77777777" w:rsidR="00C1563E" w:rsidRDefault="000B648B">
      <w:r>
        <w:rPr>
          <w:rFonts w:ascii="Times New Roman" w:eastAsia="宋体" w:hAnsi="Times New Roman"/>
          <w:color w:val="000000"/>
          <w:sz w:val="20"/>
          <w:szCs w:val="20"/>
          <w:shd w:val="clear" w:color="auto" w:fill="FFFFFF"/>
        </w:rPr>
        <w:t>Our key performance metr</w:t>
      </w:r>
      <w:r>
        <w:rPr>
          <w:rFonts w:ascii="Times New Roman" w:eastAsia="宋体" w:hAnsi="Times New Roman"/>
          <w:color w:val="000000"/>
          <w:sz w:val="20"/>
          <w:szCs w:val="20"/>
          <w:shd w:val="clear" w:color="auto" w:fill="FFFFFF"/>
        </w:rPr>
        <w:t>ics are net revenue, operating income, adjusted EBITDA, and cash flows from operations, which are discussed elsewhere in this management’s discussion and analysis.</w:t>
      </w:r>
    </w:p>
    <w:p w14:paraId="7DCFD10A" w14:textId="77777777" w:rsidR="00C1563E" w:rsidRDefault="00C1563E"/>
    <w:p w14:paraId="7DCFD10B" w14:textId="77777777" w:rsidR="00C1563E" w:rsidRDefault="00C1563E">
      <w:pPr>
        <w:jc w:val="center"/>
      </w:pPr>
    </w:p>
    <w:p w14:paraId="7DCFD10C" w14:textId="77777777" w:rsidR="00C1563E" w:rsidRDefault="000B648B">
      <w:pPr>
        <w:jc w:val="center"/>
      </w:pPr>
      <w:r>
        <w:rPr>
          <w:rFonts w:ascii="Times New Roman" w:eastAsia="宋体" w:hAnsi="Times New Roman"/>
          <w:color w:val="000000"/>
          <w:sz w:val="20"/>
          <w:szCs w:val="20"/>
        </w:rPr>
        <w:t>40</w:t>
      </w:r>
    </w:p>
    <w:p w14:paraId="7DCFD10D" w14:textId="77777777" w:rsidR="00C1563E" w:rsidRDefault="00C1563E">
      <w:pPr>
        <w:jc w:val="center"/>
      </w:pPr>
    </w:p>
    <w:p w14:paraId="7DCFD10E" w14:textId="77777777" w:rsidR="00C1563E" w:rsidRDefault="000B648B">
      <w:r>
        <w:pict w14:anchorId="7DD02592">
          <v:rect id="_x0000_i1064" style="width:415.3pt;height:1.5pt" o:hralign="center" o:hrstd="t" o:hr="t" fillcolor="#a0a0a0" stroked="f"/>
        </w:pict>
      </w:r>
    </w:p>
    <w:p w14:paraId="7DCFD10F" w14:textId="77777777" w:rsidR="00C1563E" w:rsidRDefault="000B648B">
      <w:hyperlink r:id="rId116" w:anchor="i418e32e4a35149ffbf7d3a25d66881b8_10" w:history="1">
        <w:r>
          <w:rPr>
            <w:rStyle w:val="a5"/>
            <w:rFonts w:ascii="Times New Roman" w:eastAsia="宋体" w:hAnsi="Times New Roman"/>
            <w:sz w:val="20"/>
            <w:szCs w:val="20"/>
          </w:rPr>
          <w:t>Table of Contents</w:t>
        </w:r>
      </w:hyperlink>
    </w:p>
    <w:p w14:paraId="7DCFD110" w14:textId="77777777" w:rsidR="00C1563E" w:rsidRDefault="000B648B">
      <w:r>
        <w:rPr>
          <w:rFonts w:ascii="Times New Roman" w:eastAsia="宋体" w:hAnsi="Times New Roman"/>
          <w:b/>
          <w:bCs/>
          <w:color w:val="000000"/>
          <w:sz w:val="20"/>
          <w:szCs w:val="20"/>
        </w:rPr>
        <w:t>Class V Transaction</w:t>
      </w:r>
    </w:p>
    <w:p w14:paraId="7DCFD111" w14:textId="77777777" w:rsidR="00C1563E" w:rsidRDefault="00C1563E"/>
    <w:p w14:paraId="7DCFD112" w14:textId="77777777" w:rsidR="00C1563E" w:rsidRDefault="000B648B">
      <w:r>
        <w:rPr>
          <w:rFonts w:ascii="Times New Roman" w:eastAsia="宋体" w:hAnsi="Times New Roman"/>
          <w:color w:val="000000"/>
          <w:sz w:val="20"/>
          <w:szCs w:val="20"/>
        </w:rPr>
        <w:t xml:space="preserve">On December 28, 2018, we completed a transaction (“Class V transaction”) in which we paid $14.0 billion in cash and issued 149,387,617 shares of </w:t>
      </w:r>
      <w:r>
        <w:rPr>
          <w:rFonts w:ascii="Times New Roman" w:eastAsia="宋体" w:hAnsi="Times New Roman"/>
          <w:color w:val="000000"/>
          <w:sz w:val="20"/>
          <w:szCs w:val="20"/>
        </w:rPr>
        <w:t xml:space="preserve">our Class C Common Stock to holders of our Class V Common Stock in exchange for all outstanding shares of Class V Common Stock. The non-cash consideration portion of the Class V transaction totaled $6.9 billion. As a result of the Class V transaction, the </w:t>
      </w:r>
      <w:r>
        <w:rPr>
          <w:rFonts w:ascii="Times New Roman" w:eastAsia="宋体" w:hAnsi="Times New Roman"/>
          <w:color w:val="000000"/>
          <w:sz w:val="20"/>
          <w:szCs w:val="20"/>
        </w:rPr>
        <w:t xml:space="preserve">tracking stock feature of Dell Technologies’ capital structure was terminated. The Class C Common Stock is traded on the New York Stock Exchange. See Note 1 of the Notes to the Consolidated Financial Statements included in this report for more information </w:t>
      </w:r>
      <w:r>
        <w:rPr>
          <w:rFonts w:ascii="Times New Roman" w:eastAsia="宋体" w:hAnsi="Times New Roman"/>
          <w:color w:val="000000"/>
          <w:sz w:val="20"/>
          <w:szCs w:val="20"/>
        </w:rPr>
        <w:t>about the Class V transaction.</w:t>
      </w:r>
    </w:p>
    <w:p w14:paraId="7DCFD113" w14:textId="77777777" w:rsidR="00C1563E" w:rsidRDefault="00C1563E"/>
    <w:p w14:paraId="7DCFD114" w14:textId="77777777" w:rsidR="00C1563E" w:rsidRDefault="000B648B">
      <w:r>
        <w:rPr>
          <w:rFonts w:ascii="Times New Roman" w:eastAsia="宋体" w:hAnsi="Times New Roman"/>
          <w:b/>
          <w:bCs/>
          <w:color w:val="000000"/>
          <w:sz w:val="20"/>
          <w:szCs w:val="20"/>
          <w:shd w:val="clear" w:color="auto" w:fill="FFFFFF"/>
        </w:rPr>
        <w:t xml:space="preserve">VMware, Inc. Ownership </w:t>
      </w:r>
    </w:p>
    <w:p w14:paraId="7DCFD115" w14:textId="77777777" w:rsidR="00C1563E" w:rsidRDefault="00C1563E"/>
    <w:p w14:paraId="7DCFD116" w14:textId="77777777" w:rsidR="00C1563E" w:rsidRDefault="000B648B">
      <w:r>
        <w:rPr>
          <w:rFonts w:ascii="Times New Roman" w:eastAsia="宋体" w:hAnsi="Times New Roman"/>
          <w:color w:val="000000"/>
          <w:sz w:val="20"/>
          <w:szCs w:val="20"/>
        </w:rPr>
        <w:t>On July 15, 2020, we announced that we are exploring potential alternatives with respect to our ownership in VMware, Inc., including a potential spin-off of that ownership interest to Dell Technologi</w:t>
      </w:r>
      <w:r>
        <w:rPr>
          <w:rFonts w:ascii="Times New Roman" w:eastAsia="宋体" w:hAnsi="Times New Roman"/>
          <w:color w:val="000000"/>
          <w:sz w:val="20"/>
          <w:szCs w:val="20"/>
        </w:rPr>
        <w:t>es’ stockholders. Although this process is currently only at an exploratory stage, we believe a spin-off could benefit both Dell Technologies’ and VMware, Inc.’s stockholders by simplifying capital structures and enhancing strategic flexibility, while stil</w:t>
      </w:r>
      <w:r>
        <w:rPr>
          <w:rFonts w:ascii="Times New Roman" w:eastAsia="宋体" w:hAnsi="Times New Roman"/>
          <w:color w:val="000000"/>
          <w:sz w:val="20"/>
          <w:szCs w:val="20"/>
        </w:rPr>
        <w:t xml:space="preserve">l maintaining a mutually beneficial strategic and commercial partnership. Any potential spin-off would not occur prior to September 2021. Other strategic options include maintaining the status quo with respect to our ownership interest in VMware, Inc. </w:t>
      </w:r>
    </w:p>
    <w:p w14:paraId="7DCFD117" w14:textId="77777777" w:rsidR="00C1563E" w:rsidRDefault="00C1563E">
      <w:pPr>
        <w:jc w:val="center"/>
      </w:pPr>
    </w:p>
    <w:p w14:paraId="7DCFD118" w14:textId="77777777" w:rsidR="00C1563E" w:rsidRDefault="000B648B">
      <w:pPr>
        <w:jc w:val="center"/>
      </w:pPr>
      <w:r>
        <w:rPr>
          <w:rFonts w:ascii="Times New Roman" w:eastAsia="宋体" w:hAnsi="Times New Roman"/>
          <w:color w:val="000000"/>
          <w:sz w:val="20"/>
          <w:szCs w:val="20"/>
        </w:rPr>
        <w:t>41</w:t>
      </w:r>
    </w:p>
    <w:p w14:paraId="7DCFD119" w14:textId="77777777" w:rsidR="00C1563E" w:rsidRDefault="00C1563E">
      <w:pPr>
        <w:jc w:val="center"/>
      </w:pPr>
    </w:p>
    <w:p w14:paraId="7DCFD11A" w14:textId="77777777" w:rsidR="00C1563E" w:rsidRDefault="000B648B">
      <w:r>
        <w:pict w14:anchorId="7DD02593">
          <v:rect id="_x0000_i1065" style="width:415.3pt;height:1.5pt" o:hralign="center" o:hrstd="t" o:hr="t" fillcolor="#a0a0a0" stroked="f"/>
        </w:pict>
      </w:r>
    </w:p>
    <w:p w14:paraId="7DCFD11B" w14:textId="77777777" w:rsidR="00C1563E" w:rsidRDefault="000B648B">
      <w:hyperlink r:id="rId117" w:anchor="i418e32e4a35149ffbf7d3a25d66881b8_10" w:history="1">
        <w:r>
          <w:rPr>
            <w:rStyle w:val="a5"/>
            <w:rFonts w:ascii="Times New Roman" w:eastAsia="宋体" w:hAnsi="Times New Roman"/>
            <w:sz w:val="20"/>
            <w:szCs w:val="20"/>
          </w:rPr>
          <w:t>Table of Contents</w:t>
        </w:r>
      </w:hyperlink>
    </w:p>
    <w:p w14:paraId="7DCFD11C" w14:textId="77777777" w:rsidR="00C1563E" w:rsidRDefault="000B648B">
      <w:r>
        <w:rPr>
          <w:rFonts w:ascii="Times New Roman" w:eastAsia="宋体" w:hAnsi="Times New Roman"/>
          <w:b/>
          <w:bCs/>
          <w:color w:val="000000"/>
          <w:sz w:val="20"/>
          <w:szCs w:val="20"/>
        </w:rPr>
        <w:t>NON-GAAP FINANCIAL MEASURES</w:t>
      </w:r>
    </w:p>
    <w:p w14:paraId="7DCFD11D" w14:textId="77777777" w:rsidR="00C1563E" w:rsidRDefault="00C1563E"/>
    <w:p w14:paraId="7DCFD11E" w14:textId="77777777" w:rsidR="00C1563E" w:rsidRDefault="000B648B">
      <w:r>
        <w:rPr>
          <w:rFonts w:ascii="Times New Roman" w:eastAsia="宋体" w:hAnsi="Times New Roman"/>
          <w:color w:val="000000"/>
          <w:sz w:val="20"/>
          <w:szCs w:val="20"/>
        </w:rPr>
        <w:t>In this management’s discussion and analysis, we use su</w:t>
      </w:r>
      <w:r>
        <w:rPr>
          <w:rFonts w:ascii="Times New Roman" w:eastAsia="宋体" w:hAnsi="Times New Roman"/>
          <w:color w:val="000000"/>
          <w:sz w:val="20"/>
          <w:szCs w:val="20"/>
        </w:rPr>
        <w:t>pplemental measures of our performance which are derived from our consolidated financial information but which are not presented in our consolidated financial statements prepared in accordance with GAAP. These non-GAAP financial measures include non-GAAP p</w:t>
      </w:r>
      <w:r>
        <w:rPr>
          <w:rFonts w:ascii="Times New Roman" w:eastAsia="宋体" w:hAnsi="Times New Roman"/>
          <w:color w:val="000000"/>
          <w:sz w:val="20"/>
          <w:szCs w:val="20"/>
        </w:rPr>
        <w:t>roduct net revenue; non-GAAP services net revenue; non-GAAP net revenue; non-GAAP product gross margin; non-GAAP services gross margin; non-GAAP gross margin; non-GAAP operating expenses; non-GAAP operating income; non-GAAP net income; earnings before inte</w:t>
      </w:r>
      <w:r>
        <w:rPr>
          <w:rFonts w:ascii="Times New Roman" w:eastAsia="宋体" w:hAnsi="Times New Roman"/>
          <w:color w:val="000000"/>
          <w:sz w:val="20"/>
          <w:szCs w:val="20"/>
        </w:rPr>
        <w:t>rest and other, net, taxes, depreciation, and amortization (“EBITDA”); and adjusted EBITDA.</w:t>
      </w:r>
    </w:p>
    <w:p w14:paraId="7DCFD11F" w14:textId="77777777" w:rsidR="00C1563E" w:rsidRDefault="000B648B">
      <w:r>
        <w:rPr>
          <w:rFonts w:ascii="Times New Roman" w:eastAsia="宋体" w:hAnsi="Times New Roman"/>
          <w:color w:val="000000"/>
          <w:sz w:val="20"/>
          <w:szCs w:val="20"/>
        </w:rPr>
        <w:t>We use non-GAAP financial measures to supplement financial information presented on a GAAP basis. Management considers these non-GAAP measures in evaluating our ope</w:t>
      </w:r>
      <w:r>
        <w:rPr>
          <w:rFonts w:ascii="Times New Roman" w:eastAsia="宋体" w:hAnsi="Times New Roman"/>
          <w:color w:val="000000"/>
          <w:sz w:val="20"/>
          <w:szCs w:val="20"/>
        </w:rPr>
        <w:t>rating trends and performance. Moreover, we believe these non-GAAP financial measures provide our stakeholders with useful and transparent information to help them evaluate our operating results by facilitating an enhanced understanding of our operating pe</w:t>
      </w:r>
      <w:r>
        <w:rPr>
          <w:rFonts w:ascii="Times New Roman" w:eastAsia="宋体" w:hAnsi="Times New Roman"/>
          <w:color w:val="000000"/>
          <w:sz w:val="20"/>
          <w:szCs w:val="20"/>
        </w:rPr>
        <w:t>rformance and enabling them to make more meaningful period to period comparisons. There are limitations to the use of the non-GAAP financial measures presented in this report. Our non-GAAP financial measures may not be comparable to similarly titled measur</w:t>
      </w:r>
      <w:r>
        <w:rPr>
          <w:rFonts w:ascii="Times New Roman" w:eastAsia="宋体" w:hAnsi="Times New Roman"/>
          <w:color w:val="000000"/>
          <w:sz w:val="20"/>
          <w:szCs w:val="20"/>
        </w:rPr>
        <w:t>es of other companies. Other companies, including companies in our industry, may calculate non-GAAP financial measures differently than we do, limiting the usefulness of those measures for comparative purposes.</w:t>
      </w:r>
    </w:p>
    <w:p w14:paraId="7DCFD120" w14:textId="77777777" w:rsidR="00C1563E" w:rsidRDefault="00C1563E"/>
    <w:p w14:paraId="7DCFD121" w14:textId="77777777" w:rsidR="00C1563E" w:rsidRDefault="000B648B">
      <w:r>
        <w:rPr>
          <w:rFonts w:ascii="Times New Roman" w:eastAsia="宋体" w:hAnsi="Times New Roman"/>
          <w:color w:val="000000"/>
          <w:sz w:val="20"/>
          <w:szCs w:val="20"/>
        </w:rPr>
        <w:t>Non-GAAP product net revenue, non-GAAP servi</w:t>
      </w:r>
      <w:r>
        <w:rPr>
          <w:rFonts w:ascii="Times New Roman" w:eastAsia="宋体" w:hAnsi="Times New Roman"/>
          <w:color w:val="000000"/>
          <w:sz w:val="20"/>
          <w:szCs w:val="20"/>
        </w:rPr>
        <w:t>ces net revenue, non-GAAP net revenue, non-GAAP product gross margin, non-GAAP services gross margin, non-GAAP gross margin, non-GAAP operating expenses, non-GAAP operating income, and non-GAAP net income, as defined by us, exclude amortization of intangib</w:t>
      </w:r>
      <w:r>
        <w:rPr>
          <w:rFonts w:ascii="Times New Roman" w:eastAsia="宋体" w:hAnsi="Times New Roman"/>
          <w:color w:val="000000"/>
          <w:sz w:val="20"/>
          <w:szCs w:val="20"/>
        </w:rPr>
        <w:t xml:space="preserve">le assets, the impact of purchase accounting, transaction-related expenses, stock-based compensation expense, other corporate expenses and, for non-GAAP net income, fair value adjustments on equity adjustments and an aggregate adjustment for income taxes. </w:t>
      </w:r>
      <w:r>
        <w:rPr>
          <w:rFonts w:ascii="Times New Roman" w:eastAsia="宋体" w:hAnsi="Times New Roman"/>
          <w:color w:val="000000"/>
          <w:sz w:val="20"/>
          <w:szCs w:val="20"/>
        </w:rPr>
        <w:t>As the excluded items have a material impact on our financial results, our management compensates for this limitation by relying primarily on our GAAP results and using non-GAAP financial measures supplementally or for projections when comparable GAAP fina</w:t>
      </w:r>
      <w:r>
        <w:rPr>
          <w:rFonts w:ascii="Times New Roman" w:eastAsia="宋体" w:hAnsi="Times New Roman"/>
          <w:color w:val="000000"/>
          <w:sz w:val="20"/>
          <w:szCs w:val="20"/>
        </w:rPr>
        <w:t>ncial measures are not available. The non-GAAP financial measures are not meant to be considered as indicators of performance in isolation from or as a substitute for net revenue, gross margin, operating expenses, operating income, or net income prepared i</w:t>
      </w:r>
      <w:r>
        <w:rPr>
          <w:rFonts w:ascii="Times New Roman" w:eastAsia="宋体" w:hAnsi="Times New Roman"/>
          <w:color w:val="000000"/>
          <w:sz w:val="20"/>
          <w:szCs w:val="20"/>
        </w:rPr>
        <w:t>n accordance with GAAP, and should be read only in conjunction with financial information presented on a GAAP basis.</w:t>
      </w:r>
    </w:p>
    <w:p w14:paraId="7DCFD122" w14:textId="77777777" w:rsidR="00C1563E" w:rsidRDefault="00C1563E"/>
    <w:p w14:paraId="7DCFD123" w14:textId="77777777" w:rsidR="00C1563E" w:rsidRDefault="000B648B">
      <w:r>
        <w:rPr>
          <w:rFonts w:ascii="Times New Roman" w:eastAsia="宋体" w:hAnsi="Times New Roman"/>
          <w:color w:val="000000"/>
          <w:sz w:val="20"/>
          <w:szCs w:val="20"/>
        </w:rPr>
        <w:t>Reconciliations of each non-GAAP financial measure to its most directly comparable GAAP financial measure are presented below. We encourag</w:t>
      </w:r>
      <w:r>
        <w:rPr>
          <w:rFonts w:ascii="Times New Roman" w:eastAsia="宋体" w:hAnsi="Times New Roman"/>
          <w:color w:val="000000"/>
          <w:sz w:val="20"/>
          <w:szCs w:val="20"/>
        </w:rPr>
        <w:t>e you to review the reconciliations in conjunction with the presentation of the non-GAAP financial measures for each of the periods presented. The discussion below includes information on each of the excluded items as well as our reasons for excluding them</w:t>
      </w:r>
      <w:r>
        <w:rPr>
          <w:rFonts w:ascii="Times New Roman" w:eastAsia="宋体" w:hAnsi="Times New Roman"/>
          <w:color w:val="000000"/>
          <w:sz w:val="20"/>
          <w:szCs w:val="20"/>
        </w:rPr>
        <w:t xml:space="preserve"> from our non-GAAP results. In future fiscal periods, we may exclude such items and may incur income and expenses similar to these excluded items. Accordingly, the exclusion of these items and other similar items in our non-GAAP presentation should not be </w:t>
      </w:r>
      <w:r>
        <w:rPr>
          <w:rFonts w:ascii="Times New Roman" w:eastAsia="宋体" w:hAnsi="Times New Roman"/>
          <w:color w:val="000000"/>
          <w:sz w:val="20"/>
          <w:szCs w:val="20"/>
        </w:rPr>
        <w:t>interpreted as implying that these items are non-recurring, infrequent, or unusual.</w:t>
      </w:r>
    </w:p>
    <w:p w14:paraId="7DCFD124" w14:textId="77777777" w:rsidR="00C1563E" w:rsidRDefault="00C1563E"/>
    <w:p w14:paraId="7DCFD125" w14:textId="77777777" w:rsidR="00C1563E" w:rsidRDefault="000B648B">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7DCFD126" w14:textId="77777777" w:rsidR="00C1563E" w:rsidRDefault="00C1563E"/>
    <w:p w14:paraId="7DCFD127"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Intangibl</w:t>
      </w:r>
      <w:r>
        <w:rPr>
          <w:rFonts w:ascii="Times New Roman" w:eastAsia="宋体" w:hAnsi="Times New Roman"/>
          <w:i/>
          <w:iCs/>
          <w:color w:val="000000"/>
          <w:sz w:val="20"/>
          <w:szCs w:val="20"/>
          <w:u w:val="single"/>
        </w:rPr>
        <w:t>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Amortization of intangible assets primarily consists of amortization of customer relationships, developed technology, and trade names. In connection with our acquisition by merger of EMC on September 7, 2016, referred to as the EMC merger </w:t>
      </w:r>
      <w:r>
        <w:rPr>
          <w:rFonts w:ascii="Times New Roman" w:eastAsia="宋体" w:hAnsi="Times New Roman"/>
          <w:color w:val="000000"/>
          <w:sz w:val="20"/>
          <w:szCs w:val="20"/>
        </w:rPr>
        <w:t>transaction, and the acquisition of Dell Inc. by Dell Technologies Inc. on October 29, 2013, referred to as the going-private transaction, all of the tangible and intangible assets and liabilities of EMC and Dell, respectively, were accounted for and recog</w:t>
      </w:r>
      <w:r>
        <w:rPr>
          <w:rFonts w:ascii="Times New Roman" w:eastAsia="宋体" w:hAnsi="Times New Roman"/>
          <w:color w:val="000000"/>
          <w:sz w:val="20"/>
          <w:szCs w:val="20"/>
        </w:rPr>
        <w:t>nized at fair value on the transaction dates. Accordingly, for the periods presented, amortization of intangible assets represents amortization associated with intangible assets recognized in connection with the EMC merger transaction and the going-private</w:t>
      </w:r>
      <w:r>
        <w:rPr>
          <w:rFonts w:ascii="Times New Roman" w:eastAsia="宋体" w:hAnsi="Times New Roman"/>
          <w:color w:val="000000"/>
          <w:sz w:val="20"/>
          <w:szCs w:val="20"/>
        </w:rPr>
        <w:t xml:space="preserve"> transaction. Amortization charges for purchased intangible assets are significantly impacted by the timing and magnitude of our acquisitions, and these charges may vary in amount from period to period. We exclude these charges for purposes of calculating </w:t>
      </w:r>
      <w:r>
        <w:rPr>
          <w:rFonts w:ascii="Times New Roman" w:eastAsia="宋体" w:hAnsi="Times New Roman"/>
          <w:color w:val="000000"/>
          <w:sz w:val="20"/>
          <w:szCs w:val="20"/>
        </w:rPr>
        <w:t>the non-GAAP financial measures presented below to facilitate a more meaningful evaluation of our current operating performance and comparisons to our past operating performance.</w:t>
      </w:r>
    </w:p>
    <w:p w14:paraId="7DCFD128" w14:textId="77777777" w:rsidR="00C1563E" w:rsidRDefault="00C1563E"/>
    <w:p w14:paraId="7DCFD129" w14:textId="77777777" w:rsidR="00C1563E" w:rsidRDefault="00C1563E">
      <w:pPr>
        <w:jc w:val="center"/>
      </w:pPr>
    </w:p>
    <w:p w14:paraId="7DCFD12A" w14:textId="77777777" w:rsidR="00C1563E" w:rsidRDefault="000B648B">
      <w:pPr>
        <w:jc w:val="center"/>
      </w:pPr>
      <w:r>
        <w:rPr>
          <w:rFonts w:ascii="Times New Roman" w:eastAsia="宋体" w:hAnsi="Times New Roman"/>
          <w:color w:val="000000"/>
          <w:sz w:val="20"/>
          <w:szCs w:val="20"/>
        </w:rPr>
        <w:t>42</w:t>
      </w:r>
    </w:p>
    <w:p w14:paraId="7DCFD12B" w14:textId="77777777" w:rsidR="00C1563E" w:rsidRDefault="00C1563E">
      <w:pPr>
        <w:jc w:val="center"/>
      </w:pPr>
    </w:p>
    <w:p w14:paraId="7DCFD12C" w14:textId="77777777" w:rsidR="00C1563E" w:rsidRDefault="000B648B">
      <w:r>
        <w:pict w14:anchorId="7DD02594">
          <v:rect id="_x0000_i1066" style="width:415.3pt;height:1.5pt" o:hralign="center" o:hrstd="t" o:hr="t" fillcolor="#a0a0a0" stroked="f"/>
        </w:pict>
      </w:r>
    </w:p>
    <w:p w14:paraId="7DCFD12D" w14:textId="77777777" w:rsidR="00C1563E" w:rsidRDefault="000B648B">
      <w:hyperlink r:id="rId118" w:anchor="i418e32e4a35149ffbf7d3a25d66881b8_10" w:history="1">
        <w:r>
          <w:rPr>
            <w:rStyle w:val="a5"/>
            <w:rFonts w:ascii="Times New Roman" w:eastAsia="宋体" w:hAnsi="Times New Roman"/>
            <w:sz w:val="20"/>
            <w:szCs w:val="20"/>
          </w:rPr>
          <w:t>Table of Contents</w:t>
        </w:r>
      </w:hyperlink>
    </w:p>
    <w:p w14:paraId="7DCFD12E"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 accounting adjustments related to the EMC merger transaction and, to</w:t>
      </w:r>
      <w:r>
        <w:rPr>
          <w:rFonts w:ascii="Times New Roman" w:eastAsia="宋体" w:hAnsi="Times New Roman"/>
          <w:color w:val="000000"/>
          <w:sz w:val="20"/>
          <w:szCs w:val="20"/>
        </w:rPr>
        <w:t xml:space="preserve"> a lesser extent, the going-private transaction, recorded under the acquisition method of accounting in accordance with the accounting guidance for business combinations. This guidance prescribes that the purchase price be allocated to assets acquired and </w:t>
      </w:r>
      <w:r>
        <w:rPr>
          <w:rFonts w:ascii="Times New Roman" w:eastAsia="宋体" w:hAnsi="Times New Roman"/>
          <w:color w:val="000000"/>
          <w:sz w:val="20"/>
          <w:szCs w:val="20"/>
        </w:rPr>
        <w:t xml:space="preserve">liabilities assumed based on the estimated fair value of such assets and liabilities on the date of the transaction. Accordingly, all of the assets and liabilities acquired in the EMC merger transaction and the going-private transaction were accounted for </w:t>
      </w:r>
      <w:r>
        <w:rPr>
          <w:rFonts w:ascii="Times New Roman" w:eastAsia="宋体" w:hAnsi="Times New Roman"/>
          <w:color w:val="000000"/>
          <w:sz w:val="20"/>
          <w:szCs w:val="20"/>
        </w:rPr>
        <w:t>and recognized at fair value as of the respective transaction dates, and the fair value adjustments are being amortized over the estimated useful lives in the periods following the transactions. The fair value adjustments primarily relate to deferred reven</w:t>
      </w:r>
      <w:r>
        <w:rPr>
          <w:rFonts w:ascii="Times New Roman" w:eastAsia="宋体" w:hAnsi="Times New Roman"/>
          <w:color w:val="000000"/>
          <w:sz w:val="20"/>
          <w:szCs w:val="20"/>
        </w:rPr>
        <w:t>ue, inventory, and property, plant, and equipment. Although purchase accounting adjustments and related amortization of those adjustments are reflected in our GAAP results, we evaluate the operating results of the underlying businesses on a non-GAAP basis,</w:t>
      </w:r>
      <w:r>
        <w:rPr>
          <w:rFonts w:ascii="Times New Roman" w:eastAsia="宋体" w:hAnsi="Times New Roman"/>
          <w:color w:val="000000"/>
          <w:sz w:val="20"/>
          <w:szCs w:val="20"/>
        </w:rPr>
        <w:t xml:space="preserve"> after removing such adjustments. We believe that excluding the impact of purchase accounting provides results that are useful in understanding our current operating performance and provides more meaningful comparisons to our past operating performance.</w:t>
      </w:r>
    </w:p>
    <w:p w14:paraId="7DCFD12F" w14:textId="77777777" w:rsidR="00C1563E" w:rsidRDefault="00C1563E"/>
    <w:p w14:paraId="7DCFD130"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Transaction-related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Transaction-related expenses typically consist of acquisition, integration, and divestiture related costs, as well as the costs incurred in the Class V transaction, and are expensed as incurred. These expenses primarily repre</w:t>
      </w:r>
      <w:r>
        <w:rPr>
          <w:rFonts w:ascii="Times New Roman" w:eastAsia="宋体" w:hAnsi="Times New Roman"/>
          <w:color w:val="000000"/>
          <w:sz w:val="20"/>
          <w:szCs w:val="20"/>
        </w:rPr>
        <w:t>sent costs for legal, banking, consulting, and advisory services.  From time to time, this category also may include transaction-related gains on divestitures of businesses or asset sales. During Fiscal 2021, we recognized a gain of $120 million on the sal</w:t>
      </w:r>
      <w:r>
        <w:rPr>
          <w:rFonts w:ascii="Times New Roman" w:eastAsia="宋体" w:hAnsi="Times New Roman"/>
          <w:color w:val="000000"/>
          <w:sz w:val="20"/>
          <w:szCs w:val="20"/>
        </w:rPr>
        <w:t>e of certain intellectual property assets and a pre-tax gain of $338 million on the sale of RSA Security. During Fiscal 2020, transaction expenses included various acquisition costs that primarily consisted of costs of VMware, Inc.’s acquisitions of Carbon</w:t>
      </w:r>
      <w:r>
        <w:rPr>
          <w:rFonts w:ascii="Times New Roman" w:eastAsia="宋体" w:hAnsi="Times New Roman"/>
          <w:color w:val="000000"/>
          <w:sz w:val="20"/>
          <w:szCs w:val="20"/>
        </w:rPr>
        <w:t xml:space="preserve"> Black and Pivotal. During Fiscal 2019, we incurred expenses of approximately $316 million for the completion of the Class V transaction, approximately $116 million for customer evaluation units, and approximately $100 million for manufacturing and enginee</w:t>
      </w:r>
      <w:r>
        <w:rPr>
          <w:rFonts w:ascii="Times New Roman" w:eastAsia="宋体" w:hAnsi="Times New Roman"/>
          <w:color w:val="000000"/>
          <w:sz w:val="20"/>
          <w:szCs w:val="20"/>
        </w:rPr>
        <w:t>ring inventory. We exclude these items for purposes of calculating the non-GAAP financial measures presented below to facilitate a more meaningful evaluation of our current operating performance and comparisons to our past operating performance.</w:t>
      </w:r>
    </w:p>
    <w:p w14:paraId="7DCFD131" w14:textId="77777777" w:rsidR="00C1563E" w:rsidRDefault="00C1563E"/>
    <w:p w14:paraId="7DCFD132"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w:t>
      </w:r>
      <w:r>
        <w:rPr>
          <w:rFonts w:ascii="Times New Roman" w:eastAsia="宋体" w:hAnsi="Times New Roman"/>
          <w:i/>
          <w:iCs/>
          <w:color w:val="000000"/>
          <w:sz w:val="20"/>
          <w:szCs w:val="20"/>
          <w:u w:val="single"/>
        </w:rPr>
        <w:t>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Stock-based compensation expense consists of equity awards granted based on the estimated fair value of those awards at grant date. We estimate the fair value of service-based stock options using the Black-Scholes valuation model</w:t>
      </w:r>
      <w:r>
        <w:rPr>
          <w:rFonts w:ascii="Times New Roman" w:eastAsia="宋体" w:hAnsi="Times New Roman"/>
          <w:color w:val="000000"/>
          <w:sz w:val="20"/>
          <w:szCs w:val="20"/>
        </w:rPr>
        <w:t>. To estimate the fair value of performance-based awards containing a market condition, we use the Monte Carlo valuation model. For all other share-based awards, the fair value is based on the closing price of the Class C Common Stock as reported on the NY</w:t>
      </w:r>
      <w:r>
        <w:rPr>
          <w:rFonts w:ascii="Times New Roman" w:eastAsia="宋体" w:hAnsi="Times New Roman"/>
          <w:color w:val="000000"/>
          <w:sz w:val="20"/>
          <w:szCs w:val="20"/>
        </w:rPr>
        <w:t>SE on the date of grant.  Although stock-based compensation is an important aspect of the compensation of our employees and executives, the fair value of the stock-based awards may bear little resemblance to the actual value realized upon the vesting or fu</w:t>
      </w:r>
      <w:r>
        <w:rPr>
          <w:rFonts w:ascii="Times New Roman" w:eastAsia="宋体" w:hAnsi="Times New Roman"/>
          <w:color w:val="000000"/>
          <w:sz w:val="20"/>
          <w:szCs w:val="20"/>
        </w:rPr>
        <w:t>ture exercise of the related stock-based awards. We believe that excluding stock-based compensation expense for purposes of calculating the non-GAAP financial measures presented below facilitates a more meaningful evaluation of our current operating perfor</w:t>
      </w:r>
      <w:r>
        <w:rPr>
          <w:rFonts w:ascii="Times New Roman" w:eastAsia="宋体" w:hAnsi="Times New Roman"/>
          <w:color w:val="000000"/>
          <w:sz w:val="20"/>
          <w:szCs w:val="20"/>
        </w:rPr>
        <w:t>mance and comparisons to our past operating performance. See Note 16 of the Notes to the Consolidated Financial Statements included in this report for additional information on equity award issuances.</w:t>
      </w:r>
    </w:p>
    <w:p w14:paraId="7DCFD133" w14:textId="77777777" w:rsidR="00C1563E" w:rsidRDefault="00C1563E"/>
    <w:p w14:paraId="7DCFD134"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w:t>
      </w:r>
      <w:r>
        <w:rPr>
          <w:rFonts w:ascii="Times New Roman" w:eastAsia="宋体" w:hAnsi="Times New Roman"/>
          <w:color w:val="000000"/>
          <w:sz w:val="20"/>
          <w:szCs w:val="20"/>
        </w:rPr>
        <w:t xml:space="preserve">onsist of impairment charges, severance, facility action, and other costs. Virtustream non-cash pre-tax asset impairment charges of $619 million and $190 million were recognized in Fiscal 2020 and Fiscal 2019, respectively. This category also includes the </w:t>
      </w:r>
      <w:r>
        <w:rPr>
          <w:rFonts w:ascii="Times New Roman" w:eastAsia="宋体" w:hAnsi="Times New Roman"/>
          <w:color w:val="000000"/>
          <w:sz w:val="20"/>
          <w:szCs w:val="20"/>
        </w:rPr>
        <w:t>derecognition of a $237 million previously accrued litigation loss as a result of a jury verdict in January 2020 against VMware, Inc. in a patent litigation matter. In December 2020, the United States District Court of the District of Delaware set aside th</w:t>
      </w:r>
      <w:r>
        <w:rPr>
          <w:rFonts w:ascii="Times New Roman" w:eastAsia="宋体" w:hAnsi="Times New Roman"/>
          <w:color w:val="000000"/>
          <w:sz w:val="20"/>
          <w:szCs w:val="20"/>
        </w:rPr>
        <w:t xml:space="preserve">e jury verdict and ordered a new trial. See Note 10 of the Notes to the Consolidated Financial Statements included in this report for more information about this patent litigation matter. Severance costs are primarily related to severance and benefits for </w:t>
      </w:r>
      <w:r>
        <w:rPr>
          <w:rFonts w:ascii="Times New Roman" w:eastAsia="宋体" w:hAnsi="Times New Roman"/>
          <w:color w:val="000000"/>
          <w:sz w:val="20"/>
          <w:szCs w:val="20"/>
        </w:rPr>
        <w:t>employees terminated pursuant to cost savings initiatives. We continue to integrate owned and leased facilities and may incur additional costs as we seek opportunities for operational efficiencies. Other corporate expenses vary from period to period and ar</w:t>
      </w:r>
      <w:r>
        <w:rPr>
          <w:rFonts w:ascii="Times New Roman" w:eastAsia="宋体" w:hAnsi="Times New Roman"/>
          <w:color w:val="000000"/>
          <w:sz w:val="20"/>
          <w:szCs w:val="20"/>
        </w:rPr>
        <w:t>e significantly impacted by the timing and nature of these events. Therefore, although we may incur these types of expenses in the future, we believe that eliminating these charges for purposes of calculating the non-GAAP financial measures presented below</w:t>
      </w:r>
      <w:r>
        <w:rPr>
          <w:rFonts w:ascii="Times New Roman" w:eastAsia="宋体" w:hAnsi="Times New Roman"/>
          <w:color w:val="000000"/>
          <w:sz w:val="20"/>
          <w:szCs w:val="20"/>
        </w:rPr>
        <w:t xml:space="preserve"> facilitates a more meaningful evaluation of our current operating performance and comparisons to our past operating performance.</w:t>
      </w:r>
    </w:p>
    <w:p w14:paraId="7DCFD135" w14:textId="77777777" w:rsidR="00C1563E" w:rsidRDefault="00C1563E"/>
    <w:p w14:paraId="7DCFD136" w14:textId="77777777" w:rsidR="00C1563E" w:rsidRDefault="00C1563E">
      <w:pPr>
        <w:jc w:val="center"/>
      </w:pPr>
    </w:p>
    <w:p w14:paraId="7DCFD137" w14:textId="77777777" w:rsidR="00C1563E" w:rsidRDefault="000B648B">
      <w:pPr>
        <w:jc w:val="center"/>
      </w:pPr>
      <w:r>
        <w:rPr>
          <w:rFonts w:ascii="Times New Roman" w:eastAsia="宋体" w:hAnsi="Times New Roman"/>
          <w:color w:val="000000"/>
          <w:sz w:val="20"/>
          <w:szCs w:val="20"/>
        </w:rPr>
        <w:t>43</w:t>
      </w:r>
    </w:p>
    <w:p w14:paraId="7DCFD138" w14:textId="77777777" w:rsidR="00C1563E" w:rsidRDefault="00C1563E">
      <w:pPr>
        <w:jc w:val="center"/>
      </w:pPr>
    </w:p>
    <w:p w14:paraId="7DCFD139" w14:textId="77777777" w:rsidR="00C1563E" w:rsidRDefault="000B648B">
      <w:r>
        <w:pict w14:anchorId="7DD02595">
          <v:rect id="_x0000_i1067" style="width:415.3pt;height:1.5pt" o:hralign="center" o:hrstd="t" o:hr="t" fillcolor="#a0a0a0" stroked="f"/>
        </w:pict>
      </w:r>
    </w:p>
    <w:p w14:paraId="7DCFD13A" w14:textId="77777777" w:rsidR="00C1563E" w:rsidRDefault="000B648B">
      <w:hyperlink r:id="rId119" w:anchor="i418e32e4a35149ffbf7d3a25d66881b8_10" w:history="1">
        <w:r>
          <w:rPr>
            <w:rStyle w:val="a5"/>
            <w:rFonts w:ascii="Times New Roman" w:eastAsia="宋体" w:hAnsi="Times New Roman"/>
            <w:sz w:val="20"/>
            <w:szCs w:val="20"/>
          </w:rPr>
          <w:t>Table of Contents</w:t>
        </w:r>
      </w:hyperlink>
    </w:p>
    <w:p w14:paraId="7DCFD13B" w14:textId="77777777" w:rsidR="00C1563E" w:rsidRDefault="000B648B">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value adjustments on equity investments primarily consists of the gain (loss) on strategic investments, which includes the recurring fair value adjustments of investments in publicly-traded companies, as well as those in privately-held companies, w</w:t>
      </w:r>
      <w:r>
        <w:rPr>
          <w:rFonts w:ascii="Times New Roman" w:eastAsia="宋体" w:hAnsi="Times New Roman"/>
          <w:color w:val="000000"/>
          <w:sz w:val="20"/>
          <w:szCs w:val="20"/>
        </w:rPr>
        <w:t>hich are adjusted for observable price changes, and to a lesser extent, any potential impairments. During Fiscal 2021, this category included an unrealized net gain of $396 million related to one of our strategic investments. See Note 3 of the Notes to the</w:t>
      </w:r>
      <w:r>
        <w:rPr>
          <w:rFonts w:ascii="Times New Roman" w:eastAsia="宋体" w:hAnsi="Times New Roman"/>
          <w:color w:val="000000"/>
          <w:sz w:val="20"/>
          <w:szCs w:val="20"/>
        </w:rPr>
        <w:t xml:space="preserve"> Consolidated Financial Statements included in this report for additional information on our strategic investment activity. Given the volatility in the ongoing adjustments to the valuation of these strategic investments, we believe that excluding these gai</w:t>
      </w:r>
      <w:r>
        <w:rPr>
          <w:rFonts w:ascii="Times New Roman" w:eastAsia="宋体" w:hAnsi="Times New Roman"/>
          <w:color w:val="000000"/>
          <w:sz w:val="20"/>
          <w:szCs w:val="20"/>
        </w:rPr>
        <w:t>ns and losses for purposes of calculating non-GAAP net income presented below facilitates a more meaningful evaluation of our current operating performance and comparisons to our past operating performance.</w:t>
      </w:r>
    </w:p>
    <w:p w14:paraId="7DCFD13C" w14:textId="77777777" w:rsidR="00C1563E" w:rsidRDefault="00C1563E"/>
    <w:p w14:paraId="7DCFD13D"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w:t>
      </w:r>
      <w:r>
        <w:rPr>
          <w:rFonts w:ascii="Times New Roman" w:eastAsia="宋体" w:hAnsi="Times New Roman"/>
          <w:color w:val="000000"/>
          <w:sz w:val="20"/>
          <w:szCs w:val="20"/>
        </w:rPr>
        <w:t>regate adjustment for income taxes is the estimated combined income tax effect for the adjustments described above, as well as an adjustment for discrete tax items. Due to the variability in recognition of discrete tax items from period to period, we belie</w:t>
      </w:r>
      <w:r>
        <w:rPr>
          <w:rFonts w:ascii="Times New Roman" w:eastAsia="宋体" w:hAnsi="Times New Roman"/>
          <w:color w:val="000000"/>
          <w:sz w:val="20"/>
          <w:szCs w:val="20"/>
        </w:rPr>
        <w:t>ve that excluding these benefits or charges for purposes of calculating non-GAAP net income facilitates a more meaningful evaluation of our current operating performance and comparisons to our past operating performance. The tax effects are determined base</w:t>
      </w:r>
      <w:r>
        <w:rPr>
          <w:rFonts w:ascii="Times New Roman" w:eastAsia="宋体" w:hAnsi="Times New Roman"/>
          <w:color w:val="000000"/>
          <w:sz w:val="20"/>
          <w:szCs w:val="20"/>
        </w:rPr>
        <w:t>d on the tax jurisdictions where the above items were incurred. See Note 11 of the Notes to the Consolidated Financial Statements included in this report for additional information on our income taxes.</w:t>
      </w:r>
    </w:p>
    <w:p w14:paraId="7DCFD13E" w14:textId="77777777" w:rsidR="00C1563E" w:rsidRDefault="00C1563E"/>
    <w:p w14:paraId="7DCFD13F" w14:textId="77777777" w:rsidR="00C1563E" w:rsidRDefault="00C1563E">
      <w:pPr>
        <w:jc w:val="center"/>
      </w:pPr>
    </w:p>
    <w:p w14:paraId="7DCFD140" w14:textId="77777777" w:rsidR="00C1563E" w:rsidRDefault="000B648B">
      <w:pPr>
        <w:jc w:val="center"/>
      </w:pPr>
      <w:r>
        <w:rPr>
          <w:rFonts w:ascii="Times New Roman" w:eastAsia="宋体" w:hAnsi="Times New Roman"/>
          <w:color w:val="000000"/>
          <w:sz w:val="20"/>
          <w:szCs w:val="20"/>
        </w:rPr>
        <w:t>44</w:t>
      </w:r>
    </w:p>
    <w:p w14:paraId="7DCFD141" w14:textId="77777777" w:rsidR="00C1563E" w:rsidRDefault="00C1563E">
      <w:pPr>
        <w:jc w:val="center"/>
      </w:pPr>
    </w:p>
    <w:p w14:paraId="7DCFD142" w14:textId="77777777" w:rsidR="00C1563E" w:rsidRDefault="000B648B">
      <w:r>
        <w:pict w14:anchorId="7DD02596">
          <v:rect id="_x0000_i1068" style="width:415.3pt;height:1.5pt" o:hralign="center" o:hrstd="t" o:hr="t" fillcolor="#a0a0a0" stroked="f"/>
        </w:pict>
      </w:r>
    </w:p>
    <w:p w14:paraId="7DCFD143" w14:textId="77777777" w:rsidR="00C1563E" w:rsidRDefault="000B648B">
      <w:hyperlink r:id="rId120" w:anchor="i418e32e4a35149ffbf7d3a25d66881b8_10" w:history="1">
        <w:r>
          <w:rPr>
            <w:rStyle w:val="a5"/>
            <w:rFonts w:ascii="Times New Roman" w:eastAsia="宋体" w:hAnsi="Times New Roman"/>
            <w:sz w:val="20"/>
            <w:szCs w:val="20"/>
          </w:rPr>
          <w:t>Table of Contents</w:t>
        </w:r>
      </w:hyperlink>
    </w:p>
    <w:p w14:paraId="7DCFD144" w14:textId="77777777" w:rsidR="00C1563E" w:rsidRDefault="000B648B">
      <w:pPr>
        <w:spacing w:after="120"/>
      </w:pPr>
      <w:r>
        <w:rPr>
          <w:rFonts w:ascii="Times New Roman" w:eastAsia="宋体" w:hAnsi="Times New Roman"/>
          <w:color w:val="000000"/>
          <w:sz w:val="20"/>
          <w:szCs w:val="20"/>
        </w:rPr>
        <w:t xml:space="preserve">The following table presents a reconciliation of each non-GAAP financial measure to the most directly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786"/>
        <w:gridCol w:w="39"/>
        <w:gridCol w:w="36"/>
        <w:gridCol w:w="36"/>
        <w:gridCol w:w="36"/>
        <w:gridCol w:w="36"/>
        <w:gridCol w:w="36"/>
        <w:gridCol w:w="36"/>
        <w:gridCol w:w="120"/>
        <w:gridCol w:w="921"/>
        <w:gridCol w:w="36"/>
        <w:gridCol w:w="36"/>
        <w:gridCol w:w="36"/>
        <w:gridCol w:w="36"/>
        <w:gridCol w:w="72"/>
        <w:gridCol w:w="617"/>
        <w:gridCol w:w="187"/>
        <w:gridCol w:w="36"/>
        <w:gridCol w:w="36"/>
        <w:gridCol w:w="36"/>
        <w:gridCol w:w="120"/>
        <w:gridCol w:w="835"/>
        <w:gridCol w:w="36"/>
        <w:gridCol w:w="36"/>
        <w:gridCol w:w="36"/>
        <w:gridCol w:w="36"/>
        <w:gridCol w:w="72"/>
        <w:gridCol w:w="617"/>
        <w:gridCol w:w="187"/>
        <w:gridCol w:w="36"/>
        <w:gridCol w:w="36"/>
        <w:gridCol w:w="36"/>
        <w:gridCol w:w="121"/>
        <w:gridCol w:w="837"/>
        <w:gridCol w:w="36"/>
      </w:tblGrid>
      <w:tr w:rsidR="00C1563E" w14:paraId="7DCFD169" w14:textId="77777777">
        <w:trPr>
          <w:jc w:val="center"/>
        </w:trPr>
        <w:tc>
          <w:tcPr>
            <w:tcW w:w="50" w:type="pct"/>
            <w:shd w:val="clear" w:color="auto" w:fill="auto"/>
          </w:tcPr>
          <w:p w14:paraId="7DCFD145" w14:textId="77777777" w:rsidR="00C1563E" w:rsidRDefault="00C1563E">
            <w:pPr>
              <w:rPr>
                <w:rFonts w:ascii="宋体"/>
              </w:rPr>
            </w:pPr>
          </w:p>
        </w:tc>
        <w:tc>
          <w:tcPr>
            <w:tcW w:w="1809" w:type="pct"/>
            <w:shd w:val="clear" w:color="auto" w:fill="auto"/>
          </w:tcPr>
          <w:p w14:paraId="7DCFD146" w14:textId="77777777" w:rsidR="00C1563E" w:rsidRDefault="00C1563E">
            <w:pPr>
              <w:rPr>
                <w:rFonts w:ascii="宋体"/>
              </w:rPr>
            </w:pPr>
          </w:p>
        </w:tc>
        <w:tc>
          <w:tcPr>
            <w:tcW w:w="5" w:type="pct"/>
            <w:shd w:val="clear" w:color="auto" w:fill="auto"/>
          </w:tcPr>
          <w:p w14:paraId="7DCFD147" w14:textId="77777777" w:rsidR="00C1563E" w:rsidRDefault="00C1563E">
            <w:pPr>
              <w:rPr>
                <w:rFonts w:ascii="宋体"/>
              </w:rPr>
            </w:pPr>
          </w:p>
        </w:tc>
        <w:tc>
          <w:tcPr>
            <w:tcW w:w="0" w:type="auto"/>
            <w:shd w:val="clear" w:color="auto" w:fill="auto"/>
          </w:tcPr>
          <w:p w14:paraId="7DCFD148" w14:textId="77777777" w:rsidR="00C1563E" w:rsidRDefault="00C1563E">
            <w:pPr>
              <w:rPr>
                <w:rFonts w:ascii="宋体"/>
                <w:vanish/>
              </w:rPr>
            </w:pPr>
          </w:p>
        </w:tc>
        <w:tc>
          <w:tcPr>
            <w:tcW w:w="0" w:type="auto"/>
            <w:shd w:val="clear" w:color="auto" w:fill="auto"/>
          </w:tcPr>
          <w:p w14:paraId="7DCFD149" w14:textId="77777777" w:rsidR="00C1563E" w:rsidRDefault="00C1563E">
            <w:pPr>
              <w:rPr>
                <w:rFonts w:ascii="宋体"/>
                <w:vanish/>
              </w:rPr>
            </w:pPr>
          </w:p>
        </w:tc>
        <w:tc>
          <w:tcPr>
            <w:tcW w:w="0" w:type="auto"/>
            <w:shd w:val="clear" w:color="auto" w:fill="auto"/>
          </w:tcPr>
          <w:p w14:paraId="7DCFD14A" w14:textId="77777777" w:rsidR="00C1563E" w:rsidRDefault="00C1563E">
            <w:pPr>
              <w:rPr>
                <w:rFonts w:ascii="宋体"/>
                <w:vanish/>
              </w:rPr>
            </w:pPr>
          </w:p>
        </w:tc>
        <w:tc>
          <w:tcPr>
            <w:tcW w:w="0" w:type="auto"/>
            <w:shd w:val="clear" w:color="auto" w:fill="auto"/>
          </w:tcPr>
          <w:p w14:paraId="7DCFD14B" w14:textId="77777777" w:rsidR="00C1563E" w:rsidRDefault="00C1563E">
            <w:pPr>
              <w:rPr>
                <w:rFonts w:ascii="宋体"/>
                <w:vanish/>
              </w:rPr>
            </w:pPr>
          </w:p>
        </w:tc>
        <w:tc>
          <w:tcPr>
            <w:tcW w:w="0" w:type="auto"/>
            <w:shd w:val="clear" w:color="auto" w:fill="auto"/>
          </w:tcPr>
          <w:p w14:paraId="7DCFD14C" w14:textId="77777777" w:rsidR="00C1563E" w:rsidRDefault="00C1563E">
            <w:pPr>
              <w:rPr>
                <w:rFonts w:ascii="宋体"/>
                <w:vanish/>
              </w:rPr>
            </w:pPr>
          </w:p>
        </w:tc>
        <w:tc>
          <w:tcPr>
            <w:tcW w:w="0" w:type="auto"/>
            <w:shd w:val="clear" w:color="auto" w:fill="auto"/>
          </w:tcPr>
          <w:p w14:paraId="7DCFD14D" w14:textId="77777777" w:rsidR="00C1563E" w:rsidRDefault="00C1563E">
            <w:pPr>
              <w:rPr>
                <w:rFonts w:ascii="宋体"/>
                <w:vanish/>
              </w:rPr>
            </w:pPr>
          </w:p>
        </w:tc>
        <w:tc>
          <w:tcPr>
            <w:tcW w:w="50" w:type="pct"/>
            <w:shd w:val="clear" w:color="auto" w:fill="auto"/>
          </w:tcPr>
          <w:p w14:paraId="7DCFD14E" w14:textId="77777777" w:rsidR="00C1563E" w:rsidRDefault="00C1563E">
            <w:pPr>
              <w:rPr>
                <w:rFonts w:ascii="宋体"/>
              </w:rPr>
            </w:pPr>
          </w:p>
        </w:tc>
        <w:tc>
          <w:tcPr>
            <w:tcW w:w="624" w:type="pct"/>
            <w:shd w:val="clear" w:color="auto" w:fill="auto"/>
          </w:tcPr>
          <w:p w14:paraId="7DCFD14F" w14:textId="77777777" w:rsidR="00C1563E" w:rsidRDefault="00C1563E">
            <w:pPr>
              <w:rPr>
                <w:rFonts w:ascii="宋体"/>
              </w:rPr>
            </w:pPr>
          </w:p>
        </w:tc>
        <w:tc>
          <w:tcPr>
            <w:tcW w:w="5" w:type="pct"/>
            <w:shd w:val="clear" w:color="auto" w:fill="auto"/>
          </w:tcPr>
          <w:p w14:paraId="7DCFD150" w14:textId="77777777" w:rsidR="00C1563E" w:rsidRDefault="00C1563E">
            <w:pPr>
              <w:rPr>
                <w:rFonts w:ascii="宋体"/>
              </w:rPr>
            </w:pPr>
          </w:p>
        </w:tc>
        <w:tc>
          <w:tcPr>
            <w:tcW w:w="5" w:type="pct"/>
            <w:shd w:val="clear" w:color="auto" w:fill="auto"/>
          </w:tcPr>
          <w:p w14:paraId="7DCFD151" w14:textId="77777777" w:rsidR="00C1563E" w:rsidRDefault="00C1563E">
            <w:pPr>
              <w:rPr>
                <w:rFonts w:ascii="宋体"/>
              </w:rPr>
            </w:pPr>
          </w:p>
        </w:tc>
        <w:tc>
          <w:tcPr>
            <w:tcW w:w="19" w:type="pct"/>
            <w:shd w:val="clear" w:color="auto" w:fill="auto"/>
          </w:tcPr>
          <w:p w14:paraId="7DCFD152" w14:textId="77777777" w:rsidR="00C1563E" w:rsidRDefault="00C1563E">
            <w:pPr>
              <w:rPr>
                <w:rFonts w:ascii="宋体"/>
              </w:rPr>
            </w:pPr>
          </w:p>
        </w:tc>
        <w:tc>
          <w:tcPr>
            <w:tcW w:w="5" w:type="pct"/>
            <w:shd w:val="clear" w:color="auto" w:fill="auto"/>
          </w:tcPr>
          <w:p w14:paraId="7DCFD153" w14:textId="77777777" w:rsidR="00C1563E" w:rsidRDefault="00C1563E">
            <w:pPr>
              <w:rPr>
                <w:rFonts w:ascii="宋体"/>
              </w:rPr>
            </w:pPr>
          </w:p>
        </w:tc>
        <w:tc>
          <w:tcPr>
            <w:tcW w:w="50" w:type="pct"/>
            <w:shd w:val="clear" w:color="auto" w:fill="auto"/>
          </w:tcPr>
          <w:p w14:paraId="7DCFD154" w14:textId="77777777" w:rsidR="00C1563E" w:rsidRDefault="00C1563E">
            <w:pPr>
              <w:rPr>
                <w:rFonts w:ascii="宋体"/>
              </w:rPr>
            </w:pPr>
          </w:p>
        </w:tc>
        <w:tc>
          <w:tcPr>
            <w:tcW w:w="434" w:type="pct"/>
            <w:shd w:val="clear" w:color="auto" w:fill="auto"/>
          </w:tcPr>
          <w:p w14:paraId="7DCFD155" w14:textId="77777777" w:rsidR="00C1563E" w:rsidRDefault="00C1563E">
            <w:pPr>
              <w:rPr>
                <w:rFonts w:ascii="宋体"/>
              </w:rPr>
            </w:pPr>
          </w:p>
        </w:tc>
        <w:tc>
          <w:tcPr>
            <w:tcW w:w="5" w:type="pct"/>
            <w:shd w:val="clear" w:color="auto" w:fill="auto"/>
          </w:tcPr>
          <w:p w14:paraId="7DCFD156" w14:textId="77777777" w:rsidR="00C1563E" w:rsidRDefault="00C1563E">
            <w:pPr>
              <w:rPr>
                <w:rFonts w:ascii="宋体"/>
              </w:rPr>
            </w:pPr>
          </w:p>
        </w:tc>
        <w:tc>
          <w:tcPr>
            <w:tcW w:w="5" w:type="pct"/>
            <w:shd w:val="clear" w:color="auto" w:fill="auto"/>
          </w:tcPr>
          <w:p w14:paraId="7DCFD157" w14:textId="77777777" w:rsidR="00C1563E" w:rsidRDefault="00C1563E">
            <w:pPr>
              <w:rPr>
                <w:rFonts w:ascii="宋体"/>
              </w:rPr>
            </w:pPr>
          </w:p>
        </w:tc>
        <w:tc>
          <w:tcPr>
            <w:tcW w:w="19" w:type="pct"/>
            <w:shd w:val="clear" w:color="auto" w:fill="auto"/>
          </w:tcPr>
          <w:p w14:paraId="7DCFD158" w14:textId="77777777" w:rsidR="00C1563E" w:rsidRDefault="00C1563E">
            <w:pPr>
              <w:rPr>
                <w:rFonts w:ascii="宋体"/>
              </w:rPr>
            </w:pPr>
          </w:p>
        </w:tc>
        <w:tc>
          <w:tcPr>
            <w:tcW w:w="5" w:type="pct"/>
            <w:shd w:val="clear" w:color="auto" w:fill="auto"/>
          </w:tcPr>
          <w:p w14:paraId="7DCFD159" w14:textId="77777777" w:rsidR="00C1563E" w:rsidRDefault="00C1563E">
            <w:pPr>
              <w:rPr>
                <w:rFonts w:ascii="宋体"/>
              </w:rPr>
            </w:pPr>
          </w:p>
        </w:tc>
        <w:tc>
          <w:tcPr>
            <w:tcW w:w="50" w:type="pct"/>
            <w:shd w:val="clear" w:color="auto" w:fill="auto"/>
          </w:tcPr>
          <w:p w14:paraId="7DCFD15A" w14:textId="77777777" w:rsidR="00C1563E" w:rsidRDefault="00C1563E">
            <w:pPr>
              <w:rPr>
                <w:rFonts w:ascii="宋体"/>
              </w:rPr>
            </w:pPr>
          </w:p>
        </w:tc>
        <w:tc>
          <w:tcPr>
            <w:tcW w:w="624" w:type="pct"/>
            <w:shd w:val="clear" w:color="auto" w:fill="auto"/>
          </w:tcPr>
          <w:p w14:paraId="7DCFD15B" w14:textId="77777777" w:rsidR="00C1563E" w:rsidRDefault="00C1563E">
            <w:pPr>
              <w:rPr>
                <w:rFonts w:ascii="宋体"/>
              </w:rPr>
            </w:pPr>
          </w:p>
        </w:tc>
        <w:tc>
          <w:tcPr>
            <w:tcW w:w="5" w:type="pct"/>
            <w:shd w:val="clear" w:color="auto" w:fill="auto"/>
          </w:tcPr>
          <w:p w14:paraId="7DCFD15C" w14:textId="77777777" w:rsidR="00C1563E" w:rsidRDefault="00C1563E">
            <w:pPr>
              <w:rPr>
                <w:rFonts w:ascii="宋体"/>
              </w:rPr>
            </w:pPr>
          </w:p>
        </w:tc>
        <w:tc>
          <w:tcPr>
            <w:tcW w:w="5" w:type="pct"/>
            <w:shd w:val="clear" w:color="auto" w:fill="auto"/>
          </w:tcPr>
          <w:p w14:paraId="7DCFD15D" w14:textId="77777777" w:rsidR="00C1563E" w:rsidRDefault="00C1563E">
            <w:pPr>
              <w:rPr>
                <w:rFonts w:ascii="宋体"/>
              </w:rPr>
            </w:pPr>
          </w:p>
        </w:tc>
        <w:tc>
          <w:tcPr>
            <w:tcW w:w="19" w:type="pct"/>
            <w:shd w:val="clear" w:color="auto" w:fill="auto"/>
          </w:tcPr>
          <w:p w14:paraId="7DCFD15E" w14:textId="77777777" w:rsidR="00C1563E" w:rsidRDefault="00C1563E">
            <w:pPr>
              <w:rPr>
                <w:rFonts w:ascii="宋体"/>
              </w:rPr>
            </w:pPr>
          </w:p>
        </w:tc>
        <w:tc>
          <w:tcPr>
            <w:tcW w:w="5" w:type="pct"/>
            <w:shd w:val="clear" w:color="auto" w:fill="auto"/>
          </w:tcPr>
          <w:p w14:paraId="7DCFD15F" w14:textId="77777777" w:rsidR="00C1563E" w:rsidRDefault="00C1563E">
            <w:pPr>
              <w:rPr>
                <w:rFonts w:ascii="宋体"/>
              </w:rPr>
            </w:pPr>
          </w:p>
        </w:tc>
        <w:tc>
          <w:tcPr>
            <w:tcW w:w="50" w:type="pct"/>
            <w:shd w:val="clear" w:color="auto" w:fill="auto"/>
          </w:tcPr>
          <w:p w14:paraId="7DCFD160" w14:textId="77777777" w:rsidR="00C1563E" w:rsidRDefault="00C1563E">
            <w:pPr>
              <w:rPr>
                <w:rFonts w:ascii="宋体"/>
              </w:rPr>
            </w:pPr>
          </w:p>
        </w:tc>
        <w:tc>
          <w:tcPr>
            <w:tcW w:w="434" w:type="pct"/>
            <w:shd w:val="clear" w:color="auto" w:fill="auto"/>
          </w:tcPr>
          <w:p w14:paraId="7DCFD161" w14:textId="77777777" w:rsidR="00C1563E" w:rsidRDefault="00C1563E">
            <w:pPr>
              <w:rPr>
                <w:rFonts w:ascii="宋体"/>
              </w:rPr>
            </w:pPr>
          </w:p>
        </w:tc>
        <w:tc>
          <w:tcPr>
            <w:tcW w:w="5" w:type="pct"/>
            <w:shd w:val="clear" w:color="auto" w:fill="auto"/>
          </w:tcPr>
          <w:p w14:paraId="7DCFD162" w14:textId="77777777" w:rsidR="00C1563E" w:rsidRDefault="00C1563E">
            <w:pPr>
              <w:rPr>
                <w:rFonts w:ascii="宋体"/>
              </w:rPr>
            </w:pPr>
          </w:p>
        </w:tc>
        <w:tc>
          <w:tcPr>
            <w:tcW w:w="5" w:type="pct"/>
            <w:shd w:val="clear" w:color="auto" w:fill="auto"/>
          </w:tcPr>
          <w:p w14:paraId="7DCFD163" w14:textId="77777777" w:rsidR="00C1563E" w:rsidRDefault="00C1563E">
            <w:pPr>
              <w:rPr>
                <w:rFonts w:ascii="宋体"/>
              </w:rPr>
            </w:pPr>
          </w:p>
        </w:tc>
        <w:tc>
          <w:tcPr>
            <w:tcW w:w="19" w:type="pct"/>
            <w:shd w:val="clear" w:color="auto" w:fill="auto"/>
          </w:tcPr>
          <w:p w14:paraId="7DCFD164" w14:textId="77777777" w:rsidR="00C1563E" w:rsidRDefault="00C1563E">
            <w:pPr>
              <w:rPr>
                <w:rFonts w:ascii="宋体"/>
              </w:rPr>
            </w:pPr>
          </w:p>
        </w:tc>
        <w:tc>
          <w:tcPr>
            <w:tcW w:w="5" w:type="pct"/>
            <w:shd w:val="clear" w:color="auto" w:fill="auto"/>
          </w:tcPr>
          <w:p w14:paraId="7DCFD165" w14:textId="77777777" w:rsidR="00C1563E" w:rsidRDefault="00C1563E">
            <w:pPr>
              <w:rPr>
                <w:rFonts w:ascii="宋体"/>
              </w:rPr>
            </w:pPr>
          </w:p>
        </w:tc>
        <w:tc>
          <w:tcPr>
            <w:tcW w:w="50" w:type="pct"/>
            <w:shd w:val="clear" w:color="auto" w:fill="auto"/>
          </w:tcPr>
          <w:p w14:paraId="7DCFD166" w14:textId="77777777" w:rsidR="00C1563E" w:rsidRDefault="00C1563E">
            <w:pPr>
              <w:rPr>
                <w:rFonts w:ascii="宋体"/>
              </w:rPr>
            </w:pPr>
          </w:p>
        </w:tc>
        <w:tc>
          <w:tcPr>
            <w:tcW w:w="625" w:type="pct"/>
            <w:shd w:val="clear" w:color="auto" w:fill="auto"/>
          </w:tcPr>
          <w:p w14:paraId="7DCFD167" w14:textId="77777777" w:rsidR="00C1563E" w:rsidRDefault="00C1563E">
            <w:pPr>
              <w:rPr>
                <w:rFonts w:ascii="宋体"/>
              </w:rPr>
            </w:pPr>
          </w:p>
        </w:tc>
        <w:tc>
          <w:tcPr>
            <w:tcW w:w="5" w:type="pct"/>
            <w:shd w:val="clear" w:color="auto" w:fill="auto"/>
          </w:tcPr>
          <w:p w14:paraId="7DCFD168" w14:textId="77777777" w:rsidR="00C1563E" w:rsidRDefault="00C1563E">
            <w:pPr>
              <w:rPr>
                <w:rFonts w:ascii="宋体"/>
              </w:rPr>
            </w:pPr>
          </w:p>
        </w:tc>
      </w:tr>
      <w:tr w:rsidR="00C1563E" w14:paraId="7DCFD17A" w14:textId="77777777">
        <w:trPr>
          <w:jc w:val="center"/>
        </w:trPr>
        <w:tc>
          <w:tcPr>
            <w:tcW w:w="0" w:type="auto"/>
            <w:gridSpan w:val="3"/>
            <w:shd w:val="clear" w:color="auto" w:fill="auto"/>
            <w:tcMar>
              <w:top w:w="0" w:type="dxa"/>
              <w:left w:w="20" w:type="dxa"/>
              <w:bottom w:w="0" w:type="dxa"/>
              <w:right w:w="20" w:type="dxa"/>
            </w:tcMar>
          </w:tcPr>
          <w:p w14:paraId="7DCFD16A" w14:textId="77777777" w:rsidR="00C1563E" w:rsidRDefault="00C1563E">
            <w:pPr>
              <w:rPr>
                <w:rFonts w:ascii="宋体"/>
              </w:rPr>
            </w:pPr>
          </w:p>
        </w:tc>
        <w:tc>
          <w:tcPr>
            <w:tcW w:w="0" w:type="auto"/>
            <w:shd w:val="clear" w:color="auto" w:fill="auto"/>
          </w:tcPr>
          <w:p w14:paraId="7DCFD16B" w14:textId="77777777" w:rsidR="00C1563E" w:rsidRDefault="00C1563E">
            <w:pPr>
              <w:rPr>
                <w:rFonts w:ascii="宋体"/>
                <w:vanish/>
              </w:rPr>
            </w:pPr>
          </w:p>
        </w:tc>
        <w:tc>
          <w:tcPr>
            <w:tcW w:w="0" w:type="auto"/>
            <w:shd w:val="clear" w:color="auto" w:fill="auto"/>
          </w:tcPr>
          <w:p w14:paraId="7DCFD16C"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D16D"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D16E" w14:textId="77777777" w:rsidR="00C1563E" w:rsidRDefault="00C1563E">
            <w:pPr>
              <w:rPr>
                <w:rFonts w:ascii="宋体"/>
              </w:rPr>
            </w:pPr>
          </w:p>
        </w:tc>
        <w:tc>
          <w:tcPr>
            <w:tcW w:w="0" w:type="auto"/>
            <w:shd w:val="clear" w:color="auto" w:fill="auto"/>
          </w:tcPr>
          <w:p w14:paraId="7DCFD16F" w14:textId="77777777" w:rsidR="00C1563E" w:rsidRDefault="00C1563E">
            <w:pPr>
              <w:rPr>
                <w:rFonts w:ascii="宋体"/>
              </w:rPr>
            </w:pPr>
          </w:p>
        </w:tc>
        <w:tc>
          <w:tcPr>
            <w:tcW w:w="0" w:type="auto"/>
            <w:shd w:val="clear" w:color="auto" w:fill="auto"/>
          </w:tcPr>
          <w:p w14:paraId="7DCFD170" w14:textId="77777777" w:rsidR="00C1563E" w:rsidRDefault="00C1563E">
            <w:pPr>
              <w:rPr>
                <w:rFonts w:ascii="宋体"/>
              </w:rPr>
            </w:pPr>
          </w:p>
        </w:tc>
        <w:tc>
          <w:tcPr>
            <w:tcW w:w="0" w:type="auto"/>
            <w:shd w:val="clear" w:color="auto" w:fill="auto"/>
          </w:tcPr>
          <w:p w14:paraId="7DCFD171" w14:textId="77777777" w:rsidR="00C1563E" w:rsidRDefault="00C1563E">
            <w:pPr>
              <w:rPr>
                <w:rFonts w:ascii="宋体"/>
              </w:rPr>
            </w:pPr>
          </w:p>
        </w:tc>
        <w:tc>
          <w:tcPr>
            <w:tcW w:w="0" w:type="auto"/>
            <w:shd w:val="clear" w:color="auto" w:fill="auto"/>
          </w:tcPr>
          <w:p w14:paraId="7DCFD172" w14:textId="77777777" w:rsidR="00C1563E" w:rsidRDefault="00C1563E">
            <w:pPr>
              <w:rPr>
                <w:rFonts w:ascii="宋体"/>
              </w:rPr>
            </w:pPr>
          </w:p>
        </w:tc>
        <w:tc>
          <w:tcPr>
            <w:tcW w:w="0" w:type="auto"/>
            <w:shd w:val="clear" w:color="auto" w:fill="auto"/>
          </w:tcPr>
          <w:p w14:paraId="7DCFD173" w14:textId="77777777" w:rsidR="00C1563E" w:rsidRDefault="00C1563E">
            <w:pPr>
              <w:rPr>
                <w:rFonts w:ascii="宋体"/>
              </w:rPr>
            </w:pPr>
          </w:p>
        </w:tc>
        <w:tc>
          <w:tcPr>
            <w:tcW w:w="0" w:type="auto"/>
            <w:shd w:val="clear" w:color="auto" w:fill="auto"/>
          </w:tcPr>
          <w:p w14:paraId="7DCFD174" w14:textId="77777777" w:rsidR="00C1563E" w:rsidRDefault="00C1563E">
            <w:pPr>
              <w:rPr>
                <w:rFonts w:ascii="宋体"/>
              </w:rPr>
            </w:pPr>
          </w:p>
        </w:tc>
        <w:tc>
          <w:tcPr>
            <w:tcW w:w="0" w:type="auto"/>
            <w:shd w:val="clear" w:color="auto" w:fill="auto"/>
          </w:tcPr>
          <w:p w14:paraId="7DCFD175" w14:textId="77777777" w:rsidR="00C1563E" w:rsidRDefault="00C1563E">
            <w:pPr>
              <w:rPr>
                <w:rFonts w:ascii="宋体"/>
              </w:rPr>
            </w:pPr>
          </w:p>
        </w:tc>
        <w:tc>
          <w:tcPr>
            <w:tcW w:w="0" w:type="auto"/>
            <w:shd w:val="clear" w:color="auto" w:fill="auto"/>
          </w:tcPr>
          <w:p w14:paraId="7DCFD176" w14:textId="77777777" w:rsidR="00C1563E" w:rsidRDefault="00C1563E">
            <w:pPr>
              <w:rPr>
                <w:rFonts w:ascii="宋体"/>
              </w:rPr>
            </w:pPr>
          </w:p>
        </w:tc>
        <w:tc>
          <w:tcPr>
            <w:tcW w:w="0" w:type="auto"/>
            <w:shd w:val="clear" w:color="auto" w:fill="auto"/>
          </w:tcPr>
          <w:p w14:paraId="7DCFD177" w14:textId="77777777" w:rsidR="00C1563E" w:rsidRDefault="00C1563E">
            <w:pPr>
              <w:rPr>
                <w:rFonts w:ascii="宋体"/>
              </w:rPr>
            </w:pPr>
          </w:p>
        </w:tc>
        <w:tc>
          <w:tcPr>
            <w:tcW w:w="0" w:type="auto"/>
            <w:shd w:val="clear" w:color="auto" w:fill="auto"/>
          </w:tcPr>
          <w:p w14:paraId="7DCFD178" w14:textId="77777777" w:rsidR="00C1563E" w:rsidRDefault="00C1563E">
            <w:pPr>
              <w:rPr>
                <w:rFonts w:ascii="宋体"/>
              </w:rPr>
            </w:pPr>
          </w:p>
        </w:tc>
        <w:tc>
          <w:tcPr>
            <w:tcW w:w="0" w:type="auto"/>
            <w:shd w:val="clear" w:color="auto" w:fill="auto"/>
          </w:tcPr>
          <w:p w14:paraId="7DCFD179" w14:textId="77777777" w:rsidR="00C1563E" w:rsidRDefault="00C1563E">
            <w:pPr>
              <w:rPr>
                <w:rFonts w:ascii="宋体"/>
              </w:rPr>
            </w:pPr>
          </w:p>
        </w:tc>
      </w:tr>
      <w:tr w:rsidR="00C1563E" w14:paraId="7DCFD18B" w14:textId="77777777">
        <w:trPr>
          <w:jc w:val="center"/>
        </w:trPr>
        <w:tc>
          <w:tcPr>
            <w:tcW w:w="0" w:type="auto"/>
            <w:gridSpan w:val="3"/>
            <w:shd w:val="clear" w:color="auto" w:fill="auto"/>
            <w:tcMar>
              <w:top w:w="40" w:type="dxa"/>
              <w:left w:w="20" w:type="dxa"/>
              <w:bottom w:w="40" w:type="dxa"/>
              <w:right w:w="20" w:type="dxa"/>
            </w:tcMar>
            <w:vAlign w:val="bottom"/>
          </w:tcPr>
          <w:p w14:paraId="7DCFD17B"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CFD17C" w14:textId="77777777" w:rsidR="00C1563E" w:rsidRDefault="00C1563E">
            <w:pPr>
              <w:rPr>
                <w:rFonts w:ascii="宋体"/>
                <w:vanish/>
              </w:rPr>
            </w:pPr>
          </w:p>
        </w:tc>
        <w:tc>
          <w:tcPr>
            <w:tcW w:w="0" w:type="auto"/>
            <w:shd w:val="clear" w:color="auto" w:fill="auto"/>
          </w:tcPr>
          <w:p w14:paraId="7DCFD17D" w14:textId="77777777" w:rsidR="00C1563E" w:rsidRDefault="00C1563E">
            <w:pPr>
              <w:rPr>
                <w:rFonts w:ascii="宋体"/>
                <w:vanish/>
              </w:rPr>
            </w:pPr>
          </w:p>
        </w:tc>
        <w:tc>
          <w:tcPr>
            <w:tcW w:w="0" w:type="auto"/>
            <w:shd w:val="clear" w:color="auto" w:fill="auto"/>
          </w:tcPr>
          <w:p w14:paraId="7DCFD17E" w14:textId="77777777" w:rsidR="00C1563E" w:rsidRDefault="00C1563E">
            <w:pPr>
              <w:rPr>
                <w:rFonts w:ascii="宋体"/>
                <w:vanish/>
              </w:rPr>
            </w:pPr>
          </w:p>
        </w:tc>
        <w:tc>
          <w:tcPr>
            <w:tcW w:w="0" w:type="auto"/>
            <w:shd w:val="clear" w:color="auto" w:fill="auto"/>
          </w:tcPr>
          <w:p w14:paraId="7DCFD17F" w14:textId="77777777" w:rsidR="00C1563E" w:rsidRDefault="00C1563E">
            <w:pPr>
              <w:rPr>
                <w:rFonts w:ascii="宋体"/>
                <w:vanish/>
              </w:rPr>
            </w:pPr>
          </w:p>
        </w:tc>
        <w:tc>
          <w:tcPr>
            <w:tcW w:w="0" w:type="auto"/>
            <w:shd w:val="clear" w:color="auto" w:fill="auto"/>
          </w:tcPr>
          <w:p w14:paraId="7DCFD180" w14:textId="77777777" w:rsidR="00C1563E" w:rsidRDefault="00C1563E">
            <w:pPr>
              <w:rPr>
                <w:rFonts w:ascii="宋体"/>
                <w:vanish/>
              </w:rPr>
            </w:pPr>
          </w:p>
        </w:tc>
        <w:tc>
          <w:tcPr>
            <w:tcW w:w="0" w:type="auto"/>
            <w:shd w:val="clear" w:color="auto" w:fill="auto"/>
          </w:tcPr>
          <w:p w14:paraId="7DCFD181"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182" w14:textId="77777777" w:rsidR="00C1563E" w:rsidRDefault="000B648B">
            <w:pPr>
              <w:jc w:val="center"/>
              <w:textAlignment w:val="bottom"/>
            </w:pPr>
            <w:r>
              <w:rPr>
                <w:rFonts w:ascii="Times New Roman" w:eastAsia="宋体" w:hAnsi="Times New Roman"/>
                <w:b/>
                <w:bCs/>
                <w:color w:val="000000"/>
                <w:sz w:val="20"/>
                <w:szCs w:val="20"/>
              </w:rPr>
              <w:t>January 29,</w:t>
            </w:r>
            <w:r>
              <w:rPr>
                <w:rFonts w:ascii="Times New Roman" w:eastAsia="宋体" w:hAnsi="Times New Roman"/>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DCFD18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184"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18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186" w14:textId="77777777" w:rsidR="00C1563E" w:rsidRDefault="000B648B">
            <w:pPr>
              <w:jc w:val="center"/>
              <w:textAlignment w:val="bottom"/>
            </w:pPr>
            <w:r>
              <w:rPr>
                <w:rFonts w:ascii="Times New Roman" w:eastAsia="宋体" w:hAnsi="Times New Roman"/>
                <w:b/>
                <w:bCs/>
                <w:color w:val="000000"/>
                <w:sz w:val="20"/>
                <w:szCs w:val="20"/>
              </w:rPr>
              <w:t>January 31,</w:t>
            </w:r>
            <w:r>
              <w:rPr>
                <w:rFonts w:ascii="Times New Roman" w:eastAsia="宋体" w:hAnsi="Times New Roman"/>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DCFD18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188"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18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18A" w14:textId="77777777" w:rsidR="00C1563E" w:rsidRDefault="000B648B">
            <w:pPr>
              <w:jc w:val="center"/>
              <w:textAlignment w:val="bottom"/>
            </w:pPr>
            <w:r>
              <w:rPr>
                <w:rFonts w:ascii="Times New Roman" w:eastAsia="宋体" w:hAnsi="Times New Roman"/>
                <w:b/>
                <w:bCs/>
                <w:color w:val="000000"/>
                <w:sz w:val="20"/>
                <w:szCs w:val="20"/>
              </w:rPr>
              <w:t>February 1,</w:t>
            </w:r>
            <w:r>
              <w:rPr>
                <w:rFonts w:ascii="Times New Roman" w:eastAsia="宋体" w:hAnsi="Times New Roman"/>
                <w:b/>
                <w:bCs/>
                <w:color w:val="000000"/>
                <w:sz w:val="20"/>
                <w:szCs w:val="20"/>
              </w:rPr>
              <w:br/>
              <w:t>2019</w:t>
            </w:r>
          </w:p>
        </w:tc>
      </w:tr>
      <w:tr w:rsidR="00C1563E" w14:paraId="7DCFD194" w14:textId="77777777">
        <w:trPr>
          <w:jc w:val="center"/>
        </w:trPr>
        <w:tc>
          <w:tcPr>
            <w:tcW w:w="0" w:type="auto"/>
            <w:gridSpan w:val="3"/>
            <w:shd w:val="clear" w:color="auto" w:fill="auto"/>
            <w:tcMar>
              <w:top w:w="0" w:type="dxa"/>
              <w:left w:w="20" w:type="dxa"/>
              <w:bottom w:w="0" w:type="dxa"/>
              <w:right w:w="20" w:type="dxa"/>
            </w:tcMar>
          </w:tcPr>
          <w:p w14:paraId="7DCFD18C" w14:textId="77777777" w:rsidR="00C1563E" w:rsidRDefault="00C1563E">
            <w:pPr>
              <w:rPr>
                <w:rFonts w:ascii="宋体"/>
              </w:rPr>
            </w:pPr>
          </w:p>
        </w:tc>
        <w:tc>
          <w:tcPr>
            <w:tcW w:w="0" w:type="auto"/>
            <w:shd w:val="clear" w:color="auto" w:fill="auto"/>
          </w:tcPr>
          <w:p w14:paraId="7DCFD18D" w14:textId="77777777" w:rsidR="00C1563E" w:rsidRDefault="00C1563E">
            <w:pPr>
              <w:rPr>
                <w:rFonts w:ascii="宋体"/>
                <w:vanish/>
              </w:rPr>
            </w:pPr>
          </w:p>
        </w:tc>
        <w:tc>
          <w:tcPr>
            <w:tcW w:w="0" w:type="auto"/>
            <w:shd w:val="clear" w:color="auto" w:fill="auto"/>
          </w:tcPr>
          <w:p w14:paraId="7DCFD18E" w14:textId="77777777" w:rsidR="00C1563E" w:rsidRDefault="00C1563E">
            <w:pPr>
              <w:rPr>
                <w:rFonts w:ascii="宋体"/>
                <w:vanish/>
              </w:rPr>
            </w:pPr>
          </w:p>
        </w:tc>
        <w:tc>
          <w:tcPr>
            <w:tcW w:w="0" w:type="auto"/>
            <w:shd w:val="clear" w:color="auto" w:fill="auto"/>
          </w:tcPr>
          <w:p w14:paraId="7DCFD18F" w14:textId="77777777" w:rsidR="00C1563E" w:rsidRDefault="00C1563E">
            <w:pPr>
              <w:rPr>
                <w:rFonts w:ascii="宋体"/>
                <w:vanish/>
              </w:rPr>
            </w:pPr>
          </w:p>
        </w:tc>
        <w:tc>
          <w:tcPr>
            <w:tcW w:w="0" w:type="auto"/>
            <w:shd w:val="clear" w:color="auto" w:fill="auto"/>
          </w:tcPr>
          <w:p w14:paraId="7DCFD190" w14:textId="77777777" w:rsidR="00C1563E" w:rsidRDefault="00C1563E">
            <w:pPr>
              <w:rPr>
                <w:rFonts w:ascii="宋体"/>
                <w:vanish/>
              </w:rPr>
            </w:pPr>
          </w:p>
        </w:tc>
        <w:tc>
          <w:tcPr>
            <w:tcW w:w="0" w:type="auto"/>
            <w:shd w:val="clear" w:color="auto" w:fill="auto"/>
          </w:tcPr>
          <w:p w14:paraId="7DCFD191" w14:textId="77777777" w:rsidR="00C1563E" w:rsidRDefault="00C1563E">
            <w:pPr>
              <w:rPr>
                <w:rFonts w:ascii="宋体"/>
                <w:vanish/>
              </w:rPr>
            </w:pPr>
          </w:p>
        </w:tc>
        <w:tc>
          <w:tcPr>
            <w:tcW w:w="0" w:type="auto"/>
            <w:shd w:val="clear" w:color="auto" w:fill="auto"/>
          </w:tcPr>
          <w:p w14:paraId="7DCFD192"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D193"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D1AD" w14:textId="77777777">
        <w:trPr>
          <w:jc w:val="center"/>
        </w:trPr>
        <w:tc>
          <w:tcPr>
            <w:tcW w:w="0" w:type="auto"/>
            <w:gridSpan w:val="3"/>
            <w:shd w:val="clear" w:color="auto" w:fill="CCEEFF"/>
            <w:tcMar>
              <w:top w:w="40" w:type="dxa"/>
              <w:left w:w="20" w:type="dxa"/>
              <w:bottom w:w="40" w:type="dxa"/>
              <w:right w:w="20" w:type="dxa"/>
            </w:tcMar>
            <w:vAlign w:val="bottom"/>
          </w:tcPr>
          <w:p w14:paraId="7DCFD195" w14:textId="77777777" w:rsidR="00C1563E" w:rsidRDefault="000B648B">
            <w:pPr>
              <w:textAlignment w:val="bottom"/>
            </w:pPr>
            <w:r>
              <w:rPr>
                <w:rFonts w:ascii="Times New Roman" w:eastAsia="宋体" w:hAnsi="Times New Roman"/>
                <w:color w:val="000000"/>
                <w:sz w:val="20"/>
                <w:szCs w:val="20"/>
              </w:rPr>
              <w:t>Product net revenue</w:t>
            </w:r>
          </w:p>
        </w:tc>
        <w:tc>
          <w:tcPr>
            <w:tcW w:w="0" w:type="auto"/>
            <w:shd w:val="clear" w:color="auto" w:fill="auto"/>
          </w:tcPr>
          <w:p w14:paraId="7DCFD196" w14:textId="77777777" w:rsidR="00C1563E" w:rsidRDefault="00C1563E">
            <w:pPr>
              <w:rPr>
                <w:rFonts w:ascii="宋体"/>
                <w:vanish/>
              </w:rPr>
            </w:pPr>
          </w:p>
        </w:tc>
        <w:tc>
          <w:tcPr>
            <w:tcW w:w="0" w:type="auto"/>
            <w:shd w:val="clear" w:color="auto" w:fill="auto"/>
          </w:tcPr>
          <w:p w14:paraId="7DCFD197" w14:textId="77777777" w:rsidR="00C1563E" w:rsidRDefault="00C1563E">
            <w:pPr>
              <w:rPr>
                <w:rFonts w:ascii="宋体"/>
                <w:vanish/>
              </w:rPr>
            </w:pPr>
          </w:p>
        </w:tc>
        <w:tc>
          <w:tcPr>
            <w:tcW w:w="0" w:type="auto"/>
            <w:shd w:val="clear" w:color="auto" w:fill="auto"/>
          </w:tcPr>
          <w:p w14:paraId="7DCFD198" w14:textId="77777777" w:rsidR="00C1563E" w:rsidRDefault="00C1563E">
            <w:pPr>
              <w:rPr>
                <w:rFonts w:ascii="宋体"/>
                <w:vanish/>
              </w:rPr>
            </w:pPr>
          </w:p>
        </w:tc>
        <w:tc>
          <w:tcPr>
            <w:tcW w:w="0" w:type="auto"/>
            <w:shd w:val="clear" w:color="auto" w:fill="auto"/>
          </w:tcPr>
          <w:p w14:paraId="7DCFD199" w14:textId="77777777" w:rsidR="00C1563E" w:rsidRDefault="00C1563E">
            <w:pPr>
              <w:rPr>
                <w:rFonts w:ascii="宋体"/>
                <w:vanish/>
              </w:rPr>
            </w:pPr>
          </w:p>
        </w:tc>
        <w:tc>
          <w:tcPr>
            <w:tcW w:w="0" w:type="auto"/>
            <w:shd w:val="clear" w:color="auto" w:fill="auto"/>
          </w:tcPr>
          <w:p w14:paraId="7DCFD19A" w14:textId="77777777" w:rsidR="00C1563E" w:rsidRDefault="00C1563E">
            <w:pPr>
              <w:rPr>
                <w:rFonts w:ascii="宋体"/>
                <w:vanish/>
              </w:rPr>
            </w:pPr>
          </w:p>
        </w:tc>
        <w:tc>
          <w:tcPr>
            <w:tcW w:w="0" w:type="auto"/>
            <w:shd w:val="clear" w:color="auto" w:fill="auto"/>
          </w:tcPr>
          <w:p w14:paraId="7DCFD19B"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19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19D" w14:textId="77777777" w:rsidR="00C1563E" w:rsidRDefault="000B648B">
            <w:pPr>
              <w:jc w:val="right"/>
              <w:textAlignment w:val="bottom"/>
            </w:pPr>
            <w:r>
              <w:rPr>
                <w:rFonts w:ascii="Times New Roman" w:eastAsia="宋体" w:hAnsi="Times New Roman"/>
                <w:color w:val="000000"/>
                <w:sz w:val="20"/>
                <w:szCs w:val="20"/>
              </w:rPr>
              <w:t>69,911 </w:t>
            </w:r>
          </w:p>
        </w:tc>
        <w:tc>
          <w:tcPr>
            <w:tcW w:w="0" w:type="auto"/>
            <w:shd w:val="clear" w:color="auto" w:fill="CCEEFF"/>
            <w:tcMar>
              <w:top w:w="40" w:type="dxa"/>
              <w:left w:w="0" w:type="dxa"/>
              <w:bottom w:w="40" w:type="dxa"/>
              <w:right w:w="20" w:type="dxa"/>
            </w:tcMar>
            <w:vAlign w:val="bottom"/>
          </w:tcPr>
          <w:p w14:paraId="7DCFD1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19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1A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1A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1A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1A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1A4" w14:textId="77777777" w:rsidR="00C1563E" w:rsidRDefault="000B648B">
            <w:pPr>
              <w:jc w:val="right"/>
              <w:textAlignment w:val="bottom"/>
            </w:pPr>
            <w:r>
              <w:rPr>
                <w:rFonts w:ascii="Times New Roman" w:eastAsia="宋体" w:hAnsi="Times New Roman"/>
                <w:color w:val="000000"/>
                <w:sz w:val="20"/>
                <w:szCs w:val="20"/>
              </w:rPr>
              <w:t>69,918 </w:t>
            </w:r>
          </w:p>
        </w:tc>
        <w:tc>
          <w:tcPr>
            <w:tcW w:w="0" w:type="auto"/>
            <w:shd w:val="clear" w:color="auto" w:fill="CCEEFF"/>
            <w:tcMar>
              <w:top w:w="40" w:type="dxa"/>
              <w:left w:w="0" w:type="dxa"/>
              <w:bottom w:w="40" w:type="dxa"/>
              <w:right w:w="20" w:type="dxa"/>
            </w:tcMar>
            <w:vAlign w:val="bottom"/>
          </w:tcPr>
          <w:p w14:paraId="7DCFD1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1A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1A7"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CFD1A8"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1A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1A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1AB" w14:textId="77777777" w:rsidR="00C1563E" w:rsidRDefault="000B648B">
            <w:pPr>
              <w:jc w:val="right"/>
              <w:textAlignment w:val="bottom"/>
            </w:pPr>
            <w:r>
              <w:rPr>
                <w:rFonts w:ascii="Times New Roman" w:eastAsia="宋体" w:hAnsi="Times New Roman"/>
                <w:color w:val="000000"/>
                <w:sz w:val="20"/>
                <w:szCs w:val="20"/>
              </w:rPr>
              <w:t>70,707 </w:t>
            </w:r>
          </w:p>
        </w:tc>
        <w:tc>
          <w:tcPr>
            <w:tcW w:w="0" w:type="auto"/>
            <w:shd w:val="clear" w:color="auto" w:fill="CCEEFF"/>
            <w:tcMar>
              <w:top w:w="40" w:type="dxa"/>
              <w:left w:w="0" w:type="dxa"/>
              <w:bottom w:w="40" w:type="dxa"/>
              <w:right w:w="20" w:type="dxa"/>
            </w:tcMar>
            <w:vAlign w:val="bottom"/>
          </w:tcPr>
          <w:p w14:paraId="7DCFD1AC" w14:textId="77777777" w:rsidR="00C1563E" w:rsidRDefault="00C1563E">
            <w:pPr>
              <w:jc w:val="right"/>
              <w:rPr>
                <w:rFonts w:ascii="宋体"/>
              </w:rPr>
            </w:pPr>
          </w:p>
        </w:tc>
      </w:tr>
      <w:tr w:rsidR="00C1563E" w14:paraId="7DCFD1BE" w14:textId="77777777">
        <w:trPr>
          <w:jc w:val="center"/>
        </w:trPr>
        <w:tc>
          <w:tcPr>
            <w:tcW w:w="0" w:type="auto"/>
            <w:gridSpan w:val="3"/>
            <w:shd w:val="clear" w:color="auto" w:fill="FFFFFF"/>
            <w:tcMar>
              <w:top w:w="40" w:type="dxa"/>
              <w:left w:w="155" w:type="dxa"/>
              <w:bottom w:w="40" w:type="dxa"/>
              <w:right w:w="20" w:type="dxa"/>
            </w:tcMar>
            <w:vAlign w:val="bottom"/>
          </w:tcPr>
          <w:p w14:paraId="7DCFD1AE"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1AF" w14:textId="77777777" w:rsidR="00C1563E" w:rsidRDefault="00C1563E">
            <w:pPr>
              <w:rPr>
                <w:rFonts w:ascii="宋体"/>
                <w:vanish/>
              </w:rPr>
            </w:pPr>
          </w:p>
        </w:tc>
        <w:tc>
          <w:tcPr>
            <w:tcW w:w="0" w:type="auto"/>
            <w:shd w:val="clear" w:color="auto" w:fill="auto"/>
          </w:tcPr>
          <w:p w14:paraId="7DCFD1B0" w14:textId="77777777" w:rsidR="00C1563E" w:rsidRDefault="00C1563E">
            <w:pPr>
              <w:rPr>
                <w:rFonts w:ascii="宋体"/>
                <w:vanish/>
              </w:rPr>
            </w:pPr>
          </w:p>
        </w:tc>
        <w:tc>
          <w:tcPr>
            <w:tcW w:w="0" w:type="auto"/>
            <w:shd w:val="clear" w:color="auto" w:fill="auto"/>
          </w:tcPr>
          <w:p w14:paraId="7DCFD1B1" w14:textId="77777777" w:rsidR="00C1563E" w:rsidRDefault="00C1563E">
            <w:pPr>
              <w:rPr>
                <w:rFonts w:ascii="宋体"/>
                <w:vanish/>
              </w:rPr>
            </w:pPr>
          </w:p>
        </w:tc>
        <w:tc>
          <w:tcPr>
            <w:tcW w:w="0" w:type="auto"/>
            <w:shd w:val="clear" w:color="auto" w:fill="auto"/>
          </w:tcPr>
          <w:p w14:paraId="7DCFD1B2" w14:textId="77777777" w:rsidR="00C1563E" w:rsidRDefault="00C1563E">
            <w:pPr>
              <w:rPr>
                <w:rFonts w:ascii="宋体"/>
                <w:vanish/>
              </w:rPr>
            </w:pPr>
          </w:p>
        </w:tc>
        <w:tc>
          <w:tcPr>
            <w:tcW w:w="0" w:type="auto"/>
            <w:shd w:val="clear" w:color="auto" w:fill="auto"/>
          </w:tcPr>
          <w:p w14:paraId="7DCFD1B3" w14:textId="77777777" w:rsidR="00C1563E" w:rsidRDefault="00C1563E">
            <w:pPr>
              <w:rPr>
                <w:rFonts w:ascii="宋体"/>
                <w:vanish/>
              </w:rPr>
            </w:pPr>
          </w:p>
        </w:tc>
        <w:tc>
          <w:tcPr>
            <w:tcW w:w="0" w:type="auto"/>
            <w:shd w:val="clear" w:color="auto" w:fill="auto"/>
          </w:tcPr>
          <w:p w14:paraId="7DCFD1B4"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1B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1BD" w14:textId="77777777" w:rsidR="00C1563E" w:rsidRDefault="00C1563E">
            <w:pPr>
              <w:rPr>
                <w:rFonts w:ascii="宋体"/>
              </w:rPr>
            </w:pPr>
          </w:p>
        </w:tc>
      </w:tr>
      <w:tr w:rsidR="00C1563E" w14:paraId="7DCFD1D2" w14:textId="77777777">
        <w:trPr>
          <w:jc w:val="center"/>
        </w:trPr>
        <w:tc>
          <w:tcPr>
            <w:tcW w:w="0" w:type="auto"/>
            <w:gridSpan w:val="3"/>
            <w:shd w:val="clear" w:color="auto" w:fill="CCEEFF"/>
            <w:tcMar>
              <w:top w:w="40" w:type="dxa"/>
              <w:left w:w="245" w:type="dxa"/>
              <w:bottom w:w="40" w:type="dxa"/>
              <w:right w:w="20" w:type="dxa"/>
            </w:tcMar>
            <w:vAlign w:val="bottom"/>
          </w:tcPr>
          <w:p w14:paraId="7DCFD1BF" w14:textId="77777777" w:rsidR="00C1563E" w:rsidRDefault="000B648B">
            <w:pPr>
              <w:textAlignment w:val="bottom"/>
            </w:pPr>
            <w:r>
              <w:rPr>
                <w:rFonts w:ascii="Times New Roman" w:eastAsia="宋体" w:hAnsi="Times New Roman"/>
                <w:color w:val="000000"/>
                <w:sz w:val="20"/>
                <w:szCs w:val="20"/>
              </w:rPr>
              <w:t xml:space="preserve">Impact of purchase </w:t>
            </w:r>
            <w:r>
              <w:rPr>
                <w:rFonts w:ascii="Times New Roman" w:eastAsia="宋体" w:hAnsi="Times New Roman"/>
                <w:color w:val="000000"/>
                <w:sz w:val="20"/>
                <w:szCs w:val="20"/>
              </w:rPr>
              <w:t>accounting</w:t>
            </w:r>
          </w:p>
        </w:tc>
        <w:tc>
          <w:tcPr>
            <w:tcW w:w="0" w:type="auto"/>
            <w:shd w:val="clear" w:color="auto" w:fill="auto"/>
          </w:tcPr>
          <w:p w14:paraId="7DCFD1C0" w14:textId="77777777" w:rsidR="00C1563E" w:rsidRDefault="00C1563E">
            <w:pPr>
              <w:rPr>
                <w:rFonts w:ascii="宋体"/>
                <w:vanish/>
              </w:rPr>
            </w:pPr>
          </w:p>
        </w:tc>
        <w:tc>
          <w:tcPr>
            <w:tcW w:w="0" w:type="auto"/>
            <w:shd w:val="clear" w:color="auto" w:fill="auto"/>
          </w:tcPr>
          <w:p w14:paraId="7DCFD1C1" w14:textId="77777777" w:rsidR="00C1563E" w:rsidRDefault="00C1563E">
            <w:pPr>
              <w:rPr>
                <w:rFonts w:ascii="宋体"/>
                <w:vanish/>
              </w:rPr>
            </w:pPr>
          </w:p>
        </w:tc>
        <w:tc>
          <w:tcPr>
            <w:tcW w:w="0" w:type="auto"/>
            <w:shd w:val="clear" w:color="auto" w:fill="auto"/>
          </w:tcPr>
          <w:p w14:paraId="7DCFD1C2" w14:textId="77777777" w:rsidR="00C1563E" w:rsidRDefault="00C1563E">
            <w:pPr>
              <w:rPr>
                <w:rFonts w:ascii="宋体"/>
                <w:vanish/>
              </w:rPr>
            </w:pPr>
          </w:p>
        </w:tc>
        <w:tc>
          <w:tcPr>
            <w:tcW w:w="0" w:type="auto"/>
            <w:shd w:val="clear" w:color="auto" w:fill="auto"/>
          </w:tcPr>
          <w:p w14:paraId="7DCFD1C3" w14:textId="77777777" w:rsidR="00C1563E" w:rsidRDefault="00C1563E">
            <w:pPr>
              <w:rPr>
                <w:rFonts w:ascii="宋体"/>
                <w:vanish/>
              </w:rPr>
            </w:pPr>
          </w:p>
        </w:tc>
        <w:tc>
          <w:tcPr>
            <w:tcW w:w="0" w:type="auto"/>
            <w:shd w:val="clear" w:color="auto" w:fill="auto"/>
          </w:tcPr>
          <w:p w14:paraId="7DCFD1C4" w14:textId="77777777" w:rsidR="00C1563E" w:rsidRDefault="00C1563E">
            <w:pPr>
              <w:rPr>
                <w:rFonts w:ascii="宋体"/>
                <w:vanish/>
              </w:rPr>
            </w:pPr>
          </w:p>
        </w:tc>
        <w:tc>
          <w:tcPr>
            <w:tcW w:w="0" w:type="auto"/>
            <w:shd w:val="clear" w:color="auto" w:fill="auto"/>
          </w:tcPr>
          <w:p w14:paraId="7DCFD1C5"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1C6"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DCFD1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1C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C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C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1CB" w14:textId="77777777" w:rsidR="00C1563E" w:rsidRDefault="000B648B">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DCFD1C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1C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C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C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1D0" w14:textId="77777777" w:rsidR="00C1563E" w:rsidRDefault="000B648B">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DCFD1D1" w14:textId="77777777" w:rsidR="00C1563E" w:rsidRDefault="00C1563E">
            <w:pPr>
              <w:jc w:val="right"/>
              <w:rPr>
                <w:rFonts w:ascii="宋体"/>
              </w:rPr>
            </w:pPr>
          </w:p>
        </w:tc>
      </w:tr>
      <w:tr w:rsidR="00C1563E" w14:paraId="7DCFD1EB" w14:textId="77777777">
        <w:trPr>
          <w:jc w:val="center"/>
        </w:trPr>
        <w:tc>
          <w:tcPr>
            <w:tcW w:w="0" w:type="auto"/>
            <w:gridSpan w:val="3"/>
            <w:shd w:val="clear" w:color="auto" w:fill="FFFFFF"/>
            <w:tcMar>
              <w:top w:w="40" w:type="dxa"/>
              <w:left w:w="380" w:type="dxa"/>
              <w:bottom w:w="40" w:type="dxa"/>
              <w:right w:w="20" w:type="dxa"/>
            </w:tcMar>
            <w:vAlign w:val="bottom"/>
          </w:tcPr>
          <w:p w14:paraId="7DCFD1D3" w14:textId="77777777" w:rsidR="00C1563E" w:rsidRDefault="000B648B">
            <w:pPr>
              <w:textAlignment w:val="bottom"/>
            </w:pPr>
            <w:r>
              <w:rPr>
                <w:rFonts w:ascii="Times New Roman" w:eastAsia="宋体" w:hAnsi="Times New Roman"/>
                <w:color w:val="000000"/>
                <w:sz w:val="20"/>
                <w:szCs w:val="20"/>
              </w:rPr>
              <w:t>Non-GAAP product net revenue</w:t>
            </w:r>
          </w:p>
        </w:tc>
        <w:tc>
          <w:tcPr>
            <w:tcW w:w="0" w:type="auto"/>
            <w:shd w:val="clear" w:color="auto" w:fill="auto"/>
          </w:tcPr>
          <w:p w14:paraId="7DCFD1D4" w14:textId="77777777" w:rsidR="00C1563E" w:rsidRDefault="00C1563E">
            <w:pPr>
              <w:rPr>
                <w:rFonts w:ascii="宋体"/>
                <w:vanish/>
              </w:rPr>
            </w:pPr>
          </w:p>
        </w:tc>
        <w:tc>
          <w:tcPr>
            <w:tcW w:w="0" w:type="auto"/>
            <w:shd w:val="clear" w:color="auto" w:fill="auto"/>
          </w:tcPr>
          <w:p w14:paraId="7DCFD1D5" w14:textId="77777777" w:rsidR="00C1563E" w:rsidRDefault="00C1563E">
            <w:pPr>
              <w:rPr>
                <w:rFonts w:ascii="宋体"/>
                <w:vanish/>
              </w:rPr>
            </w:pPr>
          </w:p>
        </w:tc>
        <w:tc>
          <w:tcPr>
            <w:tcW w:w="0" w:type="auto"/>
            <w:shd w:val="clear" w:color="auto" w:fill="auto"/>
          </w:tcPr>
          <w:p w14:paraId="7DCFD1D6" w14:textId="77777777" w:rsidR="00C1563E" w:rsidRDefault="00C1563E">
            <w:pPr>
              <w:rPr>
                <w:rFonts w:ascii="宋体"/>
                <w:vanish/>
              </w:rPr>
            </w:pPr>
          </w:p>
        </w:tc>
        <w:tc>
          <w:tcPr>
            <w:tcW w:w="0" w:type="auto"/>
            <w:shd w:val="clear" w:color="auto" w:fill="auto"/>
          </w:tcPr>
          <w:p w14:paraId="7DCFD1D7" w14:textId="77777777" w:rsidR="00C1563E" w:rsidRDefault="00C1563E">
            <w:pPr>
              <w:rPr>
                <w:rFonts w:ascii="宋体"/>
                <w:vanish/>
              </w:rPr>
            </w:pPr>
          </w:p>
        </w:tc>
        <w:tc>
          <w:tcPr>
            <w:tcW w:w="0" w:type="auto"/>
            <w:shd w:val="clear" w:color="auto" w:fill="auto"/>
          </w:tcPr>
          <w:p w14:paraId="7DCFD1D8" w14:textId="77777777" w:rsidR="00C1563E" w:rsidRDefault="00C1563E">
            <w:pPr>
              <w:rPr>
                <w:rFonts w:ascii="宋体"/>
                <w:vanish/>
              </w:rPr>
            </w:pPr>
          </w:p>
        </w:tc>
        <w:tc>
          <w:tcPr>
            <w:tcW w:w="0" w:type="auto"/>
            <w:shd w:val="clear" w:color="auto" w:fill="auto"/>
          </w:tcPr>
          <w:p w14:paraId="7DCFD1D9"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1D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1DB" w14:textId="77777777" w:rsidR="00C1563E" w:rsidRDefault="000B648B">
            <w:pPr>
              <w:jc w:val="right"/>
              <w:textAlignment w:val="bottom"/>
            </w:pPr>
            <w:r>
              <w:rPr>
                <w:rFonts w:ascii="Times New Roman" w:eastAsia="宋体" w:hAnsi="Times New Roman"/>
                <w:color w:val="000000"/>
                <w:sz w:val="20"/>
                <w:szCs w:val="20"/>
              </w:rPr>
              <w:t>69,919 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1D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1D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1D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D1DF"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1E0"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1E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1E2" w14:textId="77777777" w:rsidR="00C1563E" w:rsidRDefault="000B648B">
            <w:pPr>
              <w:jc w:val="right"/>
              <w:textAlignment w:val="bottom"/>
            </w:pPr>
            <w:r>
              <w:rPr>
                <w:rFonts w:ascii="Times New Roman" w:eastAsia="宋体" w:hAnsi="Times New Roman"/>
                <w:color w:val="000000"/>
                <w:sz w:val="20"/>
                <w:szCs w:val="20"/>
              </w:rPr>
              <w:t>69,937 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1E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1E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1E5"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DCFD1E6"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1E7"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1E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1E9" w14:textId="77777777" w:rsidR="00C1563E" w:rsidRDefault="000B648B">
            <w:pPr>
              <w:jc w:val="right"/>
              <w:textAlignment w:val="bottom"/>
            </w:pPr>
            <w:r>
              <w:rPr>
                <w:rFonts w:ascii="Times New Roman" w:eastAsia="宋体" w:hAnsi="Times New Roman"/>
                <w:color w:val="000000"/>
                <w:sz w:val="20"/>
                <w:szCs w:val="20"/>
              </w:rPr>
              <w:t>70,768 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1EA" w14:textId="77777777" w:rsidR="00C1563E" w:rsidRDefault="00C1563E">
            <w:pPr>
              <w:jc w:val="right"/>
              <w:rPr>
                <w:rFonts w:ascii="宋体"/>
              </w:rPr>
            </w:pPr>
          </w:p>
        </w:tc>
      </w:tr>
      <w:tr w:rsidR="00C1563E" w14:paraId="7DCFD1FC" w14:textId="77777777">
        <w:trPr>
          <w:trHeight w:val="300"/>
          <w:jc w:val="center"/>
        </w:trPr>
        <w:tc>
          <w:tcPr>
            <w:tcW w:w="0" w:type="auto"/>
            <w:gridSpan w:val="3"/>
            <w:shd w:val="clear" w:color="auto" w:fill="CCEEFF"/>
            <w:tcMar>
              <w:top w:w="0" w:type="dxa"/>
              <w:left w:w="20" w:type="dxa"/>
              <w:bottom w:w="0" w:type="dxa"/>
              <w:right w:w="20" w:type="dxa"/>
            </w:tcMar>
          </w:tcPr>
          <w:p w14:paraId="7DCFD1EC" w14:textId="77777777" w:rsidR="00C1563E" w:rsidRDefault="00C1563E">
            <w:pPr>
              <w:rPr>
                <w:rFonts w:ascii="宋体"/>
              </w:rPr>
            </w:pPr>
          </w:p>
        </w:tc>
        <w:tc>
          <w:tcPr>
            <w:tcW w:w="0" w:type="auto"/>
            <w:shd w:val="clear" w:color="auto" w:fill="auto"/>
          </w:tcPr>
          <w:p w14:paraId="7DCFD1ED" w14:textId="77777777" w:rsidR="00C1563E" w:rsidRDefault="00C1563E">
            <w:pPr>
              <w:rPr>
                <w:rFonts w:ascii="宋体"/>
                <w:vanish/>
              </w:rPr>
            </w:pPr>
          </w:p>
        </w:tc>
        <w:tc>
          <w:tcPr>
            <w:tcW w:w="0" w:type="auto"/>
            <w:shd w:val="clear" w:color="auto" w:fill="auto"/>
          </w:tcPr>
          <w:p w14:paraId="7DCFD1EE" w14:textId="77777777" w:rsidR="00C1563E" w:rsidRDefault="00C1563E">
            <w:pPr>
              <w:rPr>
                <w:rFonts w:ascii="宋体"/>
                <w:vanish/>
              </w:rPr>
            </w:pPr>
          </w:p>
        </w:tc>
        <w:tc>
          <w:tcPr>
            <w:tcW w:w="0" w:type="auto"/>
            <w:shd w:val="clear" w:color="auto" w:fill="auto"/>
          </w:tcPr>
          <w:p w14:paraId="7DCFD1EF" w14:textId="77777777" w:rsidR="00C1563E" w:rsidRDefault="00C1563E">
            <w:pPr>
              <w:rPr>
                <w:rFonts w:ascii="宋体"/>
                <w:vanish/>
              </w:rPr>
            </w:pPr>
          </w:p>
        </w:tc>
        <w:tc>
          <w:tcPr>
            <w:tcW w:w="0" w:type="auto"/>
            <w:shd w:val="clear" w:color="auto" w:fill="auto"/>
          </w:tcPr>
          <w:p w14:paraId="7DCFD1F0" w14:textId="77777777" w:rsidR="00C1563E" w:rsidRDefault="00C1563E">
            <w:pPr>
              <w:rPr>
                <w:rFonts w:ascii="宋体"/>
                <w:vanish/>
              </w:rPr>
            </w:pPr>
          </w:p>
        </w:tc>
        <w:tc>
          <w:tcPr>
            <w:tcW w:w="0" w:type="auto"/>
            <w:shd w:val="clear" w:color="auto" w:fill="auto"/>
          </w:tcPr>
          <w:p w14:paraId="7DCFD1F1" w14:textId="77777777" w:rsidR="00C1563E" w:rsidRDefault="00C1563E">
            <w:pPr>
              <w:rPr>
                <w:rFonts w:ascii="宋体"/>
                <w:vanish/>
              </w:rPr>
            </w:pPr>
          </w:p>
        </w:tc>
        <w:tc>
          <w:tcPr>
            <w:tcW w:w="0" w:type="auto"/>
            <w:shd w:val="clear" w:color="auto" w:fill="auto"/>
          </w:tcPr>
          <w:p w14:paraId="7DCFD1F2" w14:textId="77777777" w:rsidR="00C1563E" w:rsidRDefault="00C1563E">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1F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6"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1F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1FA"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1FB" w14:textId="77777777" w:rsidR="00C1563E" w:rsidRDefault="00C1563E">
            <w:pPr>
              <w:rPr>
                <w:rFonts w:ascii="宋体"/>
              </w:rPr>
            </w:pPr>
          </w:p>
        </w:tc>
      </w:tr>
      <w:tr w:rsidR="00C1563E" w14:paraId="7DCFD215" w14:textId="77777777">
        <w:trPr>
          <w:jc w:val="center"/>
        </w:trPr>
        <w:tc>
          <w:tcPr>
            <w:tcW w:w="0" w:type="auto"/>
            <w:gridSpan w:val="3"/>
            <w:shd w:val="clear" w:color="auto" w:fill="FFFFFF"/>
            <w:tcMar>
              <w:top w:w="40" w:type="dxa"/>
              <w:left w:w="20" w:type="dxa"/>
              <w:bottom w:w="40" w:type="dxa"/>
              <w:right w:w="20" w:type="dxa"/>
            </w:tcMar>
            <w:vAlign w:val="bottom"/>
          </w:tcPr>
          <w:p w14:paraId="7DCFD1FD" w14:textId="77777777" w:rsidR="00C1563E" w:rsidRDefault="000B648B">
            <w:pPr>
              <w:textAlignment w:val="bottom"/>
            </w:pPr>
            <w:r>
              <w:rPr>
                <w:rFonts w:ascii="Times New Roman" w:eastAsia="宋体" w:hAnsi="Times New Roman"/>
                <w:color w:val="000000"/>
                <w:sz w:val="20"/>
                <w:szCs w:val="20"/>
              </w:rPr>
              <w:t>Services net revenue</w:t>
            </w:r>
          </w:p>
        </w:tc>
        <w:tc>
          <w:tcPr>
            <w:tcW w:w="0" w:type="auto"/>
            <w:shd w:val="clear" w:color="auto" w:fill="auto"/>
          </w:tcPr>
          <w:p w14:paraId="7DCFD1FE" w14:textId="77777777" w:rsidR="00C1563E" w:rsidRDefault="00C1563E">
            <w:pPr>
              <w:rPr>
                <w:rFonts w:ascii="宋体"/>
                <w:vanish/>
              </w:rPr>
            </w:pPr>
          </w:p>
        </w:tc>
        <w:tc>
          <w:tcPr>
            <w:tcW w:w="0" w:type="auto"/>
            <w:shd w:val="clear" w:color="auto" w:fill="auto"/>
          </w:tcPr>
          <w:p w14:paraId="7DCFD1FF" w14:textId="77777777" w:rsidR="00C1563E" w:rsidRDefault="00C1563E">
            <w:pPr>
              <w:rPr>
                <w:rFonts w:ascii="宋体"/>
                <w:vanish/>
              </w:rPr>
            </w:pPr>
          </w:p>
        </w:tc>
        <w:tc>
          <w:tcPr>
            <w:tcW w:w="0" w:type="auto"/>
            <w:shd w:val="clear" w:color="auto" w:fill="auto"/>
          </w:tcPr>
          <w:p w14:paraId="7DCFD200" w14:textId="77777777" w:rsidR="00C1563E" w:rsidRDefault="00C1563E">
            <w:pPr>
              <w:rPr>
                <w:rFonts w:ascii="宋体"/>
                <w:vanish/>
              </w:rPr>
            </w:pPr>
          </w:p>
        </w:tc>
        <w:tc>
          <w:tcPr>
            <w:tcW w:w="0" w:type="auto"/>
            <w:shd w:val="clear" w:color="auto" w:fill="auto"/>
          </w:tcPr>
          <w:p w14:paraId="7DCFD201" w14:textId="77777777" w:rsidR="00C1563E" w:rsidRDefault="00C1563E">
            <w:pPr>
              <w:rPr>
                <w:rFonts w:ascii="宋体"/>
                <w:vanish/>
              </w:rPr>
            </w:pPr>
          </w:p>
        </w:tc>
        <w:tc>
          <w:tcPr>
            <w:tcW w:w="0" w:type="auto"/>
            <w:shd w:val="clear" w:color="auto" w:fill="auto"/>
          </w:tcPr>
          <w:p w14:paraId="7DCFD202" w14:textId="77777777" w:rsidR="00C1563E" w:rsidRDefault="00C1563E">
            <w:pPr>
              <w:rPr>
                <w:rFonts w:ascii="宋体"/>
                <w:vanish/>
              </w:rPr>
            </w:pPr>
          </w:p>
        </w:tc>
        <w:tc>
          <w:tcPr>
            <w:tcW w:w="0" w:type="auto"/>
            <w:shd w:val="clear" w:color="auto" w:fill="auto"/>
          </w:tcPr>
          <w:p w14:paraId="7DCFD203"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20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05" w14:textId="77777777" w:rsidR="00C1563E" w:rsidRDefault="000B648B">
            <w:pPr>
              <w:jc w:val="right"/>
              <w:textAlignment w:val="bottom"/>
            </w:pPr>
            <w:r>
              <w:rPr>
                <w:rFonts w:ascii="Times New Roman" w:eastAsia="宋体" w:hAnsi="Times New Roman"/>
                <w:color w:val="000000"/>
                <w:sz w:val="20"/>
                <w:szCs w:val="20"/>
              </w:rPr>
              <w:t>24,313 </w:t>
            </w:r>
          </w:p>
        </w:tc>
        <w:tc>
          <w:tcPr>
            <w:tcW w:w="0" w:type="auto"/>
            <w:shd w:val="clear" w:color="auto" w:fill="FFFFFF"/>
            <w:tcMar>
              <w:top w:w="40" w:type="dxa"/>
              <w:left w:w="0" w:type="dxa"/>
              <w:bottom w:w="40" w:type="dxa"/>
              <w:right w:w="20" w:type="dxa"/>
            </w:tcMar>
            <w:vAlign w:val="bottom"/>
          </w:tcPr>
          <w:p w14:paraId="7DCFD2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0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08"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DCFD209"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0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20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0C" w14:textId="77777777" w:rsidR="00C1563E" w:rsidRDefault="000B648B">
            <w:pPr>
              <w:jc w:val="right"/>
              <w:textAlignment w:val="bottom"/>
            </w:pPr>
            <w:r>
              <w:rPr>
                <w:rFonts w:ascii="Times New Roman" w:eastAsia="宋体" w:hAnsi="Times New Roman"/>
                <w:color w:val="000000"/>
                <w:sz w:val="20"/>
                <w:szCs w:val="20"/>
              </w:rPr>
              <w:t>22,236 </w:t>
            </w:r>
          </w:p>
        </w:tc>
        <w:tc>
          <w:tcPr>
            <w:tcW w:w="0" w:type="auto"/>
            <w:shd w:val="clear" w:color="auto" w:fill="FFFFFF"/>
            <w:tcMar>
              <w:top w:w="40" w:type="dxa"/>
              <w:left w:w="0" w:type="dxa"/>
              <w:bottom w:w="40" w:type="dxa"/>
              <w:right w:w="20" w:type="dxa"/>
            </w:tcMar>
            <w:vAlign w:val="bottom"/>
          </w:tcPr>
          <w:p w14:paraId="7DCFD20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0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0F"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DCFD21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1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21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13" w14:textId="77777777" w:rsidR="00C1563E" w:rsidRDefault="000B648B">
            <w:pPr>
              <w:jc w:val="right"/>
              <w:textAlignment w:val="bottom"/>
            </w:pPr>
            <w:r>
              <w:rPr>
                <w:rFonts w:ascii="Times New Roman" w:eastAsia="宋体" w:hAnsi="Times New Roman"/>
                <w:color w:val="000000"/>
                <w:sz w:val="20"/>
                <w:szCs w:val="20"/>
              </w:rPr>
              <w:t>19,914 </w:t>
            </w:r>
          </w:p>
        </w:tc>
        <w:tc>
          <w:tcPr>
            <w:tcW w:w="0" w:type="auto"/>
            <w:shd w:val="clear" w:color="auto" w:fill="FFFFFF"/>
            <w:tcMar>
              <w:top w:w="40" w:type="dxa"/>
              <w:left w:w="0" w:type="dxa"/>
              <w:bottom w:w="40" w:type="dxa"/>
              <w:right w:w="20" w:type="dxa"/>
            </w:tcMar>
            <w:vAlign w:val="bottom"/>
          </w:tcPr>
          <w:p w14:paraId="7DCFD214" w14:textId="77777777" w:rsidR="00C1563E" w:rsidRDefault="00C1563E">
            <w:pPr>
              <w:jc w:val="right"/>
              <w:rPr>
                <w:rFonts w:ascii="宋体"/>
              </w:rPr>
            </w:pPr>
          </w:p>
        </w:tc>
      </w:tr>
      <w:tr w:rsidR="00C1563E" w14:paraId="7DCFD226" w14:textId="77777777">
        <w:trPr>
          <w:jc w:val="center"/>
        </w:trPr>
        <w:tc>
          <w:tcPr>
            <w:tcW w:w="0" w:type="auto"/>
            <w:gridSpan w:val="3"/>
            <w:shd w:val="clear" w:color="auto" w:fill="CCEEFF"/>
            <w:tcMar>
              <w:top w:w="40" w:type="dxa"/>
              <w:left w:w="155" w:type="dxa"/>
              <w:bottom w:w="40" w:type="dxa"/>
              <w:right w:w="20" w:type="dxa"/>
            </w:tcMar>
            <w:vAlign w:val="bottom"/>
          </w:tcPr>
          <w:p w14:paraId="7DCFD216" w14:textId="77777777" w:rsidR="00C1563E" w:rsidRDefault="000B648B">
            <w:pPr>
              <w:textAlignment w:val="bottom"/>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shd w:val="clear" w:color="auto" w:fill="auto"/>
          </w:tcPr>
          <w:p w14:paraId="7DCFD217" w14:textId="77777777" w:rsidR="00C1563E" w:rsidRDefault="00C1563E">
            <w:pPr>
              <w:rPr>
                <w:rFonts w:ascii="宋体"/>
                <w:vanish/>
              </w:rPr>
            </w:pPr>
          </w:p>
        </w:tc>
        <w:tc>
          <w:tcPr>
            <w:tcW w:w="0" w:type="auto"/>
            <w:shd w:val="clear" w:color="auto" w:fill="auto"/>
          </w:tcPr>
          <w:p w14:paraId="7DCFD218" w14:textId="77777777" w:rsidR="00C1563E" w:rsidRDefault="00C1563E">
            <w:pPr>
              <w:rPr>
                <w:rFonts w:ascii="宋体"/>
                <w:vanish/>
              </w:rPr>
            </w:pPr>
          </w:p>
        </w:tc>
        <w:tc>
          <w:tcPr>
            <w:tcW w:w="0" w:type="auto"/>
            <w:shd w:val="clear" w:color="auto" w:fill="auto"/>
          </w:tcPr>
          <w:p w14:paraId="7DCFD219" w14:textId="77777777" w:rsidR="00C1563E" w:rsidRDefault="00C1563E">
            <w:pPr>
              <w:rPr>
                <w:rFonts w:ascii="宋体"/>
                <w:vanish/>
              </w:rPr>
            </w:pPr>
          </w:p>
        </w:tc>
        <w:tc>
          <w:tcPr>
            <w:tcW w:w="0" w:type="auto"/>
            <w:shd w:val="clear" w:color="auto" w:fill="auto"/>
          </w:tcPr>
          <w:p w14:paraId="7DCFD21A" w14:textId="77777777" w:rsidR="00C1563E" w:rsidRDefault="00C1563E">
            <w:pPr>
              <w:rPr>
                <w:rFonts w:ascii="宋体"/>
                <w:vanish/>
              </w:rPr>
            </w:pPr>
          </w:p>
        </w:tc>
        <w:tc>
          <w:tcPr>
            <w:tcW w:w="0" w:type="auto"/>
            <w:shd w:val="clear" w:color="auto" w:fill="auto"/>
          </w:tcPr>
          <w:p w14:paraId="7DCFD21B" w14:textId="77777777" w:rsidR="00C1563E" w:rsidRDefault="00C1563E">
            <w:pPr>
              <w:rPr>
                <w:rFonts w:ascii="宋体"/>
                <w:vanish/>
              </w:rPr>
            </w:pPr>
          </w:p>
        </w:tc>
        <w:tc>
          <w:tcPr>
            <w:tcW w:w="0" w:type="auto"/>
            <w:shd w:val="clear" w:color="auto" w:fill="auto"/>
          </w:tcPr>
          <w:p w14:paraId="7DCFD21C"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21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1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1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25" w14:textId="77777777" w:rsidR="00C1563E" w:rsidRDefault="00C1563E">
            <w:pPr>
              <w:rPr>
                <w:rFonts w:ascii="宋体"/>
              </w:rPr>
            </w:pPr>
          </w:p>
        </w:tc>
      </w:tr>
      <w:tr w:rsidR="00C1563E" w14:paraId="7DCFD23A" w14:textId="77777777">
        <w:trPr>
          <w:jc w:val="center"/>
        </w:trPr>
        <w:tc>
          <w:tcPr>
            <w:tcW w:w="0" w:type="auto"/>
            <w:gridSpan w:val="3"/>
            <w:shd w:val="clear" w:color="auto" w:fill="FFFFFF"/>
            <w:tcMar>
              <w:top w:w="40" w:type="dxa"/>
              <w:left w:w="245" w:type="dxa"/>
              <w:bottom w:w="40" w:type="dxa"/>
              <w:right w:w="20" w:type="dxa"/>
            </w:tcMar>
            <w:vAlign w:val="bottom"/>
          </w:tcPr>
          <w:p w14:paraId="7DCFD227"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228" w14:textId="77777777" w:rsidR="00C1563E" w:rsidRDefault="00C1563E">
            <w:pPr>
              <w:rPr>
                <w:rFonts w:ascii="宋体"/>
                <w:vanish/>
              </w:rPr>
            </w:pPr>
          </w:p>
        </w:tc>
        <w:tc>
          <w:tcPr>
            <w:tcW w:w="0" w:type="auto"/>
            <w:shd w:val="clear" w:color="auto" w:fill="auto"/>
          </w:tcPr>
          <w:p w14:paraId="7DCFD229" w14:textId="77777777" w:rsidR="00C1563E" w:rsidRDefault="00C1563E">
            <w:pPr>
              <w:rPr>
                <w:rFonts w:ascii="宋体"/>
                <w:vanish/>
              </w:rPr>
            </w:pPr>
          </w:p>
        </w:tc>
        <w:tc>
          <w:tcPr>
            <w:tcW w:w="0" w:type="auto"/>
            <w:shd w:val="clear" w:color="auto" w:fill="auto"/>
          </w:tcPr>
          <w:p w14:paraId="7DCFD22A" w14:textId="77777777" w:rsidR="00C1563E" w:rsidRDefault="00C1563E">
            <w:pPr>
              <w:rPr>
                <w:rFonts w:ascii="宋体"/>
                <w:vanish/>
              </w:rPr>
            </w:pPr>
          </w:p>
        </w:tc>
        <w:tc>
          <w:tcPr>
            <w:tcW w:w="0" w:type="auto"/>
            <w:shd w:val="clear" w:color="auto" w:fill="auto"/>
          </w:tcPr>
          <w:p w14:paraId="7DCFD22B" w14:textId="77777777" w:rsidR="00C1563E" w:rsidRDefault="00C1563E">
            <w:pPr>
              <w:rPr>
                <w:rFonts w:ascii="宋体"/>
                <w:vanish/>
              </w:rPr>
            </w:pPr>
          </w:p>
        </w:tc>
        <w:tc>
          <w:tcPr>
            <w:tcW w:w="0" w:type="auto"/>
            <w:shd w:val="clear" w:color="auto" w:fill="auto"/>
          </w:tcPr>
          <w:p w14:paraId="7DCFD22C" w14:textId="77777777" w:rsidR="00C1563E" w:rsidRDefault="00C1563E">
            <w:pPr>
              <w:rPr>
                <w:rFonts w:ascii="宋体"/>
                <w:vanish/>
              </w:rPr>
            </w:pPr>
          </w:p>
        </w:tc>
        <w:tc>
          <w:tcPr>
            <w:tcW w:w="0" w:type="auto"/>
            <w:shd w:val="clear" w:color="auto" w:fill="auto"/>
          </w:tcPr>
          <w:p w14:paraId="7DCFD22D"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22E" w14:textId="77777777" w:rsidR="00C1563E" w:rsidRDefault="000B648B">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7DCFD22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3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3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33" w14:textId="77777777" w:rsidR="00C1563E" w:rsidRDefault="000B648B">
            <w:pPr>
              <w:jc w:val="right"/>
              <w:textAlignment w:val="bottom"/>
            </w:pPr>
            <w:r>
              <w:rPr>
                <w:rFonts w:ascii="Times New Roman" w:eastAsia="宋体" w:hAnsi="Times New Roman"/>
                <w:color w:val="000000"/>
                <w:sz w:val="20"/>
                <w:szCs w:val="20"/>
              </w:rPr>
              <w:t>328 </w:t>
            </w:r>
          </w:p>
        </w:tc>
        <w:tc>
          <w:tcPr>
            <w:tcW w:w="0" w:type="auto"/>
            <w:shd w:val="clear" w:color="auto" w:fill="FFFFFF"/>
            <w:tcMar>
              <w:top w:w="40" w:type="dxa"/>
              <w:left w:w="0" w:type="dxa"/>
              <w:bottom w:w="40" w:type="dxa"/>
              <w:right w:w="20" w:type="dxa"/>
            </w:tcMar>
            <w:vAlign w:val="bottom"/>
          </w:tcPr>
          <w:p w14:paraId="7DCFD23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3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3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3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38" w14:textId="77777777" w:rsidR="00C1563E" w:rsidRDefault="000B648B">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7DCFD239" w14:textId="77777777" w:rsidR="00C1563E" w:rsidRDefault="00C1563E">
            <w:pPr>
              <w:jc w:val="right"/>
              <w:rPr>
                <w:rFonts w:ascii="宋体"/>
              </w:rPr>
            </w:pPr>
          </w:p>
        </w:tc>
      </w:tr>
      <w:tr w:rsidR="00C1563E" w14:paraId="7DCFD253" w14:textId="77777777">
        <w:trPr>
          <w:jc w:val="center"/>
        </w:trPr>
        <w:tc>
          <w:tcPr>
            <w:tcW w:w="0" w:type="auto"/>
            <w:gridSpan w:val="3"/>
            <w:shd w:val="clear" w:color="auto" w:fill="CCEEFF"/>
            <w:tcMar>
              <w:top w:w="40" w:type="dxa"/>
              <w:left w:w="380" w:type="dxa"/>
              <w:bottom w:w="40" w:type="dxa"/>
              <w:right w:w="20" w:type="dxa"/>
            </w:tcMar>
            <w:vAlign w:val="bottom"/>
          </w:tcPr>
          <w:p w14:paraId="7DCFD23B" w14:textId="77777777" w:rsidR="00C1563E" w:rsidRDefault="000B648B">
            <w:pPr>
              <w:textAlignment w:val="bottom"/>
            </w:pPr>
            <w:r>
              <w:rPr>
                <w:rFonts w:ascii="Times New Roman" w:eastAsia="宋体" w:hAnsi="Times New Roman"/>
                <w:color w:val="000000"/>
                <w:sz w:val="20"/>
                <w:szCs w:val="20"/>
              </w:rPr>
              <w:t>Non-GAAP services net revenue</w:t>
            </w:r>
          </w:p>
        </w:tc>
        <w:tc>
          <w:tcPr>
            <w:tcW w:w="0" w:type="auto"/>
            <w:shd w:val="clear" w:color="auto" w:fill="auto"/>
          </w:tcPr>
          <w:p w14:paraId="7DCFD23C" w14:textId="77777777" w:rsidR="00C1563E" w:rsidRDefault="00C1563E">
            <w:pPr>
              <w:rPr>
                <w:rFonts w:ascii="宋体"/>
                <w:vanish/>
              </w:rPr>
            </w:pPr>
          </w:p>
        </w:tc>
        <w:tc>
          <w:tcPr>
            <w:tcW w:w="0" w:type="auto"/>
            <w:shd w:val="clear" w:color="auto" w:fill="auto"/>
          </w:tcPr>
          <w:p w14:paraId="7DCFD23D" w14:textId="77777777" w:rsidR="00C1563E" w:rsidRDefault="00C1563E">
            <w:pPr>
              <w:rPr>
                <w:rFonts w:ascii="宋体"/>
                <w:vanish/>
              </w:rPr>
            </w:pPr>
          </w:p>
        </w:tc>
        <w:tc>
          <w:tcPr>
            <w:tcW w:w="0" w:type="auto"/>
            <w:shd w:val="clear" w:color="auto" w:fill="auto"/>
          </w:tcPr>
          <w:p w14:paraId="7DCFD23E" w14:textId="77777777" w:rsidR="00C1563E" w:rsidRDefault="00C1563E">
            <w:pPr>
              <w:rPr>
                <w:rFonts w:ascii="宋体"/>
                <w:vanish/>
              </w:rPr>
            </w:pPr>
          </w:p>
        </w:tc>
        <w:tc>
          <w:tcPr>
            <w:tcW w:w="0" w:type="auto"/>
            <w:shd w:val="clear" w:color="auto" w:fill="auto"/>
          </w:tcPr>
          <w:p w14:paraId="7DCFD23F" w14:textId="77777777" w:rsidR="00C1563E" w:rsidRDefault="00C1563E">
            <w:pPr>
              <w:rPr>
                <w:rFonts w:ascii="宋体"/>
                <w:vanish/>
              </w:rPr>
            </w:pPr>
          </w:p>
        </w:tc>
        <w:tc>
          <w:tcPr>
            <w:tcW w:w="0" w:type="auto"/>
            <w:shd w:val="clear" w:color="auto" w:fill="auto"/>
          </w:tcPr>
          <w:p w14:paraId="7DCFD240" w14:textId="77777777" w:rsidR="00C1563E" w:rsidRDefault="00C1563E">
            <w:pPr>
              <w:rPr>
                <w:rFonts w:ascii="宋体"/>
                <w:vanish/>
              </w:rPr>
            </w:pPr>
          </w:p>
        </w:tc>
        <w:tc>
          <w:tcPr>
            <w:tcW w:w="0" w:type="auto"/>
            <w:shd w:val="clear" w:color="auto" w:fill="auto"/>
          </w:tcPr>
          <w:p w14:paraId="7DCFD241"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24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243" w14:textId="77777777" w:rsidR="00C1563E" w:rsidRDefault="000B648B">
            <w:pPr>
              <w:jc w:val="right"/>
              <w:textAlignment w:val="bottom"/>
            </w:pPr>
            <w:r>
              <w:rPr>
                <w:rFonts w:ascii="Times New Roman" w:eastAsia="宋体" w:hAnsi="Times New Roman"/>
                <w:color w:val="000000"/>
                <w:sz w:val="20"/>
                <w:szCs w:val="20"/>
              </w:rPr>
              <w:t>24,470 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24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4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46"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DCFD24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248"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24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24A" w14:textId="77777777" w:rsidR="00C1563E" w:rsidRDefault="000B648B">
            <w:pPr>
              <w:jc w:val="right"/>
              <w:textAlignment w:val="bottom"/>
            </w:pPr>
            <w:r>
              <w:rPr>
                <w:rFonts w:ascii="Times New Roman" w:eastAsia="宋体" w:hAnsi="Times New Roman"/>
                <w:color w:val="000000"/>
                <w:sz w:val="20"/>
                <w:szCs w:val="20"/>
              </w:rPr>
              <w:t>22,564 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24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4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4D"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CFD24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24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25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251" w14:textId="77777777" w:rsidR="00C1563E" w:rsidRDefault="000B648B">
            <w:pPr>
              <w:jc w:val="right"/>
              <w:textAlignment w:val="bottom"/>
            </w:pPr>
            <w:r>
              <w:rPr>
                <w:rFonts w:ascii="Times New Roman" w:eastAsia="宋体" w:hAnsi="Times New Roman"/>
                <w:color w:val="000000"/>
                <w:sz w:val="20"/>
                <w:szCs w:val="20"/>
              </w:rPr>
              <w:t>20,556 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252" w14:textId="77777777" w:rsidR="00C1563E" w:rsidRDefault="00C1563E">
            <w:pPr>
              <w:jc w:val="right"/>
              <w:rPr>
                <w:rFonts w:ascii="宋体"/>
              </w:rPr>
            </w:pPr>
          </w:p>
        </w:tc>
      </w:tr>
      <w:tr w:rsidR="00C1563E" w14:paraId="7DCFD264" w14:textId="77777777">
        <w:trPr>
          <w:trHeight w:val="300"/>
          <w:jc w:val="center"/>
        </w:trPr>
        <w:tc>
          <w:tcPr>
            <w:tcW w:w="0" w:type="auto"/>
            <w:gridSpan w:val="3"/>
            <w:shd w:val="clear" w:color="auto" w:fill="FFFFFF"/>
            <w:tcMar>
              <w:top w:w="0" w:type="dxa"/>
              <w:left w:w="20" w:type="dxa"/>
              <w:bottom w:w="0" w:type="dxa"/>
              <w:right w:w="20" w:type="dxa"/>
            </w:tcMar>
          </w:tcPr>
          <w:p w14:paraId="7DCFD254" w14:textId="77777777" w:rsidR="00C1563E" w:rsidRDefault="00C1563E">
            <w:pPr>
              <w:rPr>
                <w:rFonts w:ascii="宋体"/>
              </w:rPr>
            </w:pPr>
          </w:p>
        </w:tc>
        <w:tc>
          <w:tcPr>
            <w:tcW w:w="0" w:type="auto"/>
            <w:shd w:val="clear" w:color="auto" w:fill="auto"/>
          </w:tcPr>
          <w:p w14:paraId="7DCFD255" w14:textId="77777777" w:rsidR="00C1563E" w:rsidRDefault="00C1563E">
            <w:pPr>
              <w:rPr>
                <w:rFonts w:ascii="宋体"/>
                <w:vanish/>
              </w:rPr>
            </w:pPr>
          </w:p>
        </w:tc>
        <w:tc>
          <w:tcPr>
            <w:tcW w:w="0" w:type="auto"/>
            <w:shd w:val="clear" w:color="auto" w:fill="auto"/>
          </w:tcPr>
          <w:p w14:paraId="7DCFD256" w14:textId="77777777" w:rsidR="00C1563E" w:rsidRDefault="00C1563E">
            <w:pPr>
              <w:rPr>
                <w:rFonts w:ascii="宋体"/>
                <w:vanish/>
              </w:rPr>
            </w:pPr>
          </w:p>
        </w:tc>
        <w:tc>
          <w:tcPr>
            <w:tcW w:w="0" w:type="auto"/>
            <w:shd w:val="clear" w:color="auto" w:fill="auto"/>
          </w:tcPr>
          <w:p w14:paraId="7DCFD257" w14:textId="77777777" w:rsidR="00C1563E" w:rsidRDefault="00C1563E">
            <w:pPr>
              <w:rPr>
                <w:rFonts w:ascii="宋体"/>
                <w:vanish/>
              </w:rPr>
            </w:pPr>
          </w:p>
        </w:tc>
        <w:tc>
          <w:tcPr>
            <w:tcW w:w="0" w:type="auto"/>
            <w:shd w:val="clear" w:color="auto" w:fill="auto"/>
          </w:tcPr>
          <w:p w14:paraId="7DCFD258" w14:textId="77777777" w:rsidR="00C1563E" w:rsidRDefault="00C1563E">
            <w:pPr>
              <w:rPr>
                <w:rFonts w:ascii="宋体"/>
                <w:vanish/>
              </w:rPr>
            </w:pPr>
          </w:p>
        </w:tc>
        <w:tc>
          <w:tcPr>
            <w:tcW w:w="0" w:type="auto"/>
            <w:shd w:val="clear" w:color="auto" w:fill="auto"/>
          </w:tcPr>
          <w:p w14:paraId="7DCFD259" w14:textId="77777777" w:rsidR="00C1563E" w:rsidRDefault="00C1563E">
            <w:pPr>
              <w:rPr>
                <w:rFonts w:ascii="宋体"/>
                <w:vanish/>
              </w:rPr>
            </w:pPr>
          </w:p>
        </w:tc>
        <w:tc>
          <w:tcPr>
            <w:tcW w:w="0" w:type="auto"/>
            <w:shd w:val="clear" w:color="auto" w:fill="auto"/>
          </w:tcPr>
          <w:p w14:paraId="7DCFD25A" w14:textId="77777777" w:rsidR="00C1563E" w:rsidRDefault="00C1563E">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25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5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5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5E"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25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6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6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62"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263" w14:textId="77777777" w:rsidR="00C1563E" w:rsidRDefault="00C1563E">
            <w:pPr>
              <w:rPr>
                <w:rFonts w:ascii="宋体"/>
              </w:rPr>
            </w:pPr>
          </w:p>
        </w:tc>
      </w:tr>
      <w:tr w:rsidR="00C1563E" w14:paraId="7DCFD27D" w14:textId="77777777">
        <w:trPr>
          <w:jc w:val="center"/>
        </w:trPr>
        <w:tc>
          <w:tcPr>
            <w:tcW w:w="0" w:type="auto"/>
            <w:gridSpan w:val="3"/>
            <w:shd w:val="clear" w:color="auto" w:fill="CCEEFF"/>
            <w:tcMar>
              <w:top w:w="40" w:type="dxa"/>
              <w:left w:w="20" w:type="dxa"/>
              <w:bottom w:w="40" w:type="dxa"/>
              <w:right w:w="20" w:type="dxa"/>
            </w:tcMar>
            <w:vAlign w:val="bottom"/>
          </w:tcPr>
          <w:p w14:paraId="7DCFD265" w14:textId="77777777" w:rsidR="00C1563E" w:rsidRDefault="000B648B">
            <w:pPr>
              <w:textAlignment w:val="bottom"/>
            </w:pPr>
            <w:r>
              <w:rPr>
                <w:rFonts w:ascii="Times New Roman" w:eastAsia="宋体" w:hAnsi="Times New Roman"/>
                <w:color w:val="000000"/>
                <w:sz w:val="20"/>
                <w:szCs w:val="20"/>
              </w:rPr>
              <w:t>Net revenue</w:t>
            </w:r>
          </w:p>
        </w:tc>
        <w:tc>
          <w:tcPr>
            <w:tcW w:w="0" w:type="auto"/>
            <w:shd w:val="clear" w:color="auto" w:fill="auto"/>
          </w:tcPr>
          <w:p w14:paraId="7DCFD266" w14:textId="77777777" w:rsidR="00C1563E" w:rsidRDefault="00C1563E">
            <w:pPr>
              <w:rPr>
                <w:rFonts w:ascii="宋体"/>
                <w:vanish/>
              </w:rPr>
            </w:pPr>
          </w:p>
        </w:tc>
        <w:tc>
          <w:tcPr>
            <w:tcW w:w="0" w:type="auto"/>
            <w:shd w:val="clear" w:color="auto" w:fill="auto"/>
          </w:tcPr>
          <w:p w14:paraId="7DCFD267" w14:textId="77777777" w:rsidR="00C1563E" w:rsidRDefault="00C1563E">
            <w:pPr>
              <w:rPr>
                <w:rFonts w:ascii="宋体"/>
                <w:vanish/>
              </w:rPr>
            </w:pPr>
          </w:p>
        </w:tc>
        <w:tc>
          <w:tcPr>
            <w:tcW w:w="0" w:type="auto"/>
            <w:shd w:val="clear" w:color="auto" w:fill="auto"/>
          </w:tcPr>
          <w:p w14:paraId="7DCFD268" w14:textId="77777777" w:rsidR="00C1563E" w:rsidRDefault="00C1563E">
            <w:pPr>
              <w:rPr>
                <w:rFonts w:ascii="宋体"/>
                <w:vanish/>
              </w:rPr>
            </w:pPr>
          </w:p>
        </w:tc>
        <w:tc>
          <w:tcPr>
            <w:tcW w:w="0" w:type="auto"/>
            <w:shd w:val="clear" w:color="auto" w:fill="auto"/>
          </w:tcPr>
          <w:p w14:paraId="7DCFD269" w14:textId="77777777" w:rsidR="00C1563E" w:rsidRDefault="00C1563E">
            <w:pPr>
              <w:rPr>
                <w:rFonts w:ascii="宋体"/>
                <w:vanish/>
              </w:rPr>
            </w:pPr>
          </w:p>
        </w:tc>
        <w:tc>
          <w:tcPr>
            <w:tcW w:w="0" w:type="auto"/>
            <w:shd w:val="clear" w:color="auto" w:fill="auto"/>
          </w:tcPr>
          <w:p w14:paraId="7DCFD26A" w14:textId="77777777" w:rsidR="00C1563E" w:rsidRDefault="00C1563E">
            <w:pPr>
              <w:rPr>
                <w:rFonts w:ascii="宋体"/>
                <w:vanish/>
              </w:rPr>
            </w:pPr>
          </w:p>
        </w:tc>
        <w:tc>
          <w:tcPr>
            <w:tcW w:w="0" w:type="auto"/>
            <w:shd w:val="clear" w:color="auto" w:fill="auto"/>
          </w:tcPr>
          <w:p w14:paraId="7DCFD26B"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26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26D" w14:textId="77777777" w:rsidR="00C1563E" w:rsidRDefault="000B648B">
            <w:pPr>
              <w:jc w:val="right"/>
              <w:textAlignment w:val="bottom"/>
            </w:pPr>
            <w:r>
              <w:rPr>
                <w:rFonts w:ascii="Times New Roman" w:eastAsia="宋体" w:hAnsi="Times New Roman"/>
                <w:color w:val="000000"/>
                <w:sz w:val="20"/>
                <w:szCs w:val="20"/>
              </w:rPr>
              <w:t>94,224 </w:t>
            </w:r>
          </w:p>
        </w:tc>
        <w:tc>
          <w:tcPr>
            <w:tcW w:w="0" w:type="auto"/>
            <w:shd w:val="clear" w:color="auto" w:fill="CCEEFF"/>
            <w:tcMar>
              <w:top w:w="40" w:type="dxa"/>
              <w:left w:w="0" w:type="dxa"/>
              <w:bottom w:w="40" w:type="dxa"/>
              <w:right w:w="20" w:type="dxa"/>
            </w:tcMar>
            <w:vAlign w:val="bottom"/>
          </w:tcPr>
          <w:p w14:paraId="7DCFD2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70"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CFD27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27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27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274" w14:textId="77777777" w:rsidR="00C1563E" w:rsidRDefault="000B648B">
            <w:pPr>
              <w:jc w:val="right"/>
              <w:textAlignment w:val="bottom"/>
            </w:pPr>
            <w:r>
              <w:rPr>
                <w:rFonts w:ascii="Times New Roman" w:eastAsia="宋体" w:hAnsi="Times New Roman"/>
                <w:color w:val="000000"/>
                <w:sz w:val="20"/>
                <w:szCs w:val="20"/>
              </w:rPr>
              <w:t>92,154 </w:t>
            </w:r>
          </w:p>
        </w:tc>
        <w:tc>
          <w:tcPr>
            <w:tcW w:w="0" w:type="auto"/>
            <w:shd w:val="clear" w:color="auto" w:fill="CCEEFF"/>
            <w:tcMar>
              <w:top w:w="40" w:type="dxa"/>
              <w:left w:w="0" w:type="dxa"/>
              <w:bottom w:w="40" w:type="dxa"/>
              <w:right w:w="20" w:type="dxa"/>
            </w:tcMar>
            <w:vAlign w:val="bottom"/>
          </w:tcPr>
          <w:p w14:paraId="7DCFD27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7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77"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CFD278"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27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27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27B" w14:textId="77777777" w:rsidR="00C1563E" w:rsidRDefault="000B648B">
            <w:pPr>
              <w:jc w:val="right"/>
              <w:textAlignment w:val="bottom"/>
            </w:pPr>
            <w:r>
              <w:rPr>
                <w:rFonts w:ascii="Times New Roman" w:eastAsia="宋体" w:hAnsi="Times New Roman"/>
                <w:color w:val="000000"/>
                <w:sz w:val="20"/>
                <w:szCs w:val="20"/>
              </w:rPr>
              <w:t>90,621 </w:t>
            </w:r>
          </w:p>
        </w:tc>
        <w:tc>
          <w:tcPr>
            <w:tcW w:w="0" w:type="auto"/>
            <w:shd w:val="clear" w:color="auto" w:fill="CCEEFF"/>
            <w:tcMar>
              <w:top w:w="40" w:type="dxa"/>
              <w:left w:w="0" w:type="dxa"/>
              <w:bottom w:w="40" w:type="dxa"/>
              <w:right w:w="20" w:type="dxa"/>
            </w:tcMar>
            <w:vAlign w:val="bottom"/>
          </w:tcPr>
          <w:p w14:paraId="7DCFD27C" w14:textId="77777777" w:rsidR="00C1563E" w:rsidRDefault="00C1563E">
            <w:pPr>
              <w:jc w:val="right"/>
              <w:rPr>
                <w:rFonts w:ascii="宋体"/>
              </w:rPr>
            </w:pPr>
          </w:p>
        </w:tc>
      </w:tr>
      <w:tr w:rsidR="00C1563E" w14:paraId="7DCFD28E" w14:textId="77777777">
        <w:trPr>
          <w:jc w:val="center"/>
        </w:trPr>
        <w:tc>
          <w:tcPr>
            <w:tcW w:w="0" w:type="auto"/>
            <w:gridSpan w:val="3"/>
            <w:shd w:val="clear" w:color="auto" w:fill="FFFFFF"/>
            <w:tcMar>
              <w:top w:w="40" w:type="dxa"/>
              <w:left w:w="155" w:type="dxa"/>
              <w:bottom w:w="40" w:type="dxa"/>
              <w:right w:w="20" w:type="dxa"/>
            </w:tcMar>
            <w:vAlign w:val="bottom"/>
          </w:tcPr>
          <w:p w14:paraId="7DCFD27E" w14:textId="77777777" w:rsidR="00C1563E" w:rsidRDefault="000B648B">
            <w:pPr>
              <w:textAlignment w:val="bottom"/>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shd w:val="clear" w:color="auto" w:fill="auto"/>
          </w:tcPr>
          <w:p w14:paraId="7DCFD27F" w14:textId="77777777" w:rsidR="00C1563E" w:rsidRDefault="00C1563E">
            <w:pPr>
              <w:rPr>
                <w:rFonts w:ascii="宋体"/>
                <w:vanish/>
              </w:rPr>
            </w:pPr>
          </w:p>
        </w:tc>
        <w:tc>
          <w:tcPr>
            <w:tcW w:w="0" w:type="auto"/>
            <w:shd w:val="clear" w:color="auto" w:fill="auto"/>
          </w:tcPr>
          <w:p w14:paraId="7DCFD280" w14:textId="77777777" w:rsidR="00C1563E" w:rsidRDefault="00C1563E">
            <w:pPr>
              <w:rPr>
                <w:rFonts w:ascii="宋体"/>
                <w:vanish/>
              </w:rPr>
            </w:pPr>
          </w:p>
        </w:tc>
        <w:tc>
          <w:tcPr>
            <w:tcW w:w="0" w:type="auto"/>
            <w:shd w:val="clear" w:color="auto" w:fill="auto"/>
          </w:tcPr>
          <w:p w14:paraId="7DCFD281" w14:textId="77777777" w:rsidR="00C1563E" w:rsidRDefault="00C1563E">
            <w:pPr>
              <w:rPr>
                <w:rFonts w:ascii="宋体"/>
                <w:vanish/>
              </w:rPr>
            </w:pPr>
          </w:p>
        </w:tc>
        <w:tc>
          <w:tcPr>
            <w:tcW w:w="0" w:type="auto"/>
            <w:shd w:val="clear" w:color="auto" w:fill="auto"/>
          </w:tcPr>
          <w:p w14:paraId="7DCFD282" w14:textId="77777777" w:rsidR="00C1563E" w:rsidRDefault="00C1563E">
            <w:pPr>
              <w:rPr>
                <w:rFonts w:ascii="宋体"/>
                <w:vanish/>
              </w:rPr>
            </w:pPr>
          </w:p>
        </w:tc>
        <w:tc>
          <w:tcPr>
            <w:tcW w:w="0" w:type="auto"/>
            <w:shd w:val="clear" w:color="auto" w:fill="auto"/>
          </w:tcPr>
          <w:p w14:paraId="7DCFD283" w14:textId="77777777" w:rsidR="00C1563E" w:rsidRDefault="00C1563E">
            <w:pPr>
              <w:rPr>
                <w:rFonts w:ascii="宋体"/>
                <w:vanish/>
              </w:rPr>
            </w:pPr>
          </w:p>
        </w:tc>
        <w:tc>
          <w:tcPr>
            <w:tcW w:w="0" w:type="auto"/>
            <w:shd w:val="clear" w:color="auto" w:fill="auto"/>
          </w:tcPr>
          <w:p w14:paraId="7DCFD284"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28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28D" w14:textId="77777777" w:rsidR="00C1563E" w:rsidRDefault="00C1563E">
            <w:pPr>
              <w:rPr>
                <w:rFonts w:ascii="宋体"/>
              </w:rPr>
            </w:pPr>
          </w:p>
        </w:tc>
      </w:tr>
      <w:tr w:rsidR="00C1563E" w14:paraId="7DCFD2A2" w14:textId="77777777">
        <w:trPr>
          <w:jc w:val="center"/>
        </w:trPr>
        <w:tc>
          <w:tcPr>
            <w:tcW w:w="0" w:type="auto"/>
            <w:gridSpan w:val="3"/>
            <w:shd w:val="clear" w:color="auto" w:fill="CCEEFF"/>
            <w:tcMar>
              <w:top w:w="40" w:type="dxa"/>
              <w:left w:w="245" w:type="dxa"/>
              <w:bottom w:w="40" w:type="dxa"/>
              <w:right w:w="20" w:type="dxa"/>
            </w:tcMar>
            <w:vAlign w:val="bottom"/>
          </w:tcPr>
          <w:p w14:paraId="7DCFD28F"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290" w14:textId="77777777" w:rsidR="00C1563E" w:rsidRDefault="00C1563E">
            <w:pPr>
              <w:rPr>
                <w:rFonts w:ascii="宋体"/>
                <w:vanish/>
              </w:rPr>
            </w:pPr>
          </w:p>
        </w:tc>
        <w:tc>
          <w:tcPr>
            <w:tcW w:w="0" w:type="auto"/>
            <w:shd w:val="clear" w:color="auto" w:fill="auto"/>
          </w:tcPr>
          <w:p w14:paraId="7DCFD291" w14:textId="77777777" w:rsidR="00C1563E" w:rsidRDefault="00C1563E">
            <w:pPr>
              <w:rPr>
                <w:rFonts w:ascii="宋体"/>
                <w:vanish/>
              </w:rPr>
            </w:pPr>
          </w:p>
        </w:tc>
        <w:tc>
          <w:tcPr>
            <w:tcW w:w="0" w:type="auto"/>
            <w:shd w:val="clear" w:color="auto" w:fill="auto"/>
          </w:tcPr>
          <w:p w14:paraId="7DCFD292" w14:textId="77777777" w:rsidR="00C1563E" w:rsidRDefault="00C1563E">
            <w:pPr>
              <w:rPr>
                <w:rFonts w:ascii="宋体"/>
                <w:vanish/>
              </w:rPr>
            </w:pPr>
          </w:p>
        </w:tc>
        <w:tc>
          <w:tcPr>
            <w:tcW w:w="0" w:type="auto"/>
            <w:shd w:val="clear" w:color="auto" w:fill="auto"/>
          </w:tcPr>
          <w:p w14:paraId="7DCFD293" w14:textId="77777777" w:rsidR="00C1563E" w:rsidRDefault="00C1563E">
            <w:pPr>
              <w:rPr>
                <w:rFonts w:ascii="宋体"/>
                <w:vanish/>
              </w:rPr>
            </w:pPr>
          </w:p>
        </w:tc>
        <w:tc>
          <w:tcPr>
            <w:tcW w:w="0" w:type="auto"/>
            <w:shd w:val="clear" w:color="auto" w:fill="auto"/>
          </w:tcPr>
          <w:p w14:paraId="7DCFD294" w14:textId="77777777" w:rsidR="00C1563E" w:rsidRDefault="00C1563E">
            <w:pPr>
              <w:rPr>
                <w:rFonts w:ascii="宋体"/>
                <w:vanish/>
              </w:rPr>
            </w:pPr>
          </w:p>
        </w:tc>
        <w:tc>
          <w:tcPr>
            <w:tcW w:w="0" w:type="auto"/>
            <w:shd w:val="clear" w:color="auto" w:fill="auto"/>
          </w:tcPr>
          <w:p w14:paraId="7DCFD295"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296" w14:textId="77777777" w:rsidR="00C1563E" w:rsidRDefault="000B648B">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7DCFD29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9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9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9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9B" w14:textId="77777777" w:rsidR="00C1563E" w:rsidRDefault="000B648B">
            <w:pPr>
              <w:jc w:val="right"/>
              <w:textAlignment w:val="bottom"/>
            </w:pPr>
            <w:r>
              <w:rPr>
                <w:rFonts w:ascii="Times New Roman" w:eastAsia="宋体" w:hAnsi="Times New Roman"/>
                <w:color w:val="000000"/>
                <w:sz w:val="20"/>
                <w:szCs w:val="20"/>
              </w:rPr>
              <w:t>347 </w:t>
            </w:r>
          </w:p>
        </w:tc>
        <w:tc>
          <w:tcPr>
            <w:tcW w:w="0" w:type="auto"/>
            <w:shd w:val="clear" w:color="auto" w:fill="CCEEFF"/>
            <w:tcMar>
              <w:top w:w="40" w:type="dxa"/>
              <w:left w:w="0" w:type="dxa"/>
              <w:bottom w:w="40" w:type="dxa"/>
              <w:right w:w="20" w:type="dxa"/>
            </w:tcMar>
            <w:vAlign w:val="bottom"/>
          </w:tcPr>
          <w:p w14:paraId="7DCFD2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29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9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9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2A0" w14:textId="77777777" w:rsidR="00C1563E" w:rsidRDefault="000B648B">
            <w:pPr>
              <w:jc w:val="right"/>
              <w:textAlignment w:val="bottom"/>
            </w:pPr>
            <w:r>
              <w:rPr>
                <w:rFonts w:ascii="Times New Roman" w:eastAsia="宋体" w:hAnsi="Times New Roman"/>
                <w:color w:val="000000"/>
                <w:sz w:val="20"/>
                <w:szCs w:val="20"/>
              </w:rPr>
              <w:t>703 </w:t>
            </w:r>
          </w:p>
        </w:tc>
        <w:tc>
          <w:tcPr>
            <w:tcW w:w="0" w:type="auto"/>
            <w:shd w:val="clear" w:color="auto" w:fill="CCEEFF"/>
            <w:tcMar>
              <w:top w:w="40" w:type="dxa"/>
              <w:left w:w="0" w:type="dxa"/>
              <w:bottom w:w="40" w:type="dxa"/>
              <w:right w:w="20" w:type="dxa"/>
            </w:tcMar>
            <w:vAlign w:val="bottom"/>
          </w:tcPr>
          <w:p w14:paraId="7DCFD2A1" w14:textId="77777777" w:rsidR="00C1563E" w:rsidRDefault="00C1563E">
            <w:pPr>
              <w:jc w:val="right"/>
              <w:rPr>
                <w:rFonts w:ascii="宋体"/>
              </w:rPr>
            </w:pPr>
          </w:p>
        </w:tc>
      </w:tr>
      <w:tr w:rsidR="00C1563E" w14:paraId="7DCFD2BB" w14:textId="77777777">
        <w:trPr>
          <w:jc w:val="center"/>
        </w:trPr>
        <w:tc>
          <w:tcPr>
            <w:tcW w:w="0" w:type="auto"/>
            <w:gridSpan w:val="3"/>
            <w:shd w:val="clear" w:color="auto" w:fill="FFFFFF"/>
            <w:tcMar>
              <w:top w:w="40" w:type="dxa"/>
              <w:left w:w="380" w:type="dxa"/>
              <w:bottom w:w="40" w:type="dxa"/>
              <w:right w:w="20" w:type="dxa"/>
            </w:tcMar>
            <w:vAlign w:val="bottom"/>
          </w:tcPr>
          <w:p w14:paraId="7DCFD2A3" w14:textId="77777777" w:rsidR="00C1563E" w:rsidRDefault="000B648B">
            <w:pPr>
              <w:textAlignment w:val="bottom"/>
            </w:pPr>
            <w:r>
              <w:rPr>
                <w:rFonts w:ascii="Times New Roman" w:eastAsia="宋体" w:hAnsi="Times New Roman"/>
                <w:color w:val="000000"/>
                <w:sz w:val="20"/>
                <w:szCs w:val="20"/>
              </w:rPr>
              <w:t>Non-GAAP net revenue</w:t>
            </w:r>
          </w:p>
        </w:tc>
        <w:tc>
          <w:tcPr>
            <w:tcW w:w="0" w:type="auto"/>
            <w:shd w:val="clear" w:color="auto" w:fill="auto"/>
          </w:tcPr>
          <w:p w14:paraId="7DCFD2A4" w14:textId="77777777" w:rsidR="00C1563E" w:rsidRDefault="00C1563E">
            <w:pPr>
              <w:rPr>
                <w:rFonts w:ascii="宋体"/>
                <w:vanish/>
              </w:rPr>
            </w:pPr>
          </w:p>
        </w:tc>
        <w:tc>
          <w:tcPr>
            <w:tcW w:w="0" w:type="auto"/>
            <w:shd w:val="clear" w:color="auto" w:fill="auto"/>
          </w:tcPr>
          <w:p w14:paraId="7DCFD2A5" w14:textId="77777777" w:rsidR="00C1563E" w:rsidRDefault="00C1563E">
            <w:pPr>
              <w:rPr>
                <w:rFonts w:ascii="宋体"/>
                <w:vanish/>
              </w:rPr>
            </w:pPr>
          </w:p>
        </w:tc>
        <w:tc>
          <w:tcPr>
            <w:tcW w:w="0" w:type="auto"/>
            <w:shd w:val="clear" w:color="auto" w:fill="auto"/>
          </w:tcPr>
          <w:p w14:paraId="7DCFD2A6" w14:textId="77777777" w:rsidR="00C1563E" w:rsidRDefault="00C1563E">
            <w:pPr>
              <w:rPr>
                <w:rFonts w:ascii="宋体"/>
                <w:vanish/>
              </w:rPr>
            </w:pPr>
          </w:p>
        </w:tc>
        <w:tc>
          <w:tcPr>
            <w:tcW w:w="0" w:type="auto"/>
            <w:shd w:val="clear" w:color="auto" w:fill="auto"/>
          </w:tcPr>
          <w:p w14:paraId="7DCFD2A7" w14:textId="77777777" w:rsidR="00C1563E" w:rsidRDefault="00C1563E">
            <w:pPr>
              <w:rPr>
                <w:rFonts w:ascii="宋体"/>
                <w:vanish/>
              </w:rPr>
            </w:pPr>
          </w:p>
        </w:tc>
        <w:tc>
          <w:tcPr>
            <w:tcW w:w="0" w:type="auto"/>
            <w:shd w:val="clear" w:color="auto" w:fill="auto"/>
          </w:tcPr>
          <w:p w14:paraId="7DCFD2A8" w14:textId="77777777" w:rsidR="00C1563E" w:rsidRDefault="00C1563E">
            <w:pPr>
              <w:rPr>
                <w:rFonts w:ascii="宋体"/>
                <w:vanish/>
              </w:rPr>
            </w:pPr>
          </w:p>
        </w:tc>
        <w:tc>
          <w:tcPr>
            <w:tcW w:w="0" w:type="auto"/>
            <w:shd w:val="clear" w:color="auto" w:fill="auto"/>
          </w:tcPr>
          <w:p w14:paraId="7DCFD2A9"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2A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2AB" w14:textId="77777777" w:rsidR="00C1563E" w:rsidRDefault="000B648B">
            <w:pPr>
              <w:jc w:val="right"/>
              <w:textAlignment w:val="bottom"/>
            </w:pPr>
            <w:r>
              <w:rPr>
                <w:rFonts w:ascii="Times New Roman" w:eastAsia="宋体" w:hAnsi="Times New Roman"/>
                <w:color w:val="000000"/>
                <w:sz w:val="20"/>
                <w:szCs w:val="20"/>
              </w:rPr>
              <w:t>94,389 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2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A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AE"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DCFD2AF"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B0"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2B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2B2" w14:textId="77777777" w:rsidR="00C1563E" w:rsidRDefault="000B648B">
            <w:pPr>
              <w:jc w:val="right"/>
              <w:textAlignment w:val="bottom"/>
            </w:pPr>
            <w:r>
              <w:rPr>
                <w:rFonts w:ascii="Times New Roman" w:eastAsia="宋体" w:hAnsi="Times New Roman"/>
                <w:color w:val="000000"/>
                <w:sz w:val="20"/>
                <w:szCs w:val="20"/>
              </w:rPr>
              <w:t>92,501 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2B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B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B5"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CFD2B6"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B7"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2B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2B9" w14:textId="77777777" w:rsidR="00C1563E" w:rsidRDefault="000B648B">
            <w:pPr>
              <w:jc w:val="right"/>
              <w:textAlignment w:val="bottom"/>
            </w:pPr>
            <w:r>
              <w:rPr>
                <w:rFonts w:ascii="Times New Roman" w:eastAsia="宋体" w:hAnsi="Times New Roman"/>
                <w:color w:val="000000"/>
                <w:sz w:val="20"/>
                <w:szCs w:val="20"/>
              </w:rPr>
              <w:t>91,324 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2BA" w14:textId="77777777" w:rsidR="00C1563E" w:rsidRDefault="00C1563E">
            <w:pPr>
              <w:jc w:val="right"/>
              <w:rPr>
                <w:rFonts w:ascii="宋体"/>
              </w:rPr>
            </w:pPr>
          </w:p>
        </w:tc>
      </w:tr>
      <w:tr w:rsidR="00C1563E" w14:paraId="7DCFD2CC" w14:textId="77777777">
        <w:trPr>
          <w:trHeight w:val="300"/>
          <w:jc w:val="center"/>
        </w:trPr>
        <w:tc>
          <w:tcPr>
            <w:tcW w:w="0" w:type="auto"/>
            <w:gridSpan w:val="3"/>
            <w:shd w:val="clear" w:color="auto" w:fill="CCEEFF"/>
            <w:tcMar>
              <w:top w:w="0" w:type="dxa"/>
              <w:left w:w="20" w:type="dxa"/>
              <w:bottom w:w="0" w:type="dxa"/>
              <w:right w:w="20" w:type="dxa"/>
            </w:tcMar>
          </w:tcPr>
          <w:p w14:paraId="7DCFD2BC" w14:textId="77777777" w:rsidR="00C1563E" w:rsidRDefault="00C1563E">
            <w:pPr>
              <w:rPr>
                <w:rFonts w:ascii="宋体"/>
              </w:rPr>
            </w:pPr>
          </w:p>
        </w:tc>
        <w:tc>
          <w:tcPr>
            <w:tcW w:w="0" w:type="auto"/>
            <w:shd w:val="clear" w:color="auto" w:fill="auto"/>
          </w:tcPr>
          <w:p w14:paraId="7DCFD2BD" w14:textId="77777777" w:rsidR="00C1563E" w:rsidRDefault="00C1563E">
            <w:pPr>
              <w:rPr>
                <w:rFonts w:ascii="宋体"/>
                <w:vanish/>
              </w:rPr>
            </w:pPr>
          </w:p>
        </w:tc>
        <w:tc>
          <w:tcPr>
            <w:tcW w:w="0" w:type="auto"/>
            <w:shd w:val="clear" w:color="auto" w:fill="auto"/>
          </w:tcPr>
          <w:p w14:paraId="7DCFD2BE" w14:textId="77777777" w:rsidR="00C1563E" w:rsidRDefault="00C1563E">
            <w:pPr>
              <w:rPr>
                <w:rFonts w:ascii="宋体"/>
                <w:vanish/>
              </w:rPr>
            </w:pPr>
          </w:p>
        </w:tc>
        <w:tc>
          <w:tcPr>
            <w:tcW w:w="0" w:type="auto"/>
            <w:shd w:val="clear" w:color="auto" w:fill="auto"/>
          </w:tcPr>
          <w:p w14:paraId="7DCFD2BF" w14:textId="77777777" w:rsidR="00C1563E" w:rsidRDefault="00C1563E">
            <w:pPr>
              <w:rPr>
                <w:rFonts w:ascii="宋体"/>
                <w:vanish/>
              </w:rPr>
            </w:pPr>
          </w:p>
        </w:tc>
        <w:tc>
          <w:tcPr>
            <w:tcW w:w="0" w:type="auto"/>
            <w:shd w:val="clear" w:color="auto" w:fill="auto"/>
          </w:tcPr>
          <w:p w14:paraId="7DCFD2C0" w14:textId="77777777" w:rsidR="00C1563E" w:rsidRDefault="00C1563E">
            <w:pPr>
              <w:rPr>
                <w:rFonts w:ascii="宋体"/>
                <w:vanish/>
              </w:rPr>
            </w:pPr>
          </w:p>
        </w:tc>
        <w:tc>
          <w:tcPr>
            <w:tcW w:w="0" w:type="auto"/>
            <w:shd w:val="clear" w:color="auto" w:fill="auto"/>
          </w:tcPr>
          <w:p w14:paraId="7DCFD2C1" w14:textId="77777777" w:rsidR="00C1563E" w:rsidRDefault="00C1563E">
            <w:pPr>
              <w:rPr>
                <w:rFonts w:ascii="宋体"/>
                <w:vanish/>
              </w:rPr>
            </w:pPr>
          </w:p>
        </w:tc>
        <w:tc>
          <w:tcPr>
            <w:tcW w:w="0" w:type="auto"/>
            <w:shd w:val="clear" w:color="auto" w:fill="auto"/>
          </w:tcPr>
          <w:p w14:paraId="7DCFD2C2" w14:textId="77777777" w:rsidR="00C1563E" w:rsidRDefault="00C1563E">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2C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6"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2C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CA"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2CB" w14:textId="77777777" w:rsidR="00C1563E" w:rsidRDefault="00C1563E">
            <w:pPr>
              <w:rPr>
                <w:rFonts w:ascii="宋体"/>
              </w:rPr>
            </w:pPr>
          </w:p>
        </w:tc>
      </w:tr>
      <w:tr w:rsidR="00C1563E" w14:paraId="7DCFD2E5" w14:textId="77777777">
        <w:trPr>
          <w:jc w:val="center"/>
        </w:trPr>
        <w:tc>
          <w:tcPr>
            <w:tcW w:w="0" w:type="auto"/>
            <w:gridSpan w:val="3"/>
            <w:shd w:val="clear" w:color="auto" w:fill="FFFFFF"/>
            <w:tcMar>
              <w:top w:w="40" w:type="dxa"/>
              <w:left w:w="20" w:type="dxa"/>
              <w:bottom w:w="40" w:type="dxa"/>
              <w:right w:w="20" w:type="dxa"/>
            </w:tcMar>
            <w:vAlign w:val="bottom"/>
          </w:tcPr>
          <w:p w14:paraId="7DCFD2CD" w14:textId="77777777" w:rsidR="00C1563E" w:rsidRDefault="000B648B">
            <w:pPr>
              <w:textAlignment w:val="bottom"/>
            </w:pPr>
            <w:r>
              <w:rPr>
                <w:rFonts w:ascii="Times New Roman" w:eastAsia="宋体" w:hAnsi="Times New Roman"/>
                <w:color w:val="000000"/>
                <w:sz w:val="20"/>
                <w:szCs w:val="20"/>
              </w:rPr>
              <w:t>Product gross margin</w:t>
            </w:r>
          </w:p>
        </w:tc>
        <w:tc>
          <w:tcPr>
            <w:tcW w:w="0" w:type="auto"/>
            <w:shd w:val="clear" w:color="auto" w:fill="auto"/>
          </w:tcPr>
          <w:p w14:paraId="7DCFD2CE" w14:textId="77777777" w:rsidR="00C1563E" w:rsidRDefault="00C1563E">
            <w:pPr>
              <w:rPr>
                <w:rFonts w:ascii="宋体"/>
                <w:vanish/>
              </w:rPr>
            </w:pPr>
          </w:p>
        </w:tc>
        <w:tc>
          <w:tcPr>
            <w:tcW w:w="0" w:type="auto"/>
            <w:shd w:val="clear" w:color="auto" w:fill="auto"/>
          </w:tcPr>
          <w:p w14:paraId="7DCFD2CF" w14:textId="77777777" w:rsidR="00C1563E" w:rsidRDefault="00C1563E">
            <w:pPr>
              <w:rPr>
                <w:rFonts w:ascii="宋体"/>
                <w:vanish/>
              </w:rPr>
            </w:pPr>
          </w:p>
        </w:tc>
        <w:tc>
          <w:tcPr>
            <w:tcW w:w="0" w:type="auto"/>
            <w:shd w:val="clear" w:color="auto" w:fill="auto"/>
          </w:tcPr>
          <w:p w14:paraId="7DCFD2D0" w14:textId="77777777" w:rsidR="00C1563E" w:rsidRDefault="00C1563E">
            <w:pPr>
              <w:rPr>
                <w:rFonts w:ascii="宋体"/>
                <w:vanish/>
              </w:rPr>
            </w:pPr>
          </w:p>
        </w:tc>
        <w:tc>
          <w:tcPr>
            <w:tcW w:w="0" w:type="auto"/>
            <w:shd w:val="clear" w:color="auto" w:fill="auto"/>
          </w:tcPr>
          <w:p w14:paraId="7DCFD2D1" w14:textId="77777777" w:rsidR="00C1563E" w:rsidRDefault="00C1563E">
            <w:pPr>
              <w:rPr>
                <w:rFonts w:ascii="宋体"/>
                <w:vanish/>
              </w:rPr>
            </w:pPr>
          </w:p>
        </w:tc>
        <w:tc>
          <w:tcPr>
            <w:tcW w:w="0" w:type="auto"/>
            <w:shd w:val="clear" w:color="auto" w:fill="auto"/>
          </w:tcPr>
          <w:p w14:paraId="7DCFD2D2" w14:textId="77777777" w:rsidR="00C1563E" w:rsidRDefault="00C1563E">
            <w:pPr>
              <w:rPr>
                <w:rFonts w:ascii="宋体"/>
                <w:vanish/>
              </w:rPr>
            </w:pPr>
          </w:p>
        </w:tc>
        <w:tc>
          <w:tcPr>
            <w:tcW w:w="0" w:type="auto"/>
            <w:shd w:val="clear" w:color="auto" w:fill="auto"/>
          </w:tcPr>
          <w:p w14:paraId="7DCFD2D3"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2D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D5" w14:textId="77777777" w:rsidR="00C1563E" w:rsidRDefault="000B648B">
            <w:pPr>
              <w:jc w:val="right"/>
              <w:textAlignment w:val="bottom"/>
            </w:pPr>
            <w:r>
              <w:rPr>
                <w:rFonts w:ascii="Times New Roman" w:eastAsia="宋体" w:hAnsi="Times New Roman"/>
                <w:color w:val="000000"/>
                <w:sz w:val="20"/>
                <w:szCs w:val="20"/>
              </w:rPr>
              <w:t>14,564 </w:t>
            </w:r>
          </w:p>
        </w:tc>
        <w:tc>
          <w:tcPr>
            <w:tcW w:w="0" w:type="auto"/>
            <w:shd w:val="clear" w:color="auto" w:fill="FFFFFF"/>
            <w:tcMar>
              <w:top w:w="40" w:type="dxa"/>
              <w:left w:w="0" w:type="dxa"/>
              <w:bottom w:w="40" w:type="dxa"/>
              <w:right w:w="20" w:type="dxa"/>
            </w:tcMar>
            <w:vAlign w:val="bottom"/>
          </w:tcPr>
          <w:p w14:paraId="7DCFD2D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D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D8" w14:textId="77777777" w:rsidR="00C1563E" w:rsidRDefault="000B648B">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DCFD2D9"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D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2D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DC" w14:textId="77777777" w:rsidR="00C1563E" w:rsidRDefault="000B648B">
            <w:pPr>
              <w:jc w:val="right"/>
              <w:textAlignment w:val="bottom"/>
            </w:pPr>
            <w:r>
              <w:rPr>
                <w:rFonts w:ascii="Times New Roman" w:eastAsia="宋体" w:hAnsi="Times New Roman"/>
                <w:color w:val="000000"/>
                <w:sz w:val="20"/>
                <w:szCs w:val="20"/>
              </w:rPr>
              <w:t>15,393 </w:t>
            </w:r>
          </w:p>
        </w:tc>
        <w:tc>
          <w:tcPr>
            <w:tcW w:w="0" w:type="auto"/>
            <w:shd w:val="clear" w:color="auto" w:fill="FFFFFF"/>
            <w:tcMar>
              <w:top w:w="40" w:type="dxa"/>
              <w:left w:w="0" w:type="dxa"/>
              <w:bottom w:w="40" w:type="dxa"/>
              <w:right w:w="20" w:type="dxa"/>
            </w:tcMar>
            <w:vAlign w:val="bottom"/>
          </w:tcPr>
          <w:p w14:paraId="7DCFD2D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2D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2DF"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DCFD2E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2E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2E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2E3" w14:textId="77777777" w:rsidR="00C1563E" w:rsidRDefault="000B648B">
            <w:pPr>
              <w:jc w:val="right"/>
              <w:textAlignment w:val="bottom"/>
            </w:pPr>
            <w:r>
              <w:rPr>
                <w:rFonts w:ascii="Times New Roman" w:eastAsia="宋体" w:hAnsi="Times New Roman"/>
                <w:color w:val="000000"/>
                <w:sz w:val="20"/>
                <w:szCs w:val="20"/>
              </w:rPr>
              <w:t>12,818 </w:t>
            </w:r>
          </w:p>
        </w:tc>
        <w:tc>
          <w:tcPr>
            <w:tcW w:w="0" w:type="auto"/>
            <w:shd w:val="clear" w:color="auto" w:fill="FFFFFF"/>
            <w:tcMar>
              <w:top w:w="40" w:type="dxa"/>
              <w:left w:w="0" w:type="dxa"/>
              <w:bottom w:w="40" w:type="dxa"/>
              <w:right w:w="20" w:type="dxa"/>
            </w:tcMar>
            <w:vAlign w:val="bottom"/>
          </w:tcPr>
          <w:p w14:paraId="7DCFD2E4" w14:textId="77777777" w:rsidR="00C1563E" w:rsidRDefault="00C1563E">
            <w:pPr>
              <w:jc w:val="right"/>
              <w:rPr>
                <w:rFonts w:ascii="宋体"/>
              </w:rPr>
            </w:pPr>
          </w:p>
        </w:tc>
      </w:tr>
      <w:tr w:rsidR="00C1563E" w14:paraId="7DCFD2F6" w14:textId="77777777">
        <w:trPr>
          <w:jc w:val="center"/>
        </w:trPr>
        <w:tc>
          <w:tcPr>
            <w:tcW w:w="0" w:type="auto"/>
            <w:gridSpan w:val="3"/>
            <w:shd w:val="clear" w:color="auto" w:fill="CCEEFF"/>
            <w:tcMar>
              <w:top w:w="40" w:type="dxa"/>
              <w:left w:w="155" w:type="dxa"/>
              <w:bottom w:w="40" w:type="dxa"/>
              <w:right w:w="20" w:type="dxa"/>
            </w:tcMar>
            <w:vAlign w:val="bottom"/>
          </w:tcPr>
          <w:p w14:paraId="7DCFD2E6" w14:textId="77777777" w:rsidR="00C1563E" w:rsidRDefault="000B648B">
            <w:pPr>
              <w:textAlignment w:val="bottom"/>
            </w:pPr>
            <w:r>
              <w:rPr>
                <w:rFonts w:ascii="Times New Roman" w:eastAsia="宋体" w:hAnsi="Times New Roman"/>
                <w:color w:val="000000"/>
                <w:sz w:val="20"/>
                <w:szCs w:val="20"/>
              </w:rPr>
              <w:t xml:space="preserve">Non-GAAP </w:t>
            </w:r>
            <w:r>
              <w:rPr>
                <w:rFonts w:ascii="Times New Roman" w:eastAsia="宋体" w:hAnsi="Times New Roman"/>
                <w:color w:val="000000"/>
                <w:sz w:val="20"/>
                <w:szCs w:val="20"/>
              </w:rPr>
              <w:t>adjustments:</w:t>
            </w:r>
          </w:p>
        </w:tc>
        <w:tc>
          <w:tcPr>
            <w:tcW w:w="0" w:type="auto"/>
            <w:shd w:val="clear" w:color="auto" w:fill="auto"/>
          </w:tcPr>
          <w:p w14:paraId="7DCFD2E7" w14:textId="77777777" w:rsidR="00C1563E" w:rsidRDefault="00C1563E">
            <w:pPr>
              <w:rPr>
                <w:rFonts w:ascii="宋体"/>
                <w:vanish/>
              </w:rPr>
            </w:pPr>
          </w:p>
        </w:tc>
        <w:tc>
          <w:tcPr>
            <w:tcW w:w="0" w:type="auto"/>
            <w:shd w:val="clear" w:color="auto" w:fill="auto"/>
          </w:tcPr>
          <w:p w14:paraId="7DCFD2E8" w14:textId="77777777" w:rsidR="00C1563E" w:rsidRDefault="00C1563E">
            <w:pPr>
              <w:rPr>
                <w:rFonts w:ascii="宋体"/>
                <w:vanish/>
              </w:rPr>
            </w:pPr>
          </w:p>
        </w:tc>
        <w:tc>
          <w:tcPr>
            <w:tcW w:w="0" w:type="auto"/>
            <w:shd w:val="clear" w:color="auto" w:fill="auto"/>
          </w:tcPr>
          <w:p w14:paraId="7DCFD2E9" w14:textId="77777777" w:rsidR="00C1563E" w:rsidRDefault="00C1563E">
            <w:pPr>
              <w:rPr>
                <w:rFonts w:ascii="宋体"/>
                <w:vanish/>
              </w:rPr>
            </w:pPr>
          </w:p>
        </w:tc>
        <w:tc>
          <w:tcPr>
            <w:tcW w:w="0" w:type="auto"/>
            <w:shd w:val="clear" w:color="auto" w:fill="auto"/>
          </w:tcPr>
          <w:p w14:paraId="7DCFD2EA" w14:textId="77777777" w:rsidR="00C1563E" w:rsidRDefault="00C1563E">
            <w:pPr>
              <w:rPr>
                <w:rFonts w:ascii="宋体"/>
                <w:vanish/>
              </w:rPr>
            </w:pPr>
          </w:p>
        </w:tc>
        <w:tc>
          <w:tcPr>
            <w:tcW w:w="0" w:type="auto"/>
            <w:shd w:val="clear" w:color="auto" w:fill="auto"/>
          </w:tcPr>
          <w:p w14:paraId="7DCFD2EB" w14:textId="77777777" w:rsidR="00C1563E" w:rsidRDefault="00C1563E">
            <w:pPr>
              <w:rPr>
                <w:rFonts w:ascii="宋体"/>
                <w:vanish/>
              </w:rPr>
            </w:pPr>
          </w:p>
        </w:tc>
        <w:tc>
          <w:tcPr>
            <w:tcW w:w="0" w:type="auto"/>
            <w:shd w:val="clear" w:color="auto" w:fill="auto"/>
          </w:tcPr>
          <w:p w14:paraId="7DCFD2EC"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2E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E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2F5" w14:textId="77777777" w:rsidR="00C1563E" w:rsidRDefault="00C1563E">
            <w:pPr>
              <w:rPr>
                <w:rFonts w:ascii="宋体"/>
              </w:rPr>
            </w:pPr>
          </w:p>
        </w:tc>
      </w:tr>
      <w:tr w:rsidR="00C1563E" w14:paraId="7DCFD30A" w14:textId="77777777">
        <w:trPr>
          <w:jc w:val="center"/>
        </w:trPr>
        <w:tc>
          <w:tcPr>
            <w:tcW w:w="0" w:type="auto"/>
            <w:gridSpan w:val="3"/>
            <w:shd w:val="clear" w:color="auto" w:fill="FFFFFF"/>
            <w:tcMar>
              <w:top w:w="40" w:type="dxa"/>
              <w:left w:w="245" w:type="dxa"/>
              <w:bottom w:w="40" w:type="dxa"/>
              <w:right w:w="20" w:type="dxa"/>
            </w:tcMar>
            <w:vAlign w:val="bottom"/>
          </w:tcPr>
          <w:p w14:paraId="7DCFD2F7" w14:textId="77777777" w:rsidR="00C1563E" w:rsidRDefault="000B648B">
            <w:pPr>
              <w:textAlignment w:val="bottom"/>
            </w:pPr>
            <w:r>
              <w:rPr>
                <w:rFonts w:ascii="Times New Roman" w:eastAsia="宋体" w:hAnsi="Times New Roman"/>
                <w:color w:val="000000"/>
                <w:sz w:val="20"/>
                <w:szCs w:val="20"/>
              </w:rPr>
              <w:t>Amortization of intangibles</w:t>
            </w:r>
          </w:p>
        </w:tc>
        <w:tc>
          <w:tcPr>
            <w:tcW w:w="0" w:type="auto"/>
            <w:shd w:val="clear" w:color="auto" w:fill="auto"/>
          </w:tcPr>
          <w:p w14:paraId="7DCFD2F8" w14:textId="77777777" w:rsidR="00C1563E" w:rsidRDefault="00C1563E">
            <w:pPr>
              <w:rPr>
                <w:rFonts w:ascii="宋体"/>
                <w:vanish/>
              </w:rPr>
            </w:pPr>
          </w:p>
        </w:tc>
        <w:tc>
          <w:tcPr>
            <w:tcW w:w="0" w:type="auto"/>
            <w:shd w:val="clear" w:color="auto" w:fill="auto"/>
          </w:tcPr>
          <w:p w14:paraId="7DCFD2F9" w14:textId="77777777" w:rsidR="00C1563E" w:rsidRDefault="00C1563E">
            <w:pPr>
              <w:rPr>
                <w:rFonts w:ascii="宋体"/>
                <w:vanish/>
              </w:rPr>
            </w:pPr>
          </w:p>
        </w:tc>
        <w:tc>
          <w:tcPr>
            <w:tcW w:w="0" w:type="auto"/>
            <w:shd w:val="clear" w:color="auto" w:fill="auto"/>
          </w:tcPr>
          <w:p w14:paraId="7DCFD2FA" w14:textId="77777777" w:rsidR="00C1563E" w:rsidRDefault="00C1563E">
            <w:pPr>
              <w:rPr>
                <w:rFonts w:ascii="宋体"/>
                <w:vanish/>
              </w:rPr>
            </w:pPr>
          </w:p>
        </w:tc>
        <w:tc>
          <w:tcPr>
            <w:tcW w:w="0" w:type="auto"/>
            <w:shd w:val="clear" w:color="auto" w:fill="auto"/>
          </w:tcPr>
          <w:p w14:paraId="7DCFD2FB" w14:textId="77777777" w:rsidR="00C1563E" w:rsidRDefault="00C1563E">
            <w:pPr>
              <w:rPr>
                <w:rFonts w:ascii="宋体"/>
                <w:vanish/>
              </w:rPr>
            </w:pPr>
          </w:p>
        </w:tc>
        <w:tc>
          <w:tcPr>
            <w:tcW w:w="0" w:type="auto"/>
            <w:shd w:val="clear" w:color="auto" w:fill="auto"/>
          </w:tcPr>
          <w:p w14:paraId="7DCFD2FC" w14:textId="77777777" w:rsidR="00C1563E" w:rsidRDefault="00C1563E">
            <w:pPr>
              <w:rPr>
                <w:rFonts w:ascii="宋体"/>
                <w:vanish/>
              </w:rPr>
            </w:pPr>
          </w:p>
        </w:tc>
        <w:tc>
          <w:tcPr>
            <w:tcW w:w="0" w:type="auto"/>
            <w:shd w:val="clear" w:color="auto" w:fill="auto"/>
          </w:tcPr>
          <w:p w14:paraId="7DCFD2FD"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2FE" w14:textId="77777777" w:rsidR="00C1563E" w:rsidRDefault="000B648B">
            <w:pPr>
              <w:jc w:val="right"/>
              <w:textAlignment w:val="bottom"/>
            </w:pPr>
            <w:r>
              <w:rPr>
                <w:rFonts w:ascii="Times New Roman" w:eastAsia="宋体" w:hAnsi="Times New Roman"/>
                <w:color w:val="000000"/>
                <w:sz w:val="20"/>
                <w:szCs w:val="20"/>
              </w:rPr>
              <w:t>1,503 </w:t>
            </w:r>
          </w:p>
        </w:tc>
        <w:tc>
          <w:tcPr>
            <w:tcW w:w="0" w:type="auto"/>
            <w:shd w:val="clear" w:color="auto" w:fill="FFFFFF"/>
            <w:tcMar>
              <w:top w:w="40" w:type="dxa"/>
              <w:left w:w="0" w:type="dxa"/>
              <w:bottom w:w="40" w:type="dxa"/>
              <w:right w:w="20" w:type="dxa"/>
            </w:tcMar>
            <w:vAlign w:val="bottom"/>
          </w:tcPr>
          <w:p w14:paraId="7DCFD2F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0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0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0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03" w14:textId="77777777" w:rsidR="00C1563E" w:rsidRDefault="000B648B">
            <w:pPr>
              <w:jc w:val="right"/>
              <w:textAlignment w:val="bottom"/>
            </w:pPr>
            <w:r>
              <w:rPr>
                <w:rFonts w:ascii="Times New Roman" w:eastAsia="宋体" w:hAnsi="Times New Roman"/>
                <w:color w:val="000000"/>
                <w:sz w:val="20"/>
                <w:szCs w:val="20"/>
              </w:rPr>
              <w:t>2,081 </w:t>
            </w:r>
          </w:p>
        </w:tc>
        <w:tc>
          <w:tcPr>
            <w:tcW w:w="0" w:type="auto"/>
            <w:shd w:val="clear" w:color="auto" w:fill="FFFFFF"/>
            <w:tcMar>
              <w:top w:w="40" w:type="dxa"/>
              <w:left w:w="0" w:type="dxa"/>
              <w:bottom w:w="40" w:type="dxa"/>
              <w:right w:w="20" w:type="dxa"/>
            </w:tcMar>
            <w:vAlign w:val="bottom"/>
          </w:tcPr>
          <w:p w14:paraId="7DCFD3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0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0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0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08" w14:textId="77777777" w:rsidR="00C1563E" w:rsidRDefault="000B648B">
            <w:pPr>
              <w:jc w:val="right"/>
              <w:textAlignment w:val="bottom"/>
            </w:pPr>
            <w:r>
              <w:rPr>
                <w:rFonts w:ascii="Times New Roman" w:eastAsia="宋体" w:hAnsi="Times New Roman"/>
                <w:color w:val="000000"/>
                <w:sz w:val="20"/>
                <w:szCs w:val="20"/>
              </w:rPr>
              <w:t>2,883 </w:t>
            </w:r>
          </w:p>
        </w:tc>
        <w:tc>
          <w:tcPr>
            <w:tcW w:w="0" w:type="auto"/>
            <w:shd w:val="clear" w:color="auto" w:fill="FFFFFF"/>
            <w:tcMar>
              <w:top w:w="40" w:type="dxa"/>
              <w:left w:w="0" w:type="dxa"/>
              <w:bottom w:w="40" w:type="dxa"/>
              <w:right w:w="20" w:type="dxa"/>
            </w:tcMar>
            <w:vAlign w:val="bottom"/>
          </w:tcPr>
          <w:p w14:paraId="7DCFD309" w14:textId="77777777" w:rsidR="00C1563E" w:rsidRDefault="00C1563E">
            <w:pPr>
              <w:jc w:val="right"/>
              <w:rPr>
                <w:rFonts w:ascii="宋体"/>
              </w:rPr>
            </w:pPr>
          </w:p>
        </w:tc>
      </w:tr>
      <w:tr w:rsidR="00C1563E" w14:paraId="7DCFD31E" w14:textId="77777777">
        <w:trPr>
          <w:jc w:val="center"/>
        </w:trPr>
        <w:tc>
          <w:tcPr>
            <w:tcW w:w="0" w:type="auto"/>
            <w:gridSpan w:val="3"/>
            <w:shd w:val="clear" w:color="auto" w:fill="CCEEFF"/>
            <w:tcMar>
              <w:top w:w="40" w:type="dxa"/>
              <w:left w:w="245" w:type="dxa"/>
              <w:bottom w:w="40" w:type="dxa"/>
              <w:right w:w="20" w:type="dxa"/>
            </w:tcMar>
            <w:vAlign w:val="bottom"/>
          </w:tcPr>
          <w:p w14:paraId="7DCFD30B"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30C" w14:textId="77777777" w:rsidR="00C1563E" w:rsidRDefault="00C1563E">
            <w:pPr>
              <w:rPr>
                <w:rFonts w:ascii="宋体"/>
                <w:vanish/>
              </w:rPr>
            </w:pPr>
          </w:p>
        </w:tc>
        <w:tc>
          <w:tcPr>
            <w:tcW w:w="0" w:type="auto"/>
            <w:shd w:val="clear" w:color="auto" w:fill="auto"/>
          </w:tcPr>
          <w:p w14:paraId="7DCFD30D" w14:textId="77777777" w:rsidR="00C1563E" w:rsidRDefault="00C1563E">
            <w:pPr>
              <w:rPr>
                <w:rFonts w:ascii="宋体"/>
                <w:vanish/>
              </w:rPr>
            </w:pPr>
          </w:p>
        </w:tc>
        <w:tc>
          <w:tcPr>
            <w:tcW w:w="0" w:type="auto"/>
            <w:shd w:val="clear" w:color="auto" w:fill="auto"/>
          </w:tcPr>
          <w:p w14:paraId="7DCFD30E" w14:textId="77777777" w:rsidR="00C1563E" w:rsidRDefault="00C1563E">
            <w:pPr>
              <w:rPr>
                <w:rFonts w:ascii="宋体"/>
                <w:vanish/>
              </w:rPr>
            </w:pPr>
          </w:p>
        </w:tc>
        <w:tc>
          <w:tcPr>
            <w:tcW w:w="0" w:type="auto"/>
            <w:shd w:val="clear" w:color="auto" w:fill="auto"/>
          </w:tcPr>
          <w:p w14:paraId="7DCFD30F" w14:textId="77777777" w:rsidR="00C1563E" w:rsidRDefault="00C1563E">
            <w:pPr>
              <w:rPr>
                <w:rFonts w:ascii="宋体"/>
                <w:vanish/>
              </w:rPr>
            </w:pPr>
          </w:p>
        </w:tc>
        <w:tc>
          <w:tcPr>
            <w:tcW w:w="0" w:type="auto"/>
            <w:shd w:val="clear" w:color="auto" w:fill="auto"/>
          </w:tcPr>
          <w:p w14:paraId="7DCFD310" w14:textId="77777777" w:rsidR="00C1563E" w:rsidRDefault="00C1563E">
            <w:pPr>
              <w:rPr>
                <w:rFonts w:ascii="宋体"/>
                <w:vanish/>
              </w:rPr>
            </w:pPr>
          </w:p>
        </w:tc>
        <w:tc>
          <w:tcPr>
            <w:tcW w:w="0" w:type="auto"/>
            <w:shd w:val="clear" w:color="auto" w:fill="auto"/>
          </w:tcPr>
          <w:p w14:paraId="7DCFD311"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312" w14:textId="77777777" w:rsidR="00C1563E" w:rsidRDefault="000B648B">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7DCFD3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1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1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1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17" w14:textId="77777777" w:rsidR="00C1563E" w:rsidRDefault="000B648B">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7DCFD31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1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1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1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1C" w14:textId="77777777" w:rsidR="00C1563E" w:rsidRDefault="000B648B">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left w:w="0" w:type="dxa"/>
              <w:bottom w:w="40" w:type="dxa"/>
              <w:right w:w="20" w:type="dxa"/>
            </w:tcMar>
            <w:vAlign w:val="bottom"/>
          </w:tcPr>
          <w:p w14:paraId="7DCFD31D" w14:textId="77777777" w:rsidR="00C1563E" w:rsidRDefault="00C1563E">
            <w:pPr>
              <w:jc w:val="right"/>
              <w:rPr>
                <w:rFonts w:ascii="宋体"/>
              </w:rPr>
            </w:pPr>
          </w:p>
        </w:tc>
      </w:tr>
      <w:tr w:rsidR="00C1563E" w14:paraId="7DCFD332" w14:textId="77777777">
        <w:trPr>
          <w:jc w:val="center"/>
        </w:trPr>
        <w:tc>
          <w:tcPr>
            <w:tcW w:w="0" w:type="auto"/>
            <w:gridSpan w:val="3"/>
            <w:shd w:val="clear" w:color="auto" w:fill="FFFFFF"/>
            <w:tcMar>
              <w:top w:w="40" w:type="dxa"/>
              <w:left w:w="245" w:type="dxa"/>
              <w:bottom w:w="40" w:type="dxa"/>
              <w:right w:w="20" w:type="dxa"/>
            </w:tcMar>
            <w:vAlign w:val="bottom"/>
          </w:tcPr>
          <w:p w14:paraId="7DCFD31F" w14:textId="77777777" w:rsidR="00C1563E" w:rsidRDefault="000B648B">
            <w:pPr>
              <w:textAlignment w:val="bottom"/>
            </w:pPr>
            <w:r>
              <w:rPr>
                <w:rFonts w:ascii="Times New Roman" w:eastAsia="宋体" w:hAnsi="Times New Roman"/>
                <w:color w:val="000000"/>
                <w:sz w:val="20"/>
                <w:szCs w:val="20"/>
              </w:rPr>
              <w:t>Transaction-related (income) expenses</w:t>
            </w:r>
          </w:p>
        </w:tc>
        <w:tc>
          <w:tcPr>
            <w:tcW w:w="0" w:type="auto"/>
            <w:shd w:val="clear" w:color="auto" w:fill="auto"/>
          </w:tcPr>
          <w:p w14:paraId="7DCFD320" w14:textId="77777777" w:rsidR="00C1563E" w:rsidRDefault="00C1563E">
            <w:pPr>
              <w:rPr>
                <w:rFonts w:ascii="宋体"/>
                <w:vanish/>
              </w:rPr>
            </w:pPr>
          </w:p>
        </w:tc>
        <w:tc>
          <w:tcPr>
            <w:tcW w:w="0" w:type="auto"/>
            <w:shd w:val="clear" w:color="auto" w:fill="auto"/>
          </w:tcPr>
          <w:p w14:paraId="7DCFD321" w14:textId="77777777" w:rsidR="00C1563E" w:rsidRDefault="00C1563E">
            <w:pPr>
              <w:rPr>
                <w:rFonts w:ascii="宋体"/>
                <w:vanish/>
              </w:rPr>
            </w:pPr>
          </w:p>
        </w:tc>
        <w:tc>
          <w:tcPr>
            <w:tcW w:w="0" w:type="auto"/>
            <w:shd w:val="clear" w:color="auto" w:fill="auto"/>
          </w:tcPr>
          <w:p w14:paraId="7DCFD322" w14:textId="77777777" w:rsidR="00C1563E" w:rsidRDefault="00C1563E">
            <w:pPr>
              <w:rPr>
                <w:rFonts w:ascii="宋体"/>
                <w:vanish/>
              </w:rPr>
            </w:pPr>
          </w:p>
        </w:tc>
        <w:tc>
          <w:tcPr>
            <w:tcW w:w="0" w:type="auto"/>
            <w:shd w:val="clear" w:color="auto" w:fill="auto"/>
          </w:tcPr>
          <w:p w14:paraId="7DCFD323" w14:textId="77777777" w:rsidR="00C1563E" w:rsidRDefault="00C1563E">
            <w:pPr>
              <w:rPr>
                <w:rFonts w:ascii="宋体"/>
                <w:vanish/>
              </w:rPr>
            </w:pPr>
          </w:p>
        </w:tc>
        <w:tc>
          <w:tcPr>
            <w:tcW w:w="0" w:type="auto"/>
            <w:shd w:val="clear" w:color="auto" w:fill="auto"/>
          </w:tcPr>
          <w:p w14:paraId="7DCFD324" w14:textId="77777777" w:rsidR="00C1563E" w:rsidRDefault="00C1563E">
            <w:pPr>
              <w:rPr>
                <w:rFonts w:ascii="宋体"/>
                <w:vanish/>
              </w:rPr>
            </w:pPr>
          </w:p>
        </w:tc>
        <w:tc>
          <w:tcPr>
            <w:tcW w:w="0" w:type="auto"/>
            <w:shd w:val="clear" w:color="auto" w:fill="auto"/>
          </w:tcPr>
          <w:p w14:paraId="7DCFD325"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32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D32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2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2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2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2B" w14:textId="77777777" w:rsidR="00C1563E" w:rsidRDefault="000B648B">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DCFD32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2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2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2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30" w14:textId="77777777" w:rsidR="00C1563E" w:rsidRDefault="000B648B">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7DCFD331" w14:textId="77777777" w:rsidR="00C1563E" w:rsidRDefault="00C1563E">
            <w:pPr>
              <w:jc w:val="right"/>
              <w:rPr>
                <w:rFonts w:ascii="宋体"/>
              </w:rPr>
            </w:pPr>
          </w:p>
        </w:tc>
      </w:tr>
      <w:tr w:rsidR="00C1563E" w14:paraId="7DCFD346" w14:textId="77777777">
        <w:trPr>
          <w:jc w:val="center"/>
        </w:trPr>
        <w:tc>
          <w:tcPr>
            <w:tcW w:w="0" w:type="auto"/>
            <w:gridSpan w:val="3"/>
            <w:shd w:val="clear" w:color="auto" w:fill="CCEEFF"/>
            <w:tcMar>
              <w:top w:w="40" w:type="dxa"/>
              <w:left w:w="245" w:type="dxa"/>
              <w:bottom w:w="40" w:type="dxa"/>
              <w:right w:w="20" w:type="dxa"/>
            </w:tcMar>
            <w:vAlign w:val="bottom"/>
          </w:tcPr>
          <w:p w14:paraId="7DCFD333"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334" w14:textId="77777777" w:rsidR="00C1563E" w:rsidRDefault="00C1563E">
            <w:pPr>
              <w:rPr>
                <w:rFonts w:ascii="宋体"/>
                <w:vanish/>
              </w:rPr>
            </w:pPr>
          </w:p>
        </w:tc>
        <w:tc>
          <w:tcPr>
            <w:tcW w:w="0" w:type="auto"/>
            <w:shd w:val="clear" w:color="auto" w:fill="auto"/>
          </w:tcPr>
          <w:p w14:paraId="7DCFD335" w14:textId="77777777" w:rsidR="00C1563E" w:rsidRDefault="00C1563E">
            <w:pPr>
              <w:rPr>
                <w:rFonts w:ascii="宋体"/>
                <w:vanish/>
              </w:rPr>
            </w:pPr>
          </w:p>
        </w:tc>
        <w:tc>
          <w:tcPr>
            <w:tcW w:w="0" w:type="auto"/>
            <w:shd w:val="clear" w:color="auto" w:fill="auto"/>
          </w:tcPr>
          <w:p w14:paraId="7DCFD336" w14:textId="77777777" w:rsidR="00C1563E" w:rsidRDefault="00C1563E">
            <w:pPr>
              <w:rPr>
                <w:rFonts w:ascii="宋体"/>
                <w:vanish/>
              </w:rPr>
            </w:pPr>
          </w:p>
        </w:tc>
        <w:tc>
          <w:tcPr>
            <w:tcW w:w="0" w:type="auto"/>
            <w:shd w:val="clear" w:color="auto" w:fill="auto"/>
          </w:tcPr>
          <w:p w14:paraId="7DCFD337" w14:textId="77777777" w:rsidR="00C1563E" w:rsidRDefault="00C1563E">
            <w:pPr>
              <w:rPr>
                <w:rFonts w:ascii="宋体"/>
                <w:vanish/>
              </w:rPr>
            </w:pPr>
          </w:p>
        </w:tc>
        <w:tc>
          <w:tcPr>
            <w:tcW w:w="0" w:type="auto"/>
            <w:shd w:val="clear" w:color="auto" w:fill="auto"/>
          </w:tcPr>
          <w:p w14:paraId="7DCFD338" w14:textId="77777777" w:rsidR="00C1563E" w:rsidRDefault="00C1563E">
            <w:pPr>
              <w:rPr>
                <w:rFonts w:ascii="宋体"/>
                <w:vanish/>
              </w:rPr>
            </w:pPr>
          </w:p>
        </w:tc>
        <w:tc>
          <w:tcPr>
            <w:tcW w:w="0" w:type="auto"/>
            <w:shd w:val="clear" w:color="auto" w:fill="auto"/>
          </w:tcPr>
          <w:p w14:paraId="7DCFD339"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33A" w14:textId="77777777" w:rsidR="00C1563E" w:rsidRDefault="000B648B">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DCFD3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3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3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3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3F"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CFD34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4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4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4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44" w14:textId="77777777" w:rsidR="00C1563E" w:rsidRDefault="000B648B">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DCFD345" w14:textId="77777777" w:rsidR="00C1563E" w:rsidRDefault="00C1563E">
            <w:pPr>
              <w:jc w:val="right"/>
              <w:rPr>
                <w:rFonts w:ascii="宋体"/>
              </w:rPr>
            </w:pPr>
          </w:p>
        </w:tc>
      </w:tr>
      <w:tr w:rsidR="00C1563E" w14:paraId="7DCFD35A" w14:textId="77777777">
        <w:trPr>
          <w:jc w:val="center"/>
        </w:trPr>
        <w:tc>
          <w:tcPr>
            <w:tcW w:w="0" w:type="auto"/>
            <w:gridSpan w:val="3"/>
            <w:shd w:val="clear" w:color="auto" w:fill="FFFFFF"/>
            <w:tcMar>
              <w:top w:w="40" w:type="dxa"/>
              <w:left w:w="245" w:type="dxa"/>
              <w:bottom w:w="40" w:type="dxa"/>
              <w:right w:w="20" w:type="dxa"/>
            </w:tcMar>
            <w:vAlign w:val="bottom"/>
          </w:tcPr>
          <w:p w14:paraId="7DCFD347"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348" w14:textId="77777777" w:rsidR="00C1563E" w:rsidRDefault="00C1563E">
            <w:pPr>
              <w:rPr>
                <w:rFonts w:ascii="宋体"/>
                <w:vanish/>
              </w:rPr>
            </w:pPr>
          </w:p>
        </w:tc>
        <w:tc>
          <w:tcPr>
            <w:tcW w:w="0" w:type="auto"/>
            <w:shd w:val="clear" w:color="auto" w:fill="auto"/>
          </w:tcPr>
          <w:p w14:paraId="7DCFD349" w14:textId="77777777" w:rsidR="00C1563E" w:rsidRDefault="00C1563E">
            <w:pPr>
              <w:rPr>
                <w:rFonts w:ascii="宋体"/>
                <w:vanish/>
              </w:rPr>
            </w:pPr>
          </w:p>
        </w:tc>
        <w:tc>
          <w:tcPr>
            <w:tcW w:w="0" w:type="auto"/>
            <w:shd w:val="clear" w:color="auto" w:fill="auto"/>
          </w:tcPr>
          <w:p w14:paraId="7DCFD34A" w14:textId="77777777" w:rsidR="00C1563E" w:rsidRDefault="00C1563E">
            <w:pPr>
              <w:rPr>
                <w:rFonts w:ascii="宋体"/>
                <w:vanish/>
              </w:rPr>
            </w:pPr>
          </w:p>
        </w:tc>
        <w:tc>
          <w:tcPr>
            <w:tcW w:w="0" w:type="auto"/>
            <w:shd w:val="clear" w:color="auto" w:fill="auto"/>
          </w:tcPr>
          <w:p w14:paraId="7DCFD34B" w14:textId="77777777" w:rsidR="00C1563E" w:rsidRDefault="00C1563E">
            <w:pPr>
              <w:rPr>
                <w:rFonts w:ascii="宋体"/>
                <w:vanish/>
              </w:rPr>
            </w:pPr>
          </w:p>
        </w:tc>
        <w:tc>
          <w:tcPr>
            <w:tcW w:w="0" w:type="auto"/>
            <w:shd w:val="clear" w:color="auto" w:fill="auto"/>
          </w:tcPr>
          <w:p w14:paraId="7DCFD34C" w14:textId="77777777" w:rsidR="00C1563E" w:rsidRDefault="00C1563E">
            <w:pPr>
              <w:rPr>
                <w:rFonts w:ascii="宋体"/>
                <w:vanish/>
              </w:rPr>
            </w:pPr>
          </w:p>
        </w:tc>
        <w:tc>
          <w:tcPr>
            <w:tcW w:w="0" w:type="auto"/>
            <w:shd w:val="clear" w:color="auto" w:fill="auto"/>
          </w:tcPr>
          <w:p w14:paraId="7DCFD34D"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34E" w14:textId="77777777" w:rsidR="00C1563E" w:rsidRDefault="000B648B">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DCFD34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5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5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5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53"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DCFD3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5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5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5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58"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DCFD359" w14:textId="77777777" w:rsidR="00C1563E" w:rsidRDefault="00C1563E">
            <w:pPr>
              <w:jc w:val="right"/>
              <w:rPr>
                <w:rFonts w:ascii="宋体"/>
              </w:rPr>
            </w:pPr>
          </w:p>
        </w:tc>
      </w:tr>
      <w:tr w:rsidR="00C1563E" w14:paraId="7DCFD373" w14:textId="77777777">
        <w:trPr>
          <w:jc w:val="center"/>
        </w:trPr>
        <w:tc>
          <w:tcPr>
            <w:tcW w:w="0" w:type="auto"/>
            <w:gridSpan w:val="3"/>
            <w:shd w:val="clear" w:color="auto" w:fill="CCEEFF"/>
            <w:tcMar>
              <w:top w:w="40" w:type="dxa"/>
              <w:left w:w="515" w:type="dxa"/>
              <w:bottom w:w="40" w:type="dxa"/>
              <w:right w:w="20" w:type="dxa"/>
            </w:tcMar>
            <w:vAlign w:val="bottom"/>
          </w:tcPr>
          <w:p w14:paraId="7DCFD35B" w14:textId="77777777" w:rsidR="00C1563E" w:rsidRDefault="000B648B">
            <w:pPr>
              <w:textAlignment w:val="bottom"/>
            </w:pPr>
            <w:r>
              <w:rPr>
                <w:rFonts w:ascii="Times New Roman" w:eastAsia="宋体" w:hAnsi="Times New Roman"/>
                <w:color w:val="000000"/>
                <w:sz w:val="20"/>
                <w:szCs w:val="20"/>
              </w:rPr>
              <w:t xml:space="preserve">Non-GAAP product gross margin </w:t>
            </w:r>
          </w:p>
        </w:tc>
        <w:tc>
          <w:tcPr>
            <w:tcW w:w="0" w:type="auto"/>
            <w:shd w:val="clear" w:color="auto" w:fill="auto"/>
          </w:tcPr>
          <w:p w14:paraId="7DCFD35C" w14:textId="77777777" w:rsidR="00C1563E" w:rsidRDefault="00C1563E">
            <w:pPr>
              <w:rPr>
                <w:rFonts w:ascii="宋体"/>
                <w:vanish/>
              </w:rPr>
            </w:pPr>
          </w:p>
        </w:tc>
        <w:tc>
          <w:tcPr>
            <w:tcW w:w="0" w:type="auto"/>
            <w:shd w:val="clear" w:color="auto" w:fill="auto"/>
          </w:tcPr>
          <w:p w14:paraId="7DCFD35D" w14:textId="77777777" w:rsidR="00C1563E" w:rsidRDefault="00C1563E">
            <w:pPr>
              <w:rPr>
                <w:rFonts w:ascii="宋体"/>
                <w:vanish/>
              </w:rPr>
            </w:pPr>
          </w:p>
        </w:tc>
        <w:tc>
          <w:tcPr>
            <w:tcW w:w="0" w:type="auto"/>
            <w:shd w:val="clear" w:color="auto" w:fill="auto"/>
          </w:tcPr>
          <w:p w14:paraId="7DCFD35E" w14:textId="77777777" w:rsidR="00C1563E" w:rsidRDefault="00C1563E">
            <w:pPr>
              <w:rPr>
                <w:rFonts w:ascii="宋体"/>
                <w:vanish/>
              </w:rPr>
            </w:pPr>
          </w:p>
        </w:tc>
        <w:tc>
          <w:tcPr>
            <w:tcW w:w="0" w:type="auto"/>
            <w:shd w:val="clear" w:color="auto" w:fill="auto"/>
          </w:tcPr>
          <w:p w14:paraId="7DCFD35F" w14:textId="77777777" w:rsidR="00C1563E" w:rsidRDefault="00C1563E">
            <w:pPr>
              <w:rPr>
                <w:rFonts w:ascii="宋体"/>
                <w:vanish/>
              </w:rPr>
            </w:pPr>
          </w:p>
        </w:tc>
        <w:tc>
          <w:tcPr>
            <w:tcW w:w="0" w:type="auto"/>
            <w:shd w:val="clear" w:color="auto" w:fill="auto"/>
          </w:tcPr>
          <w:p w14:paraId="7DCFD360" w14:textId="77777777" w:rsidR="00C1563E" w:rsidRDefault="00C1563E">
            <w:pPr>
              <w:rPr>
                <w:rFonts w:ascii="宋体"/>
                <w:vanish/>
              </w:rPr>
            </w:pPr>
          </w:p>
        </w:tc>
        <w:tc>
          <w:tcPr>
            <w:tcW w:w="0" w:type="auto"/>
            <w:shd w:val="clear" w:color="auto" w:fill="auto"/>
          </w:tcPr>
          <w:p w14:paraId="7DCFD361"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36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363" w14:textId="77777777" w:rsidR="00C1563E" w:rsidRDefault="000B648B">
            <w:pPr>
              <w:jc w:val="right"/>
              <w:textAlignment w:val="bottom"/>
            </w:pPr>
            <w:r>
              <w:rPr>
                <w:rFonts w:ascii="Times New Roman" w:eastAsia="宋体" w:hAnsi="Times New Roman"/>
                <w:color w:val="000000"/>
                <w:sz w:val="20"/>
                <w:szCs w:val="20"/>
              </w:rPr>
              <w:t>16,122 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36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6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66"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7DCFD36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368"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36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36A" w14:textId="77777777" w:rsidR="00C1563E" w:rsidRDefault="000B648B">
            <w:pPr>
              <w:jc w:val="right"/>
              <w:textAlignment w:val="bottom"/>
            </w:pPr>
            <w:r>
              <w:rPr>
                <w:rFonts w:ascii="Times New Roman" w:eastAsia="宋体" w:hAnsi="Times New Roman"/>
                <w:color w:val="000000"/>
                <w:sz w:val="20"/>
                <w:szCs w:val="20"/>
              </w:rPr>
              <w:t>17,523 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36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6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6D"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DCFD36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36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37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371" w14:textId="77777777" w:rsidR="00C1563E" w:rsidRDefault="000B648B">
            <w:pPr>
              <w:jc w:val="right"/>
              <w:textAlignment w:val="bottom"/>
            </w:pPr>
            <w:r>
              <w:rPr>
                <w:rFonts w:ascii="Times New Roman" w:eastAsia="宋体" w:hAnsi="Times New Roman"/>
                <w:color w:val="000000"/>
                <w:sz w:val="20"/>
                <w:szCs w:val="20"/>
              </w:rPr>
              <w:t>16,021 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372" w14:textId="77777777" w:rsidR="00C1563E" w:rsidRDefault="00C1563E">
            <w:pPr>
              <w:jc w:val="right"/>
              <w:rPr>
                <w:rFonts w:ascii="宋体"/>
              </w:rPr>
            </w:pPr>
          </w:p>
        </w:tc>
      </w:tr>
      <w:tr w:rsidR="00C1563E" w14:paraId="7DCFD384" w14:textId="77777777">
        <w:trPr>
          <w:trHeight w:val="300"/>
          <w:jc w:val="center"/>
        </w:trPr>
        <w:tc>
          <w:tcPr>
            <w:tcW w:w="0" w:type="auto"/>
            <w:gridSpan w:val="3"/>
            <w:shd w:val="clear" w:color="auto" w:fill="FFFFFF"/>
            <w:tcMar>
              <w:top w:w="0" w:type="dxa"/>
              <w:left w:w="20" w:type="dxa"/>
              <w:bottom w:w="0" w:type="dxa"/>
              <w:right w:w="20" w:type="dxa"/>
            </w:tcMar>
          </w:tcPr>
          <w:p w14:paraId="7DCFD374" w14:textId="77777777" w:rsidR="00C1563E" w:rsidRDefault="00C1563E">
            <w:pPr>
              <w:rPr>
                <w:rFonts w:ascii="宋体"/>
              </w:rPr>
            </w:pPr>
          </w:p>
        </w:tc>
        <w:tc>
          <w:tcPr>
            <w:tcW w:w="0" w:type="auto"/>
            <w:shd w:val="clear" w:color="auto" w:fill="auto"/>
          </w:tcPr>
          <w:p w14:paraId="7DCFD375" w14:textId="77777777" w:rsidR="00C1563E" w:rsidRDefault="00C1563E">
            <w:pPr>
              <w:rPr>
                <w:rFonts w:ascii="宋体"/>
                <w:vanish/>
              </w:rPr>
            </w:pPr>
          </w:p>
        </w:tc>
        <w:tc>
          <w:tcPr>
            <w:tcW w:w="0" w:type="auto"/>
            <w:shd w:val="clear" w:color="auto" w:fill="auto"/>
          </w:tcPr>
          <w:p w14:paraId="7DCFD376" w14:textId="77777777" w:rsidR="00C1563E" w:rsidRDefault="00C1563E">
            <w:pPr>
              <w:rPr>
                <w:rFonts w:ascii="宋体"/>
                <w:vanish/>
              </w:rPr>
            </w:pPr>
          </w:p>
        </w:tc>
        <w:tc>
          <w:tcPr>
            <w:tcW w:w="0" w:type="auto"/>
            <w:shd w:val="clear" w:color="auto" w:fill="auto"/>
          </w:tcPr>
          <w:p w14:paraId="7DCFD377" w14:textId="77777777" w:rsidR="00C1563E" w:rsidRDefault="00C1563E">
            <w:pPr>
              <w:rPr>
                <w:rFonts w:ascii="宋体"/>
                <w:vanish/>
              </w:rPr>
            </w:pPr>
          </w:p>
        </w:tc>
        <w:tc>
          <w:tcPr>
            <w:tcW w:w="0" w:type="auto"/>
            <w:shd w:val="clear" w:color="auto" w:fill="auto"/>
          </w:tcPr>
          <w:p w14:paraId="7DCFD378" w14:textId="77777777" w:rsidR="00C1563E" w:rsidRDefault="00C1563E">
            <w:pPr>
              <w:rPr>
                <w:rFonts w:ascii="宋体"/>
                <w:vanish/>
              </w:rPr>
            </w:pPr>
          </w:p>
        </w:tc>
        <w:tc>
          <w:tcPr>
            <w:tcW w:w="0" w:type="auto"/>
            <w:shd w:val="clear" w:color="auto" w:fill="auto"/>
          </w:tcPr>
          <w:p w14:paraId="7DCFD379" w14:textId="77777777" w:rsidR="00C1563E" w:rsidRDefault="00C1563E">
            <w:pPr>
              <w:rPr>
                <w:rFonts w:ascii="宋体"/>
                <w:vanish/>
              </w:rPr>
            </w:pPr>
          </w:p>
        </w:tc>
        <w:tc>
          <w:tcPr>
            <w:tcW w:w="0" w:type="auto"/>
            <w:shd w:val="clear" w:color="auto" w:fill="auto"/>
          </w:tcPr>
          <w:p w14:paraId="7DCFD37A" w14:textId="77777777" w:rsidR="00C1563E" w:rsidRDefault="00C1563E">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37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7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7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7E"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37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8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8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82"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383" w14:textId="77777777" w:rsidR="00C1563E" w:rsidRDefault="00C1563E">
            <w:pPr>
              <w:rPr>
                <w:rFonts w:ascii="宋体"/>
              </w:rPr>
            </w:pPr>
          </w:p>
        </w:tc>
      </w:tr>
      <w:tr w:rsidR="00C1563E" w14:paraId="7DCFD39D" w14:textId="77777777">
        <w:trPr>
          <w:jc w:val="center"/>
        </w:trPr>
        <w:tc>
          <w:tcPr>
            <w:tcW w:w="0" w:type="auto"/>
            <w:gridSpan w:val="3"/>
            <w:shd w:val="clear" w:color="auto" w:fill="CCEEFF"/>
            <w:tcMar>
              <w:top w:w="40" w:type="dxa"/>
              <w:left w:w="20" w:type="dxa"/>
              <w:bottom w:w="40" w:type="dxa"/>
              <w:right w:w="20" w:type="dxa"/>
            </w:tcMar>
            <w:vAlign w:val="bottom"/>
          </w:tcPr>
          <w:p w14:paraId="7DCFD385" w14:textId="77777777" w:rsidR="00C1563E" w:rsidRDefault="000B648B">
            <w:pPr>
              <w:textAlignment w:val="bottom"/>
            </w:pPr>
            <w:r>
              <w:rPr>
                <w:rFonts w:ascii="Times New Roman" w:eastAsia="宋体" w:hAnsi="Times New Roman"/>
                <w:color w:val="000000"/>
                <w:sz w:val="20"/>
                <w:szCs w:val="20"/>
              </w:rPr>
              <w:t xml:space="preserve">Services gross margin </w:t>
            </w:r>
          </w:p>
        </w:tc>
        <w:tc>
          <w:tcPr>
            <w:tcW w:w="0" w:type="auto"/>
            <w:shd w:val="clear" w:color="auto" w:fill="auto"/>
          </w:tcPr>
          <w:p w14:paraId="7DCFD386" w14:textId="77777777" w:rsidR="00C1563E" w:rsidRDefault="00C1563E">
            <w:pPr>
              <w:rPr>
                <w:rFonts w:ascii="宋体"/>
                <w:vanish/>
              </w:rPr>
            </w:pPr>
          </w:p>
        </w:tc>
        <w:tc>
          <w:tcPr>
            <w:tcW w:w="0" w:type="auto"/>
            <w:shd w:val="clear" w:color="auto" w:fill="auto"/>
          </w:tcPr>
          <w:p w14:paraId="7DCFD387" w14:textId="77777777" w:rsidR="00C1563E" w:rsidRDefault="00C1563E">
            <w:pPr>
              <w:rPr>
                <w:rFonts w:ascii="宋体"/>
                <w:vanish/>
              </w:rPr>
            </w:pPr>
          </w:p>
        </w:tc>
        <w:tc>
          <w:tcPr>
            <w:tcW w:w="0" w:type="auto"/>
            <w:shd w:val="clear" w:color="auto" w:fill="auto"/>
          </w:tcPr>
          <w:p w14:paraId="7DCFD388" w14:textId="77777777" w:rsidR="00C1563E" w:rsidRDefault="00C1563E">
            <w:pPr>
              <w:rPr>
                <w:rFonts w:ascii="宋体"/>
                <w:vanish/>
              </w:rPr>
            </w:pPr>
          </w:p>
        </w:tc>
        <w:tc>
          <w:tcPr>
            <w:tcW w:w="0" w:type="auto"/>
            <w:shd w:val="clear" w:color="auto" w:fill="auto"/>
          </w:tcPr>
          <w:p w14:paraId="7DCFD389" w14:textId="77777777" w:rsidR="00C1563E" w:rsidRDefault="00C1563E">
            <w:pPr>
              <w:rPr>
                <w:rFonts w:ascii="宋体"/>
                <w:vanish/>
              </w:rPr>
            </w:pPr>
          </w:p>
        </w:tc>
        <w:tc>
          <w:tcPr>
            <w:tcW w:w="0" w:type="auto"/>
            <w:shd w:val="clear" w:color="auto" w:fill="auto"/>
          </w:tcPr>
          <w:p w14:paraId="7DCFD38A" w14:textId="77777777" w:rsidR="00C1563E" w:rsidRDefault="00C1563E">
            <w:pPr>
              <w:rPr>
                <w:rFonts w:ascii="宋体"/>
                <w:vanish/>
              </w:rPr>
            </w:pPr>
          </w:p>
        </w:tc>
        <w:tc>
          <w:tcPr>
            <w:tcW w:w="0" w:type="auto"/>
            <w:shd w:val="clear" w:color="auto" w:fill="auto"/>
          </w:tcPr>
          <w:p w14:paraId="7DCFD38B"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38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38D" w14:textId="77777777" w:rsidR="00C1563E" w:rsidRDefault="000B648B">
            <w:pPr>
              <w:jc w:val="right"/>
              <w:textAlignment w:val="bottom"/>
            </w:pPr>
            <w:r>
              <w:rPr>
                <w:rFonts w:ascii="Times New Roman" w:eastAsia="宋体" w:hAnsi="Times New Roman"/>
                <w:color w:val="000000"/>
                <w:sz w:val="20"/>
                <w:szCs w:val="20"/>
              </w:rPr>
              <w:t>14,853 </w:t>
            </w:r>
          </w:p>
        </w:tc>
        <w:tc>
          <w:tcPr>
            <w:tcW w:w="0" w:type="auto"/>
            <w:shd w:val="clear" w:color="auto" w:fill="CCEEFF"/>
            <w:tcMar>
              <w:top w:w="40" w:type="dxa"/>
              <w:left w:w="0" w:type="dxa"/>
              <w:bottom w:w="40" w:type="dxa"/>
              <w:right w:w="20" w:type="dxa"/>
            </w:tcMar>
            <w:vAlign w:val="bottom"/>
          </w:tcPr>
          <w:p w14:paraId="7DCFD3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8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90"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CFD39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39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39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394" w14:textId="77777777" w:rsidR="00C1563E" w:rsidRDefault="000B648B">
            <w:pPr>
              <w:jc w:val="right"/>
              <w:textAlignment w:val="bottom"/>
            </w:pPr>
            <w:r>
              <w:rPr>
                <w:rFonts w:ascii="Times New Roman" w:eastAsia="宋体" w:hAnsi="Times New Roman"/>
                <w:color w:val="000000"/>
                <w:sz w:val="20"/>
                <w:szCs w:val="20"/>
              </w:rPr>
              <w:t>13,540 </w:t>
            </w:r>
          </w:p>
        </w:tc>
        <w:tc>
          <w:tcPr>
            <w:tcW w:w="0" w:type="auto"/>
            <w:shd w:val="clear" w:color="auto" w:fill="CCEEFF"/>
            <w:tcMar>
              <w:top w:w="40" w:type="dxa"/>
              <w:left w:w="0" w:type="dxa"/>
              <w:bottom w:w="40" w:type="dxa"/>
              <w:right w:w="20" w:type="dxa"/>
            </w:tcMar>
            <w:vAlign w:val="bottom"/>
          </w:tcPr>
          <w:p w14:paraId="7DCFD3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9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97"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CFD398"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39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39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39B" w14:textId="77777777" w:rsidR="00C1563E" w:rsidRDefault="000B648B">
            <w:pPr>
              <w:jc w:val="right"/>
              <w:textAlignment w:val="bottom"/>
            </w:pPr>
            <w:r>
              <w:rPr>
                <w:rFonts w:ascii="Times New Roman" w:eastAsia="宋体" w:hAnsi="Times New Roman"/>
                <w:color w:val="000000"/>
                <w:sz w:val="20"/>
                <w:szCs w:val="20"/>
              </w:rPr>
              <w:t>12,235 </w:t>
            </w:r>
          </w:p>
        </w:tc>
        <w:tc>
          <w:tcPr>
            <w:tcW w:w="0" w:type="auto"/>
            <w:shd w:val="clear" w:color="auto" w:fill="CCEEFF"/>
            <w:tcMar>
              <w:top w:w="40" w:type="dxa"/>
              <w:left w:w="0" w:type="dxa"/>
              <w:bottom w:w="40" w:type="dxa"/>
              <w:right w:w="20" w:type="dxa"/>
            </w:tcMar>
            <w:vAlign w:val="bottom"/>
          </w:tcPr>
          <w:p w14:paraId="7DCFD39C" w14:textId="77777777" w:rsidR="00C1563E" w:rsidRDefault="00C1563E">
            <w:pPr>
              <w:jc w:val="right"/>
              <w:rPr>
                <w:rFonts w:ascii="宋体"/>
              </w:rPr>
            </w:pPr>
          </w:p>
        </w:tc>
      </w:tr>
      <w:tr w:rsidR="00C1563E" w14:paraId="7DCFD3AE" w14:textId="77777777">
        <w:trPr>
          <w:jc w:val="center"/>
        </w:trPr>
        <w:tc>
          <w:tcPr>
            <w:tcW w:w="0" w:type="auto"/>
            <w:gridSpan w:val="3"/>
            <w:shd w:val="clear" w:color="auto" w:fill="FFFFFF"/>
            <w:tcMar>
              <w:top w:w="40" w:type="dxa"/>
              <w:left w:w="155" w:type="dxa"/>
              <w:bottom w:w="40" w:type="dxa"/>
              <w:right w:w="20" w:type="dxa"/>
            </w:tcMar>
            <w:vAlign w:val="bottom"/>
          </w:tcPr>
          <w:p w14:paraId="7DCFD39E"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39F" w14:textId="77777777" w:rsidR="00C1563E" w:rsidRDefault="00C1563E">
            <w:pPr>
              <w:rPr>
                <w:rFonts w:ascii="宋体"/>
                <w:vanish/>
              </w:rPr>
            </w:pPr>
          </w:p>
        </w:tc>
        <w:tc>
          <w:tcPr>
            <w:tcW w:w="0" w:type="auto"/>
            <w:shd w:val="clear" w:color="auto" w:fill="auto"/>
          </w:tcPr>
          <w:p w14:paraId="7DCFD3A0" w14:textId="77777777" w:rsidR="00C1563E" w:rsidRDefault="00C1563E">
            <w:pPr>
              <w:rPr>
                <w:rFonts w:ascii="宋体"/>
                <w:vanish/>
              </w:rPr>
            </w:pPr>
          </w:p>
        </w:tc>
        <w:tc>
          <w:tcPr>
            <w:tcW w:w="0" w:type="auto"/>
            <w:shd w:val="clear" w:color="auto" w:fill="auto"/>
          </w:tcPr>
          <w:p w14:paraId="7DCFD3A1" w14:textId="77777777" w:rsidR="00C1563E" w:rsidRDefault="00C1563E">
            <w:pPr>
              <w:rPr>
                <w:rFonts w:ascii="宋体"/>
                <w:vanish/>
              </w:rPr>
            </w:pPr>
          </w:p>
        </w:tc>
        <w:tc>
          <w:tcPr>
            <w:tcW w:w="0" w:type="auto"/>
            <w:shd w:val="clear" w:color="auto" w:fill="auto"/>
          </w:tcPr>
          <w:p w14:paraId="7DCFD3A2" w14:textId="77777777" w:rsidR="00C1563E" w:rsidRDefault="00C1563E">
            <w:pPr>
              <w:rPr>
                <w:rFonts w:ascii="宋体"/>
                <w:vanish/>
              </w:rPr>
            </w:pPr>
          </w:p>
        </w:tc>
        <w:tc>
          <w:tcPr>
            <w:tcW w:w="0" w:type="auto"/>
            <w:shd w:val="clear" w:color="auto" w:fill="auto"/>
          </w:tcPr>
          <w:p w14:paraId="7DCFD3A3" w14:textId="77777777" w:rsidR="00C1563E" w:rsidRDefault="00C1563E">
            <w:pPr>
              <w:rPr>
                <w:rFonts w:ascii="宋体"/>
                <w:vanish/>
              </w:rPr>
            </w:pPr>
          </w:p>
        </w:tc>
        <w:tc>
          <w:tcPr>
            <w:tcW w:w="0" w:type="auto"/>
            <w:shd w:val="clear" w:color="auto" w:fill="auto"/>
          </w:tcPr>
          <w:p w14:paraId="7DCFD3A4"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3A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AD" w14:textId="77777777" w:rsidR="00C1563E" w:rsidRDefault="00C1563E">
            <w:pPr>
              <w:rPr>
                <w:rFonts w:ascii="宋体"/>
              </w:rPr>
            </w:pPr>
          </w:p>
        </w:tc>
      </w:tr>
      <w:tr w:rsidR="00C1563E" w14:paraId="7DCFD3C2" w14:textId="77777777">
        <w:trPr>
          <w:jc w:val="center"/>
        </w:trPr>
        <w:tc>
          <w:tcPr>
            <w:tcW w:w="0" w:type="auto"/>
            <w:gridSpan w:val="3"/>
            <w:shd w:val="clear" w:color="auto" w:fill="CCEEFF"/>
            <w:tcMar>
              <w:top w:w="40" w:type="dxa"/>
              <w:left w:w="245" w:type="dxa"/>
              <w:bottom w:w="40" w:type="dxa"/>
              <w:right w:w="20" w:type="dxa"/>
            </w:tcMar>
            <w:vAlign w:val="bottom"/>
          </w:tcPr>
          <w:p w14:paraId="7DCFD3AF" w14:textId="77777777" w:rsidR="00C1563E" w:rsidRDefault="000B648B">
            <w:pPr>
              <w:textAlignment w:val="bottom"/>
            </w:pPr>
            <w:r>
              <w:rPr>
                <w:rFonts w:ascii="Times New Roman" w:eastAsia="宋体" w:hAnsi="Times New Roman"/>
                <w:color w:val="000000"/>
                <w:sz w:val="20"/>
                <w:szCs w:val="20"/>
              </w:rPr>
              <w:t xml:space="preserve">Amortization of </w:t>
            </w:r>
            <w:r>
              <w:rPr>
                <w:rFonts w:ascii="Times New Roman" w:eastAsia="宋体" w:hAnsi="Times New Roman"/>
                <w:color w:val="000000"/>
                <w:sz w:val="20"/>
                <w:szCs w:val="20"/>
              </w:rPr>
              <w:t>intangibles</w:t>
            </w:r>
          </w:p>
        </w:tc>
        <w:tc>
          <w:tcPr>
            <w:tcW w:w="0" w:type="auto"/>
            <w:shd w:val="clear" w:color="auto" w:fill="auto"/>
          </w:tcPr>
          <w:p w14:paraId="7DCFD3B0" w14:textId="77777777" w:rsidR="00C1563E" w:rsidRDefault="00C1563E">
            <w:pPr>
              <w:rPr>
                <w:rFonts w:ascii="宋体"/>
                <w:vanish/>
              </w:rPr>
            </w:pPr>
          </w:p>
        </w:tc>
        <w:tc>
          <w:tcPr>
            <w:tcW w:w="0" w:type="auto"/>
            <w:shd w:val="clear" w:color="auto" w:fill="auto"/>
          </w:tcPr>
          <w:p w14:paraId="7DCFD3B1" w14:textId="77777777" w:rsidR="00C1563E" w:rsidRDefault="00C1563E">
            <w:pPr>
              <w:rPr>
                <w:rFonts w:ascii="宋体"/>
                <w:vanish/>
              </w:rPr>
            </w:pPr>
          </w:p>
        </w:tc>
        <w:tc>
          <w:tcPr>
            <w:tcW w:w="0" w:type="auto"/>
            <w:shd w:val="clear" w:color="auto" w:fill="auto"/>
          </w:tcPr>
          <w:p w14:paraId="7DCFD3B2" w14:textId="77777777" w:rsidR="00C1563E" w:rsidRDefault="00C1563E">
            <w:pPr>
              <w:rPr>
                <w:rFonts w:ascii="宋体"/>
                <w:vanish/>
              </w:rPr>
            </w:pPr>
          </w:p>
        </w:tc>
        <w:tc>
          <w:tcPr>
            <w:tcW w:w="0" w:type="auto"/>
            <w:shd w:val="clear" w:color="auto" w:fill="auto"/>
          </w:tcPr>
          <w:p w14:paraId="7DCFD3B3" w14:textId="77777777" w:rsidR="00C1563E" w:rsidRDefault="00C1563E">
            <w:pPr>
              <w:rPr>
                <w:rFonts w:ascii="宋体"/>
                <w:vanish/>
              </w:rPr>
            </w:pPr>
          </w:p>
        </w:tc>
        <w:tc>
          <w:tcPr>
            <w:tcW w:w="0" w:type="auto"/>
            <w:shd w:val="clear" w:color="auto" w:fill="auto"/>
          </w:tcPr>
          <w:p w14:paraId="7DCFD3B4" w14:textId="77777777" w:rsidR="00C1563E" w:rsidRDefault="00C1563E">
            <w:pPr>
              <w:rPr>
                <w:rFonts w:ascii="宋体"/>
                <w:vanish/>
              </w:rPr>
            </w:pPr>
          </w:p>
        </w:tc>
        <w:tc>
          <w:tcPr>
            <w:tcW w:w="0" w:type="auto"/>
            <w:shd w:val="clear" w:color="auto" w:fill="auto"/>
          </w:tcPr>
          <w:p w14:paraId="7DCFD3B5"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3B6"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CFD3B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B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B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B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B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3B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B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B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B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C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3C1" w14:textId="77777777" w:rsidR="00C1563E" w:rsidRDefault="00C1563E">
            <w:pPr>
              <w:jc w:val="right"/>
              <w:rPr>
                <w:rFonts w:ascii="宋体"/>
              </w:rPr>
            </w:pPr>
          </w:p>
        </w:tc>
      </w:tr>
      <w:tr w:rsidR="00C1563E" w14:paraId="7DCFD3D6" w14:textId="77777777">
        <w:trPr>
          <w:jc w:val="center"/>
        </w:trPr>
        <w:tc>
          <w:tcPr>
            <w:tcW w:w="0" w:type="auto"/>
            <w:gridSpan w:val="3"/>
            <w:shd w:val="clear" w:color="auto" w:fill="FFFFFF"/>
            <w:tcMar>
              <w:top w:w="40" w:type="dxa"/>
              <w:left w:w="245" w:type="dxa"/>
              <w:bottom w:w="40" w:type="dxa"/>
              <w:right w:w="20" w:type="dxa"/>
            </w:tcMar>
            <w:vAlign w:val="bottom"/>
          </w:tcPr>
          <w:p w14:paraId="7DCFD3C3"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3C4" w14:textId="77777777" w:rsidR="00C1563E" w:rsidRDefault="00C1563E">
            <w:pPr>
              <w:rPr>
                <w:rFonts w:ascii="宋体"/>
                <w:vanish/>
              </w:rPr>
            </w:pPr>
          </w:p>
        </w:tc>
        <w:tc>
          <w:tcPr>
            <w:tcW w:w="0" w:type="auto"/>
            <w:shd w:val="clear" w:color="auto" w:fill="auto"/>
          </w:tcPr>
          <w:p w14:paraId="7DCFD3C5" w14:textId="77777777" w:rsidR="00C1563E" w:rsidRDefault="00C1563E">
            <w:pPr>
              <w:rPr>
                <w:rFonts w:ascii="宋体"/>
                <w:vanish/>
              </w:rPr>
            </w:pPr>
          </w:p>
        </w:tc>
        <w:tc>
          <w:tcPr>
            <w:tcW w:w="0" w:type="auto"/>
            <w:shd w:val="clear" w:color="auto" w:fill="auto"/>
          </w:tcPr>
          <w:p w14:paraId="7DCFD3C6" w14:textId="77777777" w:rsidR="00C1563E" w:rsidRDefault="00C1563E">
            <w:pPr>
              <w:rPr>
                <w:rFonts w:ascii="宋体"/>
                <w:vanish/>
              </w:rPr>
            </w:pPr>
          </w:p>
        </w:tc>
        <w:tc>
          <w:tcPr>
            <w:tcW w:w="0" w:type="auto"/>
            <w:shd w:val="clear" w:color="auto" w:fill="auto"/>
          </w:tcPr>
          <w:p w14:paraId="7DCFD3C7" w14:textId="77777777" w:rsidR="00C1563E" w:rsidRDefault="00C1563E">
            <w:pPr>
              <w:rPr>
                <w:rFonts w:ascii="宋体"/>
                <w:vanish/>
              </w:rPr>
            </w:pPr>
          </w:p>
        </w:tc>
        <w:tc>
          <w:tcPr>
            <w:tcW w:w="0" w:type="auto"/>
            <w:shd w:val="clear" w:color="auto" w:fill="auto"/>
          </w:tcPr>
          <w:p w14:paraId="7DCFD3C8" w14:textId="77777777" w:rsidR="00C1563E" w:rsidRDefault="00C1563E">
            <w:pPr>
              <w:rPr>
                <w:rFonts w:ascii="宋体"/>
                <w:vanish/>
              </w:rPr>
            </w:pPr>
          </w:p>
        </w:tc>
        <w:tc>
          <w:tcPr>
            <w:tcW w:w="0" w:type="auto"/>
            <w:shd w:val="clear" w:color="auto" w:fill="auto"/>
          </w:tcPr>
          <w:p w14:paraId="7DCFD3C9"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3CA" w14:textId="77777777" w:rsidR="00C1563E" w:rsidRDefault="000B648B">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7DCFD3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C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C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C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CF" w14:textId="77777777" w:rsidR="00C1563E" w:rsidRDefault="000B648B">
            <w:pPr>
              <w:jc w:val="right"/>
              <w:textAlignment w:val="bottom"/>
            </w:pPr>
            <w:r>
              <w:rPr>
                <w:rFonts w:ascii="Times New Roman" w:eastAsia="宋体" w:hAnsi="Times New Roman"/>
                <w:color w:val="000000"/>
                <w:sz w:val="20"/>
                <w:szCs w:val="20"/>
              </w:rPr>
              <w:t>325 </w:t>
            </w:r>
          </w:p>
        </w:tc>
        <w:tc>
          <w:tcPr>
            <w:tcW w:w="0" w:type="auto"/>
            <w:shd w:val="clear" w:color="auto" w:fill="FFFFFF"/>
            <w:tcMar>
              <w:top w:w="40" w:type="dxa"/>
              <w:left w:w="0" w:type="dxa"/>
              <w:bottom w:w="40" w:type="dxa"/>
              <w:right w:w="20" w:type="dxa"/>
            </w:tcMar>
            <w:vAlign w:val="bottom"/>
          </w:tcPr>
          <w:p w14:paraId="7DCFD3D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D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D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D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D4" w14:textId="77777777" w:rsidR="00C1563E" w:rsidRDefault="000B648B">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7DCFD3D5" w14:textId="77777777" w:rsidR="00C1563E" w:rsidRDefault="00C1563E">
            <w:pPr>
              <w:jc w:val="right"/>
              <w:rPr>
                <w:rFonts w:ascii="宋体"/>
              </w:rPr>
            </w:pPr>
          </w:p>
        </w:tc>
      </w:tr>
      <w:tr w:rsidR="00C1563E" w14:paraId="7DCFD3EA" w14:textId="77777777">
        <w:trPr>
          <w:jc w:val="center"/>
        </w:trPr>
        <w:tc>
          <w:tcPr>
            <w:tcW w:w="0" w:type="auto"/>
            <w:gridSpan w:val="3"/>
            <w:shd w:val="clear" w:color="auto" w:fill="CCEEFF"/>
            <w:tcMar>
              <w:top w:w="40" w:type="dxa"/>
              <w:left w:w="245" w:type="dxa"/>
              <w:bottom w:w="40" w:type="dxa"/>
              <w:right w:w="20" w:type="dxa"/>
            </w:tcMar>
            <w:vAlign w:val="bottom"/>
          </w:tcPr>
          <w:p w14:paraId="7DCFD3D7" w14:textId="77777777" w:rsidR="00C1563E" w:rsidRDefault="000B648B">
            <w:pPr>
              <w:textAlignment w:val="bottom"/>
            </w:pPr>
            <w:r>
              <w:rPr>
                <w:rFonts w:ascii="Times New Roman" w:eastAsia="宋体" w:hAnsi="Times New Roman"/>
                <w:color w:val="000000"/>
                <w:sz w:val="20"/>
                <w:szCs w:val="20"/>
              </w:rPr>
              <w:t>Transaction-related expenses</w:t>
            </w:r>
          </w:p>
        </w:tc>
        <w:tc>
          <w:tcPr>
            <w:tcW w:w="0" w:type="auto"/>
            <w:shd w:val="clear" w:color="auto" w:fill="auto"/>
          </w:tcPr>
          <w:p w14:paraId="7DCFD3D8" w14:textId="77777777" w:rsidR="00C1563E" w:rsidRDefault="00C1563E">
            <w:pPr>
              <w:rPr>
                <w:rFonts w:ascii="宋体"/>
                <w:vanish/>
              </w:rPr>
            </w:pPr>
          </w:p>
        </w:tc>
        <w:tc>
          <w:tcPr>
            <w:tcW w:w="0" w:type="auto"/>
            <w:shd w:val="clear" w:color="auto" w:fill="auto"/>
          </w:tcPr>
          <w:p w14:paraId="7DCFD3D9" w14:textId="77777777" w:rsidR="00C1563E" w:rsidRDefault="00C1563E">
            <w:pPr>
              <w:rPr>
                <w:rFonts w:ascii="宋体"/>
                <w:vanish/>
              </w:rPr>
            </w:pPr>
          </w:p>
        </w:tc>
        <w:tc>
          <w:tcPr>
            <w:tcW w:w="0" w:type="auto"/>
            <w:shd w:val="clear" w:color="auto" w:fill="auto"/>
          </w:tcPr>
          <w:p w14:paraId="7DCFD3DA" w14:textId="77777777" w:rsidR="00C1563E" w:rsidRDefault="00C1563E">
            <w:pPr>
              <w:rPr>
                <w:rFonts w:ascii="宋体"/>
                <w:vanish/>
              </w:rPr>
            </w:pPr>
          </w:p>
        </w:tc>
        <w:tc>
          <w:tcPr>
            <w:tcW w:w="0" w:type="auto"/>
            <w:shd w:val="clear" w:color="auto" w:fill="auto"/>
          </w:tcPr>
          <w:p w14:paraId="7DCFD3DB" w14:textId="77777777" w:rsidR="00C1563E" w:rsidRDefault="00C1563E">
            <w:pPr>
              <w:rPr>
                <w:rFonts w:ascii="宋体"/>
                <w:vanish/>
              </w:rPr>
            </w:pPr>
          </w:p>
        </w:tc>
        <w:tc>
          <w:tcPr>
            <w:tcW w:w="0" w:type="auto"/>
            <w:shd w:val="clear" w:color="auto" w:fill="auto"/>
          </w:tcPr>
          <w:p w14:paraId="7DCFD3DC" w14:textId="77777777" w:rsidR="00C1563E" w:rsidRDefault="00C1563E">
            <w:pPr>
              <w:rPr>
                <w:rFonts w:ascii="宋体"/>
                <w:vanish/>
              </w:rPr>
            </w:pPr>
          </w:p>
        </w:tc>
        <w:tc>
          <w:tcPr>
            <w:tcW w:w="0" w:type="auto"/>
            <w:shd w:val="clear" w:color="auto" w:fill="auto"/>
          </w:tcPr>
          <w:p w14:paraId="7DCFD3DD"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3D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3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E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E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E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E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3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3E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E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3E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3E8" w14:textId="77777777" w:rsidR="00C1563E" w:rsidRDefault="000B648B">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DCFD3E9" w14:textId="77777777" w:rsidR="00C1563E" w:rsidRDefault="00C1563E">
            <w:pPr>
              <w:jc w:val="right"/>
              <w:rPr>
                <w:rFonts w:ascii="宋体"/>
              </w:rPr>
            </w:pPr>
          </w:p>
        </w:tc>
      </w:tr>
      <w:tr w:rsidR="00C1563E" w14:paraId="7DCFD3FE" w14:textId="77777777">
        <w:trPr>
          <w:jc w:val="center"/>
        </w:trPr>
        <w:tc>
          <w:tcPr>
            <w:tcW w:w="0" w:type="auto"/>
            <w:gridSpan w:val="3"/>
            <w:shd w:val="clear" w:color="auto" w:fill="FFFFFF"/>
            <w:tcMar>
              <w:top w:w="40" w:type="dxa"/>
              <w:left w:w="245" w:type="dxa"/>
              <w:bottom w:w="40" w:type="dxa"/>
              <w:right w:w="20" w:type="dxa"/>
            </w:tcMar>
            <w:vAlign w:val="bottom"/>
          </w:tcPr>
          <w:p w14:paraId="7DCFD3EB"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3EC" w14:textId="77777777" w:rsidR="00C1563E" w:rsidRDefault="00C1563E">
            <w:pPr>
              <w:rPr>
                <w:rFonts w:ascii="宋体"/>
                <w:vanish/>
              </w:rPr>
            </w:pPr>
          </w:p>
        </w:tc>
        <w:tc>
          <w:tcPr>
            <w:tcW w:w="0" w:type="auto"/>
            <w:shd w:val="clear" w:color="auto" w:fill="auto"/>
          </w:tcPr>
          <w:p w14:paraId="7DCFD3ED" w14:textId="77777777" w:rsidR="00C1563E" w:rsidRDefault="00C1563E">
            <w:pPr>
              <w:rPr>
                <w:rFonts w:ascii="宋体"/>
                <w:vanish/>
              </w:rPr>
            </w:pPr>
          </w:p>
        </w:tc>
        <w:tc>
          <w:tcPr>
            <w:tcW w:w="0" w:type="auto"/>
            <w:shd w:val="clear" w:color="auto" w:fill="auto"/>
          </w:tcPr>
          <w:p w14:paraId="7DCFD3EE" w14:textId="77777777" w:rsidR="00C1563E" w:rsidRDefault="00C1563E">
            <w:pPr>
              <w:rPr>
                <w:rFonts w:ascii="宋体"/>
                <w:vanish/>
              </w:rPr>
            </w:pPr>
          </w:p>
        </w:tc>
        <w:tc>
          <w:tcPr>
            <w:tcW w:w="0" w:type="auto"/>
            <w:shd w:val="clear" w:color="auto" w:fill="auto"/>
          </w:tcPr>
          <w:p w14:paraId="7DCFD3EF" w14:textId="77777777" w:rsidR="00C1563E" w:rsidRDefault="00C1563E">
            <w:pPr>
              <w:rPr>
                <w:rFonts w:ascii="宋体"/>
                <w:vanish/>
              </w:rPr>
            </w:pPr>
          </w:p>
        </w:tc>
        <w:tc>
          <w:tcPr>
            <w:tcW w:w="0" w:type="auto"/>
            <w:shd w:val="clear" w:color="auto" w:fill="auto"/>
          </w:tcPr>
          <w:p w14:paraId="7DCFD3F0" w14:textId="77777777" w:rsidR="00C1563E" w:rsidRDefault="00C1563E">
            <w:pPr>
              <w:rPr>
                <w:rFonts w:ascii="宋体"/>
                <w:vanish/>
              </w:rPr>
            </w:pPr>
          </w:p>
        </w:tc>
        <w:tc>
          <w:tcPr>
            <w:tcW w:w="0" w:type="auto"/>
            <w:shd w:val="clear" w:color="auto" w:fill="auto"/>
          </w:tcPr>
          <w:p w14:paraId="7DCFD3F1"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3F2" w14:textId="77777777" w:rsidR="00C1563E" w:rsidRDefault="000B648B">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7DCFD3F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F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F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F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F7" w14:textId="77777777" w:rsidR="00C1563E" w:rsidRDefault="000B648B">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bottom"/>
          </w:tcPr>
          <w:p w14:paraId="7DCFD3F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3F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F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3F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3FC" w14:textId="77777777" w:rsidR="00C1563E" w:rsidRDefault="000B648B">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7DCFD3FD" w14:textId="77777777" w:rsidR="00C1563E" w:rsidRDefault="00C1563E">
            <w:pPr>
              <w:jc w:val="right"/>
              <w:rPr>
                <w:rFonts w:ascii="宋体"/>
              </w:rPr>
            </w:pPr>
          </w:p>
        </w:tc>
      </w:tr>
      <w:tr w:rsidR="00C1563E" w14:paraId="7DCFD412" w14:textId="77777777">
        <w:trPr>
          <w:jc w:val="center"/>
        </w:trPr>
        <w:tc>
          <w:tcPr>
            <w:tcW w:w="0" w:type="auto"/>
            <w:gridSpan w:val="3"/>
            <w:shd w:val="clear" w:color="auto" w:fill="CCEEFF"/>
            <w:tcMar>
              <w:top w:w="40" w:type="dxa"/>
              <w:left w:w="245" w:type="dxa"/>
              <w:bottom w:w="40" w:type="dxa"/>
              <w:right w:w="20" w:type="dxa"/>
            </w:tcMar>
            <w:vAlign w:val="bottom"/>
          </w:tcPr>
          <w:p w14:paraId="7DCFD3FF"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400" w14:textId="77777777" w:rsidR="00C1563E" w:rsidRDefault="00C1563E">
            <w:pPr>
              <w:rPr>
                <w:rFonts w:ascii="宋体"/>
                <w:vanish/>
              </w:rPr>
            </w:pPr>
          </w:p>
        </w:tc>
        <w:tc>
          <w:tcPr>
            <w:tcW w:w="0" w:type="auto"/>
            <w:shd w:val="clear" w:color="auto" w:fill="auto"/>
          </w:tcPr>
          <w:p w14:paraId="7DCFD401" w14:textId="77777777" w:rsidR="00C1563E" w:rsidRDefault="00C1563E">
            <w:pPr>
              <w:rPr>
                <w:rFonts w:ascii="宋体"/>
                <w:vanish/>
              </w:rPr>
            </w:pPr>
          </w:p>
        </w:tc>
        <w:tc>
          <w:tcPr>
            <w:tcW w:w="0" w:type="auto"/>
            <w:shd w:val="clear" w:color="auto" w:fill="auto"/>
          </w:tcPr>
          <w:p w14:paraId="7DCFD402" w14:textId="77777777" w:rsidR="00C1563E" w:rsidRDefault="00C1563E">
            <w:pPr>
              <w:rPr>
                <w:rFonts w:ascii="宋体"/>
                <w:vanish/>
              </w:rPr>
            </w:pPr>
          </w:p>
        </w:tc>
        <w:tc>
          <w:tcPr>
            <w:tcW w:w="0" w:type="auto"/>
            <w:shd w:val="clear" w:color="auto" w:fill="auto"/>
          </w:tcPr>
          <w:p w14:paraId="7DCFD403" w14:textId="77777777" w:rsidR="00C1563E" w:rsidRDefault="00C1563E">
            <w:pPr>
              <w:rPr>
                <w:rFonts w:ascii="宋体"/>
                <w:vanish/>
              </w:rPr>
            </w:pPr>
          </w:p>
        </w:tc>
        <w:tc>
          <w:tcPr>
            <w:tcW w:w="0" w:type="auto"/>
            <w:shd w:val="clear" w:color="auto" w:fill="auto"/>
          </w:tcPr>
          <w:p w14:paraId="7DCFD404" w14:textId="77777777" w:rsidR="00C1563E" w:rsidRDefault="00C1563E">
            <w:pPr>
              <w:rPr>
                <w:rFonts w:ascii="宋体"/>
                <w:vanish/>
              </w:rPr>
            </w:pPr>
          </w:p>
        </w:tc>
        <w:tc>
          <w:tcPr>
            <w:tcW w:w="0" w:type="auto"/>
            <w:shd w:val="clear" w:color="auto" w:fill="auto"/>
          </w:tcPr>
          <w:p w14:paraId="7DCFD405"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406"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7DCFD40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0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0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0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0B" w14:textId="77777777" w:rsidR="00C1563E" w:rsidRDefault="000B648B">
            <w:pPr>
              <w:jc w:val="right"/>
              <w:textAlignment w:val="bottom"/>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bottom"/>
          </w:tcPr>
          <w:p w14:paraId="7DCFD4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0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0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0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10" w14:textId="77777777" w:rsidR="00C1563E" w:rsidRDefault="000B648B">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7DCFD411" w14:textId="77777777" w:rsidR="00C1563E" w:rsidRDefault="00C1563E">
            <w:pPr>
              <w:jc w:val="right"/>
              <w:rPr>
                <w:rFonts w:ascii="宋体"/>
              </w:rPr>
            </w:pPr>
          </w:p>
        </w:tc>
      </w:tr>
      <w:tr w:rsidR="00C1563E" w14:paraId="7DCFD42B" w14:textId="77777777">
        <w:trPr>
          <w:jc w:val="center"/>
        </w:trPr>
        <w:tc>
          <w:tcPr>
            <w:tcW w:w="0" w:type="auto"/>
            <w:gridSpan w:val="3"/>
            <w:shd w:val="clear" w:color="auto" w:fill="FFFFFF"/>
            <w:tcMar>
              <w:top w:w="40" w:type="dxa"/>
              <w:left w:w="515" w:type="dxa"/>
              <w:bottom w:w="40" w:type="dxa"/>
              <w:right w:w="20" w:type="dxa"/>
            </w:tcMar>
            <w:vAlign w:val="bottom"/>
          </w:tcPr>
          <w:p w14:paraId="7DCFD413" w14:textId="77777777" w:rsidR="00C1563E" w:rsidRDefault="000B648B">
            <w:pPr>
              <w:textAlignment w:val="bottom"/>
            </w:pPr>
            <w:r>
              <w:rPr>
                <w:rFonts w:ascii="Times New Roman" w:eastAsia="宋体" w:hAnsi="Times New Roman"/>
                <w:color w:val="000000"/>
                <w:sz w:val="20"/>
                <w:szCs w:val="20"/>
              </w:rPr>
              <w:t>Non-GAAP services gross margin</w:t>
            </w:r>
          </w:p>
        </w:tc>
        <w:tc>
          <w:tcPr>
            <w:tcW w:w="0" w:type="auto"/>
            <w:shd w:val="clear" w:color="auto" w:fill="auto"/>
          </w:tcPr>
          <w:p w14:paraId="7DCFD414" w14:textId="77777777" w:rsidR="00C1563E" w:rsidRDefault="00C1563E">
            <w:pPr>
              <w:rPr>
                <w:rFonts w:ascii="宋体"/>
                <w:vanish/>
              </w:rPr>
            </w:pPr>
          </w:p>
        </w:tc>
        <w:tc>
          <w:tcPr>
            <w:tcW w:w="0" w:type="auto"/>
            <w:shd w:val="clear" w:color="auto" w:fill="auto"/>
          </w:tcPr>
          <w:p w14:paraId="7DCFD415" w14:textId="77777777" w:rsidR="00C1563E" w:rsidRDefault="00C1563E">
            <w:pPr>
              <w:rPr>
                <w:rFonts w:ascii="宋体"/>
                <w:vanish/>
              </w:rPr>
            </w:pPr>
          </w:p>
        </w:tc>
        <w:tc>
          <w:tcPr>
            <w:tcW w:w="0" w:type="auto"/>
            <w:shd w:val="clear" w:color="auto" w:fill="auto"/>
          </w:tcPr>
          <w:p w14:paraId="7DCFD416" w14:textId="77777777" w:rsidR="00C1563E" w:rsidRDefault="00C1563E">
            <w:pPr>
              <w:rPr>
                <w:rFonts w:ascii="宋体"/>
                <w:vanish/>
              </w:rPr>
            </w:pPr>
          </w:p>
        </w:tc>
        <w:tc>
          <w:tcPr>
            <w:tcW w:w="0" w:type="auto"/>
            <w:shd w:val="clear" w:color="auto" w:fill="auto"/>
          </w:tcPr>
          <w:p w14:paraId="7DCFD417" w14:textId="77777777" w:rsidR="00C1563E" w:rsidRDefault="00C1563E">
            <w:pPr>
              <w:rPr>
                <w:rFonts w:ascii="宋体"/>
                <w:vanish/>
              </w:rPr>
            </w:pPr>
          </w:p>
        </w:tc>
        <w:tc>
          <w:tcPr>
            <w:tcW w:w="0" w:type="auto"/>
            <w:shd w:val="clear" w:color="auto" w:fill="auto"/>
          </w:tcPr>
          <w:p w14:paraId="7DCFD418" w14:textId="77777777" w:rsidR="00C1563E" w:rsidRDefault="00C1563E">
            <w:pPr>
              <w:rPr>
                <w:rFonts w:ascii="宋体"/>
                <w:vanish/>
              </w:rPr>
            </w:pPr>
          </w:p>
        </w:tc>
        <w:tc>
          <w:tcPr>
            <w:tcW w:w="0" w:type="auto"/>
            <w:shd w:val="clear" w:color="auto" w:fill="auto"/>
          </w:tcPr>
          <w:p w14:paraId="7DCFD419"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41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41B" w14:textId="77777777" w:rsidR="00C1563E" w:rsidRDefault="000B648B">
            <w:pPr>
              <w:jc w:val="right"/>
              <w:textAlignment w:val="bottom"/>
            </w:pPr>
            <w:r>
              <w:rPr>
                <w:rFonts w:ascii="Times New Roman" w:eastAsia="宋体" w:hAnsi="Times New Roman"/>
                <w:color w:val="000000"/>
                <w:sz w:val="20"/>
                <w:szCs w:val="20"/>
              </w:rPr>
              <w:t>15,224 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41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1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1E"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DCFD41F"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42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42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422" w14:textId="77777777" w:rsidR="00C1563E" w:rsidRDefault="000B648B">
            <w:pPr>
              <w:jc w:val="right"/>
              <w:textAlignment w:val="bottom"/>
            </w:pPr>
            <w:r>
              <w:rPr>
                <w:rFonts w:ascii="Times New Roman" w:eastAsia="宋体" w:hAnsi="Times New Roman"/>
                <w:color w:val="000000"/>
                <w:sz w:val="20"/>
                <w:szCs w:val="20"/>
              </w:rPr>
              <w:t>14,040 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42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2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25"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DCFD426"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427"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42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429" w14:textId="77777777" w:rsidR="00C1563E" w:rsidRDefault="000B648B">
            <w:pPr>
              <w:jc w:val="right"/>
              <w:textAlignment w:val="bottom"/>
            </w:pPr>
            <w:r>
              <w:rPr>
                <w:rFonts w:ascii="Times New Roman" w:eastAsia="宋体" w:hAnsi="Times New Roman"/>
                <w:color w:val="000000"/>
                <w:sz w:val="20"/>
                <w:szCs w:val="20"/>
              </w:rPr>
              <w:t>13,001 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42A" w14:textId="77777777" w:rsidR="00C1563E" w:rsidRDefault="00C1563E">
            <w:pPr>
              <w:jc w:val="right"/>
              <w:rPr>
                <w:rFonts w:ascii="宋体"/>
              </w:rPr>
            </w:pPr>
          </w:p>
        </w:tc>
      </w:tr>
    </w:tbl>
    <w:p w14:paraId="7DCFD42C" w14:textId="77777777" w:rsidR="00C1563E" w:rsidRDefault="00C1563E">
      <w:pPr>
        <w:jc w:val="center"/>
      </w:pPr>
    </w:p>
    <w:p w14:paraId="7DCFD42D" w14:textId="77777777" w:rsidR="00C1563E" w:rsidRDefault="000B648B">
      <w:pPr>
        <w:jc w:val="center"/>
      </w:pPr>
      <w:r>
        <w:rPr>
          <w:rFonts w:ascii="Times New Roman" w:eastAsia="宋体" w:hAnsi="Times New Roman"/>
          <w:color w:val="000000"/>
          <w:sz w:val="20"/>
          <w:szCs w:val="20"/>
        </w:rPr>
        <w:t>45</w:t>
      </w:r>
    </w:p>
    <w:p w14:paraId="7DCFD42E" w14:textId="77777777" w:rsidR="00C1563E" w:rsidRDefault="00C1563E">
      <w:pPr>
        <w:jc w:val="center"/>
      </w:pPr>
    </w:p>
    <w:p w14:paraId="7DCFD42F" w14:textId="77777777" w:rsidR="00C1563E" w:rsidRDefault="000B648B">
      <w:r>
        <w:pict w14:anchorId="7DD02597">
          <v:rect id="_x0000_i1069" style="width:415.3pt;height:1.5pt" o:hralign="center" o:hrstd="t" o:hr="t" fillcolor="#a0a0a0" stroked="f"/>
        </w:pict>
      </w:r>
    </w:p>
    <w:p w14:paraId="7DCFD430" w14:textId="77777777" w:rsidR="00C1563E" w:rsidRDefault="000B648B">
      <w:hyperlink r:id="rId121"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786"/>
        <w:gridCol w:w="38"/>
        <w:gridCol w:w="36"/>
        <w:gridCol w:w="36"/>
        <w:gridCol w:w="36"/>
        <w:gridCol w:w="36"/>
        <w:gridCol w:w="36"/>
        <w:gridCol w:w="36"/>
        <w:gridCol w:w="120"/>
        <w:gridCol w:w="921"/>
        <w:gridCol w:w="36"/>
        <w:gridCol w:w="36"/>
        <w:gridCol w:w="36"/>
        <w:gridCol w:w="36"/>
        <w:gridCol w:w="72"/>
        <w:gridCol w:w="617"/>
        <w:gridCol w:w="187"/>
        <w:gridCol w:w="36"/>
        <w:gridCol w:w="36"/>
        <w:gridCol w:w="36"/>
        <w:gridCol w:w="120"/>
        <w:gridCol w:w="836"/>
        <w:gridCol w:w="36"/>
        <w:gridCol w:w="36"/>
        <w:gridCol w:w="36"/>
        <w:gridCol w:w="36"/>
        <w:gridCol w:w="72"/>
        <w:gridCol w:w="617"/>
        <w:gridCol w:w="187"/>
        <w:gridCol w:w="36"/>
        <w:gridCol w:w="36"/>
        <w:gridCol w:w="36"/>
        <w:gridCol w:w="121"/>
        <w:gridCol w:w="837"/>
        <w:gridCol w:w="36"/>
      </w:tblGrid>
      <w:tr w:rsidR="00C1563E" w14:paraId="7DCFD455" w14:textId="77777777">
        <w:trPr>
          <w:jc w:val="center"/>
        </w:trPr>
        <w:tc>
          <w:tcPr>
            <w:tcW w:w="50" w:type="pct"/>
            <w:shd w:val="clear" w:color="auto" w:fill="auto"/>
          </w:tcPr>
          <w:p w14:paraId="7DCFD431" w14:textId="77777777" w:rsidR="00C1563E" w:rsidRDefault="00C1563E">
            <w:pPr>
              <w:rPr>
                <w:rFonts w:ascii="宋体"/>
              </w:rPr>
            </w:pPr>
          </w:p>
        </w:tc>
        <w:tc>
          <w:tcPr>
            <w:tcW w:w="1809" w:type="pct"/>
            <w:shd w:val="clear" w:color="auto" w:fill="auto"/>
          </w:tcPr>
          <w:p w14:paraId="7DCFD432" w14:textId="77777777" w:rsidR="00C1563E" w:rsidRDefault="00C1563E">
            <w:pPr>
              <w:rPr>
                <w:rFonts w:ascii="宋体"/>
              </w:rPr>
            </w:pPr>
          </w:p>
        </w:tc>
        <w:tc>
          <w:tcPr>
            <w:tcW w:w="5" w:type="pct"/>
            <w:shd w:val="clear" w:color="auto" w:fill="auto"/>
          </w:tcPr>
          <w:p w14:paraId="7DCFD433" w14:textId="77777777" w:rsidR="00C1563E" w:rsidRDefault="00C1563E">
            <w:pPr>
              <w:rPr>
                <w:rFonts w:ascii="宋体"/>
              </w:rPr>
            </w:pPr>
          </w:p>
        </w:tc>
        <w:tc>
          <w:tcPr>
            <w:tcW w:w="0" w:type="auto"/>
            <w:shd w:val="clear" w:color="auto" w:fill="auto"/>
          </w:tcPr>
          <w:p w14:paraId="7DCFD434" w14:textId="77777777" w:rsidR="00C1563E" w:rsidRDefault="00C1563E">
            <w:pPr>
              <w:rPr>
                <w:rFonts w:ascii="宋体"/>
                <w:vanish/>
              </w:rPr>
            </w:pPr>
          </w:p>
        </w:tc>
        <w:tc>
          <w:tcPr>
            <w:tcW w:w="0" w:type="auto"/>
            <w:shd w:val="clear" w:color="auto" w:fill="auto"/>
          </w:tcPr>
          <w:p w14:paraId="7DCFD435" w14:textId="77777777" w:rsidR="00C1563E" w:rsidRDefault="00C1563E">
            <w:pPr>
              <w:rPr>
                <w:rFonts w:ascii="宋体"/>
                <w:vanish/>
              </w:rPr>
            </w:pPr>
          </w:p>
        </w:tc>
        <w:tc>
          <w:tcPr>
            <w:tcW w:w="0" w:type="auto"/>
            <w:shd w:val="clear" w:color="auto" w:fill="auto"/>
          </w:tcPr>
          <w:p w14:paraId="7DCFD436" w14:textId="77777777" w:rsidR="00C1563E" w:rsidRDefault="00C1563E">
            <w:pPr>
              <w:rPr>
                <w:rFonts w:ascii="宋体"/>
                <w:vanish/>
              </w:rPr>
            </w:pPr>
          </w:p>
        </w:tc>
        <w:tc>
          <w:tcPr>
            <w:tcW w:w="0" w:type="auto"/>
            <w:shd w:val="clear" w:color="auto" w:fill="auto"/>
          </w:tcPr>
          <w:p w14:paraId="7DCFD437" w14:textId="77777777" w:rsidR="00C1563E" w:rsidRDefault="00C1563E">
            <w:pPr>
              <w:rPr>
                <w:rFonts w:ascii="宋体"/>
                <w:vanish/>
              </w:rPr>
            </w:pPr>
          </w:p>
        </w:tc>
        <w:tc>
          <w:tcPr>
            <w:tcW w:w="0" w:type="auto"/>
            <w:shd w:val="clear" w:color="auto" w:fill="auto"/>
          </w:tcPr>
          <w:p w14:paraId="7DCFD438" w14:textId="77777777" w:rsidR="00C1563E" w:rsidRDefault="00C1563E">
            <w:pPr>
              <w:rPr>
                <w:rFonts w:ascii="宋体"/>
                <w:vanish/>
              </w:rPr>
            </w:pPr>
          </w:p>
        </w:tc>
        <w:tc>
          <w:tcPr>
            <w:tcW w:w="0" w:type="auto"/>
            <w:shd w:val="clear" w:color="auto" w:fill="auto"/>
          </w:tcPr>
          <w:p w14:paraId="7DCFD439" w14:textId="77777777" w:rsidR="00C1563E" w:rsidRDefault="00C1563E">
            <w:pPr>
              <w:rPr>
                <w:rFonts w:ascii="宋体"/>
                <w:vanish/>
              </w:rPr>
            </w:pPr>
          </w:p>
        </w:tc>
        <w:tc>
          <w:tcPr>
            <w:tcW w:w="50" w:type="pct"/>
            <w:shd w:val="clear" w:color="auto" w:fill="auto"/>
          </w:tcPr>
          <w:p w14:paraId="7DCFD43A" w14:textId="77777777" w:rsidR="00C1563E" w:rsidRDefault="00C1563E">
            <w:pPr>
              <w:rPr>
                <w:rFonts w:ascii="宋体"/>
              </w:rPr>
            </w:pPr>
          </w:p>
        </w:tc>
        <w:tc>
          <w:tcPr>
            <w:tcW w:w="624" w:type="pct"/>
            <w:shd w:val="clear" w:color="auto" w:fill="auto"/>
          </w:tcPr>
          <w:p w14:paraId="7DCFD43B" w14:textId="77777777" w:rsidR="00C1563E" w:rsidRDefault="00C1563E">
            <w:pPr>
              <w:rPr>
                <w:rFonts w:ascii="宋体"/>
              </w:rPr>
            </w:pPr>
          </w:p>
        </w:tc>
        <w:tc>
          <w:tcPr>
            <w:tcW w:w="5" w:type="pct"/>
            <w:shd w:val="clear" w:color="auto" w:fill="auto"/>
          </w:tcPr>
          <w:p w14:paraId="7DCFD43C" w14:textId="77777777" w:rsidR="00C1563E" w:rsidRDefault="00C1563E">
            <w:pPr>
              <w:rPr>
                <w:rFonts w:ascii="宋体"/>
              </w:rPr>
            </w:pPr>
          </w:p>
        </w:tc>
        <w:tc>
          <w:tcPr>
            <w:tcW w:w="5" w:type="pct"/>
            <w:shd w:val="clear" w:color="auto" w:fill="auto"/>
          </w:tcPr>
          <w:p w14:paraId="7DCFD43D" w14:textId="77777777" w:rsidR="00C1563E" w:rsidRDefault="00C1563E">
            <w:pPr>
              <w:rPr>
                <w:rFonts w:ascii="宋体"/>
              </w:rPr>
            </w:pPr>
          </w:p>
        </w:tc>
        <w:tc>
          <w:tcPr>
            <w:tcW w:w="19" w:type="pct"/>
            <w:shd w:val="clear" w:color="auto" w:fill="auto"/>
          </w:tcPr>
          <w:p w14:paraId="7DCFD43E" w14:textId="77777777" w:rsidR="00C1563E" w:rsidRDefault="00C1563E">
            <w:pPr>
              <w:rPr>
                <w:rFonts w:ascii="宋体"/>
              </w:rPr>
            </w:pPr>
          </w:p>
        </w:tc>
        <w:tc>
          <w:tcPr>
            <w:tcW w:w="5" w:type="pct"/>
            <w:shd w:val="clear" w:color="auto" w:fill="auto"/>
          </w:tcPr>
          <w:p w14:paraId="7DCFD43F" w14:textId="77777777" w:rsidR="00C1563E" w:rsidRDefault="00C1563E">
            <w:pPr>
              <w:rPr>
                <w:rFonts w:ascii="宋体"/>
              </w:rPr>
            </w:pPr>
          </w:p>
        </w:tc>
        <w:tc>
          <w:tcPr>
            <w:tcW w:w="50" w:type="pct"/>
            <w:shd w:val="clear" w:color="auto" w:fill="auto"/>
          </w:tcPr>
          <w:p w14:paraId="7DCFD440" w14:textId="77777777" w:rsidR="00C1563E" w:rsidRDefault="00C1563E">
            <w:pPr>
              <w:rPr>
                <w:rFonts w:ascii="宋体"/>
              </w:rPr>
            </w:pPr>
          </w:p>
        </w:tc>
        <w:tc>
          <w:tcPr>
            <w:tcW w:w="434" w:type="pct"/>
            <w:shd w:val="clear" w:color="auto" w:fill="auto"/>
          </w:tcPr>
          <w:p w14:paraId="7DCFD441" w14:textId="77777777" w:rsidR="00C1563E" w:rsidRDefault="00C1563E">
            <w:pPr>
              <w:rPr>
                <w:rFonts w:ascii="宋体"/>
              </w:rPr>
            </w:pPr>
          </w:p>
        </w:tc>
        <w:tc>
          <w:tcPr>
            <w:tcW w:w="5" w:type="pct"/>
            <w:shd w:val="clear" w:color="auto" w:fill="auto"/>
          </w:tcPr>
          <w:p w14:paraId="7DCFD442" w14:textId="77777777" w:rsidR="00C1563E" w:rsidRDefault="00C1563E">
            <w:pPr>
              <w:rPr>
                <w:rFonts w:ascii="宋体"/>
              </w:rPr>
            </w:pPr>
          </w:p>
        </w:tc>
        <w:tc>
          <w:tcPr>
            <w:tcW w:w="5" w:type="pct"/>
            <w:shd w:val="clear" w:color="auto" w:fill="auto"/>
          </w:tcPr>
          <w:p w14:paraId="7DCFD443" w14:textId="77777777" w:rsidR="00C1563E" w:rsidRDefault="00C1563E">
            <w:pPr>
              <w:rPr>
                <w:rFonts w:ascii="宋体"/>
              </w:rPr>
            </w:pPr>
          </w:p>
        </w:tc>
        <w:tc>
          <w:tcPr>
            <w:tcW w:w="19" w:type="pct"/>
            <w:shd w:val="clear" w:color="auto" w:fill="auto"/>
          </w:tcPr>
          <w:p w14:paraId="7DCFD444" w14:textId="77777777" w:rsidR="00C1563E" w:rsidRDefault="00C1563E">
            <w:pPr>
              <w:rPr>
                <w:rFonts w:ascii="宋体"/>
              </w:rPr>
            </w:pPr>
          </w:p>
        </w:tc>
        <w:tc>
          <w:tcPr>
            <w:tcW w:w="5" w:type="pct"/>
            <w:shd w:val="clear" w:color="auto" w:fill="auto"/>
          </w:tcPr>
          <w:p w14:paraId="7DCFD445" w14:textId="77777777" w:rsidR="00C1563E" w:rsidRDefault="00C1563E">
            <w:pPr>
              <w:rPr>
                <w:rFonts w:ascii="宋体"/>
              </w:rPr>
            </w:pPr>
          </w:p>
        </w:tc>
        <w:tc>
          <w:tcPr>
            <w:tcW w:w="50" w:type="pct"/>
            <w:shd w:val="clear" w:color="auto" w:fill="auto"/>
          </w:tcPr>
          <w:p w14:paraId="7DCFD446" w14:textId="77777777" w:rsidR="00C1563E" w:rsidRDefault="00C1563E">
            <w:pPr>
              <w:rPr>
                <w:rFonts w:ascii="宋体"/>
              </w:rPr>
            </w:pPr>
          </w:p>
        </w:tc>
        <w:tc>
          <w:tcPr>
            <w:tcW w:w="624" w:type="pct"/>
            <w:shd w:val="clear" w:color="auto" w:fill="auto"/>
          </w:tcPr>
          <w:p w14:paraId="7DCFD447" w14:textId="77777777" w:rsidR="00C1563E" w:rsidRDefault="00C1563E">
            <w:pPr>
              <w:rPr>
                <w:rFonts w:ascii="宋体"/>
              </w:rPr>
            </w:pPr>
          </w:p>
        </w:tc>
        <w:tc>
          <w:tcPr>
            <w:tcW w:w="5" w:type="pct"/>
            <w:shd w:val="clear" w:color="auto" w:fill="auto"/>
          </w:tcPr>
          <w:p w14:paraId="7DCFD448" w14:textId="77777777" w:rsidR="00C1563E" w:rsidRDefault="00C1563E">
            <w:pPr>
              <w:rPr>
                <w:rFonts w:ascii="宋体"/>
              </w:rPr>
            </w:pPr>
          </w:p>
        </w:tc>
        <w:tc>
          <w:tcPr>
            <w:tcW w:w="5" w:type="pct"/>
            <w:shd w:val="clear" w:color="auto" w:fill="auto"/>
          </w:tcPr>
          <w:p w14:paraId="7DCFD449" w14:textId="77777777" w:rsidR="00C1563E" w:rsidRDefault="00C1563E">
            <w:pPr>
              <w:rPr>
                <w:rFonts w:ascii="宋体"/>
              </w:rPr>
            </w:pPr>
          </w:p>
        </w:tc>
        <w:tc>
          <w:tcPr>
            <w:tcW w:w="19" w:type="pct"/>
            <w:shd w:val="clear" w:color="auto" w:fill="auto"/>
          </w:tcPr>
          <w:p w14:paraId="7DCFD44A" w14:textId="77777777" w:rsidR="00C1563E" w:rsidRDefault="00C1563E">
            <w:pPr>
              <w:rPr>
                <w:rFonts w:ascii="宋体"/>
              </w:rPr>
            </w:pPr>
          </w:p>
        </w:tc>
        <w:tc>
          <w:tcPr>
            <w:tcW w:w="5" w:type="pct"/>
            <w:shd w:val="clear" w:color="auto" w:fill="auto"/>
          </w:tcPr>
          <w:p w14:paraId="7DCFD44B" w14:textId="77777777" w:rsidR="00C1563E" w:rsidRDefault="00C1563E">
            <w:pPr>
              <w:rPr>
                <w:rFonts w:ascii="宋体"/>
              </w:rPr>
            </w:pPr>
          </w:p>
        </w:tc>
        <w:tc>
          <w:tcPr>
            <w:tcW w:w="50" w:type="pct"/>
            <w:shd w:val="clear" w:color="auto" w:fill="auto"/>
          </w:tcPr>
          <w:p w14:paraId="7DCFD44C" w14:textId="77777777" w:rsidR="00C1563E" w:rsidRDefault="00C1563E">
            <w:pPr>
              <w:rPr>
                <w:rFonts w:ascii="宋体"/>
              </w:rPr>
            </w:pPr>
          </w:p>
        </w:tc>
        <w:tc>
          <w:tcPr>
            <w:tcW w:w="434" w:type="pct"/>
            <w:shd w:val="clear" w:color="auto" w:fill="auto"/>
          </w:tcPr>
          <w:p w14:paraId="7DCFD44D" w14:textId="77777777" w:rsidR="00C1563E" w:rsidRDefault="00C1563E">
            <w:pPr>
              <w:rPr>
                <w:rFonts w:ascii="宋体"/>
              </w:rPr>
            </w:pPr>
          </w:p>
        </w:tc>
        <w:tc>
          <w:tcPr>
            <w:tcW w:w="5" w:type="pct"/>
            <w:shd w:val="clear" w:color="auto" w:fill="auto"/>
          </w:tcPr>
          <w:p w14:paraId="7DCFD44E" w14:textId="77777777" w:rsidR="00C1563E" w:rsidRDefault="00C1563E">
            <w:pPr>
              <w:rPr>
                <w:rFonts w:ascii="宋体"/>
              </w:rPr>
            </w:pPr>
          </w:p>
        </w:tc>
        <w:tc>
          <w:tcPr>
            <w:tcW w:w="5" w:type="pct"/>
            <w:shd w:val="clear" w:color="auto" w:fill="auto"/>
          </w:tcPr>
          <w:p w14:paraId="7DCFD44F" w14:textId="77777777" w:rsidR="00C1563E" w:rsidRDefault="00C1563E">
            <w:pPr>
              <w:rPr>
                <w:rFonts w:ascii="宋体"/>
              </w:rPr>
            </w:pPr>
          </w:p>
        </w:tc>
        <w:tc>
          <w:tcPr>
            <w:tcW w:w="19" w:type="pct"/>
            <w:shd w:val="clear" w:color="auto" w:fill="auto"/>
          </w:tcPr>
          <w:p w14:paraId="7DCFD450" w14:textId="77777777" w:rsidR="00C1563E" w:rsidRDefault="00C1563E">
            <w:pPr>
              <w:rPr>
                <w:rFonts w:ascii="宋体"/>
              </w:rPr>
            </w:pPr>
          </w:p>
        </w:tc>
        <w:tc>
          <w:tcPr>
            <w:tcW w:w="5" w:type="pct"/>
            <w:shd w:val="clear" w:color="auto" w:fill="auto"/>
          </w:tcPr>
          <w:p w14:paraId="7DCFD451" w14:textId="77777777" w:rsidR="00C1563E" w:rsidRDefault="00C1563E">
            <w:pPr>
              <w:rPr>
                <w:rFonts w:ascii="宋体"/>
              </w:rPr>
            </w:pPr>
          </w:p>
        </w:tc>
        <w:tc>
          <w:tcPr>
            <w:tcW w:w="50" w:type="pct"/>
            <w:shd w:val="clear" w:color="auto" w:fill="auto"/>
          </w:tcPr>
          <w:p w14:paraId="7DCFD452" w14:textId="77777777" w:rsidR="00C1563E" w:rsidRDefault="00C1563E">
            <w:pPr>
              <w:rPr>
                <w:rFonts w:ascii="宋体"/>
              </w:rPr>
            </w:pPr>
          </w:p>
        </w:tc>
        <w:tc>
          <w:tcPr>
            <w:tcW w:w="625" w:type="pct"/>
            <w:shd w:val="clear" w:color="auto" w:fill="auto"/>
          </w:tcPr>
          <w:p w14:paraId="7DCFD453" w14:textId="77777777" w:rsidR="00C1563E" w:rsidRDefault="00C1563E">
            <w:pPr>
              <w:rPr>
                <w:rFonts w:ascii="宋体"/>
              </w:rPr>
            </w:pPr>
          </w:p>
        </w:tc>
        <w:tc>
          <w:tcPr>
            <w:tcW w:w="5" w:type="pct"/>
            <w:shd w:val="clear" w:color="auto" w:fill="auto"/>
          </w:tcPr>
          <w:p w14:paraId="7DCFD454" w14:textId="77777777" w:rsidR="00C1563E" w:rsidRDefault="00C1563E">
            <w:pPr>
              <w:rPr>
                <w:rFonts w:ascii="宋体"/>
              </w:rPr>
            </w:pPr>
          </w:p>
        </w:tc>
      </w:tr>
      <w:tr w:rsidR="00C1563E" w14:paraId="7DCFD466" w14:textId="77777777">
        <w:trPr>
          <w:jc w:val="center"/>
        </w:trPr>
        <w:tc>
          <w:tcPr>
            <w:tcW w:w="0" w:type="auto"/>
            <w:gridSpan w:val="3"/>
            <w:shd w:val="clear" w:color="auto" w:fill="auto"/>
            <w:tcMar>
              <w:top w:w="0" w:type="dxa"/>
              <w:left w:w="20" w:type="dxa"/>
              <w:bottom w:w="0" w:type="dxa"/>
              <w:right w:w="20" w:type="dxa"/>
            </w:tcMar>
          </w:tcPr>
          <w:p w14:paraId="7DCFD456" w14:textId="77777777" w:rsidR="00C1563E" w:rsidRDefault="00C1563E">
            <w:pPr>
              <w:rPr>
                <w:rFonts w:ascii="宋体"/>
              </w:rPr>
            </w:pPr>
          </w:p>
        </w:tc>
        <w:tc>
          <w:tcPr>
            <w:tcW w:w="0" w:type="auto"/>
            <w:shd w:val="clear" w:color="auto" w:fill="auto"/>
          </w:tcPr>
          <w:p w14:paraId="7DCFD457" w14:textId="77777777" w:rsidR="00C1563E" w:rsidRDefault="00C1563E">
            <w:pPr>
              <w:rPr>
                <w:rFonts w:ascii="宋体"/>
                <w:vanish/>
              </w:rPr>
            </w:pPr>
          </w:p>
        </w:tc>
        <w:tc>
          <w:tcPr>
            <w:tcW w:w="0" w:type="auto"/>
            <w:shd w:val="clear" w:color="auto" w:fill="auto"/>
          </w:tcPr>
          <w:p w14:paraId="7DCFD458"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D459"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D45A" w14:textId="77777777" w:rsidR="00C1563E" w:rsidRDefault="00C1563E">
            <w:pPr>
              <w:rPr>
                <w:rFonts w:ascii="宋体"/>
              </w:rPr>
            </w:pPr>
          </w:p>
        </w:tc>
        <w:tc>
          <w:tcPr>
            <w:tcW w:w="0" w:type="auto"/>
            <w:shd w:val="clear" w:color="auto" w:fill="auto"/>
          </w:tcPr>
          <w:p w14:paraId="7DCFD45B" w14:textId="77777777" w:rsidR="00C1563E" w:rsidRDefault="00C1563E">
            <w:pPr>
              <w:rPr>
                <w:rFonts w:ascii="宋体"/>
              </w:rPr>
            </w:pPr>
          </w:p>
        </w:tc>
        <w:tc>
          <w:tcPr>
            <w:tcW w:w="0" w:type="auto"/>
            <w:shd w:val="clear" w:color="auto" w:fill="auto"/>
          </w:tcPr>
          <w:p w14:paraId="7DCFD45C" w14:textId="77777777" w:rsidR="00C1563E" w:rsidRDefault="00C1563E">
            <w:pPr>
              <w:rPr>
                <w:rFonts w:ascii="宋体"/>
              </w:rPr>
            </w:pPr>
          </w:p>
        </w:tc>
        <w:tc>
          <w:tcPr>
            <w:tcW w:w="0" w:type="auto"/>
            <w:shd w:val="clear" w:color="auto" w:fill="auto"/>
          </w:tcPr>
          <w:p w14:paraId="7DCFD45D" w14:textId="77777777" w:rsidR="00C1563E" w:rsidRDefault="00C1563E">
            <w:pPr>
              <w:rPr>
                <w:rFonts w:ascii="宋体"/>
              </w:rPr>
            </w:pPr>
          </w:p>
        </w:tc>
        <w:tc>
          <w:tcPr>
            <w:tcW w:w="0" w:type="auto"/>
            <w:shd w:val="clear" w:color="auto" w:fill="auto"/>
          </w:tcPr>
          <w:p w14:paraId="7DCFD45E" w14:textId="77777777" w:rsidR="00C1563E" w:rsidRDefault="00C1563E">
            <w:pPr>
              <w:rPr>
                <w:rFonts w:ascii="宋体"/>
              </w:rPr>
            </w:pPr>
          </w:p>
        </w:tc>
        <w:tc>
          <w:tcPr>
            <w:tcW w:w="0" w:type="auto"/>
            <w:shd w:val="clear" w:color="auto" w:fill="auto"/>
          </w:tcPr>
          <w:p w14:paraId="7DCFD45F" w14:textId="77777777" w:rsidR="00C1563E" w:rsidRDefault="00C1563E">
            <w:pPr>
              <w:rPr>
                <w:rFonts w:ascii="宋体"/>
              </w:rPr>
            </w:pPr>
          </w:p>
        </w:tc>
        <w:tc>
          <w:tcPr>
            <w:tcW w:w="0" w:type="auto"/>
            <w:shd w:val="clear" w:color="auto" w:fill="auto"/>
          </w:tcPr>
          <w:p w14:paraId="7DCFD460" w14:textId="77777777" w:rsidR="00C1563E" w:rsidRDefault="00C1563E">
            <w:pPr>
              <w:rPr>
                <w:rFonts w:ascii="宋体"/>
              </w:rPr>
            </w:pPr>
          </w:p>
        </w:tc>
        <w:tc>
          <w:tcPr>
            <w:tcW w:w="0" w:type="auto"/>
            <w:shd w:val="clear" w:color="auto" w:fill="auto"/>
          </w:tcPr>
          <w:p w14:paraId="7DCFD461" w14:textId="77777777" w:rsidR="00C1563E" w:rsidRDefault="00C1563E">
            <w:pPr>
              <w:rPr>
                <w:rFonts w:ascii="宋体"/>
              </w:rPr>
            </w:pPr>
          </w:p>
        </w:tc>
        <w:tc>
          <w:tcPr>
            <w:tcW w:w="0" w:type="auto"/>
            <w:shd w:val="clear" w:color="auto" w:fill="auto"/>
          </w:tcPr>
          <w:p w14:paraId="7DCFD462" w14:textId="77777777" w:rsidR="00C1563E" w:rsidRDefault="00C1563E">
            <w:pPr>
              <w:rPr>
                <w:rFonts w:ascii="宋体"/>
              </w:rPr>
            </w:pPr>
          </w:p>
        </w:tc>
        <w:tc>
          <w:tcPr>
            <w:tcW w:w="0" w:type="auto"/>
            <w:shd w:val="clear" w:color="auto" w:fill="auto"/>
          </w:tcPr>
          <w:p w14:paraId="7DCFD463" w14:textId="77777777" w:rsidR="00C1563E" w:rsidRDefault="00C1563E">
            <w:pPr>
              <w:rPr>
                <w:rFonts w:ascii="宋体"/>
              </w:rPr>
            </w:pPr>
          </w:p>
        </w:tc>
        <w:tc>
          <w:tcPr>
            <w:tcW w:w="0" w:type="auto"/>
            <w:shd w:val="clear" w:color="auto" w:fill="auto"/>
          </w:tcPr>
          <w:p w14:paraId="7DCFD464" w14:textId="77777777" w:rsidR="00C1563E" w:rsidRDefault="00C1563E">
            <w:pPr>
              <w:rPr>
                <w:rFonts w:ascii="宋体"/>
              </w:rPr>
            </w:pPr>
          </w:p>
        </w:tc>
        <w:tc>
          <w:tcPr>
            <w:tcW w:w="0" w:type="auto"/>
            <w:shd w:val="clear" w:color="auto" w:fill="auto"/>
          </w:tcPr>
          <w:p w14:paraId="7DCFD465" w14:textId="77777777" w:rsidR="00C1563E" w:rsidRDefault="00C1563E">
            <w:pPr>
              <w:rPr>
                <w:rFonts w:ascii="宋体"/>
              </w:rPr>
            </w:pPr>
          </w:p>
        </w:tc>
      </w:tr>
      <w:tr w:rsidR="00C1563E" w14:paraId="7DCFD477" w14:textId="77777777">
        <w:trPr>
          <w:jc w:val="center"/>
        </w:trPr>
        <w:tc>
          <w:tcPr>
            <w:tcW w:w="0" w:type="auto"/>
            <w:gridSpan w:val="3"/>
            <w:shd w:val="clear" w:color="auto" w:fill="auto"/>
            <w:tcMar>
              <w:top w:w="40" w:type="dxa"/>
              <w:left w:w="20" w:type="dxa"/>
              <w:bottom w:w="40" w:type="dxa"/>
              <w:right w:w="20" w:type="dxa"/>
            </w:tcMar>
            <w:vAlign w:val="bottom"/>
          </w:tcPr>
          <w:p w14:paraId="7DCFD467"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CFD468" w14:textId="77777777" w:rsidR="00C1563E" w:rsidRDefault="00C1563E">
            <w:pPr>
              <w:rPr>
                <w:rFonts w:ascii="宋体"/>
                <w:vanish/>
              </w:rPr>
            </w:pPr>
          </w:p>
        </w:tc>
        <w:tc>
          <w:tcPr>
            <w:tcW w:w="0" w:type="auto"/>
            <w:shd w:val="clear" w:color="auto" w:fill="auto"/>
          </w:tcPr>
          <w:p w14:paraId="7DCFD469" w14:textId="77777777" w:rsidR="00C1563E" w:rsidRDefault="00C1563E">
            <w:pPr>
              <w:rPr>
                <w:rFonts w:ascii="宋体"/>
                <w:vanish/>
              </w:rPr>
            </w:pPr>
          </w:p>
        </w:tc>
        <w:tc>
          <w:tcPr>
            <w:tcW w:w="0" w:type="auto"/>
            <w:shd w:val="clear" w:color="auto" w:fill="auto"/>
          </w:tcPr>
          <w:p w14:paraId="7DCFD46A" w14:textId="77777777" w:rsidR="00C1563E" w:rsidRDefault="00C1563E">
            <w:pPr>
              <w:rPr>
                <w:rFonts w:ascii="宋体"/>
                <w:vanish/>
              </w:rPr>
            </w:pPr>
          </w:p>
        </w:tc>
        <w:tc>
          <w:tcPr>
            <w:tcW w:w="0" w:type="auto"/>
            <w:shd w:val="clear" w:color="auto" w:fill="auto"/>
          </w:tcPr>
          <w:p w14:paraId="7DCFD46B" w14:textId="77777777" w:rsidR="00C1563E" w:rsidRDefault="00C1563E">
            <w:pPr>
              <w:rPr>
                <w:rFonts w:ascii="宋体"/>
                <w:vanish/>
              </w:rPr>
            </w:pPr>
          </w:p>
        </w:tc>
        <w:tc>
          <w:tcPr>
            <w:tcW w:w="0" w:type="auto"/>
            <w:shd w:val="clear" w:color="auto" w:fill="auto"/>
          </w:tcPr>
          <w:p w14:paraId="7DCFD46C" w14:textId="77777777" w:rsidR="00C1563E" w:rsidRDefault="00C1563E">
            <w:pPr>
              <w:rPr>
                <w:rFonts w:ascii="宋体"/>
                <w:vanish/>
              </w:rPr>
            </w:pPr>
          </w:p>
        </w:tc>
        <w:tc>
          <w:tcPr>
            <w:tcW w:w="0" w:type="auto"/>
            <w:shd w:val="clear" w:color="auto" w:fill="auto"/>
          </w:tcPr>
          <w:p w14:paraId="7DCFD46D"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46E" w14:textId="77777777" w:rsidR="00C1563E" w:rsidRDefault="000B648B">
            <w:pPr>
              <w:jc w:val="center"/>
              <w:textAlignment w:val="bottom"/>
            </w:pPr>
            <w:r>
              <w:rPr>
                <w:rFonts w:ascii="Times New Roman" w:eastAsia="宋体" w:hAnsi="Times New Roman"/>
                <w:b/>
                <w:bCs/>
                <w:color w:val="000000"/>
                <w:sz w:val="20"/>
                <w:szCs w:val="20"/>
              </w:rPr>
              <w:t>January 29,</w:t>
            </w:r>
            <w:r>
              <w:rPr>
                <w:rFonts w:ascii="Times New Roman" w:eastAsia="宋体" w:hAnsi="Times New Roman"/>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DCFD46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470"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47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472" w14:textId="77777777" w:rsidR="00C1563E" w:rsidRDefault="000B648B">
            <w:pPr>
              <w:jc w:val="center"/>
              <w:textAlignment w:val="bottom"/>
            </w:pPr>
            <w:r>
              <w:rPr>
                <w:rFonts w:ascii="Times New Roman" w:eastAsia="宋体" w:hAnsi="Times New Roman"/>
                <w:b/>
                <w:bCs/>
                <w:color w:val="000000"/>
                <w:sz w:val="20"/>
                <w:szCs w:val="20"/>
              </w:rPr>
              <w:t>January 31,</w:t>
            </w:r>
            <w:r>
              <w:rPr>
                <w:rFonts w:ascii="Times New Roman" w:eastAsia="宋体" w:hAnsi="Times New Roman"/>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DCFD47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474"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47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476" w14:textId="77777777" w:rsidR="00C1563E" w:rsidRDefault="000B648B">
            <w:pPr>
              <w:jc w:val="center"/>
              <w:textAlignment w:val="bottom"/>
            </w:pPr>
            <w:r>
              <w:rPr>
                <w:rFonts w:ascii="Times New Roman" w:eastAsia="宋体" w:hAnsi="Times New Roman"/>
                <w:b/>
                <w:bCs/>
                <w:color w:val="000000"/>
                <w:sz w:val="20"/>
                <w:szCs w:val="20"/>
              </w:rPr>
              <w:t>February 1,</w:t>
            </w:r>
            <w:r>
              <w:rPr>
                <w:rFonts w:ascii="Times New Roman" w:eastAsia="宋体" w:hAnsi="Times New Roman"/>
                <w:b/>
                <w:bCs/>
                <w:color w:val="000000"/>
                <w:sz w:val="20"/>
                <w:szCs w:val="20"/>
              </w:rPr>
              <w:br/>
              <w:t>2019</w:t>
            </w:r>
          </w:p>
        </w:tc>
      </w:tr>
      <w:tr w:rsidR="00C1563E" w14:paraId="7DCFD480" w14:textId="77777777">
        <w:trPr>
          <w:jc w:val="center"/>
        </w:trPr>
        <w:tc>
          <w:tcPr>
            <w:tcW w:w="0" w:type="auto"/>
            <w:gridSpan w:val="3"/>
            <w:shd w:val="clear" w:color="auto" w:fill="auto"/>
            <w:tcMar>
              <w:top w:w="0" w:type="dxa"/>
              <w:left w:w="20" w:type="dxa"/>
              <w:bottom w:w="0" w:type="dxa"/>
              <w:right w:w="20" w:type="dxa"/>
            </w:tcMar>
          </w:tcPr>
          <w:p w14:paraId="7DCFD478" w14:textId="77777777" w:rsidR="00C1563E" w:rsidRDefault="00C1563E">
            <w:pPr>
              <w:rPr>
                <w:rFonts w:ascii="宋体"/>
              </w:rPr>
            </w:pPr>
          </w:p>
        </w:tc>
        <w:tc>
          <w:tcPr>
            <w:tcW w:w="0" w:type="auto"/>
            <w:shd w:val="clear" w:color="auto" w:fill="auto"/>
          </w:tcPr>
          <w:p w14:paraId="7DCFD479" w14:textId="77777777" w:rsidR="00C1563E" w:rsidRDefault="00C1563E">
            <w:pPr>
              <w:rPr>
                <w:rFonts w:ascii="宋体"/>
                <w:vanish/>
              </w:rPr>
            </w:pPr>
          </w:p>
        </w:tc>
        <w:tc>
          <w:tcPr>
            <w:tcW w:w="0" w:type="auto"/>
            <w:shd w:val="clear" w:color="auto" w:fill="auto"/>
          </w:tcPr>
          <w:p w14:paraId="7DCFD47A" w14:textId="77777777" w:rsidR="00C1563E" w:rsidRDefault="00C1563E">
            <w:pPr>
              <w:rPr>
                <w:rFonts w:ascii="宋体"/>
                <w:vanish/>
              </w:rPr>
            </w:pPr>
          </w:p>
        </w:tc>
        <w:tc>
          <w:tcPr>
            <w:tcW w:w="0" w:type="auto"/>
            <w:shd w:val="clear" w:color="auto" w:fill="auto"/>
          </w:tcPr>
          <w:p w14:paraId="7DCFD47B" w14:textId="77777777" w:rsidR="00C1563E" w:rsidRDefault="00C1563E">
            <w:pPr>
              <w:rPr>
                <w:rFonts w:ascii="宋体"/>
                <w:vanish/>
              </w:rPr>
            </w:pPr>
          </w:p>
        </w:tc>
        <w:tc>
          <w:tcPr>
            <w:tcW w:w="0" w:type="auto"/>
            <w:shd w:val="clear" w:color="auto" w:fill="auto"/>
          </w:tcPr>
          <w:p w14:paraId="7DCFD47C" w14:textId="77777777" w:rsidR="00C1563E" w:rsidRDefault="00C1563E">
            <w:pPr>
              <w:rPr>
                <w:rFonts w:ascii="宋体"/>
                <w:vanish/>
              </w:rPr>
            </w:pPr>
          </w:p>
        </w:tc>
        <w:tc>
          <w:tcPr>
            <w:tcW w:w="0" w:type="auto"/>
            <w:shd w:val="clear" w:color="auto" w:fill="auto"/>
          </w:tcPr>
          <w:p w14:paraId="7DCFD47D" w14:textId="77777777" w:rsidR="00C1563E" w:rsidRDefault="00C1563E">
            <w:pPr>
              <w:rPr>
                <w:rFonts w:ascii="宋体"/>
                <w:vanish/>
              </w:rPr>
            </w:pPr>
          </w:p>
        </w:tc>
        <w:tc>
          <w:tcPr>
            <w:tcW w:w="0" w:type="auto"/>
            <w:shd w:val="clear" w:color="auto" w:fill="auto"/>
          </w:tcPr>
          <w:p w14:paraId="7DCFD47E"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D47F"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D499" w14:textId="77777777">
        <w:trPr>
          <w:jc w:val="center"/>
        </w:trPr>
        <w:tc>
          <w:tcPr>
            <w:tcW w:w="0" w:type="auto"/>
            <w:gridSpan w:val="3"/>
            <w:shd w:val="clear" w:color="auto" w:fill="CCEEFF"/>
            <w:tcMar>
              <w:top w:w="40" w:type="dxa"/>
              <w:left w:w="20" w:type="dxa"/>
              <w:bottom w:w="40" w:type="dxa"/>
              <w:right w:w="20" w:type="dxa"/>
            </w:tcMar>
            <w:vAlign w:val="bottom"/>
          </w:tcPr>
          <w:p w14:paraId="7DCFD481" w14:textId="77777777" w:rsidR="00C1563E" w:rsidRDefault="000B648B">
            <w:pPr>
              <w:textAlignment w:val="bottom"/>
            </w:pPr>
            <w:r>
              <w:rPr>
                <w:rFonts w:ascii="Times New Roman" w:eastAsia="宋体" w:hAnsi="Times New Roman"/>
                <w:color w:val="000000"/>
                <w:sz w:val="20"/>
                <w:szCs w:val="20"/>
              </w:rPr>
              <w:t>Gross margin</w:t>
            </w:r>
          </w:p>
        </w:tc>
        <w:tc>
          <w:tcPr>
            <w:tcW w:w="0" w:type="auto"/>
            <w:shd w:val="clear" w:color="auto" w:fill="auto"/>
          </w:tcPr>
          <w:p w14:paraId="7DCFD482" w14:textId="77777777" w:rsidR="00C1563E" w:rsidRDefault="00C1563E">
            <w:pPr>
              <w:rPr>
                <w:rFonts w:ascii="宋体"/>
                <w:vanish/>
              </w:rPr>
            </w:pPr>
          </w:p>
        </w:tc>
        <w:tc>
          <w:tcPr>
            <w:tcW w:w="0" w:type="auto"/>
            <w:shd w:val="clear" w:color="auto" w:fill="auto"/>
          </w:tcPr>
          <w:p w14:paraId="7DCFD483" w14:textId="77777777" w:rsidR="00C1563E" w:rsidRDefault="00C1563E">
            <w:pPr>
              <w:rPr>
                <w:rFonts w:ascii="宋体"/>
                <w:vanish/>
              </w:rPr>
            </w:pPr>
          </w:p>
        </w:tc>
        <w:tc>
          <w:tcPr>
            <w:tcW w:w="0" w:type="auto"/>
            <w:shd w:val="clear" w:color="auto" w:fill="auto"/>
          </w:tcPr>
          <w:p w14:paraId="7DCFD484" w14:textId="77777777" w:rsidR="00C1563E" w:rsidRDefault="00C1563E">
            <w:pPr>
              <w:rPr>
                <w:rFonts w:ascii="宋体"/>
                <w:vanish/>
              </w:rPr>
            </w:pPr>
          </w:p>
        </w:tc>
        <w:tc>
          <w:tcPr>
            <w:tcW w:w="0" w:type="auto"/>
            <w:shd w:val="clear" w:color="auto" w:fill="auto"/>
          </w:tcPr>
          <w:p w14:paraId="7DCFD485" w14:textId="77777777" w:rsidR="00C1563E" w:rsidRDefault="00C1563E">
            <w:pPr>
              <w:rPr>
                <w:rFonts w:ascii="宋体"/>
                <w:vanish/>
              </w:rPr>
            </w:pPr>
          </w:p>
        </w:tc>
        <w:tc>
          <w:tcPr>
            <w:tcW w:w="0" w:type="auto"/>
            <w:shd w:val="clear" w:color="auto" w:fill="auto"/>
          </w:tcPr>
          <w:p w14:paraId="7DCFD486" w14:textId="77777777" w:rsidR="00C1563E" w:rsidRDefault="00C1563E">
            <w:pPr>
              <w:rPr>
                <w:rFonts w:ascii="宋体"/>
                <w:vanish/>
              </w:rPr>
            </w:pPr>
          </w:p>
        </w:tc>
        <w:tc>
          <w:tcPr>
            <w:tcW w:w="0" w:type="auto"/>
            <w:shd w:val="clear" w:color="auto" w:fill="auto"/>
          </w:tcPr>
          <w:p w14:paraId="7DCFD487"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48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489" w14:textId="77777777" w:rsidR="00C1563E" w:rsidRDefault="000B648B">
            <w:pPr>
              <w:jc w:val="right"/>
              <w:textAlignment w:val="bottom"/>
            </w:pPr>
            <w:r>
              <w:rPr>
                <w:rFonts w:ascii="Times New Roman" w:eastAsia="宋体" w:hAnsi="Times New Roman"/>
                <w:color w:val="000000"/>
                <w:sz w:val="20"/>
                <w:szCs w:val="20"/>
              </w:rPr>
              <w:t>29,417 </w:t>
            </w:r>
          </w:p>
        </w:tc>
        <w:tc>
          <w:tcPr>
            <w:tcW w:w="0" w:type="auto"/>
            <w:shd w:val="clear" w:color="auto" w:fill="CCEEFF"/>
            <w:tcMar>
              <w:top w:w="40" w:type="dxa"/>
              <w:left w:w="0" w:type="dxa"/>
              <w:bottom w:w="40" w:type="dxa"/>
              <w:right w:w="20" w:type="dxa"/>
            </w:tcMar>
            <w:vAlign w:val="bottom"/>
          </w:tcPr>
          <w:p w14:paraId="7DCFD48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8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8C"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CFD48D"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48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48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490" w14:textId="77777777" w:rsidR="00C1563E" w:rsidRDefault="000B648B">
            <w:pPr>
              <w:jc w:val="right"/>
              <w:textAlignment w:val="bottom"/>
            </w:pPr>
            <w:r>
              <w:rPr>
                <w:rFonts w:ascii="Times New Roman" w:eastAsia="宋体" w:hAnsi="Times New Roman"/>
                <w:color w:val="000000"/>
                <w:sz w:val="20"/>
                <w:szCs w:val="20"/>
              </w:rPr>
              <w:t>28,933 </w:t>
            </w:r>
          </w:p>
        </w:tc>
        <w:tc>
          <w:tcPr>
            <w:tcW w:w="0" w:type="auto"/>
            <w:shd w:val="clear" w:color="auto" w:fill="CCEEFF"/>
            <w:tcMar>
              <w:top w:w="40" w:type="dxa"/>
              <w:left w:w="0" w:type="dxa"/>
              <w:bottom w:w="40" w:type="dxa"/>
              <w:right w:w="20" w:type="dxa"/>
            </w:tcMar>
            <w:vAlign w:val="bottom"/>
          </w:tcPr>
          <w:p w14:paraId="7DCFD4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9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93"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CFD49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49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49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497" w14:textId="77777777" w:rsidR="00C1563E" w:rsidRDefault="000B648B">
            <w:pPr>
              <w:jc w:val="right"/>
              <w:textAlignment w:val="bottom"/>
            </w:pPr>
            <w:r>
              <w:rPr>
                <w:rFonts w:ascii="Times New Roman" w:eastAsia="宋体" w:hAnsi="Times New Roman"/>
                <w:color w:val="000000"/>
                <w:sz w:val="20"/>
                <w:szCs w:val="20"/>
              </w:rPr>
              <w:t>25,053 </w:t>
            </w:r>
          </w:p>
        </w:tc>
        <w:tc>
          <w:tcPr>
            <w:tcW w:w="0" w:type="auto"/>
            <w:shd w:val="clear" w:color="auto" w:fill="CCEEFF"/>
            <w:tcMar>
              <w:top w:w="40" w:type="dxa"/>
              <w:left w:w="0" w:type="dxa"/>
              <w:bottom w:w="40" w:type="dxa"/>
              <w:right w:w="20" w:type="dxa"/>
            </w:tcMar>
            <w:vAlign w:val="bottom"/>
          </w:tcPr>
          <w:p w14:paraId="7DCFD498" w14:textId="77777777" w:rsidR="00C1563E" w:rsidRDefault="00C1563E">
            <w:pPr>
              <w:jc w:val="right"/>
              <w:rPr>
                <w:rFonts w:ascii="宋体"/>
              </w:rPr>
            </w:pPr>
          </w:p>
        </w:tc>
      </w:tr>
      <w:tr w:rsidR="00C1563E" w14:paraId="7DCFD4AA" w14:textId="77777777">
        <w:trPr>
          <w:jc w:val="center"/>
        </w:trPr>
        <w:tc>
          <w:tcPr>
            <w:tcW w:w="0" w:type="auto"/>
            <w:gridSpan w:val="3"/>
            <w:shd w:val="clear" w:color="auto" w:fill="FFFFFF"/>
            <w:tcMar>
              <w:top w:w="40" w:type="dxa"/>
              <w:left w:w="155" w:type="dxa"/>
              <w:bottom w:w="40" w:type="dxa"/>
              <w:right w:w="20" w:type="dxa"/>
            </w:tcMar>
            <w:vAlign w:val="bottom"/>
          </w:tcPr>
          <w:p w14:paraId="7DCFD49A"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49B" w14:textId="77777777" w:rsidR="00C1563E" w:rsidRDefault="00C1563E">
            <w:pPr>
              <w:rPr>
                <w:rFonts w:ascii="宋体"/>
                <w:vanish/>
              </w:rPr>
            </w:pPr>
          </w:p>
        </w:tc>
        <w:tc>
          <w:tcPr>
            <w:tcW w:w="0" w:type="auto"/>
            <w:shd w:val="clear" w:color="auto" w:fill="auto"/>
          </w:tcPr>
          <w:p w14:paraId="7DCFD49C" w14:textId="77777777" w:rsidR="00C1563E" w:rsidRDefault="00C1563E">
            <w:pPr>
              <w:rPr>
                <w:rFonts w:ascii="宋体"/>
                <w:vanish/>
              </w:rPr>
            </w:pPr>
          </w:p>
        </w:tc>
        <w:tc>
          <w:tcPr>
            <w:tcW w:w="0" w:type="auto"/>
            <w:shd w:val="clear" w:color="auto" w:fill="auto"/>
          </w:tcPr>
          <w:p w14:paraId="7DCFD49D" w14:textId="77777777" w:rsidR="00C1563E" w:rsidRDefault="00C1563E">
            <w:pPr>
              <w:rPr>
                <w:rFonts w:ascii="宋体"/>
                <w:vanish/>
              </w:rPr>
            </w:pPr>
          </w:p>
        </w:tc>
        <w:tc>
          <w:tcPr>
            <w:tcW w:w="0" w:type="auto"/>
            <w:shd w:val="clear" w:color="auto" w:fill="auto"/>
          </w:tcPr>
          <w:p w14:paraId="7DCFD49E" w14:textId="77777777" w:rsidR="00C1563E" w:rsidRDefault="00C1563E">
            <w:pPr>
              <w:rPr>
                <w:rFonts w:ascii="宋体"/>
                <w:vanish/>
              </w:rPr>
            </w:pPr>
          </w:p>
        </w:tc>
        <w:tc>
          <w:tcPr>
            <w:tcW w:w="0" w:type="auto"/>
            <w:shd w:val="clear" w:color="auto" w:fill="auto"/>
          </w:tcPr>
          <w:p w14:paraId="7DCFD49F" w14:textId="77777777" w:rsidR="00C1563E" w:rsidRDefault="00C1563E">
            <w:pPr>
              <w:rPr>
                <w:rFonts w:ascii="宋体"/>
                <w:vanish/>
              </w:rPr>
            </w:pPr>
          </w:p>
        </w:tc>
        <w:tc>
          <w:tcPr>
            <w:tcW w:w="0" w:type="auto"/>
            <w:shd w:val="clear" w:color="auto" w:fill="auto"/>
          </w:tcPr>
          <w:p w14:paraId="7DCFD4A0"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4A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A9" w14:textId="77777777" w:rsidR="00C1563E" w:rsidRDefault="00C1563E">
            <w:pPr>
              <w:rPr>
                <w:rFonts w:ascii="宋体"/>
              </w:rPr>
            </w:pPr>
          </w:p>
        </w:tc>
      </w:tr>
      <w:tr w:rsidR="00C1563E" w14:paraId="7DCFD4BE" w14:textId="77777777">
        <w:trPr>
          <w:jc w:val="center"/>
        </w:trPr>
        <w:tc>
          <w:tcPr>
            <w:tcW w:w="0" w:type="auto"/>
            <w:gridSpan w:val="3"/>
            <w:shd w:val="clear" w:color="auto" w:fill="CCEEFF"/>
            <w:tcMar>
              <w:top w:w="40" w:type="dxa"/>
              <w:left w:w="245" w:type="dxa"/>
              <w:bottom w:w="40" w:type="dxa"/>
              <w:right w:w="20" w:type="dxa"/>
            </w:tcMar>
            <w:vAlign w:val="bottom"/>
          </w:tcPr>
          <w:p w14:paraId="7DCFD4AB" w14:textId="77777777" w:rsidR="00C1563E" w:rsidRDefault="000B648B">
            <w:pPr>
              <w:textAlignment w:val="bottom"/>
            </w:pPr>
            <w:r>
              <w:rPr>
                <w:rFonts w:ascii="Times New Roman" w:eastAsia="宋体" w:hAnsi="Times New Roman"/>
                <w:color w:val="000000"/>
                <w:sz w:val="20"/>
                <w:szCs w:val="20"/>
              </w:rPr>
              <w:t xml:space="preserve">Amortization of </w:t>
            </w:r>
            <w:r>
              <w:rPr>
                <w:rFonts w:ascii="Times New Roman" w:eastAsia="宋体" w:hAnsi="Times New Roman"/>
                <w:color w:val="000000"/>
                <w:sz w:val="20"/>
                <w:szCs w:val="20"/>
              </w:rPr>
              <w:t>intangibles</w:t>
            </w:r>
          </w:p>
        </w:tc>
        <w:tc>
          <w:tcPr>
            <w:tcW w:w="0" w:type="auto"/>
            <w:shd w:val="clear" w:color="auto" w:fill="auto"/>
          </w:tcPr>
          <w:p w14:paraId="7DCFD4AC" w14:textId="77777777" w:rsidR="00C1563E" w:rsidRDefault="00C1563E">
            <w:pPr>
              <w:rPr>
                <w:rFonts w:ascii="宋体"/>
                <w:vanish/>
              </w:rPr>
            </w:pPr>
          </w:p>
        </w:tc>
        <w:tc>
          <w:tcPr>
            <w:tcW w:w="0" w:type="auto"/>
            <w:shd w:val="clear" w:color="auto" w:fill="auto"/>
          </w:tcPr>
          <w:p w14:paraId="7DCFD4AD" w14:textId="77777777" w:rsidR="00C1563E" w:rsidRDefault="00C1563E">
            <w:pPr>
              <w:rPr>
                <w:rFonts w:ascii="宋体"/>
                <w:vanish/>
              </w:rPr>
            </w:pPr>
          </w:p>
        </w:tc>
        <w:tc>
          <w:tcPr>
            <w:tcW w:w="0" w:type="auto"/>
            <w:shd w:val="clear" w:color="auto" w:fill="auto"/>
          </w:tcPr>
          <w:p w14:paraId="7DCFD4AE" w14:textId="77777777" w:rsidR="00C1563E" w:rsidRDefault="00C1563E">
            <w:pPr>
              <w:rPr>
                <w:rFonts w:ascii="宋体"/>
                <w:vanish/>
              </w:rPr>
            </w:pPr>
          </w:p>
        </w:tc>
        <w:tc>
          <w:tcPr>
            <w:tcW w:w="0" w:type="auto"/>
            <w:shd w:val="clear" w:color="auto" w:fill="auto"/>
          </w:tcPr>
          <w:p w14:paraId="7DCFD4AF" w14:textId="77777777" w:rsidR="00C1563E" w:rsidRDefault="00C1563E">
            <w:pPr>
              <w:rPr>
                <w:rFonts w:ascii="宋体"/>
                <w:vanish/>
              </w:rPr>
            </w:pPr>
          </w:p>
        </w:tc>
        <w:tc>
          <w:tcPr>
            <w:tcW w:w="0" w:type="auto"/>
            <w:shd w:val="clear" w:color="auto" w:fill="auto"/>
          </w:tcPr>
          <w:p w14:paraId="7DCFD4B0" w14:textId="77777777" w:rsidR="00C1563E" w:rsidRDefault="00C1563E">
            <w:pPr>
              <w:rPr>
                <w:rFonts w:ascii="宋体"/>
                <w:vanish/>
              </w:rPr>
            </w:pPr>
          </w:p>
        </w:tc>
        <w:tc>
          <w:tcPr>
            <w:tcW w:w="0" w:type="auto"/>
            <w:shd w:val="clear" w:color="auto" w:fill="auto"/>
          </w:tcPr>
          <w:p w14:paraId="7DCFD4B1"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4B2" w14:textId="77777777" w:rsidR="00C1563E" w:rsidRDefault="000B648B">
            <w:pPr>
              <w:jc w:val="right"/>
              <w:textAlignment w:val="bottom"/>
            </w:pPr>
            <w:r>
              <w:rPr>
                <w:rFonts w:ascii="Times New Roman" w:eastAsia="宋体" w:hAnsi="Times New Roman"/>
                <w:color w:val="000000"/>
                <w:sz w:val="20"/>
                <w:szCs w:val="20"/>
              </w:rPr>
              <w:t>1,502 </w:t>
            </w:r>
          </w:p>
        </w:tc>
        <w:tc>
          <w:tcPr>
            <w:tcW w:w="0" w:type="auto"/>
            <w:shd w:val="clear" w:color="auto" w:fill="CCEEFF"/>
            <w:tcMar>
              <w:top w:w="40" w:type="dxa"/>
              <w:left w:w="0" w:type="dxa"/>
              <w:bottom w:w="40" w:type="dxa"/>
              <w:right w:w="20" w:type="dxa"/>
            </w:tcMar>
            <w:vAlign w:val="bottom"/>
          </w:tcPr>
          <w:p w14:paraId="7DCFD4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B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B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B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B7" w14:textId="77777777" w:rsidR="00C1563E" w:rsidRDefault="000B648B">
            <w:pPr>
              <w:jc w:val="right"/>
              <w:textAlignment w:val="bottom"/>
            </w:pPr>
            <w:r>
              <w:rPr>
                <w:rFonts w:ascii="Times New Roman" w:eastAsia="宋体" w:hAnsi="Times New Roman"/>
                <w:color w:val="000000"/>
                <w:sz w:val="20"/>
                <w:szCs w:val="20"/>
              </w:rPr>
              <w:t>2,081 </w:t>
            </w:r>
          </w:p>
        </w:tc>
        <w:tc>
          <w:tcPr>
            <w:tcW w:w="0" w:type="auto"/>
            <w:shd w:val="clear" w:color="auto" w:fill="CCEEFF"/>
            <w:tcMar>
              <w:top w:w="40" w:type="dxa"/>
              <w:left w:w="0" w:type="dxa"/>
              <w:bottom w:w="40" w:type="dxa"/>
              <w:right w:w="20" w:type="dxa"/>
            </w:tcMar>
            <w:vAlign w:val="bottom"/>
          </w:tcPr>
          <w:p w14:paraId="7DCFD4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B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B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B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BC" w14:textId="77777777" w:rsidR="00C1563E" w:rsidRDefault="000B648B">
            <w:pPr>
              <w:jc w:val="right"/>
              <w:textAlignment w:val="bottom"/>
            </w:pPr>
            <w:r>
              <w:rPr>
                <w:rFonts w:ascii="Times New Roman" w:eastAsia="宋体" w:hAnsi="Times New Roman"/>
                <w:color w:val="000000"/>
                <w:sz w:val="20"/>
                <w:szCs w:val="20"/>
              </w:rPr>
              <w:t>2,883 </w:t>
            </w:r>
          </w:p>
        </w:tc>
        <w:tc>
          <w:tcPr>
            <w:tcW w:w="0" w:type="auto"/>
            <w:shd w:val="clear" w:color="auto" w:fill="CCEEFF"/>
            <w:tcMar>
              <w:top w:w="40" w:type="dxa"/>
              <w:left w:w="0" w:type="dxa"/>
              <w:bottom w:w="40" w:type="dxa"/>
              <w:right w:w="20" w:type="dxa"/>
            </w:tcMar>
            <w:vAlign w:val="bottom"/>
          </w:tcPr>
          <w:p w14:paraId="7DCFD4BD" w14:textId="77777777" w:rsidR="00C1563E" w:rsidRDefault="00C1563E">
            <w:pPr>
              <w:jc w:val="right"/>
              <w:rPr>
                <w:rFonts w:ascii="宋体"/>
              </w:rPr>
            </w:pPr>
          </w:p>
        </w:tc>
      </w:tr>
      <w:tr w:rsidR="00C1563E" w14:paraId="7DCFD4D2" w14:textId="77777777">
        <w:trPr>
          <w:jc w:val="center"/>
        </w:trPr>
        <w:tc>
          <w:tcPr>
            <w:tcW w:w="0" w:type="auto"/>
            <w:gridSpan w:val="3"/>
            <w:shd w:val="clear" w:color="auto" w:fill="FFFFFF"/>
            <w:tcMar>
              <w:top w:w="40" w:type="dxa"/>
              <w:left w:w="245" w:type="dxa"/>
              <w:bottom w:w="40" w:type="dxa"/>
              <w:right w:w="20" w:type="dxa"/>
            </w:tcMar>
            <w:vAlign w:val="bottom"/>
          </w:tcPr>
          <w:p w14:paraId="7DCFD4BF"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4C0" w14:textId="77777777" w:rsidR="00C1563E" w:rsidRDefault="00C1563E">
            <w:pPr>
              <w:rPr>
                <w:rFonts w:ascii="宋体"/>
                <w:vanish/>
              </w:rPr>
            </w:pPr>
          </w:p>
        </w:tc>
        <w:tc>
          <w:tcPr>
            <w:tcW w:w="0" w:type="auto"/>
            <w:shd w:val="clear" w:color="auto" w:fill="auto"/>
          </w:tcPr>
          <w:p w14:paraId="7DCFD4C1" w14:textId="77777777" w:rsidR="00C1563E" w:rsidRDefault="00C1563E">
            <w:pPr>
              <w:rPr>
                <w:rFonts w:ascii="宋体"/>
                <w:vanish/>
              </w:rPr>
            </w:pPr>
          </w:p>
        </w:tc>
        <w:tc>
          <w:tcPr>
            <w:tcW w:w="0" w:type="auto"/>
            <w:shd w:val="clear" w:color="auto" w:fill="auto"/>
          </w:tcPr>
          <w:p w14:paraId="7DCFD4C2" w14:textId="77777777" w:rsidR="00C1563E" w:rsidRDefault="00C1563E">
            <w:pPr>
              <w:rPr>
                <w:rFonts w:ascii="宋体"/>
                <w:vanish/>
              </w:rPr>
            </w:pPr>
          </w:p>
        </w:tc>
        <w:tc>
          <w:tcPr>
            <w:tcW w:w="0" w:type="auto"/>
            <w:shd w:val="clear" w:color="auto" w:fill="auto"/>
          </w:tcPr>
          <w:p w14:paraId="7DCFD4C3" w14:textId="77777777" w:rsidR="00C1563E" w:rsidRDefault="00C1563E">
            <w:pPr>
              <w:rPr>
                <w:rFonts w:ascii="宋体"/>
                <w:vanish/>
              </w:rPr>
            </w:pPr>
          </w:p>
        </w:tc>
        <w:tc>
          <w:tcPr>
            <w:tcW w:w="0" w:type="auto"/>
            <w:shd w:val="clear" w:color="auto" w:fill="auto"/>
          </w:tcPr>
          <w:p w14:paraId="7DCFD4C4" w14:textId="77777777" w:rsidR="00C1563E" w:rsidRDefault="00C1563E">
            <w:pPr>
              <w:rPr>
                <w:rFonts w:ascii="宋体"/>
                <w:vanish/>
              </w:rPr>
            </w:pPr>
          </w:p>
        </w:tc>
        <w:tc>
          <w:tcPr>
            <w:tcW w:w="0" w:type="auto"/>
            <w:shd w:val="clear" w:color="auto" w:fill="auto"/>
          </w:tcPr>
          <w:p w14:paraId="7DCFD4C5"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4C6" w14:textId="77777777" w:rsidR="00C1563E" w:rsidRDefault="000B648B">
            <w:pPr>
              <w:jc w:val="right"/>
              <w:textAlignment w:val="bottom"/>
            </w:pPr>
            <w:r>
              <w:rPr>
                <w:rFonts w:ascii="Times New Roman" w:eastAsia="宋体" w:hAnsi="Times New Roman"/>
                <w:color w:val="000000"/>
                <w:sz w:val="20"/>
                <w:szCs w:val="20"/>
              </w:rPr>
              <w:t>171 </w:t>
            </w:r>
          </w:p>
        </w:tc>
        <w:tc>
          <w:tcPr>
            <w:tcW w:w="0" w:type="auto"/>
            <w:shd w:val="clear" w:color="auto" w:fill="FFFFFF"/>
            <w:tcMar>
              <w:top w:w="40" w:type="dxa"/>
              <w:left w:w="0" w:type="dxa"/>
              <w:bottom w:w="40" w:type="dxa"/>
              <w:right w:w="20" w:type="dxa"/>
            </w:tcMar>
            <w:vAlign w:val="bottom"/>
          </w:tcPr>
          <w:p w14:paraId="7DCFD4C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C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C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C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CB" w14:textId="77777777" w:rsidR="00C1563E" w:rsidRDefault="000B648B">
            <w:pPr>
              <w:jc w:val="right"/>
              <w:textAlignment w:val="bottom"/>
            </w:pPr>
            <w:r>
              <w:rPr>
                <w:rFonts w:ascii="Times New Roman" w:eastAsia="宋体" w:hAnsi="Times New Roman"/>
                <w:color w:val="000000"/>
                <w:sz w:val="20"/>
                <w:szCs w:val="20"/>
              </w:rPr>
              <w:t>353 </w:t>
            </w:r>
          </w:p>
        </w:tc>
        <w:tc>
          <w:tcPr>
            <w:tcW w:w="0" w:type="auto"/>
            <w:shd w:val="clear" w:color="auto" w:fill="FFFFFF"/>
            <w:tcMar>
              <w:top w:w="40" w:type="dxa"/>
              <w:left w:w="0" w:type="dxa"/>
              <w:bottom w:w="40" w:type="dxa"/>
              <w:right w:w="20" w:type="dxa"/>
            </w:tcMar>
            <w:vAlign w:val="bottom"/>
          </w:tcPr>
          <w:p w14:paraId="7DCFD4C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C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C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C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D0" w14:textId="77777777" w:rsidR="00C1563E" w:rsidRDefault="000B648B">
            <w:pPr>
              <w:jc w:val="right"/>
              <w:textAlignment w:val="bottom"/>
            </w:pPr>
            <w:r>
              <w:rPr>
                <w:rFonts w:ascii="Times New Roman" w:eastAsia="宋体" w:hAnsi="Times New Roman"/>
                <w:color w:val="000000"/>
                <w:sz w:val="20"/>
                <w:szCs w:val="20"/>
              </w:rPr>
              <w:t>720 </w:t>
            </w:r>
          </w:p>
        </w:tc>
        <w:tc>
          <w:tcPr>
            <w:tcW w:w="0" w:type="auto"/>
            <w:shd w:val="clear" w:color="auto" w:fill="FFFFFF"/>
            <w:tcMar>
              <w:top w:w="40" w:type="dxa"/>
              <w:left w:w="0" w:type="dxa"/>
              <w:bottom w:w="40" w:type="dxa"/>
              <w:right w:w="20" w:type="dxa"/>
            </w:tcMar>
            <w:vAlign w:val="bottom"/>
          </w:tcPr>
          <w:p w14:paraId="7DCFD4D1" w14:textId="77777777" w:rsidR="00C1563E" w:rsidRDefault="00C1563E">
            <w:pPr>
              <w:jc w:val="right"/>
              <w:rPr>
                <w:rFonts w:ascii="宋体"/>
              </w:rPr>
            </w:pPr>
          </w:p>
        </w:tc>
      </w:tr>
      <w:tr w:rsidR="00C1563E" w14:paraId="7DCFD4E6" w14:textId="77777777">
        <w:trPr>
          <w:jc w:val="center"/>
        </w:trPr>
        <w:tc>
          <w:tcPr>
            <w:tcW w:w="0" w:type="auto"/>
            <w:gridSpan w:val="3"/>
            <w:shd w:val="clear" w:color="auto" w:fill="CCEEFF"/>
            <w:tcMar>
              <w:top w:w="40" w:type="dxa"/>
              <w:left w:w="245" w:type="dxa"/>
              <w:bottom w:w="40" w:type="dxa"/>
              <w:right w:w="20" w:type="dxa"/>
            </w:tcMar>
            <w:vAlign w:val="bottom"/>
          </w:tcPr>
          <w:p w14:paraId="7DCFD4D3" w14:textId="77777777" w:rsidR="00C1563E" w:rsidRDefault="000B648B">
            <w:pPr>
              <w:textAlignment w:val="bottom"/>
            </w:pPr>
            <w:r>
              <w:rPr>
                <w:rFonts w:ascii="Times New Roman" w:eastAsia="宋体" w:hAnsi="Times New Roman"/>
                <w:color w:val="000000"/>
                <w:sz w:val="20"/>
                <w:szCs w:val="20"/>
              </w:rPr>
              <w:t>Transaction-related (income) expenses</w:t>
            </w:r>
          </w:p>
        </w:tc>
        <w:tc>
          <w:tcPr>
            <w:tcW w:w="0" w:type="auto"/>
            <w:shd w:val="clear" w:color="auto" w:fill="auto"/>
          </w:tcPr>
          <w:p w14:paraId="7DCFD4D4" w14:textId="77777777" w:rsidR="00C1563E" w:rsidRDefault="00C1563E">
            <w:pPr>
              <w:rPr>
                <w:rFonts w:ascii="宋体"/>
                <w:vanish/>
              </w:rPr>
            </w:pPr>
          </w:p>
        </w:tc>
        <w:tc>
          <w:tcPr>
            <w:tcW w:w="0" w:type="auto"/>
            <w:shd w:val="clear" w:color="auto" w:fill="auto"/>
          </w:tcPr>
          <w:p w14:paraId="7DCFD4D5" w14:textId="77777777" w:rsidR="00C1563E" w:rsidRDefault="00C1563E">
            <w:pPr>
              <w:rPr>
                <w:rFonts w:ascii="宋体"/>
                <w:vanish/>
              </w:rPr>
            </w:pPr>
          </w:p>
        </w:tc>
        <w:tc>
          <w:tcPr>
            <w:tcW w:w="0" w:type="auto"/>
            <w:shd w:val="clear" w:color="auto" w:fill="auto"/>
          </w:tcPr>
          <w:p w14:paraId="7DCFD4D6" w14:textId="77777777" w:rsidR="00C1563E" w:rsidRDefault="00C1563E">
            <w:pPr>
              <w:rPr>
                <w:rFonts w:ascii="宋体"/>
                <w:vanish/>
              </w:rPr>
            </w:pPr>
          </w:p>
        </w:tc>
        <w:tc>
          <w:tcPr>
            <w:tcW w:w="0" w:type="auto"/>
            <w:shd w:val="clear" w:color="auto" w:fill="auto"/>
          </w:tcPr>
          <w:p w14:paraId="7DCFD4D7" w14:textId="77777777" w:rsidR="00C1563E" w:rsidRDefault="00C1563E">
            <w:pPr>
              <w:rPr>
                <w:rFonts w:ascii="宋体"/>
                <w:vanish/>
              </w:rPr>
            </w:pPr>
          </w:p>
        </w:tc>
        <w:tc>
          <w:tcPr>
            <w:tcW w:w="0" w:type="auto"/>
            <w:shd w:val="clear" w:color="auto" w:fill="auto"/>
          </w:tcPr>
          <w:p w14:paraId="7DCFD4D8" w14:textId="77777777" w:rsidR="00C1563E" w:rsidRDefault="00C1563E">
            <w:pPr>
              <w:rPr>
                <w:rFonts w:ascii="宋体"/>
                <w:vanish/>
              </w:rPr>
            </w:pPr>
          </w:p>
        </w:tc>
        <w:tc>
          <w:tcPr>
            <w:tcW w:w="0" w:type="auto"/>
            <w:shd w:val="clear" w:color="auto" w:fill="auto"/>
          </w:tcPr>
          <w:p w14:paraId="7DCFD4D9"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4D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D4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D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D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D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DF" w14:textId="77777777" w:rsidR="00C1563E" w:rsidRDefault="000B648B">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DCFD4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4E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E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4E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4E4" w14:textId="77777777" w:rsidR="00C1563E" w:rsidRDefault="000B648B">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7DCFD4E5" w14:textId="77777777" w:rsidR="00C1563E" w:rsidRDefault="00C1563E">
            <w:pPr>
              <w:jc w:val="right"/>
              <w:rPr>
                <w:rFonts w:ascii="宋体"/>
              </w:rPr>
            </w:pPr>
          </w:p>
        </w:tc>
      </w:tr>
      <w:tr w:rsidR="00C1563E" w14:paraId="7DCFD4FA" w14:textId="77777777">
        <w:trPr>
          <w:jc w:val="center"/>
        </w:trPr>
        <w:tc>
          <w:tcPr>
            <w:tcW w:w="0" w:type="auto"/>
            <w:gridSpan w:val="3"/>
            <w:shd w:val="clear" w:color="auto" w:fill="FFFFFF"/>
            <w:tcMar>
              <w:top w:w="40" w:type="dxa"/>
              <w:left w:w="245" w:type="dxa"/>
              <w:bottom w:w="40" w:type="dxa"/>
              <w:right w:w="20" w:type="dxa"/>
            </w:tcMar>
            <w:vAlign w:val="bottom"/>
          </w:tcPr>
          <w:p w14:paraId="7DCFD4E7"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4E8" w14:textId="77777777" w:rsidR="00C1563E" w:rsidRDefault="00C1563E">
            <w:pPr>
              <w:rPr>
                <w:rFonts w:ascii="宋体"/>
                <w:vanish/>
              </w:rPr>
            </w:pPr>
          </w:p>
        </w:tc>
        <w:tc>
          <w:tcPr>
            <w:tcW w:w="0" w:type="auto"/>
            <w:shd w:val="clear" w:color="auto" w:fill="auto"/>
          </w:tcPr>
          <w:p w14:paraId="7DCFD4E9" w14:textId="77777777" w:rsidR="00C1563E" w:rsidRDefault="00C1563E">
            <w:pPr>
              <w:rPr>
                <w:rFonts w:ascii="宋体"/>
                <w:vanish/>
              </w:rPr>
            </w:pPr>
          </w:p>
        </w:tc>
        <w:tc>
          <w:tcPr>
            <w:tcW w:w="0" w:type="auto"/>
            <w:shd w:val="clear" w:color="auto" w:fill="auto"/>
          </w:tcPr>
          <w:p w14:paraId="7DCFD4EA" w14:textId="77777777" w:rsidR="00C1563E" w:rsidRDefault="00C1563E">
            <w:pPr>
              <w:rPr>
                <w:rFonts w:ascii="宋体"/>
                <w:vanish/>
              </w:rPr>
            </w:pPr>
          </w:p>
        </w:tc>
        <w:tc>
          <w:tcPr>
            <w:tcW w:w="0" w:type="auto"/>
            <w:shd w:val="clear" w:color="auto" w:fill="auto"/>
          </w:tcPr>
          <w:p w14:paraId="7DCFD4EB" w14:textId="77777777" w:rsidR="00C1563E" w:rsidRDefault="00C1563E">
            <w:pPr>
              <w:rPr>
                <w:rFonts w:ascii="宋体"/>
                <w:vanish/>
              </w:rPr>
            </w:pPr>
          </w:p>
        </w:tc>
        <w:tc>
          <w:tcPr>
            <w:tcW w:w="0" w:type="auto"/>
            <w:shd w:val="clear" w:color="auto" w:fill="auto"/>
          </w:tcPr>
          <w:p w14:paraId="7DCFD4EC" w14:textId="77777777" w:rsidR="00C1563E" w:rsidRDefault="00C1563E">
            <w:pPr>
              <w:rPr>
                <w:rFonts w:ascii="宋体"/>
                <w:vanish/>
              </w:rPr>
            </w:pPr>
          </w:p>
        </w:tc>
        <w:tc>
          <w:tcPr>
            <w:tcW w:w="0" w:type="auto"/>
            <w:shd w:val="clear" w:color="auto" w:fill="auto"/>
          </w:tcPr>
          <w:p w14:paraId="7DCFD4ED"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4EE"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left w:w="0" w:type="dxa"/>
              <w:bottom w:w="40" w:type="dxa"/>
              <w:right w:w="20" w:type="dxa"/>
            </w:tcMar>
            <w:vAlign w:val="bottom"/>
          </w:tcPr>
          <w:p w14:paraId="7DCFD4E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F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F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F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F3" w14:textId="77777777" w:rsidR="00C1563E" w:rsidRDefault="000B648B">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7DCFD4F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4F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F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4F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4F8" w14:textId="77777777" w:rsidR="00C1563E" w:rsidRDefault="000B648B">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7DCFD4F9" w14:textId="77777777" w:rsidR="00C1563E" w:rsidRDefault="00C1563E">
            <w:pPr>
              <w:jc w:val="right"/>
              <w:rPr>
                <w:rFonts w:ascii="宋体"/>
              </w:rPr>
            </w:pPr>
          </w:p>
        </w:tc>
      </w:tr>
      <w:tr w:rsidR="00C1563E" w14:paraId="7DCFD50E" w14:textId="77777777">
        <w:trPr>
          <w:jc w:val="center"/>
        </w:trPr>
        <w:tc>
          <w:tcPr>
            <w:tcW w:w="0" w:type="auto"/>
            <w:gridSpan w:val="3"/>
            <w:shd w:val="clear" w:color="auto" w:fill="CCEEFF"/>
            <w:tcMar>
              <w:top w:w="40" w:type="dxa"/>
              <w:left w:w="245" w:type="dxa"/>
              <w:bottom w:w="40" w:type="dxa"/>
              <w:right w:w="20" w:type="dxa"/>
            </w:tcMar>
            <w:vAlign w:val="bottom"/>
          </w:tcPr>
          <w:p w14:paraId="7DCFD4FB"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4FC" w14:textId="77777777" w:rsidR="00C1563E" w:rsidRDefault="00C1563E">
            <w:pPr>
              <w:rPr>
                <w:rFonts w:ascii="宋体"/>
                <w:vanish/>
              </w:rPr>
            </w:pPr>
          </w:p>
        </w:tc>
        <w:tc>
          <w:tcPr>
            <w:tcW w:w="0" w:type="auto"/>
            <w:shd w:val="clear" w:color="auto" w:fill="auto"/>
          </w:tcPr>
          <w:p w14:paraId="7DCFD4FD" w14:textId="77777777" w:rsidR="00C1563E" w:rsidRDefault="00C1563E">
            <w:pPr>
              <w:rPr>
                <w:rFonts w:ascii="宋体"/>
                <w:vanish/>
              </w:rPr>
            </w:pPr>
          </w:p>
        </w:tc>
        <w:tc>
          <w:tcPr>
            <w:tcW w:w="0" w:type="auto"/>
            <w:shd w:val="clear" w:color="auto" w:fill="auto"/>
          </w:tcPr>
          <w:p w14:paraId="7DCFD4FE" w14:textId="77777777" w:rsidR="00C1563E" w:rsidRDefault="00C1563E">
            <w:pPr>
              <w:rPr>
                <w:rFonts w:ascii="宋体"/>
                <w:vanish/>
              </w:rPr>
            </w:pPr>
          </w:p>
        </w:tc>
        <w:tc>
          <w:tcPr>
            <w:tcW w:w="0" w:type="auto"/>
            <w:shd w:val="clear" w:color="auto" w:fill="auto"/>
          </w:tcPr>
          <w:p w14:paraId="7DCFD4FF" w14:textId="77777777" w:rsidR="00C1563E" w:rsidRDefault="00C1563E">
            <w:pPr>
              <w:rPr>
                <w:rFonts w:ascii="宋体"/>
                <w:vanish/>
              </w:rPr>
            </w:pPr>
          </w:p>
        </w:tc>
        <w:tc>
          <w:tcPr>
            <w:tcW w:w="0" w:type="auto"/>
            <w:shd w:val="clear" w:color="auto" w:fill="auto"/>
          </w:tcPr>
          <w:p w14:paraId="7DCFD500" w14:textId="77777777" w:rsidR="00C1563E" w:rsidRDefault="00C1563E">
            <w:pPr>
              <w:rPr>
                <w:rFonts w:ascii="宋体"/>
                <w:vanish/>
              </w:rPr>
            </w:pPr>
          </w:p>
        </w:tc>
        <w:tc>
          <w:tcPr>
            <w:tcW w:w="0" w:type="auto"/>
            <w:shd w:val="clear" w:color="auto" w:fill="auto"/>
          </w:tcPr>
          <w:p w14:paraId="7DCFD501"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502" w14:textId="77777777" w:rsidR="00C1563E" w:rsidRDefault="000B648B">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7DCFD50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0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0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0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07" w14:textId="77777777" w:rsidR="00C1563E" w:rsidRDefault="000B648B">
            <w:pPr>
              <w:jc w:val="right"/>
              <w:textAlignment w:val="bottom"/>
            </w:pPr>
            <w:r>
              <w:rPr>
                <w:rFonts w:ascii="Times New Roman" w:eastAsia="宋体" w:hAnsi="Times New Roman"/>
                <w:color w:val="000000"/>
                <w:sz w:val="20"/>
                <w:szCs w:val="20"/>
              </w:rPr>
              <w:t>72 </w:t>
            </w:r>
          </w:p>
        </w:tc>
        <w:tc>
          <w:tcPr>
            <w:tcW w:w="0" w:type="auto"/>
            <w:shd w:val="clear" w:color="auto" w:fill="CCEEFF"/>
            <w:tcMar>
              <w:top w:w="40" w:type="dxa"/>
              <w:left w:w="0" w:type="dxa"/>
              <w:bottom w:w="40" w:type="dxa"/>
              <w:right w:w="20" w:type="dxa"/>
            </w:tcMar>
            <w:vAlign w:val="bottom"/>
          </w:tcPr>
          <w:p w14:paraId="7DCFD50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0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0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0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0C" w14:textId="77777777" w:rsidR="00C1563E" w:rsidRDefault="000B648B">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7DCFD50D" w14:textId="77777777" w:rsidR="00C1563E" w:rsidRDefault="00C1563E">
            <w:pPr>
              <w:jc w:val="right"/>
              <w:rPr>
                <w:rFonts w:ascii="宋体"/>
              </w:rPr>
            </w:pPr>
          </w:p>
        </w:tc>
      </w:tr>
      <w:tr w:rsidR="00C1563E" w14:paraId="7DCFD527" w14:textId="77777777">
        <w:trPr>
          <w:jc w:val="center"/>
        </w:trPr>
        <w:tc>
          <w:tcPr>
            <w:tcW w:w="0" w:type="auto"/>
            <w:gridSpan w:val="3"/>
            <w:shd w:val="clear" w:color="auto" w:fill="FFFFFF"/>
            <w:tcMar>
              <w:top w:w="40" w:type="dxa"/>
              <w:left w:w="515" w:type="dxa"/>
              <w:bottom w:w="40" w:type="dxa"/>
              <w:right w:w="20" w:type="dxa"/>
            </w:tcMar>
            <w:vAlign w:val="bottom"/>
          </w:tcPr>
          <w:p w14:paraId="7DCFD50F" w14:textId="77777777" w:rsidR="00C1563E" w:rsidRDefault="000B648B">
            <w:pPr>
              <w:textAlignment w:val="bottom"/>
            </w:pPr>
            <w:r>
              <w:rPr>
                <w:rFonts w:ascii="Times New Roman" w:eastAsia="宋体" w:hAnsi="Times New Roman"/>
                <w:color w:val="000000"/>
                <w:sz w:val="20"/>
                <w:szCs w:val="20"/>
              </w:rPr>
              <w:t>Non-GAAP gross margin</w:t>
            </w:r>
          </w:p>
        </w:tc>
        <w:tc>
          <w:tcPr>
            <w:tcW w:w="0" w:type="auto"/>
            <w:shd w:val="clear" w:color="auto" w:fill="auto"/>
          </w:tcPr>
          <w:p w14:paraId="7DCFD510" w14:textId="77777777" w:rsidR="00C1563E" w:rsidRDefault="00C1563E">
            <w:pPr>
              <w:rPr>
                <w:rFonts w:ascii="宋体"/>
                <w:vanish/>
              </w:rPr>
            </w:pPr>
          </w:p>
        </w:tc>
        <w:tc>
          <w:tcPr>
            <w:tcW w:w="0" w:type="auto"/>
            <w:shd w:val="clear" w:color="auto" w:fill="auto"/>
          </w:tcPr>
          <w:p w14:paraId="7DCFD511" w14:textId="77777777" w:rsidR="00C1563E" w:rsidRDefault="00C1563E">
            <w:pPr>
              <w:rPr>
                <w:rFonts w:ascii="宋体"/>
                <w:vanish/>
              </w:rPr>
            </w:pPr>
          </w:p>
        </w:tc>
        <w:tc>
          <w:tcPr>
            <w:tcW w:w="0" w:type="auto"/>
            <w:shd w:val="clear" w:color="auto" w:fill="auto"/>
          </w:tcPr>
          <w:p w14:paraId="7DCFD512" w14:textId="77777777" w:rsidR="00C1563E" w:rsidRDefault="00C1563E">
            <w:pPr>
              <w:rPr>
                <w:rFonts w:ascii="宋体"/>
                <w:vanish/>
              </w:rPr>
            </w:pPr>
          </w:p>
        </w:tc>
        <w:tc>
          <w:tcPr>
            <w:tcW w:w="0" w:type="auto"/>
            <w:shd w:val="clear" w:color="auto" w:fill="auto"/>
          </w:tcPr>
          <w:p w14:paraId="7DCFD513" w14:textId="77777777" w:rsidR="00C1563E" w:rsidRDefault="00C1563E">
            <w:pPr>
              <w:rPr>
                <w:rFonts w:ascii="宋体"/>
                <w:vanish/>
              </w:rPr>
            </w:pPr>
          </w:p>
        </w:tc>
        <w:tc>
          <w:tcPr>
            <w:tcW w:w="0" w:type="auto"/>
            <w:shd w:val="clear" w:color="auto" w:fill="auto"/>
          </w:tcPr>
          <w:p w14:paraId="7DCFD514" w14:textId="77777777" w:rsidR="00C1563E" w:rsidRDefault="00C1563E">
            <w:pPr>
              <w:rPr>
                <w:rFonts w:ascii="宋体"/>
                <w:vanish/>
              </w:rPr>
            </w:pPr>
          </w:p>
        </w:tc>
        <w:tc>
          <w:tcPr>
            <w:tcW w:w="0" w:type="auto"/>
            <w:shd w:val="clear" w:color="auto" w:fill="auto"/>
          </w:tcPr>
          <w:p w14:paraId="7DCFD515"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51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517" w14:textId="77777777" w:rsidR="00C1563E" w:rsidRDefault="000B648B">
            <w:pPr>
              <w:jc w:val="right"/>
              <w:textAlignment w:val="bottom"/>
            </w:pPr>
            <w:r>
              <w:rPr>
                <w:rFonts w:ascii="Times New Roman" w:eastAsia="宋体" w:hAnsi="Times New Roman"/>
                <w:color w:val="000000"/>
                <w:sz w:val="20"/>
                <w:szCs w:val="20"/>
              </w:rPr>
              <w:t>31,346 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51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1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1A"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DCFD51B"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51C"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51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51E" w14:textId="77777777" w:rsidR="00C1563E" w:rsidRDefault="000B648B">
            <w:pPr>
              <w:jc w:val="right"/>
              <w:textAlignment w:val="bottom"/>
            </w:pPr>
            <w:r>
              <w:rPr>
                <w:rFonts w:ascii="Times New Roman" w:eastAsia="宋体" w:hAnsi="Times New Roman"/>
                <w:color w:val="000000"/>
                <w:sz w:val="20"/>
                <w:szCs w:val="20"/>
              </w:rPr>
              <w:t>31,563 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51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2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21"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DCFD522"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523"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52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525" w14:textId="77777777" w:rsidR="00C1563E" w:rsidRDefault="000B648B">
            <w:pPr>
              <w:jc w:val="right"/>
              <w:textAlignment w:val="bottom"/>
            </w:pPr>
            <w:r>
              <w:rPr>
                <w:rFonts w:ascii="Times New Roman" w:eastAsia="宋体" w:hAnsi="Times New Roman"/>
                <w:color w:val="000000"/>
                <w:sz w:val="20"/>
                <w:szCs w:val="20"/>
              </w:rPr>
              <w:t>29,022 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526" w14:textId="77777777" w:rsidR="00C1563E" w:rsidRDefault="00C1563E">
            <w:pPr>
              <w:jc w:val="right"/>
              <w:rPr>
                <w:rFonts w:ascii="宋体"/>
              </w:rPr>
            </w:pPr>
          </w:p>
        </w:tc>
      </w:tr>
      <w:tr w:rsidR="00C1563E" w14:paraId="7DCFD538" w14:textId="77777777">
        <w:trPr>
          <w:trHeight w:val="300"/>
          <w:jc w:val="center"/>
        </w:trPr>
        <w:tc>
          <w:tcPr>
            <w:tcW w:w="0" w:type="auto"/>
            <w:gridSpan w:val="3"/>
            <w:shd w:val="clear" w:color="auto" w:fill="CCEEFF"/>
            <w:tcMar>
              <w:top w:w="0" w:type="dxa"/>
              <w:left w:w="20" w:type="dxa"/>
              <w:bottom w:w="0" w:type="dxa"/>
              <w:right w:w="20" w:type="dxa"/>
            </w:tcMar>
          </w:tcPr>
          <w:p w14:paraId="7DCFD528" w14:textId="77777777" w:rsidR="00C1563E" w:rsidRDefault="00C1563E">
            <w:pPr>
              <w:rPr>
                <w:rFonts w:ascii="宋体"/>
              </w:rPr>
            </w:pPr>
          </w:p>
        </w:tc>
        <w:tc>
          <w:tcPr>
            <w:tcW w:w="0" w:type="auto"/>
            <w:shd w:val="clear" w:color="auto" w:fill="auto"/>
          </w:tcPr>
          <w:p w14:paraId="7DCFD529" w14:textId="77777777" w:rsidR="00C1563E" w:rsidRDefault="00C1563E">
            <w:pPr>
              <w:rPr>
                <w:rFonts w:ascii="宋体"/>
                <w:vanish/>
              </w:rPr>
            </w:pPr>
          </w:p>
        </w:tc>
        <w:tc>
          <w:tcPr>
            <w:tcW w:w="0" w:type="auto"/>
            <w:shd w:val="clear" w:color="auto" w:fill="auto"/>
          </w:tcPr>
          <w:p w14:paraId="7DCFD52A" w14:textId="77777777" w:rsidR="00C1563E" w:rsidRDefault="00C1563E">
            <w:pPr>
              <w:rPr>
                <w:rFonts w:ascii="宋体"/>
                <w:vanish/>
              </w:rPr>
            </w:pPr>
          </w:p>
        </w:tc>
        <w:tc>
          <w:tcPr>
            <w:tcW w:w="0" w:type="auto"/>
            <w:shd w:val="clear" w:color="auto" w:fill="auto"/>
          </w:tcPr>
          <w:p w14:paraId="7DCFD52B" w14:textId="77777777" w:rsidR="00C1563E" w:rsidRDefault="00C1563E">
            <w:pPr>
              <w:rPr>
                <w:rFonts w:ascii="宋体"/>
                <w:vanish/>
              </w:rPr>
            </w:pPr>
          </w:p>
        </w:tc>
        <w:tc>
          <w:tcPr>
            <w:tcW w:w="0" w:type="auto"/>
            <w:shd w:val="clear" w:color="auto" w:fill="auto"/>
          </w:tcPr>
          <w:p w14:paraId="7DCFD52C" w14:textId="77777777" w:rsidR="00C1563E" w:rsidRDefault="00C1563E">
            <w:pPr>
              <w:rPr>
                <w:rFonts w:ascii="宋体"/>
                <w:vanish/>
              </w:rPr>
            </w:pPr>
          </w:p>
        </w:tc>
        <w:tc>
          <w:tcPr>
            <w:tcW w:w="0" w:type="auto"/>
            <w:shd w:val="clear" w:color="auto" w:fill="auto"/>
          </w:tcPr>
          <w:p w14:paraId="7DCFD52D" w14:textId="77777777" w:rsidR="00C1563E" w:rsidRDefault="00C1563E">
            <w:pPr>
              <w:rPr>
                <w:rFonts w:ascii="宋体"/>
                <w:vanish/>
              </w:rPr>
            </w:pPr>
          </w:p>
        </w:tc>
        <w:tc>
          <w:tcPr>
            <w:tcW w:w="0" w:type="auto"/>
            <w:shd w:val="clear" w:color="auto" w:fill="auto"/>
          </w:tcPr>
          <w:p w14:paraId="7DCFD52E" w14:textId="77777777" w:rsidR="00C1563E" w:rsidRDefault="00C1563E">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52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2"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53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36"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537" w14:textId="77777777" w:rsidR="00C1563E" w:rsidRDefault="00C1563E">
            <w:pPr>
              <w:rPr>
                <w:rFonts w:ascii="宋体"/>
              </w:rPr>
            </w:pPr>
          </w:p>
        </w:tc>
      </w:tr>
      <w:tr w:rsidR="00C1563E" w14:paraId="7DCFD551" w14:textId="77777777">
        <w:trPr>
          <w:jc w:val="center"/>
        </w:trPr>
        <w:tc>
          <w:tcPr>
            <w:tcW w:w="0" w:type="auto"/>
            <w:gridSpan w:val="3"/>
            <w:shd w:val="clear" w:color="auto" w:fill="FFFFFF"/>
            <w:tcMar>
              <w:top w:w="40" w:type="dxa"/>
              <w:left w:w="20" w:type="dxa"/>
              <w:bottom w:w="40" w:type="dxa"/>
              <w:right w:w="20" w:type="dxa"/>
            </w:tcMar>
            <w:vAlign w:val="bottom"/>
          </w:tcPr>
          <w:p w14:paraId="7DCFD539" w14:textId="77777777" w:rsidR="00C1563E" w:rsidRDefault="000B648B">
            <w:pPr>
              <w:textAlignment w:val="bottom"/>
            </w:pPr>
            <w:r>
              <w:rPr>
                <w:rFonts w:ascii="Times New Roman" w:eastAsia="宋体" w:hAnsi="Times New Roman"/>
                <w:color w:val="000000"/>
                <w:sz w:val="20"/>
                <w:szCs w:val="20"/>
              </w:rPr>
              <w:t>Operating expenses</w:t>
            </w:r>
          </w:p>
        </w:tc>
        <w:tc>
          <w:tcPr>
            <w:tcW w:w="0" w:type="auto"/>
            <w:shd w:val="clear" w:color="auto" w:fill="auto"/>
          </w:tcPr>
          <w:p w14:paraId="7DCFD53A" w14:textId="77777777" w:rsidR="00C1563E" w:rsidRDefault="00C1563E">
            <w:pPr>
              <w:rPr>
                <w:rFonts w:ascii="宋体"/>
                <w:vanish/>
              </w:rPr>
            </w:pPr>
          </w:p>
        </w:tc>
        <w:tc>
          <w:tcPr>
            <w:tcW w:w="0" w:type="auto"/>
            <w:shd w:val="clear" w:color="auto" w:fill="auto"/>
          </w:tcPr>
          <w:p w14:paraId="7DCFD53B" w14:textId="77777777" w:rsidR="00C1563E" w:rsidRDefault="00C1563E">
            <w:pPr>
              <w:rPr>
                <w:rFonts w:ascii="宋体"/>
                <w:vanish/>
              </w:rPr>
            </w:pPr>
          </w:p>
        </w:tc>
        <w:tc>
          <w:tcPr>
            <w:tcW w:w="0" w:type="auto"/>
            <w:shd w:val="clear" w:color="auto" w:fill="auto"/>
          </w:tcPr>
          <w:p w14:paraId="7DCFD53C" w14:textId="77777777" w:rsidR="00C1563E" w:rsidRDefault="00C1563E">
            <w:pPr>
              <w:rPr>
                <w:rFonts w:ascii="宋体"/>
                <w:vanish/>
              </w:rPr>
            </w:pPr>
          </w:p>
        </w:tc>
        <w:tc>
          <w:tcPr>
            <w:tcW w:w="0" w:type="auto"/>
            <w:shd w:val="clear" w:color="auto" w:fill="auto"/>
          </w:tcPr>
          <w:p w14:paraId="7DCFD53D" w14:textId="77777777" w:rsidR="00C1563E" w:rsidRDefault="00C1563E">
            <w:pPr>
              <w:rPr>
                <w:rFonts w:ascii="宋体"/>
                <w:vanish/>
              </w:rPr>
            </w:pPr>
          </w:p>
        </w:tc>
        <w:tc>
          <w:tcPr>
            <w:tcW w:w="0" w:type="auto"/>
            <w:shd w:val="clear" w:color="auto" w:fill="auto"/>
          </w:tcPr>
          <w:p w14:paraId="7DCFD53E" w14:textId="77777777" w:rsidR="00C1563E" w:rsidRDefault="00C1563E">
            <w:pPr>
              <w:rPr>
                <w:rFonts w:ascii="宋体"/>
                <w:vanish/>
              </w:rPr>
            </w:pPr>
          </w:p>
        </w:tc>
        <w:tc>
          <w:tcPr>
            <w:tcW w:w="0" w:type="auto"/>
            <w:shd w:val="clear" w:color="auto" w:fill="auto"/>
          </w:tcPr>
          <w:p w14:paraId="7DCFD53F"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54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541" w14:textId="77777777" w:rsidR="00C1563E" w:rsidRDefault="000B648B">
            <w:pPr>
              <w:jc w:val="right"/>
              <w:textAlignment w:val="bottom"/>
            </w:pPr>
            <w:r>
              <w:rPr>
                <w:rFonts w:ascii="Times New Roman" w:eastAsia="宋体" w:hAnsi="Times New Roman"/>
                <w:color w:val="000000"/>
                <w:sz w:val="20"/>
                <w:szCs w:val="20"/>
              </w:rPr>
              <w:t>24,273 </w:t>
            </w:r>
          </w:p>
        </w:tc>
        <w:tc>
          <w:tcPr>
            <w:tcW w:w="0" w:type="auto"/>
            <w:shd w:val="clear" w:color="auto" w:fill="FFFFFF"/>
            <w:tcMar>
              <w:top w:w="40" w:type="dxa"/>
              <w:left w:w="0" w:type="dxa"/>
              <w:bottom w:w="40" w:type="dxa"/>
              <w:right w:w="20" w:type="dxa"/>
            </w:tcMar>
            <w:vAlign w:val="bottom"/>
          </w:tcPr>
          <w:p w14:paraId="7DCFD54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4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44"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7DCFD545"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546"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54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548" w14:textId="77777777" w:rsidR="00C1563E" w:rsidRDefault="000B648B">
            <w:pPr>
              <w:jc w:val="right"/>
              <w:textAlignment w:val="bottom"/>
            </w:pPr>
            <w:r>
              <w:rPr>
                <w:rFonts w:ascii="Times New Roman" w:eastAsia="宋体" w:hAnsi="Times New Roman"/>
                <w:color w:val="000000"/>
                <w:sz w:val="20"/>
                <w:szCs w:val="20"/>
              </w:rPr>
              <w:t>26,311 </w:t>
            </w:r>
          </w:p>
        </w:tc>
        <w:tc>
          <w:tcPr>
            <w:tcW w:w="0" w:type="auto"/>
            <w:shd w:val="clear" w:color="auto" w:fill="FFFFFF"/>
            <w:tcMar>
              <w:top w:w="40" w:type="dxa"/>
              <w:left w:w="0" w:type="dxa"/>
              <w:bottom w:w="40" w:type="dxa"/>
              <w:right w:w="20" w:type="dxa"/>
            </w:tcMar>
            <w:vAlign w:val="bottom"/>
          </w:tcPr>
          <w:p w14:paraId="7DCFD54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4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4B" w14:textId="77777777" w:rsidR="00C1563E" w:rsidRDefault="000B648B">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DCFD54C"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54D"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54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54F" w14:textId="77777777" w:rsidR="00C1563E" w:rsidRDefault="000B648B">
            <w:pPr>
              <w:jc w:val="right"/>
              <w:textAlignment w:val="bottom"/>
            </w:pPr>
            <w:r>
              <w:rPr>
                <w:rFonts w:ascii="Times New Roman" w:eastAsia="宋体" w:hAnsi="Times New Roman"/>
                <w:color w:val="000000"/>
                <w:sz w:val="20"/>
                <w:szCs w:val="20"/>
              </w:rPr>
              <w:t>25,244 </w:t>
            </w:r>
          </w:p>
        </w:tc>
        <w:tc>
          <w:tcPr>
            <w:tcW w:w="0" w:type="auto"/>
            <w:shd w:val="clear" w:color="auto" w:fill="FFFFFF"/>
            <w:tcMar>
              <w:top w:w="40" w:type="dxa"/>
              <w:left w:w="0" w:type="dxa"/>
              <w:bottom w:w="40" w:type="dxa"/>
              <w:right w:w="20" w:type="dxa"/>
            </w:tcMar>
            <w:vAlign w:val="bottom"/>
          </w:tcPr>
          <w:p w14:paraId="7DCFD550" w14:textId="77777777" w:rsidR="00C1563E" w:rsidRDefault="00C1563E">
            <w:pPr>
              <w:jc w:val="right"/>
              <w:rPr>
                <w:rFonts w:ascii="宋体"/>
              </w:rPr>
            </w:pPr>
          </w:p>
        </w:tc>
      </w:tr>
      <w:tr w:rsidR="00C1563E" w14:paraId="7DCFD562" w14:textId="77777777">
        <w:trPr>
          <w:jc w:val="center"/>
        </w:trPr>
        <w:tc>
          <w:tcPr>
            <w:tcW w:w="0" w:type="auto"/>
            <w:gridSpan w:val="3"/>
            <w:shd w:val="clear" w:color="auto" w:fill="CCEEFF"/>
            <w:tcMar>
              <w:top w:w="40" w:type="dxa"/>
              <w:left w:w="155" w:type="dxa"/>
              <w:bottom w:w="40" w:type="dxa"/>
              <w:right w:w="20" w:type="dxa"/>
            </w:tcMar>
            <w:vAlign w:val="bottom"/>
          </w:tcPr>
          <w:p w14:paraId="7DCFD552"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553" w14:textId="77777777" w:rsidR="00C1563E" w:rsidRDefault="00C1563E">
            <w:pPr>
              <w:rPr>
                <w:rFonts w:ascii="宋体"/>
                <w:vanish/>
              </w:rPr>
            </w:pPr>
          </w:p>
        </w:tc>
        <w:tc>
          <w:tcPr>
            <w:tcW w:w="0" w:type="auto"/>
            <w:shd w:val="clear" w:color="auto" w:fill="auto"/>
          </w:tcPr>
          <w:p w14:paraId="7DCFD554" w14:textId="77777777" w:rsidR="00C1563E" w:rsidRDefault="00C1563E">
            <w:pPr>
              <w:rPr>
                <w:rFonts w:ascii="宋体"/>
                <w:vanish/>
              </w:rPr>
            </w:pPr>
          </w:p>
        </w:tc>
        <w:tc>
          <w:tcPr>
            <w:tcW w:w="0" w:type="auto"/>
            <w:shd w:val="clear" w:color="auto" w:fill="auto"/>
          </w:tcPr>
          <w:p w14:paraId="7DCFD555" w14:textId="77777777" w:rsidR="00C1563E" w:rsidRDefault="00C1563E">
            <w:pPr>
              <w:rPr>
                <w:rFonts w:ascii="宋体"/>
                <w:vanish/>
              </w:rPr>
            </w:pPr>
          </w:p>
        </w:tc>
        <w:tc>
          <w:tcPr>
            <w:tcW w:w="0" w:type="auto"/>
            <w:shd w:val="clear" w:color="auto" w:fill="auto"/>
          </w:tcPr>
          <w:p w14:paraId="7DCFD556" w14:textId="77777777" w:rsidR="00C1563E" w:rsidRDefault="00C1563E">
            <w:pPr>
              <w:rPr>
                <w:rFonts w:ascii="宋体"/>
                <w:vanish/>
              </w:rPr>
            </w:pPr>
          </w:p>
        </w:tc>
        <w:tc>
          <w:tcPr>
            <w:tcW w:w="0" w:type="auto"/>
            <w:shd w:val="clear" w:color="auto" w:fill="auto"/>
          </w:tcPr>
          <w:p w14:paraId="7DCFD557" w14:textId="77777777" w:rsidR="00C1563E" w:rsidRDefault="00C1563E">
            <w:pPr>
              <w:rPr>
                <w:rFonts w:ascii="宋体"/>
                <w:vanish/>
              </w:rPr>
            </w:pPr>
          </w:p>
        </w:tc>
        <w:tc>
          <w:tcPr>
            <w:tcW w:w="0" w:type="auto"/>
            <w:shd w:val="clear" w:color="auto" w:fill="auto"/>
          </w:tcPr>
          <w:p w14:paraId="7DCFD558"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55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5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6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61" w14:textId="77777777" w:rsidR="00C1563E" w:rsidRDefault="00C1563E">
            <w:pPr>
              <w:rPr>
                <w:rFonts w:ascii="宋体"/>
              </w:rPr>
            </w:pPr>
          </w:p>
        </w:tc>
      </w:tr>
      <w:tr w:rsidR="00C1563E" w14:paraId="7DCFD576" w14:textId="77777777">
        <w:trPr>
          <w:jc w:val="center"/>
        </w:trPr>
        <w:tc>
          <w:tcPr>
            <w:tcW w:w="0" w:type="auto"/>
            <w:gridSpan w:val="3"/>
            <w:shd w:val="clear" w:color="auto" w:fill="FFFFFF"/>
            <w:tcMar>
              <w:top w:w="40" w:type="dxa"/>
              <w:left w:w="245" w:type="dxa"/>
              <w:bottom w:w="40" w:type="dxa"/>
              <w:right w:w="20" w:type="dxa"/>
            </w:tcMar>
            <w:vAlign w:val="bottom"/>
          </w:tcPr>
          <w:p w14:paraId="7DCFD563" w14:textId="77777777" w:rsidR="00C1563E" w:rsidRDefault="000B648B">
            <w:pPr>
              <w:textAlignment w:val="bottom"/>
            </w:pPr>
            <w:r>
              <w:rPr>
                <w:rFonts w:ascii="Times New Roman" w:eastAsia="宋体" w:hAnsi="Times New Roman"/>
                <w:color w:val="000000"/>
                <w:sz w:val="20"/>
                <w:szCs w:val="20"/>
              </w:rPr>
              <w:t xml:space="preserve">Amortization of </w:t>
            </w:r>
            <w:r>
              <w:rPr>
                <w:rFonts w:ascii="Times New Roman" w:eastAsia="宋体" w:hAnsi="Times New Roman"/>
                <w:color w:val="000000"/>
                <w:sz w:val="20"/>
                <w:szCs w:val="20"/>
              </w:rPr>
              <w:t>intangibles</w:t>
            </w:r>
          </w:p>
        </w:tc>
        <w:tc>
          <w:tcPr>
            <w:tcW w:w="0" w:type="auto"/>
            <w:shd w:val="clear" w:color="auto" w:fill="auto"/>
          </w:tcPr>
          <w:p w14:paraId="7DCFD564" w14:textId="77777777" w:rsidR="00C1563E" w:rsidRDefault="00C1563E">
            <w:pPr>
              <w:rPr>
                <w:rFonts w:ascii="宋体"/>
                <w:vanish/>
              </w:rPr>
            </w:pPr>
          </w:p>
        </w:tc>
        <w:tc>
          <w:tcPr>
            <w:tcW w:w="0" w:type="auto"/>
            <w:shd w:val="clear" w:color="auto" w:fill="auto"/>
          </w:tcPr>
          <w:p w14:paraId="7DCFD565" w14:textId="77777777" w:rsidR="00C1563E" w:rsidRDefault="00C1563E">
            <w:pPr>
              <w:rPr>
                <w:rFonts w:ascii="宋体"/>
                <w:vanish/>
              </w:rPr>
            </w:pPr>
          </w:p>
        </w:tc>
        <w:tc>
          <w:tcPr>
            <w:tcW w:w="0" w:type="auto"/>
            <w:shd w:val="clear" w:color="auto" w:fill="auto"/>
          </w:tcPr>
          <w:p w14:paraId="7DCFD566" w14:textId="77777777" w:rsidR="00C1563E" w:rsidRDefault="00C1563E">
            <w:pPr>
              <w:rPr>
                <w:rFonts w:ascii="宋体"/>
                <w:vanish/>
              </w:rPr>
            </w:pPr>
          </w:p>
        </w:tc>
        <w:tc>
          <w:tcPr>
            <w:tcW w:w="0" w:type="auto"/>
            <w:shd w:val="clear" w:color="auto" w:fill="auto"/>
          </w:tcPr>
          <w:p w14:paraId="7DCFD567" w14:textId="77777777" w:rsidR="00C1563E" w:rsidRDefault="00C1563E">
            <w:pPr>
              <w:rPr>
                <w:rFonts w:ascii="宋体"/>
                <w:vanish/>
              </w:rPr>
            </w:pPr>
          </w:p>
        </w:tc>
        <w:tc>
          <w:tcPr>
            <w:tcW w:w="0" w:type="auto"/>
            <w:shd w:val="clear" w:color="auto" w:fill="auto"/>
          </w:tcPr>
          <w:p w14:paraId="7DCFD568" w14:textId="77777777" w:rsidR="00C1563E" w:rsidRDefault="00C1563E">
            <w:pPr>
              <w:rPr>
                <w:rFonts w:ascii="宋体"/>
                <w:vanish/>
              </w:rPr>
            </w:pPr>
          </w:p>
        </w:tc>
        <w:tc>
          <w:tcPr>
            <w:tcW w:w="0" w:type="auto"/>
            <w:shd w:val="clear" w:color="auto" w:fill="auto"/>
          </w:tcPr>
          <w:p w14:paraId="7DCFD569"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56A" w14:textId="77777777" w:rsidR="00C1563E" w:rsidRDefault="000B648B">
            <w:pPr>
              <w:jc w:val="right"/>
              <w:textAlignment w:val="bottom"/>
            </w:pPr>
            <w:r>
              <w:rPr>
                <w:rFonts w:ascii="Times New Roman" w:eastAsia="宋体" w:hAnsi="Times New Roman"/>
                <w:color w:val="000000"/>
                <w:sz w:val="20"/>
                <w:szCs w:val="20"/>
              </w:rPr>
              <w:t>(1,891)</w:t>
            </w:r>
          </w:p>
        </w:tc>
        <w:tc>
          <w:tcPr>
            <w:tcW w:w="0" w:type="auto"/>
            <w:shd w:val="clear" w:color="auto" w:fill="FFFFFF"/>
            <w:tcMar>
              <w:top w:w="40" w:type="dxa"/>
              <w:left w:w="0" w:type="dxa"/>
              <w:bottom w:w="40" w:type="dxa"/>
              <w:right w:w="20" w:type="dxa"/>
            </w:tcMar>
            <w:vAlign w:val="bottom"/>
          </w:tcPr>
          <w:p w14:paraId="7DCFD56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6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6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6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6F" w14:textId="77777777" w:rsidR="00C1563E" w:rsidRDefault="000B648B">
            <w:pPr>
              <w:jc w:val="right"/>
              <w:textAlignment w:val="bottom"/>
            </w:pPr>
            <w:r>
              <w:rPr>
                <w:rFonts w:ascii="Times New Roman" w:eastAsia="宋体" w:hAnsi="Times New Roman"/>
                <w:color w:val="000000"/>
                <w:sz w:val="20"/>
                <w:szCs w:val="20"/>
              </w:rPr>
              <w:t>(2,327)</w:t>
            </w:r>
          </w:p>
        </w:tc>
        <w:tc>
          <w:tcPr>
            <w:tcW w:w="0" w:type="auto"/>
            <w:shd w:val="clear" w:color="auto" w:fill="FFFFFF"/>
            <w:tcMar>
              <w:top w:w="40" w:type="dxa"/>
              <w:left w:w="0" w:type="dxa"/>
              <w:bottom w:w="40" w:type="dxa"/>
              <w:right w:w="20" w:type="dxa"/>
            </w:tcMar>
            <w:vAlign w:val="bottom"/>
          </w:tcPr>
          <w:p w14:paraId="7DCFD5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7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7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7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74" w14:textId="77777777" w:rsidR="00C1563E" w:rsidRDefault="000B648B">
            <w:pPr>
              <w:jc w:val="right"/>
              <w:textAlignment w:val="bottom"/>
            </w:pPr>
            <w:r>
              <w:rPr>
                <w:rFonts w:ascii="Times New Roman" w:eastAsia="宋体" w:hAnsi="Times New Roman"/>
                <w:color w:val="000000"/>
                <w:sz w:val="20"/>
                <w:szCs w:val="20"/>
              </w:rPr>
              <w:t>(3,255)</w:t>
            </w:r>
          </w:p>
        </w:tc>
        <w:tc>
          <w:tcPr>
            <w:tcW w:w="0" w:type="auto"/>
            <w:shd w:val="clear" w:color="auto" w:fill="FFFFFF"/>
            <w:tcMar>
              <w:top w:w="40" w:type="dxa"/>
              <w:left w:w="0" w:type="dxa"/>
              <w:bottom w:w="40" w:type="dxa"/>
              <w:right w:w="20" w:type="dxa"/>
            </w:tcMar>
            <w:vAlign w:val="bottom"/>
          </w:tcPr>
          <w:p w14:paraId="7DCFD575" w14:textId="77777777" w:rsidR="00C1563E" w:rsidRDefault="00C1563E">
            <w:pPr>
              <w:jc w:val="right"/>
              <w:rPr>
                <w:rFonts w:ascii="宋体"/>
              </w:rPr>
            </w:pPr>
          </w:p>
        </w:tc>
      </w:tr>
      <w:tr w:rsidR="00C1563E" w14:paraId="7DCFD58A" w14:textId="77777777">
        <w:trPr>
          <w:jc w:val="center"/>
        </w:trPr>
        <w:tc>
          <w:tcPr>
            <w:tcW w:w="0" w:type="auto"/>
            <w:gridSpan w:val="3"/>
            <w:shd w:val="clear" w:color="auto" w:fill="CCEEFF"/>
            <w:tcMar>
              <w:top w:w="40" w:type="dxa"/>
              <w:left w:w="245" w:type="dxa"/>
              <w:bottom w:w="40" w:type="dxa"/>
              <w:right w:w="20" w:type="dxa"/>
            </w:tcMar>
            <w:vAlign w:val="bottom"/>
          </w:tcPr>
          <w:p w14:paraId="7DCFD577"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578" w14:textId="77777777" w:rsidR="00C1563E" w:rsidRDefault="00C1563E">
            <w:pPr>
              <w:rPr>
                <w:rFonts w:ascii="宋体"/>
                <w:vanish/>
              </w:rPr>
            </w:pPr>
          </w:p>
        </w:tc>
        <w:tc>
          <w:tcPr>
            <w:tcW w:w="0" w:type="auto"/>
            <w:shd w:val="clear" w:color="auto" w:fill="auto"/>
          </w:tcPr>
          <w:p w14:paraId="7DCFD579" w14:textId="77777777" w:rsidR="00C1563E" w:rsidRDefault="00C1563E">
            <w:pPr>
              <w:rPr>
                <w:rFonts w:ascii="宋体"/>
                <w:vanish/>
              </w:rPr>
            </w:pPr>
          </w:p>
        </w:tc>
        <w:tc>
          <w:tcPr>
            <w:tcW w:w="0" w:type="auto"/>
            <w:shd w:val="clear" w:color="auto" w:fill="auto"/>
          </w:tcPr>
          <w:p w14:paraId="7DCFD57A" w14:textId="77777777" w:rsidR="00C1563E" w:rsidRDefault="00C1563E">
            <w:pPr>
              <w:rPr>
                <w:rFonts w:ascii="宋体"/>
                <w:vanish/>
              </w:rPr>
            </w:pPr>
          </w:p>
        </w:tc>
        <w:tc>
          <w:tcPr>
            <w:tcW w:w="0" w:type="auto"/>
            <w:shd w:val="clear" w:color="auto" w:fill="auto"/>
          </w:tcPr>
          <w:p w14:paraId="7DCFD57B" w14:textId="77777777" w:rsidR="00C1563E" w:rsidRDefault="00C1563E">
            <w:pPr>
              <w:rPr>
                <w:rFonts w:ascii="宋体"/>
                <w:vanish/>
              </w:rPr>
            </w:pPr>
          </w:p>
        </w:tc>
        <w:tc>
          <w:tcPr>
            <w:tcW w:w="0" w:type="auto"/>
            <w:shd w:val="clear" w:color="auto" w:fill="auto"/>
          </w:tcPr>
          <w:p w14:paraId="7DCFD57C" w14:textId="77777777" w:rsidR="00C1563E" w:rsidRDefault="00C1563E">
            <w:pPr>
              <w:rPr>
                <w:rFonts w:ascii="宋体"/>
                <w:vanish/>
              </w:rPr>
            </w:pPr>
          </w:p>
        </w:tc>
        <w:tc>
          <w:tcPr>
            <w:tcW w:w="0" w:type="auto"/>
            <w:shd w:val="clear" w:color="auto" w:fill="auto"/>
          </w:tcPr>
          <w:p w14:paraId="7DCFD57D"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57E" w14:textId="77777777" w:rsidR="00C1563E" w:rsidRDefault="000B648B">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7DCFD57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8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8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8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83" w14:textId="77777777" w:rsidR="00C1563E" w:rsidRDefault="000B648B">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7DCFD58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8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8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88" w14:textId="77777777" w:rsidR="00C1563E" w:rsidRDefault="000B648B">
            <w:pPr>
              <w:jc w:val="right"/>
              <w:textAlignment w:val="bottom"/>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bottom"/>
          </w:tcPr>
          <w:p w14:paraId="7DCFD589" w14:textId="77777777" w:rsidR="00C1563E" w:rsidRDefault="00C1563E">
            <w:pPr>
              <w:jc w:val="right"/>
              <w:rPr>
                <w:rFonts w:ascii="宋体"/>
              </w:rPr>
            </w:pPr>
          </w:p>
        </w:tc>
      </w:tr>
      <w:tr w:rsidR="00C1563E" w14:paraId="7DCFD59E" w14:textId="77777777">
        <w:trPr>
          <w:jc w:val="center"/>
        </w:trPr>
        <w:tc>
          <w:tcPr>
            <w:tcW w:w="0" w:type="auto"/>
            <w:gridSpan w:val="3"/>
            <w:shd w:val="clear" w:color="auto" w:fill="FFFFFF"/>
            <w:tcMar>
              <w:top w:w="40" w:type="dxa"/>
              <w:left w:w="245" w:type="dxa"/>
              <w:bottom w:w="40" w:type="dxa"/>
              <w:right w:w="20" w:type="dxa"/>
            </w:tcMar>
            <w:vAlign w:val="bottom"/>
          </w:tcPr>
          <w:p w14:paraId="7DCFD58B" w14:textId="77777777" w:rsidR="00C1563E" w:rsidRDefault="000B648B">
            <w:pPr>
              <w:textAlignment w:val="bottom"/>
            </w:pPr>
            <w:r>
              <w:rPr>
                <w:rFonts w:ascii="Times New Roman" w:eastAsia="宋体" w:hAnsi="Times New Roman"/>
                <w:color w:val="000000"/>
                <w:sz w:val="20"/>
                <w:szCs w:val="20"/>
              </w:rPr>
              <w:t>Transaction-related expenses</w:t>
            </w:r>
          </w:p>
        </w:tc>
        <w:tc>
          <w:tcPr>
            <w:tcW w:w="0" w:type="auto"/>
            <w:shd w:val="clear" w:color="auto" w:fill="auto"/>
          </w:tcPr>
          <w:p w14:paraId="7DCFD58C" w14:textId="77777777" w:rsidR="00C1563E" w:rsidRDefault="00C1563E">
            <w:pPr>
              <w:rPr>
                <w:rFonts w:ascii="宋体"/>
                <w:vanish/>
              </w:rPr>
            </w:pPr>
          </w:p>
        </w:tc>
        <w:tc>
          <w:tcPr>
            <w:tcW w:w="0" w:type="auto"/>
            <w:shd w:val="clear" w:color="auto" w:fill="auto"/>
          </w:tcPr>
          <w:p w14:paraId="7DCFD58D" w14:textId="77777777" w:rsidR="00C1563E" w:rsidRDefault="00C1563E">
            <w:pPr>
              <w:rPr>
                <w:rFonts w:ascii="宋体"/>
                <w:vanish/>
              </w:rPr>
            </w:pPr>
          </w:p>
        </w:tc>
        <w:tc>
          <w:tcPr>
            <w:tcW w:w="0" w:type="auto"/>
            <w:shd w:val="clear" w:color="auto" w:fill="auto"/>
          </w:tcPr>
          <w:p w14:paraId="7DCFD58E" w14:textId="77777777" w:rsidR="00C1563E" w:rsidRDefault="00C1563E">
            <w:pPr>
              <w:rPr>
                <w:rFonts w:ascii="宋体"/>
                <w:vanish/>
              </w:rPr>
            </w:pPr>
          </w:p>
        </w:tc>
        <w:tc>
          <w:tcPr>
            <w:tcW w:w="0" w:type="auto"/>
            <w:shd w:val="clear" w:color="auto" w:fill="auto"/>
          </w:tcPr>
          <w:p w14:paraId="7DCFD58F" w14:textId="77777777" w:rsidR="00C1563E" w:rsidRDefault="00C1563E">
            <w:pPr>
              <w:rPr>
                <w:rFonts w:ascii="宋体"/>
                <w:vanish/>
              </w:rPr>
            </w:pPr>
          </w:p>
        </w:tc>
        <w:tc>
          <w:tcPr>
            <w:tcW w:w="0" w:type="auto"/>
            <w:shd w:val="clear" w:color="auto" w:fill="auto"/>
          </w:tcPr>
          <w:p w14:paraId="7DCFD590" w14:textId="77777777" w:rsidR="00C1563E" w:rsidRDefault="00C1563E">
            <w:pPr>
              <w:rPr>
                <w:rFonts w:ascii="宋体"/>
                <w:vanish/>
              </w:rPr>
            </w:pPr>
          </w:p>
        </w:tc>
        <w:tc>
          <w:tcPr>
            <w:tcW w:w="0" w:type="auto"/>
            <w:shd w:val="clear" w:color="auto" w:fill="auto"/>
          </w:tcPr>
          <w:p w14:paraId="7DCFD591"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592" w14:textId="77777777" w:rsidR="00C1563E" w:rsidRDefault="000B648B">
            <w:pPr>
              <w:jc w:val="right"/>
              <w:textAlignment w:val="bottom"/>
            </w:pPr>
            <w:r>
              <w:rPr>
                <w:rFonts w:ascii="Times New Roman" w:eastAsia="宋体" w:hAnsi="Times New Roman"/>
                <w:color w:val="000000"/>
                <w:sz w:val="20"/>
                <w:szCs w:val="20"/>
              </w:rPr>
              <w:t>(257)</w:t>
            </w:r>
          </w:p>
        </w:tc>
        <w:tc>
          <w:tcPr>
            <w:tcW w:w="0" w:type="auto"/>
            <w:shd w:val="clear" w:color="auto" w:fill="FFFFFF"/>
            <w:tcMar>
              <w:top w:w="40" w:type="dxa"/>
              <w:left w:w="0" w:type="dxa"/>
              <w:bottom w:w="40" w:type="dxa"/>
              <w:right w:w="20" w:type="dxa"/>
            </w:tcMar>
            <w:vAlign w:val="bottom"/>
          </w:tcPr>
          <w:p w14:paraId="7DCFD59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9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9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9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97" w14:textId="77777777" w:rsidR="00C1563E" w:rsidRDefault="000B648B">
            <w:pPr>
              <w:jc w:val="right"/>
              <w:textAlignment w:val="bottom"/>
            </w:pPr>
            <w:r>
              <w:rPr>
                <w:rFonts w:ascii="Times New Roman" w:eastAsia="宋体" w:hAnsi="Times New Roman"/>
                <w:color w:val="000000"/>
                <w:sz w:val="20"/>
                <w:szCs w:val="20"/>
              </w:rPr>
              <w:t>(290)</w:t>
            </w:r>
          </w:p>
        </w:tc>
        <w:tc>
          <w:tcPr>
            <w:tcW w:w="0" w:type="auto"/>
            <w:shd w:val="clear" w:color="auto" w:fill="FFFFFF"/>
            <w:tcMar>
              <w:top w:w="40" w:type="dxa"/>
              <w:left w:w="0" w:type="dxa"/>
              <w:bottom w:w="40" w:type="dxa"/>
              <w:right w:w="20" w:type="dxa"/>
            </w:tcMar>
            <w:vAlign w:val="bottom"/>
          </w:tcPr>
          <w:p w14:paraId="7DCFD59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9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9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9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9C" w14:textId="77777777" w:rsidR="00C1563E" w:rsidRDefault="000B648B">
            <w:pPr>
              <w:jc w:val="right"/>
              <w:textAlignment w:val="bottom"/>
            </w:pPr>
            <w:r>
              <w:rPr>
                <w:rFonts w:ascii="Times New Roman" w:eastAsia="宋体" w:hAnsi="Times New Roman"/>
                <w:color w:val="000000"/>
                <w:sz w:val="20"/>
                <w:szCs w:val="20"/>
              </w:rPr>
              <w:t>(537)</w:t>
            </w:r>
          </w:p>
        </w:tc>
        <w:tc>
          <w:tcPr>
            <w:tcW w:w="0" w:type="auto"/>
            <w:shd w:val="clear" w:color="auto" w:fill="FFFFFF"/>
            <w:tcMar>
              <w:top w:w="40" w:type="dxa"/>
              <w:left w:w="0" w:type="dxa"/>
              <w:bottom w:w="40" w:type="dxa"/>
              <w:right w:w="20" w:type="dxa"/>
            </w:tcMar>
            <w:vAlign w:val="bottom"/>
          </w:tcPr>
          <w:p w14:paraId="7DCFD59D" w14:textId="77777777" w:rsidR="00C1563E" w:rsidRDefault="00C1563E">
            <w:pPr>
              <w:jc w:val="right"/>
              <w:rPr>
                <w:rFonts w:ascii="宋体"/>
              </w:rPr>
            </w:pPr>
          </w:p>
        </w:tc>
      </w:tr>
      <w:tr w:rsidR="00C1563E" w14:paraId="7DCFD5B2" w14:textId="77777777">
        <w:trPr>
          <w:jc w:val="center"/>
        </w:trPr>
        <w:tc>
          <w:tcPr>
            <w:tcW w:w="0" w:type="auto"/>
            <w:gridSpan w:val="3"/>
            <w:shd w:val="clear" w:color="auto" w:fill="CCEEFF"/>
            <w:tcMar>
              <w:top w:w="40" w:type="dxa"/>
              <w:left w:w="245" w:type="dxa"/>
              <w:bottom w:w="40" w:type="dxa"/>
              <w:right w:w="20" w:type="dxa"/>
            </w:tcMar>
            <w:vAlign w:val="bottom"/>
          </w:tcPr>
          <w:p w14:paraId="7DCFD59F"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5A0" w14:textId="77777777" w:rsidR="00C1563E" w:rsidRDefault="00C1563E">
            <w:pPr>
              <w:rPr>
                <w:rFonts w:ascii="宋体"/>
                <w:vanish/>
              </w:rPr>
            </w:pPr>
          </w:p>
        </w:tc>
        <w:tc>
          <w:tcPr>
            <w:tcW w:w="0" w:type="auto"/>
            <w:shd w:val="clear" w:color="auto" w:fill="auto"/>
          </w:tcPr>
          <w:p w14:paraId="7DCFD5A1" w14:textId="77777777" w:rsidR="00C1563E" w:rsidRDefault="00C1563E">
            <w:pPr>
              <w:rPr>
                <w:rFonts w:ascii="宋体"/>
                <w:vanish/>
              </w:rPr>
            </w:pPr>
          </w:p>
        </w:tc>
        <w:tc>
          <w:tcPr>
            <w:tcW w:w="0" w:type="auto"/>
            <w:shd w:val="clear" w:color="auto" w:fill="auto"/>
          </w:tcPr>
          <w:p w14:paraId="7DCFD5A2" w14:textId="77777777" w:rsidR="00C1563E" w:rsidRDefault="00C1563E">
            <w:pPr>
              <w:rPr>
                <w:rFonts w:ascii="宋体"/>
                <w:vanish/>
              </w:rPr>
            </w:pPr>
          </w:p>
        </w:tc>
        <w:tc>
          <w:tcPr>
            <w:tcW w:w="0" w:type="auto"/>
            <w:shd w:val="clear" w:color="auto" w:fill="auto"/>
          </w:tcPr>
          <w:p w14:paraId="7DCFD5A3" w14:textId="77777777" w:rsidR="00C1563E" w:rsidRDefault="00C1563E">
            <w:pPr>
              <w:rPr>
                <w:rFonts w:ascii="宋体"/>
                <w:vanish/>
              </w:rPr>
            </w:pPr>
          </w:p>
        </w:tc>
        <w:tc>
          <w:tcPr>
            <w:tcW w:w="0" w:type="auto"/>
            <w:shd w:val="clear" w:color="auto" w:fill="auto"/>
          </w:tcPr>
          <w:p w14:paraId="7DCFD5A4" w14:textId="77777777" w:rsidR="00C1563E" w:rsidRDefault="00C1563E">
            <w:pPr>
              <w:rPr>
                <w:rFonts w:ascii="宋体"/>
                <w:vanish/>
              </w:rPr>
            </w:pPr>
          </w:p>
        </w:tc>
        <w:tc>
          <w:tcPr>
            <w:tcW w:w="0" w:type="auto"/>
            <w:shd w:val="clear" w:color="auto" w:fill="auto"/>
          </w:tcPr>
          <w:p w14:paraId="7DCFD5A5"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5A6" w14:textId="77777777" w:rsidR="00C1563E" w:rsidRDefault="000B648B">
            <w:pPr>
              <w:jc w:val="right"/>
              <w:textAlignment w:val="bottom"/>
            </w:pPr>
            <w:r>
              <w:rPr>
                <w:rFonts w:ascii="Times New Roman" w:eastAsia="宋体" w:hAnsi="Times New Roman"/>
                <w:color w:val="000000"/>
                <w:sz w:val="20"/>
                <w:szCs w:val="20"/>
              </w:rPr>
              <w:t>(1,415)</w:t>
            </w:r>
          </w:p>
        </w:tc>
        <w:tc>
          <w:tcPr>
            <w:tcW w:w="0" w:type="auto"/>
            <w:shd w:val="clear" w:color="auto" w:fill="CCEEFF"/>
            <w:tcMar>
              <w:top w:w="40" w:type="dxa"/>
              <w:left w:w="0" w:type="dxa"/>
              <w:bottom w:w="40" w:type="dxa"/>
              <w:right w:w="20" w:type="dxa"/>
            </w:tcMar>
            <w:vAlign w:val="bottom"/>
          </w:tcPr>
          <w:p w14:paraId="7DCFD5A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A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A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A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AB" w14:textId="77777777" w:rsidR="00C1563E" w:rsidRDefault="000B648B">
            <w:pPr>
              <w:jc w:val="right"/>
              <w:textAlignment w:val="bottom"/>
            </w:pPr>
            <w:r>
              <w:rPr>
                <w:rFonts w:ascii="Times New Roman" w:eastAsia="宋体" w:hAnsi="Times New Roman"/>
                <w:color w:val="000000"/>
                <w:sz w:val="20"/>
                <w:szCs w:val="20"/>
              </w:rPr>
              <w:t>(1,133)</w:t>
            </w:r>
          </w:p>
        </w:tc>
        <w:tc>
          <w:tcPr>
            <w:tcW w:w="0" w:type="auto"/>
            <w:shd w:val="clear" w:color="auto" w:fill="CCEEFF"/>
            <w:tcMar>
              <w:top w:w="40" w:type="dxa"/>
              <w:left w:w="0" w:type="dxa"/>
              <w:bottom w:w="40" w:type="dxa"/>
              <w:right w:w="20" w:type="dxa"/>
            </w:tcMar>
            <w:vAlign w:val="bottom"/>
          </w:tcPr>
          <w:p w14:paraId="7DCFD5A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A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A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5A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B0" w14:textId="77777777" w:rsidR="00C1563E" w:rsidRDefault="000B648B">
            <w:pPr>
              <w:jc w:val="right"/>
              <w:textAlignment w:val="bottom"/>
            </w:pPr>
            <w:r>
              <w:rPr>
                <w:rFonts w:ascii="Times New Roman" w:eastAsia="宋体" w:hAnsi="Times New Roman"/>
                <w:color w:val="000000"/>
                <w:sz w:val="20"/>
                <w:szCs w:val="20"/>
              </w:rPr>
              <w:t>(827)</w:t>
            </w:r>
          </w:p>
        </w:tc>
        <w:tc>
          <w:tcPr>
            <w:tcW w:w="0" w:type="auto"/>
            <w:shd w:val="clear" w:color="auto" w:fill="CCEEFF"/>
            <w:tcMar>
              <w:top w:w="40" w:type="dxa"/>
              <w:left w:w="0" w:type="dxa"/>
              <w:bottom w:w="40" w:type="dxa"/>
              <w:right w:w="20" w:type="dxa"/>
            </w:tcMar>
            <w:vAlign w:val="bottom"/>
          </w:tcPr>
          <w:p w14:paraId="7DCFD5B1" w14:textId="77777777" w:rsidR="00C1563E" w:rsidRDefault="00C1563E">
            <w:pPr>
              <w:jc w:val="right"/>
              <w:rPr>
                <w:rFonts w:ascii="宋体"/>
              </w:rPr>
            </w:pPr>
          </w:p>
        </w:tc>
      </w:tr>
      <w:tr w:rsidR="00C1563E" w14:paraId="7DCFD5C6" w14:textId="77777777">
        <w:trPr>
          <w:jc w:val="center"/>
        </w:trPr>
        <w:tc>
          <w:tcPr>
            <w:tcW w:w="0" w:type="auto"/>
            <w:gridSpan w:val="3"/>
            <w:shd w:val="clear" w:color="auto" w:fill="FFFFFF"/>
            <w:tcMar>
              <w:top w:w="40" w:type="dxa"/>
              <w:left w:w="245" w:type="dxa"/>
              <w:bottom w:w="40" w:type="dxa"/>
              <w:right w:w="20" w:type="dxa"/>
            </w:tcMar>
            <w:vAlign w:val="bottom"/>
          </w:tcPr>
          <w:p w14:paraId="7DCFD5B3"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5B4" w14:textId="77777777" w:rsidR="00C1563E" w:rsidRDefault="00C1563E">
            <w:pPr>
              <w:rPr>
                <w:rFonts w:ascii="宋体"/>
                <w:vanish/>
              </w:rPr>
            </w:pPr>
          </w:p>
        </w:tc>
        <w:tc>
          <w:tcPr>
            <w:tcW w:w="0" w:type="auto"/>
            <w:shd w:val="clear" w:color="auto" w:fill="auto"/>
          </w:tcPr>
          <w:p w14:paraId="7DCFD5B5" w14:textId="77777777" w:rsidR="00C1563E" w:rsidRDefault="00C1563E">
            <w:pPr>
              <w:rPr>
                <w:rFonts w:ascii="宋体"/>
                <w:vanish/>
              </w:rPr>
            </w:pPr>
          </w:p>
        </w:tc>
        <w:tc>
          <w:tcPr>
            <w:tcW w:w="0" w:type="auto"/>
            <w:shd w:val="clear" w:color="auto" w:fill="auto"/>
          </w:tcPr>
          <w:p w14:paraId="7DCFD5B6" w14:textId="77777777" w:rsidR="00C1563E" w:rsidRDefault="00C1563E">
            <w:pPr>
              <w:rPr>
                <w:rFonts w:ascii="宋体"/>
                <w:vanish/>
              </w:rPr>
            </w:pPr>
          </w:p>
        </w:tc>
        <w:tc>
          <w:tcPr>
            <w:tcW w:w="0" w:type="auto"/>
            <w:shd w:val="clear" w:color="auto" w:fill="auto"/>
          </w:tcPr>
          <w:p w14:paraId="7DCFD5B7" w14:textId="77777777" w:rsidR="00C1563E" w:rsidRDefault="00C1563E">
            <w:pPr>
              <w:rPr>
                <w:rFonts w:ascii="宋体"/>
                <w:vanish/>
              </w:rPr>
            </w:pPr>
          </w:p>
        </w:tc>
        <w:tc>
          <w:tcPr>
            <w:tcW w:w="0" w:type="auto"/>
            <w:shd w:val="clear" w:color="auto" w:fill="auto"/>
          </w:tcPr>
          <w:p w14:paraId="7DCFD5B8" w14:textId="77777777" w:rsidR="00C1563E" w:rsidRDefault="00C1563E">
            <w:pPr>
              <w:rPr>
                <w:rFonts w:ascii="宋体"/>
                <w:vanish/>
              </w:rPr>
            </w:pPr>
          </w:p>
        </w:tc>
        <w:tc>
          <w:tcPr>
            <w:tcW w:w="0" w:type="auto"/>
            <w:shd w:val="clear" w:color="auto" w:fill="auto"/>
          </w:tcPr>
          <w:p w14:paraId="7DCFD5B9"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5BA" w14:textId="77777777" w:rsidR="00C1563E" w:rsidRDefault="000B648B">
            <w:pPr>
              <w:jc w:val="right"/>
              <w:textAlignment w:val="bottom"/>
            </w:pPr>
            <w:r>
              <w:rPr>
                <w:rFonts w:ascii="Times New Roman" w:eastAsia="宋体" w:hAnsi="Times New Roman"/>
                <w:color w:val="000000"/>
                <w:sz w:val="20"/>
                <w:szCs w:val="20"/>
              </w:rPr>
              <w:t>(120)</w:t>
            </w:r>
          </w:p>
        </w:tc>
        <w:tc>
          <w:tcPr>
            <w:tcW w:w="0" w:type="auto"/>
            <w:shd w:val="clear" w:color="auto" w:fill="FFFFFF"/>
            <w:tcMar>
              <w:top w:w="40" w:type="dxa"/>
              <w:left w:w="0" w:type="dxa"/>
              <w:bottom w:w="40" w:type="dxa"/>
              <w:right w:w="20" w:type="dxa"/>
            </w:tcMar>
            <w:vAlign w:val="bottom"/>
          </w:tcPr>
          <w:p w14:paraId="7DCFD5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B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B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B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BF" w14:textId="77777777" w:rsidR="00C1563E" w:rsidRDefault="000B648B">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7DCFD5C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5C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C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C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5C4" w14:textId="77777777" w:rsidR="00C1563E" w:rsidRDefault="000B648B">
            <w:pPr>
              <w:jc w:val="right"/>
              <w:textAlignment w:val="bottom"/>
            </w:pPr>
            <w:r>
              <w:rPr>
                <w:rFonts w:ascii="Times New Roman" w:eastAsia="宋体" w:hAnsi="Times New Roman"/>
                <w:color w:val="000000"/>
                <w:sz w:val="20"/>
                <w:szCs w:val="20"/>
              </w:rPr>
              <w:t>(357)</w:t>
            </w:r>
          </w:p>
        </w:tc>
        <w:tc>
          <w:tcPr>
            <w:tcW w:w="0" w:type="auto"/>
            <w:shd w:val="clear" w:color="auto" w:fill="FFFFFF"/>
            <w:tcMar>
              <w:top w:w="40" w:type="dxa"/>
              <w:left w:w="0" w:type="dxa"/>
              <w:bottom w:w="40" w:type="dxa"/>
              <w:right w:w="20" w:type="dxa"/>
            </w:tcMar>
            <w:vAlign w:val="bottom"/>
          </w:tcPr>
          <w:p w14:paraId="7DCFD5C5" w14:textId="77777777" w:rsidR="00C1563E" w:rsidRDefault="00C1563E">
            <w:pPr>
              <w:jc w:val="right"/>
              <w:rPr>
                <w:rFonts w:ascii="宋体"/>
              </w:rPr>
            </w:pPr>
          </w:p>
        </w:tc>
      </w:tr>
      <w:tr w:rsidR="00C1563E" w14:paraId="7DCFD5DF" w14:textId="77777777">
        <w:trPr>
          <w:jc w:val="center"/>
        </w:trPr>
        <w:tc>
          <w:tcPr>
            <w:tcW w:w="0" w:type="auto"/>
            <w:gridSpan w:val="3"/>
            <w:shd w:val="clear" w:color="auto" w:fill="CCEEFF"/>
            <w:tcMar>
              <w:top w:w="40" w:type="dxa"/>
              <w:left w:w="515" w:type="dxa"/>
              <w:bottom w:w="40" w:type="dxa"/>
              <w:right w:w="20" w:type="dxa"/>
            </w:tcMar>
            <w:vAlign w:val="bottom"/>
          </w:tcPr>
          <w:p w14:paraId="7DCFD5C7" w14:textId="77777777" w:rsidR="00C1563E" w:rsidRDefault="000B648B">
            <w:pPr>
              <w:textAlignment w:val="bottom"/>
            </w:pPr>
            <w:r>
              <w:rPr>
                <w:rFonts w:ascii="Times New Roman" w:eastAsia="宋体" w:hAnsi="Times New Roman"/>
                <w:color w:val="000000"/>
                <w:sz w:val="20"/>
                <w:szCs w:val="20"/>
              </w:rPr>
              <w:t>Non-GAAP operating expenses</w:t>
            </w:r>
          </w:p>
        </w:tc>
        <w:tc>
          <w:tcPr>
            <w:tcW w:w="0" w:type="auto"/>
            <w:shd w:val="clear" w:color="auto" w:fill="auto"/>
          </w:tcPr>
          <w:p w14:paraId="7DCFD5C8" w14:textId="77777777" w:rsidR="00C1563E" w:rsidRDefault="00C1563E">
            <w:pPr>
              <w:rPr>
                <w:rFonts w:ascii="宋体"/>
                <w:vanish/>
              </w:rPr>
            </w:pPr>
          </w:p>
        </w:tc>
        <w:tc>
          <w:tcPr>
            <w:tcW w:w="0" w:type="auto"/>
            <w:shd w:val="clear" w:color="auto" w:fill="auto"/>
          </w:tcPr>
          <w:p w14:paraId="7DCFD5C9" w14:textId="77777777" w:rsidR="00C1563E" w:rsidRDefault="00C1563E">
            <w:pPr>
              <w:rPr>
                <w:rFonts w:ascii="宋体"/>
                <w:vanish/>
              </w:rPr>
            </w:pPr>
          </w:p>
        </w:tc>
        <w:tc>
          <w:tcPr>
            <w:tcW w:w="0" w:type="auto"/>
            <w:shd w:val="clear" w:color="auto" w:fill="auto"/>
          </w:tcPr>
          <w:p w14:paraId="7DCFD5CA" w14:textId="77777777" w:rsidR="00C1563E" w:rsidRDefault="00C1563E">
            <w:pPr>
              <w:rPr>
                <w:rFonts w:ascii="宋体"/>
                <w:vanish/>
              </w:rPr>
            </w:pPr>
          </w:p>
        </w:tc>
        <w:tc>
          <w:tcPr>
            <w:tcW w:w="0" w:type="auto"/>
            <w:shd w:val="clear" w:color="auto" w:fill="auto"/>
          </w:tcPr>
          <w:p w14:paraId="7DCFD5CB" w14:textId="77777777" w:rsidR="00C1563E" w:rsidRDefault="00C1563E">
            <w:pPr>
              <w:rPr>
                <w:rFonts w:ascii="宋体"/>
                <w:vanish/>
              </w:rPr>
            </w:pPr>
          </w:p>
        </w:tc>
        <w:tc>
          <w:tcPr>
            <w:tcW w:w="0" w:type="auto"/>
            <w:shd w:val="clear" w:color="auto" w:fill="auto"/>
          </w:tcPr>
          <w:p w14:paraId="7DCFD5CC" w14:textId="77777777" w:rsidR="00C1563E" w:rsidRDefault="00C1563E">
            <w:pPr>
              <w:rPr>
                <w:rFonts w:ascii="宋体"/>
                <w:vanish/>
              </w:rPr>
            </w:pPr>
          </w:p>
        </w:tc>
        <w:tc>
          <w:tcPr>
            <w:tcW w:w="0" w:type="auto"/>
            <w:shd w:val="clear" w:color="auto" w:fill="auto"/>
          </w:tcPr>
          <w:p w14:paraId="7DCFD5CD"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5C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5CF" w14:textId="77777777" w:rsidR="00C1563E" w:rsidRDefault="000B648B">
            <w:pPr>
              <w:jc w:val="right"/>
              <w:textAlignment w:val="bottom"/>
            </w:pPr>
            <w:r>
              <w:rPr>
                <w:rFonts w:ascii="Times New Roman" w:eastAsia="宋体" w:hAnsi="Times New Roman"/>
                <w:color w:val="000000"/>
                <w:sz w:val="20"/>
                <w:szCs w:val="20"/>
              </w:rPr>
              <w:t>20,548 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5D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D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D2"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DCFD5D3"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5D4"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5D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5D6" w14:textId="77777777" w:rsidR="00C1563E" w:rsidRDefault="000B648B">
            <w:pPr>
              <w:jc w:val="right"/>
              <w:textAlignment w:val="bottom"/>
            </w:pPr>
            <w:r>
              <w:rPr>
                <w:rFonts w:ascii="Times New Roman" w:eastAsia="宋体" w:hAnsi="Times New Roman"/>
                <w:color w:val="000000"/>
                <w:sz w:val="20"/>
                <w:szCs w:val="20"/>
              </w:rPr>
              <w:t>21,415 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5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D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D9"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DCFD5D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5DB"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D5D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D5DD" w14:textId="77777777" w:rsidR="00C1563E" w:rsidRDefault="000B648B">
            <w:pPr>
              <w:jc w:val="right"/>
              <w:textAlignment w:val="bottom"/>
            </w:pPr>
            <w:r>
              <w:rPr>
                <w:rFonts w:ascii="Times New Roman" w:eastAsia="宋体" w:hAnsi="Times New Roman"/>
                <w:color w:val="000000"/>
                <w:sz w:val="20"/>
                <w:szCs w:val="20"/>
              </w:rPr>
              <w:t>20,168 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D5DE" w14:textId="77777777" w:rsidR="00C1563E" w:rsidRDefault="00C1563E">
            <w:pPr>
              <w:jc w:val="right"/>
              <w:rPr>
                <w:rFonts w:ascii="宋体"/>
              </w:rPr>
            </w:pPr>
          </w:p>
        </w:tc>
      </w:tr>
      <w:tr w:rsidR="00C1563E" w14:paraId="7DCFD5F0" w14:textId="77777777">
        <w:trPr>
          <w:trHeight w:val="300"/>
          <w:jc w:val="center"/>
        </w:trPr>
        <w:tc>
          <w:tcPr>
            <w:tcW w:w="0" w:type="auto"/>
            <w:gridSpan w:val="3"/>
            <w:shd w:val="clear" w:color="auto" w:fill="FFFFFF"/>
            <w:tcMar>
              <w:top w:w="0" w:type="dxa"/>
              <w:left w:w="20" w:type="dxa"/>
              <w:bottom w:w="0" w:type="dxa"/>
              <w:right w:w="20" w:type="dxa"/>
            </w:tcMar>
          </w:tcPr>
          <w:p w14:paraId="7DCFD5E0" w14:textId="77777777" w:rsidR="00C1563E" w:rsidRDefault="00C1563E">
            <w:pPr>
              <w:rPr>
                <w:rFonts w:ascii="宋体"/>
              </w:rPr>
            </w:pPr>
          </w:p>
        </w:tc>
        <w:tc>
          <w:tcPr>
            <w:tcW w:w="0" w:type="auto"/>
            <w:shd w:val="clear" w:color="auto" w:fill="auto"/>
          </w:tcPr>
          <w:p w14:paraId="7DCFD5E1" w14:textId="77777777" w:rsidR="00C1563E" w:rsidRDefault="00C1563E">
            <w:pPr>
              <w:rPr>
                <w:rFonts w:ascii="宋体"/>
                <w:vanish/>
              </w:rPr>
            </w:pPr>
          </w:p>
        </w:tc>
        <w:tc>
          <w:tcPr>
            <w:tcW w:w="0" w:type="auto"/>
            <w:shd w:val="clear" w:color="auto" w:fill="auto"/>
          </w:tcPr>
          <w:p w14:paraId="7DCFD5E2" w14:textId="77777777" w:rsidR="00C1563E" w:rsidRDefault="00C1563E">
            <w:pPr>
              <w:rPr>
                <w:rFonts w:ascii="宋体"/>
                <w:vanish/>
              </w:rPr>
            </w:pPr>
          </w:p>
        </w:tc>
        <w:tc>
          <w:tcPr>
            <w:tcW w:w="0" w:type="auto"/>
            <w:shd w:val="clear" w:color="auto" w:fill="auto"/>
          </w:tcPr>
          <w:p w14:paraId="7DCFD5E3" w14:textId="77777777" w:rsidR="00C1563E" w:rsidRDefault="00C1563E">
            <w:pPr>
              <w:rPr>
                <w:rFonts w:ascii="宋体"/>
                <w:vanish/>
              </w:rPr>
            </w:pPr>
          </w:p>
        </w:tc>
        <w:tc>
          <w:tcPr>
            <w:tcW w:w="0" w:type="auto"/>
            <w:shd w:val="clear" w:color="auto" w:fill="auto"/>
          </w:tcPr>
          <w:p w14:paraId="7DCFD5E4" w14:textId="77777777" w:rsidR="00C1563E" w:rsidRDefault="00C1563E">
            <w:pPr>
              <w:rPr>
                <w:rFonts w:ascii="宋体"/>
                <w:vanish/>
              </w:rPr>
            </w:pPr>
          </w:p>
        </w:tc>
        <w:tc>
          <w:tcPr>
            <w:tcW w:w="0" w:type="auto"/>
            <w:shd w:val="clear" w:color="auto" w:fill="auto"/>
          </w:tcPr>
          <w:p w14:paraId="7DCFD5E5" w14:textId="77777777" w:rsidR="00C1563E" w:rsidRDefault="00C1563E">
            <w:pPr>
              <w:rPr>
                <w:rFonts w:ascii="宋体"/>
                <w:vanish/>
              </w:rPr>
            </w:pPr>
          </w:p>
        </w:tc>
        <w:tc>
          <w:tcPr>
            <w:tcW w:w="0" w:type="auto"/>
            <w:shd w:val="clear" w:color="auto" w:fill="auto"/>
          </w:tcPr>
          <w:p w14:paraId="7DCFD5E6" w14:textId="77777777" w:rsidR="00C1563E" w:rsidRDefault="00C1563E">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5E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A"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5E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5EE"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D5EF" w14:textId="77777777" w:rsidR="00C1563E" w:rsidRDefault="00C1563E">
            <w:pPr>
              <w:rPr>
                <w:rFonts w:ascii="宋体"/>
              </w:rPr>
            </w:pPr>
          </w:p>
        </w:tc>
      </w:tr>
      <w:tr w:rsidR="00C1563E" w14:paraId="7DCFD608" w14:textId="77777777">
        <w:trPr>
          <w:jc w:val="center"/>
        </w:trPr>
        <w:tc>
          <w:tcPr>
            <w:tcW w:w="0" w:type="auto"/>
            <w:gridSpan w:val="3"/>
            <w:shd w:val="clear" w:color="auto" w:fill="CCEEFF"/>
            <w:tcMar>
              <w:top w:w="40" w:type="dxa"/>
              <w:left w:w="20" w:type="dxa"/>
              <w:bottom w:w="40" w:type="dxa"/>
              <w:right w:w="20" w:type="dxa"/>
            </w:tcMar>
            <w:vAlign w:val="bottom"/>
          </w:tcPr>
          <w:p w14:paraId="7DCFD5F1" w14:textId="77777777" w:rsidR="00C1563E" w:rsidRDefault="000B648B">
            <w:pPr>
              <w:textAlignment w:val="bottom"/>
            </w:pPr>
            <w:r>
              <w:rPr>
                <w:rFonts w:ascii="Times New Roman" w:eastAsia="宋体" w:hAnsi="Times New Roman"/>
                <w:color w:val="000000"/>
                <w:sz w:val="20"/>
                <w:szCs w:val="20"/>
              </w:rPr>
              <w:t>Operating income</w:t>
            </w:r>
          </w:p>
        </w:tc>
        <w:tc>
          <w:tcPr>
            <w:tcW w:w="0" w:type="auto"/>
            <w:shd w:val="clear" w:color="auto" w:fill="auto"/>
          </w:tcPr>
          <w:p w14:paraId="7DCFD5F2" w14:textId="77777777" w:rsidR="00C1563E" w:rsidRDefault="00C1563E">
            <w:pPr>
              <w:rPr>
                <w:rFonts w:ascii="宋体"/>
                <w:vanish/>
              </w:rPr>
            </w:pPr>
          </w:p>
        </w:tc>
        <w:tc>
          <w:tcPr>
            <w:tcW w:w="0" w:type="auto"/>
            <w:shd w:val="clear" w:color="auto" w:fill="auto"/>
          </w:tcPr>
          <w:p w14:paraId="7DCFD5F3" w14:textId="77777777" w:rsidR="00C1563E" w:rsidRDefault="00C1563E">
            <w:pPr>
              <w:rPr>
                <w:rFonts w:ascii="宋体"/>
                <w:vanish/>
              </w:rPr>
            </w:pPr>
          </w:p>
        </w:tc>
        <w:tc>
          <w:tcPr>
            <w:tcW w:w="0" w:type="auto"/>
            <w:shd w:val="clear" w:color="auto" w:fill="auto"/>
          </w:tcPr>
          <w:p w14:paraId="7DCFD5F4" w14:textId="77777777" w:rsidR="00C1563E" w:rsidRDefault="00C1563E">
            <w:pPr>
              <w:rPr>
                <w:rFonts w:ascii="宋体"/>
                <w:vanish/>
              </w:rPr>
            </w:pPr>
          </w:p>
        </w:tc>
        <w:tc>
          <w:tcPr>
            <w:tcW w:w="0" w:type="auto"/>
            <w:shd w:val="clear" w:color="auto" w:fill="auto"/>
          </w:tcPr>
          <w:p w14:paraId="7DCFD5F5" w14:textId="77777777" w:rsidR="00C1563E" w:rsidRDefault="00C1563E">
            <w:pPr>
              <w:rPr>
                <w:rFonts w:ascii="宋体"/>
                <w:vanish/>
              </w:rPr>
            </w:pPr>
          </w:p>
        </w:tc>
        <w:tc>
          <w:tcPr>
            <w:tcW w:w="0" w:type="auto"/>
            <w:shd w:val="clear" w:color="auto" w:fill="auto"/>
          </w:tcPr>
          <w:p w14:paraId="7DCFD5F6" w14:textId="77777777" w:rsidR="00C1563E" w:rsidRDefault="00C1563E">
            <w:pPr>
              <w:rPr>
                <w:rFonts w:ascii="宋体"/>
                <w:vanish/>
              </w:rPr>
            </w:pPr>
          </w:p>
        </w:tc>
        <w:tc>
          <w:tcPr>
            <w:tcW w:w="0" w:type="auto"/>
            <w:shd w:val="clear" w:color="auto" w:fill="auto"/>
          </w:tcPr>
          <w:p w14:paraId="7DCFD5F7"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5F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5F9" w14:textId="77777777" w:rsidR="00C1563E" w:rsidRDefault="000B648B">
            <w:pPr>
              <w:jc w:val="right"/>
              <w:textAlignment w:val="bottom"/>
            </w:pPr>
            <w:r>
              <w:rPr>
                <w:rFonts w:ascii="Times New Roman" w:eastAsia="宋体" w:hAnsi="Times New Roman"/>
                <w:color w:val="000000"/>
                <w:sz w:val="20"/>
                <w:szCs w:val="20"/>
              </w:rPr>
              <w:t>5,144 </w:t>
            </w:r>
          </w:p>
        </w:tc>
        <w:tc>
          <w:tcPr>
            <w:tcW w:w="0" w:type="auto"/>
            <w:shd w:val="clear" w:color="auto" w:fill="CCEEFF"/>
            <w:tcMar>
              <w:top w:w="40" w:type="dxa"/>
              <w:left w:w="0" w:type="dxa"/>
              <w:bottom w:w="40" w:type="dxa"/>
              <w:right w:w="20" w:type="dxa"/>
            </w:tcMar>
            <w:vAlign w:val="bottom"/>
          </w:tcPr>
          <w:p w14:paraId="7DCFD5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5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5FC" w14:textId="77777777" w:rsidR="00C1563E" w:rsidRDefault="000B648B">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7DCFD5FD"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5F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5F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600" w14:textId="77777777" w:rsidR="00C1563E" w:rsidRDefault="000B648B">
            <w:pPr>
              <w:jc w:val="right"/>
              <w:textAlignment w:val="bottom"/>
            </w:pPr>
            <w:r>
              <w:rPr>
                <w:rFonts w:ascii="Times New Roman" w:eastAsia="宋体" w:hAnsi="Times New Roman"/>
                <w:color w:val="000000"/>
                <w:sz w:val="20"/>
                <w:szCs w:val="20"/>
              </w:rPr>
              <w:t>2,622 </w:t>
            </w:r>
          </w:p>
        </w:tc>
        <w:tc>
          <w:tcPr>
            <w:tcW w:w="0" w:type="auto"/>
            <w:shd w:val="clear" w:color="auto" w:fill="CCEEFF"/>
            <w:tcMar>
              <w:top w:w="40" w:type="dxa"/>
              <w:left w:w="0" w:type="dxa"/>
              <w:bottom w:w="40" w:type="dxa"/>
              <w:right w:w="20" w:type="dxa"/>
            </w:tcMar>
            <w:vAlign w:val="bottom"/>
          </w:tcPr>
          <w:p w14:paraId="7DCFD60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0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603" w14:textId="77777777" w:rsidR="00C1563E" w:rsidRDefault="000B648B">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tcPr>
          <w:p w14:paraId="7DCFD60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60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606" w14:textId="77777777" w:rsidR="00C1563E" w:rsidRDefault="000B648B">
            <w:pPr>
              <w:jc w:val="right"/>
              <w:textAlignment w:val="bottom"/>
            </w:pPr>
            <w:r>
              <w:rPr>
                <w:rFonts w:ascii="Times New Roman" w:eastAsia="宋体" w:hAnsi="Times New Roman"/>
                <w:color w:val="000000"/>
                <w:sz w:val="20"/>
                <w:szCs w:val="20"/>
              </w:rPr>
              <w:t>(191)</w:t>
            </w:r>
          </w:p>
        </w:tc>
        <w:tc>
          <w:tcPr>
            <w:tcW w:w="0" w:type="auto"/>
            <w:shd w:val="clear" w:color="auto" w:fill="CCEEFF"/>
            <w:tcMar>
              <w:top w:w="40" w:type="dxa"/>
              <w:left w:w="0" w:type="dxa"/>
              <w:bottom w:w="40" w:type="dxa"/>
              <w:right w:w="20" w:type="dxa"/>
            </w:tcMar>
            <w:vAlign w:val="bottom"/>
          </w:tcPr>
          <w:p w14:paraId="7DCFD607" w14:textId="77777777" w:rsidR="00C1563E" w:rsidRDefault="00C1563E">
            <w:pPr>
              <w:jc w:val="right"/>
              <w:rPr>
                <w:rFonts w:ascii="宋体"/>
              </w:rPr>
            </w:pPr>
          </w:p>
        </w:tc>
      </w:tr>
      <w:tr w:rsidR="00C1563E" w14:paraId="7DCFD619" w14:textId="77777777">
        <w:trPr>
          <w:jc w:val="center"/>
        </w:trPr>
        <w:tc>
          <w:tcPr>
            <w:tcW w:w="0" w:type="auto"/>
            <w:gridSpan w:val="3"/>
            <w:shd w:val="clear" w:color="auto" w:fill="FFFFFF"/>
            <w:tcMar>
              <w:top w:w="40" w:type="dxa"/>
              <w:left w:w="155" w:type="dxa"/>
              <w:bottom w:w="40" w:type="dxa"/>
              <w:right w:w="20" w:type="dxa"/>
            </w:tcMar>
            <w:vAlign w:val="bottom"/>
          </w:tcPr>
          <w:p w14:paraId="7DCFD609"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60A" w14:textId="77777777" w:rsidR="00C1563E" w:rsidRDefault="00C1563E">
            <w:pPr>
              <w:rPr>
                <w:rFonts w:ascii="宋体"/>
                <w:vanish/>
              </w:rPr>
            </w:pPr>
          </w:p>
        </w:tc>
        <w:tc>
          <w:tcPr>
            <w:tcW w:w="0" w:type="auto"/>
            <w:shd w:val="clear" w:color="auto" w:fill="auto"/>
          </w:tcPr>
          <w:p w14:paraId="7DCFD60B" w14:textId="77777777" w:rsidR="00C1563E" w:rsidRDefault="00C1563E">
            <w:pPr>
              <w:rPr>
                <w:rFonts w:ascii="宋体"/>
                <w:vanish/>
              </w:rPr>
            </w:pPr>
          </w:p>
        </w:tc>
        <w:tc>
          <w:tcPr>
            <w:tcW w:w="0" w:type="auto"/>
            <w:shd w:val="clear" w:color="auto" w:fill="auto"/>
          </w:tcPr>
          <w:p w14:paraId="7DCFD60C" w14:textId="77777777" w:rsidR="00C1563E" w:rsidRDefault="00C1563E">
            <w:pPr>
              <w:rPr>
                <w:rFonts w:ascii="宋体"/>
                <w:vanish/>
              </w:rPr>
            </w:pPr>
          </w:p>
        </w:tc>
        <w:tc>
          <w:tcPr>
            <w:tcW w:w="0" w:type="auto"/>
            <w:shd w:val="clear" w:color="auto" w:fill="auto"/>
          </w:tcPr>
          <w:p w14:paraId="7DCFD60D" w14:textId="77777777" w:rsidR="00C1563E" w:rsidRDefault="00C1563E">
            <w:pPr>
              <w:rPr>
                <w:rFonts w:ascii="宋体"/>
                <w:vanish/>
              </w:rPr>
            </w:pPr>
          </w:p>
        </w:tc>
        <w:tc>
          <w:tcPr>
            <w:tcW w:w="0" w:type="auto"/>
            <w:shd w:val="clear" w:color="auto" w:fill="auto"/>
          </w:tcPr>
          <w:p w14:paraId="7DCFD60E" w14:textId="77777777" w:rsidR="00C1563E" w:rsidRDefault="00C1563E">
            <w:pPr>
              <w:rPr>
                <w:rFonts w:ascii="宋体"/>
                <w:vanish/>
              </w:rPr>
            </w:pPr>
          </w:p>
        </w:tc>
        <w:tc>
          <w:tcPr>
            <w:tcW w:w="0" w:type="auto"/>
            <w:shd w:val="clear" w:color="auto" w:fill="auto"/>
          </w:tcPr>
          <w:p w14:paraId="7DCFD60F"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61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18" w14:textId="77777777" w:rsidR="00C1563E" w:rsidRDefault="00C1563E">
            <w:pPr>
              <w:rPr>
                <w:rFonts w:ascii="宋体"/>
              </w:rPr>
            </w:pPr>
          </w:p>
        </w:tc>
      </w:tr>
      <w:tr w:rsidR="00C1563E" w14:paraId="7DCFD62D" w14:textId="77777777">
        <w:trPr>
          <w:jc w:val="center"/>
        </w:trPr>
        <w:tc>
          <w:tcPr>
            <w:tcW w:w="0" w:type="auto"/>
            <w:gridSpan w:val="3"/>
            <w:shd w:val="clear" w:color="auto" w:fill="CCEEFF"/>
            <w:tcMar>
              <w:top w:w="40" w:type="dxa"/>
              <w:left w:w="245" w:type="dxa"/>
              <w:bottom w:w="40" w:type="dxa"/>
              <w:right w:w="20" w:type="dxa"/>
            </w:tcMar>
            <w:vAlign w:val="bottom"/>
          </w:tcPr>
          <w:p w14:paraId="7DCFD61A" w14:textId="77777777" w:rsidR="00C1563E" w:rsidRDefault="000B648B">
            <w:pPr>
              <w:textAlignment w:val="bottom"/>
            </w:pPr>
            <w:r>
              <w:rPr>
                <w:rFonts w:ascii="Times New Roman" w:eastAsia="宋体" w:hAnsi="Times New Roman"/>
                <w:color w:val="000000"/>
                <w:sz w:val="20"/>
                <w:szCs w:val="20"/>
              </w:rPr>
              <w:t>Amortization of intangibles</w:t>
            </w:r>
          </w:p>
        </w:tc>
        <w:tc>
          <w:tcPr>
            <w:tcW w:w="0" w:type="auto"/>
            <w:shd w:val="clear" w:color="auto" w:fill="auto"/>
          </w:tcPr>
          <w:p w14:paraId="7DCFD61B" w14:textId="77777777" w:rsidR="00C1563E" w:rsidRDefault="00C1563E">
            <w:pPr>
              <w:rPr>
                <w:rFonts w:ascii="宋体"/>
                <w:vanish/>
              </w:rPr>
            </w:pPr>
          </w:p>
        </w:tc>
        <w:tc>
          <w:tcPr>
            <w:tcW w:w="0" w:type="auto"/>
            <w:shd w:val="clear" w:color="auto" w:fill="auto"/>
          </w:tcPr>
          <w:p w14:paraId="7DCFD61C" w14:textId="77777777" w:rsidR="00C1563E" w:rsidRDefault="00C1563E">
            <w:pPr>
              <w:rPr>
                <w:rFonts w:ascii="宋体"/>
                <w:vanish/>
              </w:rPr>
            </w:pPr>
          </w:p>
        </w:tc>
        <w:tc>
          <w:tcPr>
            <w:tcW w:w="0" w:type="auto"/>
            <w:shd w:val="clear" w:color="auto" w:fill="auto"/>
          </w:tcPr>
          <w:p w14:paraId="7DCFD61D" w14:textId="77777777" w:rsidR="00C1563E" w:rsidRDefault="00C1563E">
            <w:pPr>
              <w:rPr>
                <w:rFonts w:ascii="宋体"/>
                <w:vanish/>
              </w:rPr>
            </w:pPr>
          </w:p>
        </w:tc>
        <w:tc>
          <w:tcPr>
            <w:tcW w:w="0" w:type="auto"/>
            <w:shd w:val="clear" w:color="auto" w:fill="auto"/>
          </w:tcPr>
          <w:p w14:paraId="7DCFD61E" w14:textId="77777777" w:rsidR="00C1563E" w:rsidRDefault="00C1563E">
            <w:pPr>
              <w:rPr>
                <w:rFonts w:ascii="宋体"/>
                <w:vanish/>
              </w:rPr>
            </w:pPr>
          </w:p>
        </w:tc>
        <w:tc>
          <w:tcPr>
            <w:tcW w:w="0" w:type="auto"/>
            <w:shd w:val="clear" w:color="auto" w:fill="auto"/>
          </w:tcPr>
          <w:p w14:paraId="7DCFD61F" w14:textId="77777777" w:rsidR="00C1563E" w:rsidRDefault="00C1563E">
            <w:pPr>
              <w:rPr>
                <w:rFonts w:ascii="宋体"/>
                <w:vanish/>
              </w:rPr>
            </w:pPr>
          </w:p>
        </w:tc>
        <w:tc>
          <w:tcPr>
            <w:tcW w:w="0" w:type="auto"/>
            <w:shd w:val="clear" w:color="auto" w:fill="auto"/>
          </w:tcPr>
          <w:p w14:paraId="7DCFD620"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621" w14:textId="77777777" w:rsidR="00C1563E" w:rsidRDefault="000B648B">
            <w:pPr>
              <w:jc w:val="right"/>
              <w:textAlignment w:val="bottom"/>
            </w:pPr>
            <w:r>
              <w:rPr>
                <w:rFonts w:ascii="Times New Roman" w:eastAsia="宋体" w:hAnsi="Times New Roman"/>
                <w:color w:val="000000"/>
                <w:sz w:val="20"/>
                <w:szCs w:val="20"/>
              </w:rPr>
              <w:t>3,393 </w:t>
            </w:r>
          </w:p>
        </w:tc>
        <w:tc>
          <w:tcPr>
            <w:tcW w:w="0" w:type="auto"/>
            <w:shd w:val="clear" w:color="auto" w:fill="CCEEFF"/>
            <w:tcMar>
              <w:top w:w="40" w:type="dxa"/>
              <w:left w:w="0" w:type="dxa"/>
              <w:bottom w:w="40" w:type="dxa"/>
              <w:right w:w="20" w:type="dxa"/>
            </w:tcMar>
            <w:vAlign w:val="bottom"/>
          </w:tcPr>
          <w:p w14:paraId="7DCFD62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2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2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2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26" w14:textId="77777777" w:rsidR="00C1563E" w:rsidRDefault="000B648B">
            <w:pPr>
              <w:jc w:val="right"/>
              <w:textAlignment w:val="bottom"/>
            </w:pPr>
            <w:r>
              <w:rPr>
                <w:rFonts w:ascii="Times New Roman" w:eastAsia="宋体" w:hAnsi="Times New Roman"/>
                <w:color w:val="000000"/>
                <w:sz w:val="20"/>
                <w:szCs w:val="20"/>
              </w:rPr>
              <w:t>4,408 </w:t>
            </w:r>
          </w:p>
        </w:tc>
        <w:tc>
          <w:tcPr>
            <w:tcW w:w="0" w:type="auto"/>
            <w:shd w:val="clear" w:color="auto" w:fill="CCEEFF"/>
            <w:tcMar>
              <w:top w:w="40" w:type="dxa"/>
              <w:left w:w="0" w:type="dxa"/>
              <w:bottom w:w="40" w:type="dxa"/>
              <w:right w:w="20" w:type="dxa"/>
            </w:tcMar>
            <w:vAlign w:val="bottom"/>
          </w:tcPr>
          <w:p w14:paraId="7DCFD62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2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2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2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2B" w14:textId="77777777" w:rsidR="00C1563E" w:rsidRDefault="000B648B">
            <w:pPr>
              <w:jc w:val="right"/>
              <w:textAlignment w:val="bottom"/>
            </w:pPr>
            <w:r>
              <w:rPr>
                <w:rFonts w:ascii="Times New Roman" w:eastAsia="宋体" w:hAnsi="Times New Roman"/>
                <w:color w:val="000000"/>
                <w:sz w:val="20"/>
                <w:szCs w:val="20"/>
              </w:rPr>
              <w:t>6,138 </w:t>
            </w:r>
          </w:p>
        </w:tc>
        <w:tc>
          <w:tcPr>
            <w:tcW w:w="0" w:type="auto"/>
            <w:shd w:val="clear" w:color="auto" w:fill="CCEEFF"/>
            <w:tcMar>
              <w:top w:w="40" w:type="dxa"/>
              <w:left w:w="0" w:type="dxa"/>
              <w:bottom w:w="40" w:type="dxa"/>
              <w:right w:w="20" w:type="dxa"/>
            </w:tcMar>
            <w:vAlign w:val="bottom"/>
          </w:tcPr>
          <w:p w14:paraId="7DCFD62C" w14:textId="77777777" w:rsidR="00C1563E" w:rsidRDefault="00C1563E">
            <w:pPr>
              <w:jc w:val="right"/>
              <w:rPr>
                <w:rFonts w:ascii="宋体"/>
              </w:rPr>
            </w:pPr>
          </w:p>
        </w:tc>
      </w:tr>
      <w:tr w:rsidR="00C1563E" w14:paraId="7DCFD641" w14:textId="77777777">
        <w:trPr>
          <w:jc w:val="center"/>
        </w:trPr>
        <w:tc>
          <w:tcPr>
            <w:tcW w:w="0" w:type="auto"/>
            <w:gridSpan w:val="3"/>
            <w:shd w:val="clear" w:color="auto" w:fill="FFFFFF"/>
            <w:tcMar>
              <w:top w:w="40" w:type="dxa"/>
              <w:left w:w="245" w:type="dxa"/>
              <w:bottom w:w="40" w:type="dxa"/>
              <w:right w:w="20" w:type="dxa"/>
            </w:tcMar>
            <w:vAlign w:val="bottom"/>
          </w:tcPr>
          <w:p w14:paraId="7DCFD62E"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62F" w14:textId="77777777" w:rsidR="00C1563E" w:rsidRDefault="00C1563E">
            <w:pPr>
              <w:rPr>
                <w:rFonts w:ascii="宋体"/>
                <w:vanish/>
              </w:rPr>
            </w:pPr>
          </w:p>
        </w:tc>
        <w:tc>
          <w:tcPr>
            <w:tcW w:w="0" w:type="auto"/>
            <w:shd w:val="clear" w:color="auto" w:fill="auto"/>
          </w:tcPr>
          <w:p w14:paraId="7DCFD630" w14:textId="77777777" w:rsidR="00C1563E" w:rsidRDefault="00C1563E">
            <w:pPr>
              <w:rPr>
                <w:rFonts w:ascii="宋体"/>
                <w:vanish/>
              </w:rPr>
            </w:pPr>
          </w:p>
        </w:tc>
        <w:tc>
          <w:tcPr>
            <w:tcW w:w="0" w:type="auto"/>
            <w:shd w:val="clear" w:color="auto" w:fill="auto"/>
          </w:tcPr>
          <w:p w14:paraId="7DCFD631" w14:textId="77777777" w:rsidR="00C1563E" w:rsidRDefault="00C1563E">
            <w:pPr>
              <w:rPr>
                <w:rFonts w:ascii="宋体"/>
                <w:vanish/>
              </w:rPr>
            </w:pPr>
          </w:p>
        </w:tc>
        <w:tc>
          <w:tcPr>
            <w:tcW w:w="0" w:type="auto"/>
            <w:shd w:val="clear" w:color="auto" w:fill="auto"/>
          </w:tcPr>
          <w:p w14:paraId="7DCFD632" w14:textId="77777777" w:rsidR="00C1563E" w:rsidRDefault="00C1563E">
            <w:pPr>
              <w:rPr>
                <w:rFonts w:ascii="宋体"/>
                <w:vanish/>
              </w:rPr>
            </w:pPr>
          </w:p>
        </w:tc>
        <w:tc>
          <w:tcPr>
            <w:tcW w:w="0" w:type="auto"/>
            <w:shd w:val="clear" w:color="auto" w:fill="auto"/>
          </w:tcPr>
          <w:p w14:paraId="7DCFD633" w14:textId="77777777" w:rsidR="00C1563E" w:rsidRDefault="00C1563E">
            <w:pPr>
              <w:rPr>
                <w:rFonts w:ascii="宋体"/>
                <w:vanish/>
              </w:rPr>
            </w:pPr>
          </w:p>
        </w:tc>
        <w:tc>
          <w:tcPr>
            <w:tcW w:w="0" w:type="auto"/>
            <w:shd w:val="clear" w:color="auto" w:fill="auto"/>
          </w:tcPr>
          <w:p w14:paraId="7DCFD634"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635" w14:textId="77777777" w:rsidR="00C1563E" w:rsidRDefault="000B648B">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7DCFD63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3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3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3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3A" w14:textId="77777777" w:rsidR="00C1563E" w:rsidRDefault="000B648B">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7DCFD6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3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3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3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3F" w14:textId="77777777" w:rsidR="00C1563E" w:rsidRDefault="000B648B">
            <w:pPr>
              <w:jc w:val="right"/>
              <w:textAlignment w:val="bottom"/>
            </w:pPr>
            <w:r>
              <w:rPr>
                <w:rFonts w:ascii="Times New Roman" w:eastAsia="宋体" w:hAnsi="Times New Roman"/>
                <w:color w:val="000000"/>
                <w:sz w:val="20"/>
                <w:szCs w:val="20"/>
              </w:rPr>
              <w:t>820 </w:t>
            </w:r>
          </w:p>
        </w:tc>
        <w:tc>
          <w:tcPr>
            <w:tcW w:w="0" w:type="auto"/>
            <w:shd w:val="clear" w:color="auto" w:fill="FFFFFF"/>
            <w:tcMar>
              <w:top w:w="40" w:type="dxa"/>
              <w:left w:w="0" w:type="dxa"/>
              <w:bottom w:w="40" w:type="dxa"/>
              <w:right w:w="20" w:type="dxa"/>
            </w:tcMar>
            <w:vAlign w:val="bottom"/>
          </w:tcPr>
          <w:p w14:paraId="7DCFD640" w14:textId="77777777" w:rsidR="00C1563E" w:rsidRDefault="00C1563E">
            <w:pPr>
              <w:jc w:val="right"/>
              <w:rPr>
                <w:rFonts w:ascii="宋体"/>
              </w:rPr>
            </w:pPr>
          </w:p>
        </w:tc>
      </w:tr>
      <w:tr w:rsidR="00C1563E" w14:paraId="7DCFD655" w14:textId="77777777">
        <w:trPr>
          <w:jc w:val="center"/>
        </w:trPr>
        <w:tc>
          <w:tcPr>
            <w:tcW w:w="0" w:type="auto"/>
            <w:gridSpan w:val="3"/>
            <w:shd w:val="clear" w:color="auto" w:fill="CCEEFF"/>
            <w:tcMar>
              <w:top w:w="40" w:type="dxa"/>
              <w:left w:w="245" w:type="dxa"/>
              <w:bottom w:w="40" w:type="dxa"/>
              <w:right w:w="20" w:type="dxa"/>
            </w:tcMar>
            <w:vAlign w:val="bottom"/>
          </w:tcPr>
          <w:p w14:paraId="7DCFD642" w14:textId="77777777" w:rsidR="00C1563E" w:rsidRDefault="000B648B">
            <w:pPr>
              <w:textAlignment w:val="bottom"/>
            </w:pPr>
            <w:r>
              <w:rPr>
                <w:rFonts w:ascii="Times New Roman" w:eastAsia="宋体" w:hAnsi="Times New Roman"/>
                <w:color w:val="000000"/>
                <w:sz w:val="20"/>
                <w:szCs w:val="20"/>
              </w:rPr>
              <w:t>Transaction-related expenses</w:t>
            </w:r>
          </w:p>
        </w:tc>
        <w:tc>
          <w:tcPr>
            <w:tcW w:w="0" w:type="auto"/>
            <w:shd w:val="clear" w:color="auto" w:fill="auto"/>
          </w:tcPr>
          <w:p w14:paraId="7DCFD643" w14:textId="77777777" w:rsidR="00C1563E" w:rsidRDefault="00C1563E">
            <w:pPr>
              <w:rPr>
                <w:rFonts w:ascii="宋体"/>
                <w:vanish/>
              </w:rPr>
            </w:pPr>
          </w:p>
        </w:tc>
        <w:tc>
          <w:tcPr>
            <w:tcW w:w="0" w:type="auto"/>
            <w:shd w:val="clear" w:color="auto" w:fill="auto"/>
          </w:tcPr>
          <w:p w14:paraId="7DCFD644" w14:textId="77777777" w:rsidR="00C1563E" w:rsidRDefault="00C1563E">
            <w:pPr>
              <w:rPr>
                <w:rFonts w:ascii="宋体"/>
                <w:vanish/>
              </w:rPr>
            </w:pPr>
          </w:p>
        </w:tc>
        <w:tc>
          <w:tcPr>
            <w:tcW w:w="0" w:type="auto"/>
            <w:shd w:val="clear" w:color="auto" w:fill="auto"/>
          </w:tcPr>
          <w:p w14:paraId="7DCFD645" w14:textId="77777777" w:rsidR="00C1563E" w:rsidRDefault="00C1563E">
            <w:pPr>
              <w:rPr>
                <w:rFonts w:ascii="宋体"/>
                <w:vanish/>
              </w:rPr>
            </w:pPr>
          </w:p>
        </w:tc>
        <w:tc>
          <w:tcPr>
            <w:tcW w:w="0" w:type="auto"/>
            <w:shd w:val="clear" w:color="auto" w:fill="auto"/>
          </w:tcPr>
          <w:p w14:paraId="7DCFD646" w14:textId="77777777" w:rsidR="00C1563E" w:rsidRDefault="00C1563E">
            <w:pPr>
              <w:rPr>
                <w:rFonts w:ascii="宋体"/>
                <w:vanish/>
              </w:rPr>
            </w:pPr>
          </w:p>
        </w:tc>
        <w:tc>
          <w:tcPr>
            <w:tcW w:w="0" w:type="auto"/>
            <w:shd w:val="clear" w:color="auto" w:fill="auto"/>
          </w:tcPr>
          <w:p w14:paraId="7DCFD647" w14:textId="77777777" w:rsidR="00C1563E" w:rsidRDefault="00C1563E">
            <w:pPr>
              <w:rPr>
                <w:rFonts w:ascii="宋体"/>
                <w:vanish/>
              </w:rPr>
            </w:pPr>
          </w:p>
        </w:tc>
        <w:tc>
          <w:tcPr>
            <w:tcW w:w="0" w:type="auto"/>
            <w:shd w:val="clear" w:color="auto" w:fill="auto"/>
          </w:tcPr>
          <w:p w14:paraId="7DCFD648"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649" w14:textId="77777777" w:rsidR="00C1563E" w:rsidRDefault="000B648B">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bottom"/>
          </w:tcPr>
          <w:p w14:paraId="7DCFD64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4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4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4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4E" w14:textId="77777777" w:rsidR="00C1563E" w:rsidRDefault="000B648B">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7DCFD64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5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5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5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53"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DCFD654" w14:textId="77777777" w:rsidR="00C1563E" w:rsidRDefault="00C1563E">
            <w:pPr>
              <w:jc w:val="right"/>
              <w:rPr>
                <w:rFonts w:ascii="宋体"/>
              </w:rPr>
            </w:pPr>
          </w:p>
        </w:tc>
      </w:tr>
      <w:tr w:rsidR="00C1563E" w14:paraId="7DCFD669" w14:textId="77777777">
        <w:trPr>
          <w:jc w:val="center"/>
        </w:trPr>
        <w:tc>
          <w:tcPr>
            <w:tcW w:w="0" w:type="auto"/>
            <w:gridSpan w:val="3"/>
            <w:shd w:val="clear" w:color="auto" w:fill="FFFFFF"/>
            <w:tcMar>
              <w:top w:w="40" w:type="dxa"/>
              <w:left w:w="245" w:type="dxa"/>
              <w:bottom w:w="40" w:type="dxa"/>
              <w:right w:w="20" w:type="dxa"/>
            </w:tcMar>
            <w:vAlign w:val="bottom"/>
          </w:tcPr>
          <w:p w14:paraId="7DCFD656"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657" w14:textId="77777777" w:rsidR="00C1563E" w:rsidRDefault="00C1563E">
            <w:pPr>
              <w:rPr>
                <w:rFonts w:ascii="宋体"/>
                <w:vanish/>
              </w:rPr>
            </w:pPr>
          </w:p>
        </w:tc>
        <w:tc>
          <w:tcPr>
            <w:tcW w:w="0" w:type="auto"/>
            <w:shd w:val="clear" w:color="auto" w:fill="auto"/>
          </w:tcPr>
          <w:p w14:paraId="7DCFD658" w14:textId="77777777" w:rsidR="00C1563E" w:rsidRDefault="00C1563E">
            <w:pPr>
              <w:rPr>
                <w:rFonts w:ascii="宋体"/>
                <w:vanish/>
              </w:rPr>
            </w:pPr>
          </w:p>
        </w:tc>
        <w:tc>
          <w:tcPr>
            <w:tcW w:w="0" w:type="auto"/>
            <w:shd w:val="clear" w:color="auto" w:fill="auto"/>
          </w:tcPr>
          <w:p w14:paraId="7DCFD659" w14:textId="77777777" w:rsidR="00C1563E" w:rsidRDefault="00C1563E">
            <w:pPr>
              <w:rPr>
                <w:rFonts w:ascii="宋体"/>
                <w:vanish/>
              </w:rPr>
            </w:pPr>
          </w:p>
        </w:tc>
        <w:tc>
          <w:tcPr>
            <w:tcW w:w="0" w:type="auto"/>
            <w:shd w:val="clear" w:color="auto" w:fill="auto"/>
          </w:tcPr>
          <w:p w14:paraId="7DCFD65A" w14:textId="77777777" w:rsidR="00C1563E" w:rsidRDefault="00C1563E">
            <w:pPr>
              <w:rPr>
                <w:rFonts w:ascii="宋体"/>
                <w:vanish/>
              </w:rPr>
            </w:pPr>
          </w:p>
        </w:tc>
        <w:tc>
          <w:tcPr>
            <w:tcW w:w="0" w:type="auto"/>
            <w:shd w:val="clear" w:color="auto" w:fill="auto"/>
          </w:tcPr>
          <w:p w14:paraId="7DCFD65B" w14:textId="77777777" w:rsidR="00C1563E" w:rsidRDefault="00C1563E">
            <w:pPr>
              <w:rPr>
                <w:rFonts w:ascii="宋体"/>
                <w:vanish/>
              </w:rPr>
            </w:pPr>
          </w:p>
        </w:tc>
        <w:tc>
          <w:tcPr>
            <w:tcW w:w="0" w:type="auto"/>
            <w:shd w:val="clear" w:color="auto" w:fill="auto"/>
          </w:tcPr>
          <w:p w14:paraId="7DCFD65C"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65D" w14:textId="77777777" w:rsidR="00C1563E" w:rsidRDefault="000B648B">
            <w:pPr>
              <w:jc w:val="right"/>
              <w:textAlignment w:val="bottom"/>
            </w:pPr>
            <w:r>
              <w:rPr>
                <w:rFonts w:ascii="Times New Roman" w:eastAsia="宋体" w:hAnsi="Times New Roman"/>
                <w:color w:val="000000"/>
                <w:sz w:val="18"/>
                <w:szCs w:val="18"/>
              </w:rPr>
              <w:t>1,609 </w:t>
            </w:r>
          </w:p>
        </w:tc>
        <w:tc>
          <w:tcPr>
            <w:tcW w:w="0" w:type="auto"/>
            <w:shd w:val="clear" w:color="auto" w:fill="FFFFFF"/>
            <w:tcMar>
              <w:top w:w="40" w:type="dxa"/>
              <w:left w:w="0" w:type="dxa"/>
              <w:bottom w:w="40" w:type="dxa"/>
              <w:right w:w="20" w:type="dxa"/>
            </w:tcMar>
            <w:vAlign w:val="bottom"/>
          </w:tcPr>
          <w:p w14:paraId="7DCFD65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5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6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62" w14:textId="77777777" w:rsidR="00C1563E" w:rsidRDefault="000B648B">
            <w:pPr>
              <w:jc w:val="right"/>
              <w:textAlignment w:val="bottom"/>
            </w:pPr>
            <w:r>
              <w:rPr>
                <w:rFonts w:ascii="Times New Roman" w:eastAsia="宋体" w:hAnsi="Times New Roman"/>
                <w:color w:val="000000"/>
                <w:sz w:val="20"/>
                <w:szCs w:val="20"/>
              </w:rPr>
              <w:t>1,262 </w:t>
            </w:r>
          </w:p>
        </w:tc>
        <w:tc>
          <w:tcPr>
            <w:tcW w:w="0" w:type="auto"/>
            <w:shd w:val="clear" w:color="auto" w:fill="FFFFFF"/>
            <w:tcMar>
              <w:top w:w="40" w:type="dxa"/>
              <w:left w:w="0" w:type="dxa"/>
              <w:bottom w:w="40" w:type="dxa"/>
              <w:right w:w="20" w:type="dxa"/>
            </w:tcMar>
            <w:vAlign w:val="bottom"/>
          </w:tcPr>
          <w:p w14:paraId="7DCFD6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6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6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6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67" w14:textId="77777777" w:rsidR="00C1563E" w:rsidRDefault="000B648B">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7DCFD668" w14:textId="77777777" w:rsidR="00C1563E" w:rsidRDefault="00C1563E">
            <w:pPr>
              <w:jc w:val="right"/>
              <w:rPr>
                <w:rFonts w:ascii="宋体"/>
              </w:rPr>
            </w:pPr>
          </w:p>
        </w:tc>
      </w:tr>
      <w:tr w:rsidR="00C1563E" w14:paraId="7DCFD67D" w14:textId="77777777">
        <w:trPr>
          <w:jc w:val="center"/>
        </w:trPr>
        <w:tc>
          <w:tcPr>
            <w:tcW w:w="0" w:type="auto"/>
            <w:gridSpan w:val="3"/>
            <w:shd w:val="clear" w:color="auto" w:fill="CCEEFF"/>
            <w:tcMar>
              <w:top w:w="40" w:type="dxa"/>
              <w:left w:w="245" w:type="dxa"/>
              <w:bottom w:w="40" w:type="dxa"/>
              <w:right w:w="20" w:type="dxa"/>
            </w:tcMar>
            <w:vAlign w:val="bottom"/>
          </w:tcPr>
          <w:p w14:paraId="7DCFD66A"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66B" w14:textId="77777777" w:rsidR="00C1563E" w:rsidRDefault="00C1563E">
            <w:pPr>
              <w:rPr>
                <w:rFonts w:ascii="宋体"/>
                <w:vanish/>
              </w:rPr>
            </w:pPr>
          </w:p>
        </w:tc>
        <w:tc>
          <w:tcPr>
            <w:tcW w:w="0" w:type="auto"/>
            <w:shd w:val="clear" w:color="auto" w:fill="auto"/>
          </w:tcPr>
          <w:p w14:paraId="7DCFD66C" w14:textId="77777777" w:rsidR="00C1563E" w:rsidRDefault="00C1563E">
            <w:pPr>
              <w:rPr>
                <w:rFonts w:ascii="宋体"/>
                <w:vanish/>
              </w:rPr>
            </w:pPr>
          </w:p>
        </w:tc>
        <w:tc>
          <w:tcPr>
            <w:tcW w:w="0" w:type="auto"/>
            <w:shd w:val="clear" w:color="auto" w:fill="auto"/>
          </w:tcPr>
          <w:p w14:paraId="7DCFD66D" w14:textId="77777777" w:rsidR="00C1563E" w:rsidRDefault="00C1563E">
            <w:pPr>
              <w:rPr>
                <w:rFonts w:ascii="宋体"/>
                <w:vanish/>
              </w:rPr>
            </w:pPr>
          </w:p>
        </w:tc>
        <w:tc>
          <w:tcPr>
            <w:tcW w:w="0" w:type="auto"/>
            <w:shd w:val="clear" w:color="auto" w:fill="auto"/>
          </w:tcPr>
          <w:p w14:paraId="7DCFD66E" w14:textId="77777777" w:rsidR="00C1563E" w:rsidRDefault="00C1563E">
            <w:pPr>
              <w:rPr>
                <w:rFonts w:ascii="宋体"/>
                <w:vanish/>
              </w:rPr>
            </w:pPr>
          </w:p>
        </w:tc>
        <w:tc>
          <w:tcPr>
            <w:tcW w:w="0" w:type="auto"/>
            <w:shd w:val="clear" w:color="auto" w:fill="auto"/>
          </w:tcPr>
          <w:p w14:paraId="7DCFD66F" w14:textId="77777777" w:rsidR="00C1563E" w:rsidRDefault="00C1563E">
            <w:pPr>
              <w:rPr>
                <w:rFonts w:ascii="宋体"/>
                <w:vanish/>
              </w:rPr>
            </w:pPr>
          </w:p>
        </w:tc>
        <w:tc>
          <w:tcPr>
            <w:tcW w:w="0" w:type="auto"/>
            <w:shd w:val="clear" w:color="auto" w:fill="auto"/>
          </w:tcPr>
          <w:p w14:paraId="7DCFD670"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671" w14:textId="77777777" w:rsidR="00C1563E" w:rsidRDefault="000B648B">
            <w:pPr>
              <w:jc w:val="right"/>
              <w:textAlignment w:val="bottom"/>
            </w:pPr>
            <w:r>
              <w:rPr>
                <w:rFonts w:ascii="Times New Roman" w:eastAsia="宋体" w:hAnsi="Times New Roman"/>
                <w:color w:val="000000"/>
                <w:sz w:val="18"/>
                <w:szCs w:val="18"/>
              </w:rPr>
              <w:t>182 </w:t>
            </w:r>
          </w:p>
        </w:tc>
        <w:tc>
          <w:tcPr>
            <w:tcW w:w="0" w:type="auto"/>
            <w:shd w:val="clear" w:color="auto" w:fill="CCEEFF"/>
            <w:tcMar>
              <w:top w:w="40" w:type="dxa"/>
              <w:left w:w="0" w:type="dxa"/>
              <w:bottom w:w="40" w:type="dxa"/>
              <w:right w:w="20" w:type="dxa"/>
            </w:tcMar>
            <w:vAlign w:val="bottom"/>
          </w:tcPr>
          <w:p w14:paraId="7DCFD67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7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7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7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76" w14:textId="77777777" w:rsidR="00C1563E" w:rsidRDefault="000B648B">
            <w:pPr>
              <w:jc w:val="right"/>
              <w:textAlignment w:val="bottom"/>
            </w:pPr>
            <w:r>
              <w:rPr>
                <w:rFonts w:ascii="Times New Roman" w:eastAsia="宋体" w:hAnsi="Times New Roman"/>
                <w:color w:val="000000"/>
                <w:sz w:val="20"/>
                <w:szCs w:val="20"/>
              </w:rPr>
              <w:t>1,160 </w:t>
            </w:r>
          </w:p>
        </w:tc>
        <w:tc>
          <w:tcPr>
            <w:tcW w:w="0" w:type="auto"/>
            <w:shd w:val="clear" w:color="auto" w:fill="CCEEFF"/>
            <w:tcMar>
              <w:top w:w="40" w:type="dxa"/>
              <w:left w:w="0" w:type="dxa"/>
              <w:bottom w:w="40" w:type="dxa"/>
              <w:right w:w="20" w:type="dxa"/>
            </w:tcMar>
            <w:vAlign w:val="bottom"/>
          </w:tcPr>
          <w:p w14:paraId="7DCFD6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7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7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7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7B" w14:textId="77777777" w:rsidR="00C1563E" w:rsidRDefault="000B648B">
            <w:pPr>
              <w:jc w:val="right"/>
              <w:textAlignment w:val="bottom"/>
            </w:pPr>
            <w:r>
              <w:rPr>
                <w:rFonts w:ascii="Times New Roman" w:eastAsia="宋体" w:hAnsi="Times New Roman"/>
                <w:color w:val="000000"/>
                <w:sz w:val="20"/>
                <w:szCs w:val="20"/>
              </w:rPr>
              <w:t>419 </w:t>
            </w:r>
          </w:p>
        </w:tc>
        <w:tc>
          <w:tcPr>
            <w:tcW w:w="0" w:type="auto"/>
            <w:shd w:val="clear" w:color="auto" w:fill="CCEEFF"/>
            <w:tcMar>
              <w:top w:w="40" w:type="dxa"/>
              <w:left w:w="0" w:type="dxa"/>
              <w:bottom w:w="40" w:type="dxa"/>
              <w:right w:w="20" w:type="dxa"/>
            </w:tcMar>
            <w:vAlign w:val="bottom"/>
          </w:tcPr>
          <w:p w14:paraId="7DCFD67C" w14:textId="77777777" w:rsidR="00C1563E" w:rsidRDefault="00C1563E">
            <w:pPr>
              <w:jc w:val="right"/>
              <w:rPr>
                <w:rFonts w:ascii="宋体"/>
              </w:rPr>
            </w:pPr>
          </w:p>
        </w:tc>
      </w:tr>
      <w:tr w:rsidR="00C1563E" w14:paraId="7DCFD696" w14:textId="77777777">
        <w:trPr>
          <w:jc w:val="center"/>
        </w:trPr>
        <w:tc>
          <w:tcPr>
            <w:tcW w:w="0" w:type="auto"/>
            <w:gridSpan w:val="3"/>
            <w:shd w:val="clear" w:color="auto" w:fill="FFFFFF"/>
            <w:tcMar>
              <w:top w:w="40" w:type="dxa"/>
              <w:left w:w="515" w:type="dxa"/>
              <w:bottom w:w="40" w:type="dxa"/>
              <w:right w:w="20" w:type="dxa"/>
            </w:tcMar>
            <w:vAlign w:val="bottom"/>
          </w:tcPr>
          <w:p w14:paraId="7DCFD67E" w14:textId="77777777" w:rsidR="00C1563E" w:rsidRDefault="000B648B">
            <w:pPr>
              <w:textAlignment w:val="bottom"/>
            </w:pPr>
            <w:r>
              <w:rPr>
                <w:rFonts w:ascii="Times New Roman" w:eastAsia="宋体" w:hAnsi="Times New Roman"/>
                <w:color w:val="000000"/>
                <w:sz w:val="20"/>
                <w:szCs w:val="20"/>
              </w:rPr>
              <w:t>Non-GAAP operating income</w:t>
            </w:r>
          </w:p>
        </w:tc>
        <w:tc>
          <w:tcPr>
            <w:tcW w:w="0" w:type="auto"/>
            <w:shd w:val="clear" w:color="auto" w:fill="auto"/>
          </w:tcPr>
          <w:p w14:paraId="7DCFD67F" w14:textId="77777777" w:rsidR="00C1563E" w:rsidRDefault="00C1563E">
            <w:pPr>
              <w:rPr>
                <w:rFonts w:ascii="宋体"/>
                <w:vanish/>
              </w:rPr>
            </w:pPr>
          </w:p>
        </w:tc>
        <w:tc>
          <w:tcPr>
            <w:tcW w:w="0" w:type="auto"/>
            <w:shd w:val="clear" w:color="auto" w:fill="auto"/>
          </w:tcPr>
          <w:p w14:paraId="7DCFD680" w14:textId="77777777" w:rsidR="00C1563E" w:rsidRDefault="00C1563E">
            <w:pPr>
              <w:rPr>
                <w:rFonts w:ascii="宋体"/>
                <w:vanish/>
              </w:rPr>
            </w:pPr>
          </w:p>
        </w:tc>
        <w:tc>
          <w:tcPr>
            <w:tcW w:w="0" w:type="auto"/>
            <w:shd w:val="clear" w:color="auto" w:fill="auto"/>
          </w:tcPr>
          <w:p w14:paraId="7DCFD681" w14:textId="77777777" w:rsidR="00C1563E" w:rsidRDefault="00C1563E">
            <w:pPr>
              <w:rPr>
                <w:rFonts w:ascii="宋体"/>
                <w:vanish/>
              </w:rPr>
            </w:pPr>
          </w:p>
        </w:tc>
        <w:tc>
          <w:tcPr>
            <w:tcW w:w="0" w:type="auto"/>
            <w:shd w:val="clear" w:color="auto" w:fill="auto"/>
          </w:tcPr>
          <w:p w14:paraId="7DCFD682" w14:textId="77777777" w:rsidR="00C1563E" w:rsidRDefault="00C1563E">
            <w:pPr>
              <w:rPr>
                <w:rFonts w:ascii="宋体"/>
                <w:vanish/>
              </w:rPr>
            </w:pPr>
          </w:p>
        </w:tc>
        <w:tc>
          <w:tcPr>
            <w:tcW w:w="0" w:type="auto"/>
            <w:shd w:val="clear" w:color="auto" w:fill="auto"/>
          </w:tcPr>
          <w:p w14:paraId="7DCFD683" w14:textId="77777777" w:rsidR="00C1563E" w:rsidRDefault="00C1563E">
            <w:pPr>
              <w:rPr>
                <w:rFonts w:ascii="宋体"/>
                <w:vanish/>
              </w:rPr>
            </w:pPr>
          </w:p>
        </w:tc>
        <w:tc>
          <w:tcPr>
            <w:tcW w:w="0" w:type="auto"/>
            <w:shd w:val="clear" w:color="auto" w:fill="auto"/>
          </w:tcPr>
          <w:p w14:paraId="7DCFD684"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68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686" w14:textId="77777777" w:rsidR="00C1563E" w:rsidRDefault="000B648B">
            <w:pPr>
              <w:jc w:val="right"/>
              <w:textAlignment w:val="bottom"/>
            </w:pPr>
            <w:r>
              <w:rPr>
                <w:rFonts w:ascii="Times New Roman" w:eastAsia="宋体" w:hAnsi="Times New Roman"/>
                <w:color w:val="000000"/>
                <w:sz w:val="20"/>
                <w:szCs w:val="20"/>
              </w:rPr>
              <w:t>10,798 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6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8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89"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DCFD68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68B"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68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68D" w14:textId="77777777" w:rsidR="00C1563E" w:rsidRDefault="000B648B">
            <w:pPr>
              <w:jc w:val="right"/>
              <w:textAlignment w:val="bottom"/>
            </w:pPr>
            <w:r>
              <w:rPr>
                <w:rFonts w:ascii="Times New Roman" w:eastAsia="宋体" w:hAnsi="Times New Roman"/>
                <w:color w:val="000000"/>
                <w:sz w:val="20"/>
                <w:szCs w:val="20"/>
              </w:rPr>
              <w:t>10,148 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68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8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90"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DCFD69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69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69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694" w14:textId="77777777" w:rsidR="00C1563E" w:rsidRDefault="000B648B">
            <w:pPr>
              <w:jc w:val="right"/>
              <w:textAlignment w:val="bottom"/>
            </w:pPr>
            <w:r>
              <w:rPr>
                <w:rFonts w:ascii="Times New Roman" w:eastAsia="宋体" w:hAnsi="Times New Roman"/>
                <w:color w:val="000000"/>
                <w:sz w:val="20"/>
                <w:szCs w:val="20"/>
              </w:rPr>
              <w:t>8,854 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695" w14:textId="77777777" w:rsidR="00C1563E" w:rsidRDefault="00C1563E">
            <w:pPr>
              <w:jc w:val="right"/>
              <w:rPr>
                <w:rFonts w:ascii="宋体"/>
              </w:rPr>
            </w:pPr>
          </w:p>
        </w:tc>
      </w:tr>
      <w:tr w:rsidR="00C1563E" w14:paraId="7DCFD6A7" w14:textId="77777777">
        <w:trPr>
          <w:trHeight w:val="300"/>
          <w:jc w:val="center"/>
        </w:trPr>
        <w:tc>
          <w:tcPr>
            <w:tcW w:w="0" w:type="auto"/>
            <w:gridSpan w:val="3"/>
            <w:shd w:val="clear" w:color="auto" w:fill="CCEEFF"/>
            <w:tcMar>
              <w:top w:w="0" w:type="dxa"/>
              <w:left w:w="20" w:type="dxa"/>
              <w:bottom w:w="0" w:type="dxa"/>
              <w:right w:w="20" w:type="dxa"/>
            </w:tcMar>
          </w:tcPr>
          <w:p w14:paraId="7DCFD697" w14:textId="77777777" w:rsidR="00C1563E" w:rsidRDefault="00C1563E">
            <w:pPr>
              <w:rPr>
                <w:rFonts w:ascii="宋体"/>
              </w:rPr>
            </w:pPr>
          </w:p>
        </w:tc>
        <w:tc>
          <w:tcPr>
            <w:tcW w:w="0" w:type="auto"/>
            <w:shd w:val="clear" w:color="auto" w:fill="auto"/>
          </w:tcPr>
          <w:p w14:paraId="7DCFD698" w14:textId="77777777" w:rsidR="00C1563E" w:rsidRDefault="00C1563E">
            <w:pPr>
              <w:rPr>
                <w:rFonts w:ascii="宋体"/>
                <w:vanish/>
              </w:rPr>
            </w:pPr>
          </w:p>
        </w:tc>
        <w:tc>
          <w:tcPr>
            <w:tcW w:w="0" w:type="auto"/>
            <w:shd w:val="clear" w:color="auto" w:fill="auto"/>
          </w:tcPr>
          <w:p w14:paraId="7DCFD699" w14:textId="77777777" w:rsidR="00C1563E" w:rsidRDefault="00C1563E">
            <w:pPr>
              <w:rPr>
                <w:rFonts w:ascii="宋体"/>
                <w:vanish/>
              </w:rPr>
            </w:pPr>
          </w:p>
        </w:tc>
        <w:tc>
          <w:tcPr>
            <w:tcW w:w="0" w:type="auto"/>
            <w:shd w:val="clear" w:color="auto" w:fill="auto"/>
          </w:tcPr>
          <w:p w14:paraId="7DCFD69A" w14:textId="77777777" w:rsidR="00C1563E" w:rsidRDefault="00C1563E">
            <w:pPr>
              <w:rPr>
                <w:rFonts w:ascii="宋体"/>
                <w:vanish/>
              </w:rPr>
            </w:pPr>
          </w:p>
        </w:tc>
        <w:tc>
          <w:tcPr>
            <w:tcW w:w="0" w:type="auto"/>
            <w:shd w:val="clear" w:color="auto" w:fill="auto"/>
          </w:tcPr>
          <w:p w14:paraId="7DCFD69B" w14:textId="77777777" w:rsidR="00C1563E" w:rsidRDefault="00C1563E">
            <w:pPr>
              <w:rPr>
                <w:rFonts w:ascii="宋体"/>
                <w:vanish/>
              </w:rPr>
            </w:pPr>
          </w:p>
        </w:tc>
        <w:tc>
          <w:tcPr>
            <w:tcW w:w="0" w:type="auto"/>
            <w:shd w:val="clear" w:color="auto" w:fill="auto"/>
          </w:tcPr>
          <w:p w14:paraId="7DCFD69C" w14:textId="77777777" w:rsidR="00C1563E" w:rsidRDefault="00C1563E">
            <w:pPr>
              <w:rPr>
                <w:rFonts w:ascii="宋体"/>
                <w:vanish/>
              </w:rPr>
            </w:pPr>
          </w:p>
        </w:tc>
        <w:tc>
          <w:tcPr>
            <w:tcW w:w="0" w:type="auto"/>
            <w:shd w:val="clear" w:color="auto" w:fill="auto"/>
          </w:tcPr>
          <w:p w14:paraId="7DCFD69D" w14:textId="77777777" w:rsidR="00C1563E" w:rsidRDefault="00C1563E">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69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9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A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A1"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6A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A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A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A5"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6A6" w14:textId="77777777" w:rsidR="00C1563E" w:rsidRDefault="00C1563E">
            <w:pPr>
              <w:rPr>
                <w:rFonts w:ascii="宋体"/>
              </w:rPr>
            </w:pPr>
          </w:p>
        </w:tc>
      </w:tr>
      <w:tr w:rsidR="00C1563E" w14:paraId="7DCFD6C0" w14:textId="77777777">
        <w:trPr>
          <w:jc w:val="center"/>
        </w:trPr>
        <w:tc>
          <w:tcPr>
            <w:tcW w:w="0" w:type="auto"/>
            <w:gridSpan w:val="3"/>
            <w:shd w:val="clear" w:color="auto" w:fill="FFFFFF"/>
            <w:tcMar>
              <w:top w:w="40" w:type="dxa"/>
              <w:left w:w="20" w:type="dxa"/>
              <w:bottom w:w="40" w:type="dxa"/>
              <w:right w:w="20" w:type="dxa"/>
            </w:tcMar>
            <w:vAlign w:val="bottom"/>
          </w:tcPr>
          <w:p w14:paraId="7DCFD6A8" w14:textId="77777777" w:rsidR="00C1563E" w:rsidRDefault="000B648B">
            <w:pPr>
              <w:textAlignment w:val="bottom"/>
            </w:pPr>
            <w:r>
              <w:rPr>
                <w:rFonts w:ascii="Times New Roman" w:eastAsia="宋体" w:hAnsi="Times New Roman"/>
                <w:color w:val="000000"/>
                <w:sz w:val="20"/>
                <w:szCs w:val="20"/>
              </w:rPr>
              <w:t>Net income (loss)</w:t>
            </w:r>
          </w:p>
        </w:tc>
        <w:tc>
          <w:tcPr>
            <w:tcW w:w="0" w:type="auto"/>
            <w:shd w:val="clear" w:color="auto" w:fill="auto"/>
          </w:tcPr>
          <w:p w14:paraId="7DCFD6A9" w14:textId="77777777" w:rsidR="00C1563E" w:rsidRDefault="00C1563E">
            <w:pPr>
              <w:rPr>
                <w:rFonts w:ascii="宋体"/>
                <w:vanish/>
              </w:rPr>
            </w:pPr>
          </w:p>
        </w:tc>
        <w:tc>
          <w:tcPr>
            <w:tcW w:w="0" w:type="auto"/>
            <w:shd w:val="clear" w:color="auto" w:fill="auto"/>
          </w:tcPr>
          <w:p w14:paraId="7DCFD6AA" w14:textId="77777777" w:rsidR="00C1563E" w:rsidRDefault="00C1563E">
            <w:pPr>
              <w:rPr>
                <w:rFonts w:ascii="宋体"/>
                <w:vanish/>
              </w:rPr>
            </w:pPr>
          </w:p>
        </w:tc>
        <w:tc>
          <w:tcPr>
            <w:tcW w:w="0" w:type="auto"/>
            <w:shd w:val="clear" w:color="auto" w:fill="auto"/>
          </w:tcPr>
          <w:p w14:paraId="7DCFD6AB" w14:textId="77777777" w:rsidR="00C1563E" w:rsidRDefault="00C1563E">
            <w:pPr>
              <w:rPr>
                <w:rFonts w:ascii="宋体"/>
                <w:vanish/>
              </w:rPr>
            </w:pPr>
          </w:p>
        </w:tc>
        <w:tc>
          <w:tcPr>
            <w:tcW w:w="0" w:type="auto"/>
            <w:shd w:val="clear" w:color="auto" w:fill="auto"/>
          </w:tcPr>
          <w:p w14:paraId="7DCFD6AC" w14:textId="77777777" w:rsidR="00C1563E" w:rsidRDefault="00C1563E">
            <w:pPr>
              <w:rPr>
                <w:rFonts w:ascii="宋体"/>
                <w:vanish/>
              </w:rPr>
            </w:pPr>
          </w:p>
        </w:tc>
        <w:tc>
          <w:tcPr>
            <w:tcW w:w="0" w:type="auto"/>
            <w:shd w:val="clear" w:color="auto" w:fill="auto"/>
          </w:tcPr>
          <w:p w14:paraId="7DCFD6AD" w14:textId="77777777" w:rsidR="00C1563E" w:rsidRDefault="00C1563E">
            <w:pPr>
              <w:rPr>
                <w:rFonts w:ascii="宋体"/>
                <w:vanish/>
              </w:rPr>
            </w:pPr>
          </w:p>
        </w:tc>
        <w:tc>
          <w:tcPr>
            <w:tcW w:w="0" w:type="auto"/>
            <w:shd w:val="clear" w:color="auto" w:fill="auto"/>
          </w:tcPr>
          <w:p w14:paraId="7DCFD6AE"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6A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6B0" w14:textId="77777777" w:rsidR="00C1563E" w:rsidRDefault="000B648B">
            <w:pPr>
              <w:jc w:val="right"/>
              <w:textAlignment w:val="bottom"/>
            </w:pPr>
            <w:r>
              <w:rPr>
                <w:rFonts w:ascii="Times New Roman" w:eastAsia="宋体" w:hAnsi="Times New Roman"/>
                <w:color w:val="000000"/>
                <w:sz w:val="20"/>
                <w:szCs w:val="20"/>
              </w:rPr>
              <w:t>3,505 </w:t>
            </w:r>
          </w:p>
        </w:tc>
        <w:tc>
          <w:tcPr>
            <w:tcW w:w="0" w:type="auto"/>
            <w:shd w:val="clear" w:color="auto" w:fill="FFFFFF"/>
            <w:tcMar>
              <w:top w:w="40" w:type="dxa"/>
              <w:left w:w="0" w:type="dxa"/>
              <w:bottom w:w="40" w:type="dxa"/>
              <w:right w:w="20" w:type="dxa"/>
            </w:tcMar>
            <w:vAlign w:val="bottom"/>
          </w:tcPr>
          <w:p w14:paraId="7DCFD6B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B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B3" w14:textId="77777777" w:rsidR="00C1563E" w:rsidRDefault="000B648B">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left w:w="0" w:type="dxa"/>
              <w:bottom w:w="40" w:type="dxa"/>
              <w:right w:w="20" w:type="dxa"/>
            </w:tcMar>
            <w:vAlign w:val="bottom"/>
          </w:tcPr>
          <w:p w14:paraId="7DCFD6B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6B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6B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6B7" w14:textId="77777777" w:rsidR="00C1563E" w:rsidRDefault="000B648B">
            <w:pPr>
              <w:jc w:val="right"/>
              <w:textAlignment w:val="bottom"/>
            </w:pPr>
            <w:r>
              <w:rPr>
                <w:rFonts w:ascii="Times New Roman" w:eastAsia="宋体" w:hAnsi="Times New Roman"/>
                <w:color w:val="000000"/>
                <w:sz w:val="20"/>
                <w:szCs w:val="20"/>
              </w:rPr>
              <w:t>5,529 </w:t>
            </w:r>
          </w:p>
        </w:tc>
        <w:tc>
          <w:tcPr>
            <w:tcW w:w="0" w:type="auto"/>
            <w:shd w:val="clear" w:color="auto" w:fill="FFFFFF"/>
            <w:tcMar>
              <w:top w:w="40" w:type="dxa"/>
              <w:left w:w="0" w:type="dxa"/>
              <w:bottom w:w="40" w:type="dxa"/>
              <w:right w:w="20" w:type="dxa"/>
            </w:tcMar>
            <w:vAlign w:val="bottom"/>
          </w:tcPr>
          <w:p w14:paraId="7DCFD6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BA" w14:textId="77777777" w:rsidR="00C1563E" w:rsidRDefault="000B648B">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7DCFD6BB"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6B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6B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6BE" w14:textId="77777777" w:rsidR="00C1563E" w:rsidRDefault="000B648B">
            <w:pPr>
              <w:jc w:val="right"/>
              <w:textAlignment w:val="bottom"/>
            </w:pPr>
            <w:r>
              <w:rPr>
                <w:rFonts w:ascii="Times New Roman" w:eastAsia="宋体" w:hAnsi="Times New Roman"/>
                <w:color w:val="000000"/>
                <w:sz w:val="20"/>
                <w:szCs w:val="20"/>
              </w:rPr>
              <w:t>(2,181)</w:t>
            </w:r>
          </w:p>
        </w:tc>
        <w:tc>
          <w:tcPr>
            <w:tcW w:w="0" w:type="auto"/>
            <w:shd w:val="clear" w:color="auto" w:fill="FFFFFF"/>
            <w:tcMar>
              <w:top w:w="40" w:type="dxa"/>
              <w:left w:w="0" w:type="dxa"/>
              <w:bottom w:w="40" w:type="dxa"/>
              <w:right w:w="20" w:type="dxa"/>
            </w:tcMar>
            <w:vAlign w:val="bottom"/>
          </w:tcPr>
          <w:p w14:paraId="7DCFD6BF" w14:textId="77777777" w:rsidR="00C1563E" w:rsidRDefault="00C1563E">
            <w:pPr>
              <w:jc w:val="right"/>
              <w:rPr>
                <w:rFonts w:ascii="宋体"/>
              </w:rPr>
            </w:pPr>
          </w:p>
        </w:tc>
      </w:tr>
      <w:tr w:rsidR="00C1563E" w14:paraId="7DCFD6D1" w14:textId="77777777">
        <w:trPr>
          <w:jc w:val="center"/>
        </w:trPr>
        <w:tc>
          <w:tcPr>
            <w:tcW w:w="0" w:type="auto"/>
            <w:gridSpan w:val="3"/>
            <w:shd w:val="clear" w:color="auto" w:fill="CCEEFF"/>
            <w:tcMar>
              <w:top w:w="40" w:type="dxa"/>
              <w:left w:w="155" w:type="dxa"/>
              <w:bottom w:w="40" w:type="dxa"/>
              <w:right w:w="20" w:type="dxa"/>
            </w:tcMar>
            <w:vAlign w:val="bottom"/>
          </w:tcPr>
          <w:p w14:paraId="7DCFD6C1" w14:textId="77777777" w:rsidR="00C1563E" w:rsidRDefault="000B648B">
            <w:pPr>
              <w:textAlignment w:val="bottom"/>
            </w:pPr>
            <w:r>
              <w:rPr>
                <w:rFonts w:ascii="Times New Roman" w:eastAsia="宋体" w:hAnsi="Times New Roman"/>
                <w:color w:val="000000"/>
                <w:sz w:val="20"/>
                <w:szCs w:val="20"/>
              </w:rPr>
              <w:t>Non-GAAP adjustments:</w:t>
            </w:r>
          </w:p>
        </w:tc>
        <w:tc>
          <w:tcPr>
            <w:tcW w:w="0" w:type="auto"/>
            <w:shd w:val="clear" w:color="auto" w:fill="auto"/>
          </w:tcPr>
          <w:p w14:paraId="7DCFD6C2" w14:textId="77777777" w:rsidR="00C1563E" w:rsidRDefault="00C1563E">
            <w:pPr>
              <w:rPr>
                <w:rFonts w:ascii="宋体"/>
                <w:vanish/>
              </w:rPr>
            </w:pPr>
          </w:p>
        </w:tc>
        <w:tc>
          <w:tcPr>
            <w:tcW w:w="0" w:type="auto"/>
            <w:shd w:val="clear" w:color="auto" w:fill="auto"/>
          </w:tcPr>
          <w:p w14:paraId="7DCFD6C3" w14:textId="77777777" w:rsidR="00C1563E" w:rsidRDefault="00C1563E">
            <w:pPr>
              <w:rPr>
                <w:rFonts w:ascii="宋体"/>
                <w:vanish/>
              </w:rPr>
            </w:pPr>
          </w:p>
        </w:tc>
        <w:tc>
          <w:tcPr>
            <w:tcW w:w="0" w:type="auto"/>
            <w:shd w:val="clear" w:color="auto" w:fill="auto"/>
          </w:tcPr>
          <w:p w14:paraId="7DCFD6C4" w14:textId="77777777" w:rsidR="00C1563E" w:rsidRDefault="00C1563E">
            <w:pPr>
              <w:rPr>
                <w:rFonts w:ascii="宋体"/>
                <w:vanish/>
              </w:rPr>
            </w:pPr>
          </w:p>
        </w:tc>
        <w:tc>
          <w:tcPr>
            <w:tcW w:w="0" w:type="auto"/>
            <w:shd w:val="clear" w:color="auto" w:fill="auto"/>
          </w:tcPr>
          <w:p w14:paraId="7DCFD6C5" w14:textId="77777777" w:rsidR="00C1563E" w:rsidRDefault="00C1563E">
            <w:pPr>
              <w:rPr>
                <w:rFonts w:ascii="宋体"/>
                <w:vanish/>
              </w:rPr>
            </w:pPr>
          </w:p>
        </w:tc>
        <w:tc>
          <w:tcPr>
            <w:tcW w:w="0" w:type="auto"/>
            <w:shd w:val="clear" w:color="auto" w:fill="auto"/>
          </w:tcPr>
          <w:p w14:paraId="7DCFD6C6" w14:textId="77777777" w:rsidR="00C1563E" w:rsidRDefault="00C1563E">
            <w:pPr>
              <w:rPr>
                <w:rFonts w:ascii="宋体"/>
                <w:vanish/>
              </w:rPr>
            </w:pPr>
          </w:p>
        </w:tc>
        <w:tc>
          <w:tcPr>
            <w:tcW w:w="0" w:type="auto"/>
            <w:shd w:val="clear" w:color="auto" w:fill="auto"/>
          </w:tcPr>
          <w:p w14:paraId="7DCFD6C7"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6C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C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D0" w14:textId="77777777" w:rsidR="00C1563E" w:rsidRDefault="00C1563E">
            <w:pPr>
              <w:rPr>
                <w:rFonts w:ascii="宋体"/>
              </w:rPr>
            </w:pPr>
          </w:p>
        </w:tc>
      </w:tr>
      <w:tr w:rsidR="00C1563E" w14:paraId="7DCFD6E5" w14:textId="77777777">
        <w:trPr>
          <w:jc w:val="center"/>
        </w:trPr>
        <w:tc>
          <w:tcPr>
            <w:tcW w:w="0" w:type="auto"/>
            <w:gridSpan w:val="3"/>
            <w:shd w:val="clear" w:color="auto" w:fill="FFFFFF"/>
            <w:tcMar>
              <w:top w:w="40" w:type="dxa"/>
              <w:left w:w="245" w:type="dxa"/>
              <w:bottom w:w="40" w:type="dxa"/>
              <w:right w:w="20" w:type="dxa"/>
            </w:tcMar>
            <w:vAlign w:val="bottom"/>
          </w:tcPr>
          <w:p w14:paraId="7DCFD6D2" w14:textId="77777777" w:rsidR="00C1563E" w:rsidRDefault="000B648B">
            <w:pPr>
              <w:textAlignment w:val="bottom"/>
            </w:pPr>
            <w:r>
              <w:rPr>
                <w:rFonts w:ascii="Times New Roman" w:eastAsia="宋体" w:hAnsi="Times New Roman"/>
                <w:color w:val="000000"/>
                <w:sz w:val="20"/>
                <w:szCs w:val="20"/>
              </w:rPr>
              <w:t xml:space="preserve">Amortization of </w:t>
            </w:r>
            <w:r>
              <w:rPr>
                <w:rFonts w:ascii="Times New Roman" w:eastAsia="宋体" w:hAnsi="Times New Roman"/>
                <w:color w:val="000000"/>
                <w:sz w:val="20"/>
                <w:szCs w:val="20"/>
              </w:rPr>
              <w:t>intangibles</w:t>
            </w:r>
          </w:p>
        </w:tc>
        <w:tc>
          <w:tcPr>
            <w:tcW w:w="0" w:type="auto"/>
            <w:shd w:val="clear" w:color="auto" w:fill="auto"/>
          </w:tcPr>
          <w:p w14:paraId="7DCFD6D3" w14:textId="77777777" w:rsidR="00C1563E" w:rsidRDefault="00C1563E">
            <w:pPr>
              <w:rPr>
                <w:rFonts w:ascii="宋体"/>
                <w:vanish/>
              </w:rPr>
            </w:pPr>
          </w:p>
        </w:tc>
        <w:tc>
          <w:tcPr>
            <w:tcW w:w="0" w:type="auto"/>
            <w:shd w:val="clear" w:color="auto" w:fill="auto"/>
          </w:tcPr>
          <w:p w14:paraId="7DCFD6D4" w14:textId="77777777" w:rsidR="00C1563E" w:rsidRDefault="00C1563E">
            <w:pPr>
              <w:rPr>
                <w:rFonts w:ascii="宋体"/>
                <w:vanish/>
              </w:rPr>
            </w:pPr>
          </w:p>
        </w:tc>
        <w:tc>
          <w:tcPr>
            <w:tcW w:w="0" w:type="auto"/>
            <w:shd w:val="clear" w:color="auto" w:fill="auto"/>
          </w:tcPr>
          <w:p w14:paraId="7DCFD6D5" w14:textId="77777777" w:rsidR="00C1563E" w:rsidRDefault="00C1563E">
            <w:pPr>
              <w:rPr>
                <w:rFonts w:ascii="宋体"/>
                <w:vanish/>
              </w:rPr>
            </w:pPr>
          </w:p>
        </w:tc>
        <w:tc>
          <w:tcPr>
            <w:tcW w:w="0" w:type="auto"/>
            <w:shd w:val="clear" w:color="auto" w:fill="auto"/>
          </w:tcPr>
          <w:p w14:paraId="7DCFD6D6" w14:textId="77777777" w:rsidR="00C1563E" w:rsidRDefault="00C1563E">
            <w:pPr>
              <w:rPr>
                <w:rFonts w:ascii="宋体"/>
                <w:vanish/>
              </w:rPr>
            </w:pPr>
          </w:p>
        </w:tc>
        <w:tc>
          <w:tcPr>
            <w:tcW w:w="0" w:type="auto"/>
            <w:shd w:val="clear" w:color="auto" w:fill="auto"/>
          </w:tcPr>
          <w:p w14:paraId="7DCFD6D7" w14:textId="77777777" w:rsidR="00C1563E" w:rsidRDefault="00C1563E">
            <w:pPr>
              <w:rPr>
                <w:rFonts w:ascii="宋体"/>
                <w:vanish/>
              </w:rPr>
            </w:pPr>
          </w:p>
        </w:tc>
        <w:tc>
          <w:tcPr>
            <w:tcW w:w="0" w:type="auto"/>
            <w:shd w:val="clear" w:color="auto" w:fill="auto"/>
          </w:tcPr>
          <w:p w14:paraId="7DCFD6D8"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6D9" w14:textId="77777777" w:rsidR="00C1563E" w:rsidRDefault="000B648B">
            <w:pPr>
              <w:jc w:val="right"/>
              <w:textAlignment w:val="bottom"/>
            </w:pPr>
            <w:r>
              <w:rPr>
                <w:rFonts w:ascii="Times New Roman" w:eastAsia="宋体" w:hAnsi="Times New Roman"/>
                <w:color w:val="000000"/>
                <w:sz w:val="20"/>
                <w:szCs w:val="20"/>
              </w:rPr>
              <w:t>3,393 </w:t>
            </w:r>
          </w:p>
        </w:tc>
        <w:tc>
          <w:tcPr>
            <w:tcW w:w="0" w:type="auto"/>
            <w:shd w:val="clear" w:color="auto" w:fill="FFFFFF"/>
            <w:tcMar>
              <w:top w:w="40" w:type="dxa"/>
              <w:left w:w="0" w:type="dxa"/>
              <w:bottom w:w="40" w:type="dxa"/>
              <w:right w:w="20" w:type="dxa"/>
            </w:tcMar>
            <w:vAlign w:val="bottom"/>
          </w:tcPr>
          <w:p w14:paraId="7DCFD6D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D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D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D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DE" w14:textId="77777777" w:rsidR="00C1563E" w:rsidRDefault="000B648B">
            <w:pPr>
              <w:jc w:val="right"/>
              <w:textAlignment w:val="bottom"/>
            </w:pPr>
            <w:r>
              <w:rPr>
                <w:rFonts w:ascii="Times New Roman" w:eastAsia="宋体" w:hAnsi="Times New Roman"/>
                <w:color w:val="000000"/>
                <w:sz w:val="20"/>
                <w:szCs w:val="20"/>
              </w:rPr>
              <w:t>4,408 </w:t>
            </w:r>
          </w:p>
        </w:tc>
        <w:tc>
          <w:tcPr>
            <w:tcW w:w="0" w:type="auto"/>
            <w:shd w:val="clear" w:color="auto" w:fill="FFFFFF"/>
            <w:tcMar>
              <w:top w:w="40" w:type="dxa"/>
              <w:left w:w="0" w:type="dxa"/>
              <w:bottom w:w="40" w:type="dxa"/>
              <w:right w:w="20" w:type="dxa"/>
            </w:tcMar>
            <w:vAlign w:val="bottom"/>
          </w:tcPr>
          <w:p w14:paraId="7DCFD6D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6E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E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6E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6E3" w14:textId="77777777" w:rsidR="00C1563E" w:rsidRDefault="000B648B">
            <w:pPr>
              <w:jc w:val="right"/>
              <w:textAlignment w:val="bottom"/>
            </w:pPr>
            <w:r>
              <w:rPr>
                <w:rFonts w:ascii="Times New Roman" w:eastAsia="宋体" w:hAnsi="Times New Roman"/>
                <w:color w:val="000000"/>
                <w:sz w:val="20"/>
                <w:szCs w:val="20"/>
              </w:rPr>
              <w:t>6,138 </w:t>
            </w:r>
          </w:p>
        </w:tc>
        <w:tc>
          <w:tcPr>
            <w:tcW w:w="0" w:type="auto"/>
            <w:shd w:val="clear" w:color="auto" w:fill="FFFFFF"/>
            <w:tcMar>
              <w:top w:w="40" w:type="dxa"/>
              <w:left w:w="0" w:type="dxa"/>
              <w:bottom w:w="40" w:type="dxa"/>
              <w:right w:w="20" w:type="dxa"/>
            </w:tcMar>
            <w:vAlign w:val="bottom"/>
          </w:tcPr>
          <w:p w14:paraId="7DCFD6E4" w14:textId="77777777" w:rsidR="00C1563E" w:rsidRDefault="00C1563E">
            <w:pPr>
              <w:jc w:val="right"/>
              <w:rPr>
                <w:rFonts w:ascii="宋体"/>
              </w:rPr>
            </w:pPr>
          </w:p>
        </w:tc>
      </w:tr>
      <w:tr w:rsidR="00C1563E" w14:paraId="7DCFD6F9" w14:textId="77777777">
        <w:trPr>
          <w:jc w:val="center"/>
        </w:trPr>
        <w:tc>
          <w:tcPr>
            <w:tcW w:w="0" w:type="auto"/>
            <w:gridSpan w:val="3"/>
            <w:shd w:val="clear" w:color="auto" w:fill="CCEEFF"/>
            <w:tcMar>
              <w:top w:w="40" w:type="dxa"/>
              <w:left w:w="245" w:type="dxa"/>
              <w:bottom w:w="40" w:type="dxa"/>
              <w:right w:w="20" w:type="dxa"/>
            </w:tcMar>
            <w:vAlign w:val="bottom"/>
          </w:tcPr>
          <w:p w14:paraId="7DCFD6E6" w14:textId="77777777" w:rsidR="00C1563E" w:rsidRDefault="000B648B">
            <w:pPr>
              <w:textAlignment w:val="bottom"/>
            </w:pPr>
            <w:r>
              <w:rPr>
                <w:rFonts w:ascii="Times New Roman" w:eastAsia="宋体" w:hAnsi="Times New Roman"/>
                <w:color w:val="000000"/>
                <w:sz w:val="20"/>
                <w:szCs w:val="20"/>
              </w:rPr>
              <w:t>Impact of purchase accounting</w:t>
            </w:r>
          </w:p>
        </w:tc>
        <w:tc>
          <w:tcPr>
            <w:tcW w:w="0" w:type="auto"/>
            <w:shd w:val="clear" w:color="auto" w:fill="auto"/>
          </w:tcPr>
          <w:p w14:paraId="7DCFD6E7" w14:textId="77777777" w:rsidR="00C1563E" w:rsidRDefault="00C1563E">
            <w:pPr>
              <w:rPr>
                <w:rFonts w:ascii="宋体"/>
                <w:vanish/>
              </w:rPr>
            </w:pPr>
          </w:p>
        </w:tc>
        <w:tc>
          <w:tcPr>
            <w:tcW w:w="0" w:type="auto"/>
            <w:shd w:val="clear" w:color="auto" w:fill="auto"/>
          </w:tcPr>
          <w:p w14:paraId="7DCFD6E8" w14:textId="77777777" w:rsidR="00C1563E" w:rsidRDefault="00C1563E">
            <w:pPr>
              <w:rPr>
                <w:rFonts w:ascii="宋体"/>
                <w:vanish/>
              </w:rPr>
            </w:pPr>
          </w:p>
        </w:tc>
        <w:tc>
          <w:tcPr>
            <w:tcW w:w="0" w:type="auto"/>
            <w:shd w:val="clear" w:color="auto" w:fill="auto"/>
          </w:tcPr>
          <w:p w14:paraId="7DCFD6E9" w14:textId="77777777" w:rsidR="00C1563E" w:rsidRDefault="00C1563E">
            <w:pPr>
              <w:rPr>
                <w:rFonts w:ascii="宋体"/>
                <w:vanish/>
              </w:rPr>
            </w:pPr>
          </w:p>
        </w:tc>
        <w:tc>
          <w:tcPr>
            <w:tcW w:w="0" w:type="auto"/>
            <w:shd w:val="clear" w:color="auto" w:fill="auto"/>
          </w:tcPr>
          <w:p w14:paraId="7DCFD6EA" w14:textId="77777777" w:rsidR="00C1563E" w:rsidRDefault="00C1563E">
            <w:pPr>
              <w:rPr>
                <w:rFonts w:ascii="宋体"/>
                <w:vanish/>
              </w:rPr>
            </w:pPr>
          </w:p>
        </w:tc>
        <w:tc>
          <w:tcPr>
            <w:tcW w:w="0" w:type="auto"/>
            <w:shd w:val="clear" w:color="auto" w:fill="auto"/>
          </w:tcPr>
          <w:p w14:paraId="7DCFD6EB" w14:textId="77777777" w:rsidR="00C1563E" w:rsidRDefault="00C1563E">
            <w:pPr>
              <w:rPr>
                <w:rFonts w:ascii="宋体"/>
                <w:vanish/>
              </w:rPr>
            </w:pPr>
          </w:p>
        </w:tc>
        <w:tc>
          <w:tcPr>
            <w:tcW w:w="0" w:type="auto"/>
            <w:shd w:val="clear" w:color="auto" w:fill="auto"/>
          </w:tcPr>
          <w:p w14:paraId="7DCFD6E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6ED" w14:textId="77777777" w:rsidR="00C1563E" w:rsidRDefault="000B648B">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7DCFD6E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F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F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F2" w14:textId="77777777" w:rsidR="00C1563E" w:rsidRDefault="000B648B">
            <w:pPr>
              <w:jc w:val="right"/>
              <w:textAlignment w:val="bottom"/>
            </w:pPr>
            <w:r>
              <w:rPr>
                <w:rFonts w:ascii="Times New Roman" w:eastAsia="宋体" w:hAnsi="Times New Roman"/>
                <w:color w:val="000000"/>
                <w:sz w:val="20"/>
                <w:szCs w:val="20"/>
              </w:rPr>
              <w:t>411 </w:t>
            </w:r>
          </w:p>
        </w:tc>
        <w:tc>
          <w:tcPr>
            <w:tcW w:w="0" w:type="auto"/>
            <w:shd w:val="clear" w:color="auto" w:fill="CCEEFF"/>
            <w:tcMar>
              <w:top w:w="40" w:type="dxa"/>
              <w:left w:w="0" w:type="dxa"/>
              <w:bottom w:w="40" w:type="dxa"/>
              <w:right w:w="20" w:type="dxa"/>
            </w:tcMar>
            <w:vAlign w:val="bottom"/>
          </w:tcPr>
          <w:p w14:paraId="7DCFD6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6F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F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6F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6F7" w14:textId="77777777" w:rsidR="00C1563E" w:rsidRDefault="000B648B">
            <w:pPr>
              <w:jc w:val="right"/>
              <w:textAlignment w:val="bottom"/>
            </w:pPr>
            <w:r>
              <w:rPr>
                <w:rFonts w:ascii="Times New Roman" w:eastAsia="宋体" w:hAnsi="Times New Roman"/>
                <w:color w:val="000000"/>
                <w:sz w:val="20"/>
                <w:szCs w:val="20"/>
              </w:rPr>
              <w:t>820 </w:t>
            </w:r>
          </w:p>
        </w:tc>
        <w:tc>
          <w:tcPr>
            <w:tcW w:w="0" w:type="auto"/>
            <w:shd w:val="clear" w:color="auto" w:fill="CCEEFF"/>
            <w:tcMar>
              <w:top w:w="40" w:type="dxa"/>
              <w:left w:w="0" w:type="dxa"/>
              <w:bottom w:w="40" w:type="dxa"/>
              <w:right w:w="20" w:type="dxa"/>
            </w:tcMar>
            <w:vAlign w:val="bottom"/>
          </w:tcPr>
          <w:p w14:paraId="7DCFD6F8" w14:textId="77777777" w:rsidR="00C1563E" w:rsidRDefault="00C1563E">
            <w:pPr>
              <w:jc w:val="right"/>
              <w:rPr>
                <w:rFonts w:ascii="宋体"/>
              </w:rPr>
            </w:pPr>
          </w:p>
        </w:tc>
      </w:tr>
      <w:tr w:rsidR="00C1563E" w14:paraId="7DCFD70D" w14:textId="77777777">
        <w:trPr>
          <w:jc w:val="center"/>
        </w:trPr>
        <w:tc>
          <w:tcPr>
            <w:tcW w:w="0" w:type="auto"/>
            <w:gridSpan w:val="3"/>
            <w:shd w:val="clear" w:color="auto" w:fill="FFFFFF"/>
            <w:tcMar>
              <w:top w:w="40" w:type="dxa"/>
              <w:left w:w="245" w:type="dxa"/>
              <w:bottom w:w="40" w:type="dxa"/>
              <w:right w:w="20" w:type="dxa"/>
            </w:tcMar>
            <w:vAlign w:val="bottom"/>
          </w:tcPr>
          <w:p w14:paraId="7DCFD6FA" w14:textId="77777777" w:rsidR="00C1563E" w:rsidRDefault="000B648B">
            <w:pPr>
              <w:textAlignment w:val="bottom"/>
            </w:pPr>
            <w:r>
              <w:rPr>
                <w:rFonts w:ascii="Times New Roman" w:eastAsia="宋体" w:hAnsi="Times New Roman"/>
                <w:color w:val="000000"/>
                <w:sz w:val="20"/>
                <w:szCs w:val="20"/>
              </w:rPr>
              <w:t>Transaction-related (income) expenses</w:t>
            </w:r>
          </w:p>
        </w:tc>
        <w:tc>
          <w:tcPr>
            <w:tcW w:w="0" w:type="auto"/>
            <w:shd w:val="clear" w:color="auto" w:fill="auto"/>
          </w:tcPr>
          <w:p w14:paraId="7DCFD6FB" w14:textId="77777777" w:rsidR="00C1563E" w:rsidRDefault="00C1563E">
            <w:pPr>
              <w:rPr>
                <w:rFonts w:ascii="宋体"/>
                <w:vanish/>
              </w:rPr>
            </w:pPr>
          </w:p>
        </w:tc>
        <w:tc>
          <w:tcPr>
            <w:tcW w:w="0" w:type="auto"/>
            <w:shd w:val="clear" w:color="auto" w:fill="auto"/>
          </w:tcPr>
          <w:p w14:paraId="7DCFD6FC" w14:textId="77777777" w:rsidR="00C1563E" w:rsidRDefault="00C1563E">
            <w:pPr>
              <w:rPr>
                <w:rFonts w:ascii="宋体"/>
                <w:vanish/>
              </w:rPr>
            </w:pPr>
          </w:p>
        </w:tc>
        <w:tc>
          <w:tcPr>
            <w:tcW w:w="0" w:type="auto"/>
            <w:shd w:val="clear" w:color="auto" w:fill="auto"/>
          </w:tcPr>
          <w:p w14:paraId="7DCFD6FD" w14:textId="77777777" w:rsidR="00C1563E" w:rsidRDefault="00C1563E">
            <w:pPr>
              <w:rPr>
                <w:rFonts w:ascii="宋体"/>
                <w:vanish/>
              </w:rPr>
            </w:pPr>
          </w:p>
        </w:tc>
        <w:tc>
          <w:tcPr>
            <w:tcW w:w="0" w:type="auto"/>
            <w:shd w:val="clear" w:color="auto" w:fill="auto"/>
          </w:tcPr>
          <w:p w14:paraId="7DCFD6FE" w14:textId="77777777" w:rsidR="00C1563E" w:rsidRDefault="00C1563E">
            <w:pPr>
              <w:rPr>
                <w:rFonts w:ascii="宋体"/>
                <w:vanish/>
              </w:rPr>
            </w:pPr>
          </w:p>
        </w:tc>
        <w:tc>
          <w:tcPr>
            <w:tcW w:w="0" w:type="auto"/>
            <w:shd w:val="clear" w:color="auto" w:fill="auto"/>
          </w:tcPr>
          <w:p w14:paraId="7DCFD6FF" w14:textId="77777777" w:rsidR="00C1563E" w:rsidRDefault="00C1563E">
            <w:pPr>
              <w:rPr>
                <w:rFonts w:ascii="宋体"/>
                <w:vanish/>
              </w:rPr>
            </w:pPr>
          </w:p>
        </w:tc>
        <w:tc>
          <w:tcPr>
            <w:tcW w:w="0" w:type="auto"/>
            <w:shd w:val="clear" w:color="auto" w:fill="auto"/>
          </w:tcPr>
          <w:p w14:paraId="7DCFD700"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701" w14:textId="77777777" w:rsidR="00C1563E" w:rsidRDefault="000B648B">
            <w:pPr>
              <w:jc w:val="right"/>
              <w:textAlignment w:val="bottom"/>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bottom"/>
          </w:tcPr>
          <w:p w14:paraId="7DCFD7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0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0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0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06" w14:textId="77777777" w:rsidR="00C1563E" w:rsidRDefault="000B648B">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7DCFD70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0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0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0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0B" w14:textId="77777777" w:rsidR="00C1563E" w:rsidRDefault="000B648B">
            <w:pPr>
              <w:jc w:val="right"/>
              <w:textAlignment w:val="bottom"/>
            </w:pPr>
            <w:r>
              <w:rPr>
                <w:rFonts w:ascii="Times New Roman" w:eastAsia="宋体" w:hAnsi="Times New Roman"/>
                <w:color w:val="000000"/>
                <w:sz w:val="20"/>
                <w:szCs w:val="20"/>
              </w:rPr>
              <w:t>824 </w:t>
            </w:r>
          </w:p>
        </w:tc>
        <w:tc>
          <w:tcPr>
            <w:tcW w:w="0" w:type="auto"/>
            <w:shd w:val="clear" w:color="auto" w:fill="FFFFFF"/>
            <w:tcMar>
              <w:top w:w="40" w:type="dxa"/>
              <w:left w:w="0" w:type="dxa"/>
              <w:bottom w:w="40" w:type="dxa"/>
              <w:right w:w="20" w:type="dxa"/>
            </w:tcMar>
            <w:vAlign w:val="bottom"/>
          </w:tcPr>
          <w:p w14:paraId="7DCFD70C" w14:textId="77777777" w:rsidR="00C1563E" w:rsidRDefault="00C1563E">
            <w:pPr>
              <w:jc w:val="right"/>
              <w:rPr>
                <w:rFonts w:ascii="宋体"/>
              </w:rPr>
            </w:pPr>
          </w:p>
        </w:tc>
      </w:tr>
      <w:tr w:rsidR="00C1563E" w14:paraId="7DCFD721" w14:textId="77777777">
        <w:trPr>
          <w:jc w:val="center"/>
        </w:trPr>
        <w:tc>
          <w:tcPr>
            <w:tcW w:w="0" w:type="auto"/>
            <w:gridSpan w:val="3"/>
            <w:shd w:val="clear" w:color="auto" w:fill="CCEEFF"/>
            <w:tcMar>
              <w:top w:w="40" w:type="dxa"/>
              <w:left w:w="245" w:type="dxa"/>
              <w:bottom w:w="40" w:type="dxa"/>
              <w:right w:w="20" w:type="dxa"/>
            </w:tcMar>
            <w:vAlign w:val="bottom"/>
          </w:tcPr>
          <w:p w14:paraId="7DCFD70E"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70F" w14:textId="77777777" w:rsidR="00C1563E" w:rsidRDefault="00C1563E">
            <w:pPr>
              <w:rPr>
                <w:rFonts w:ascii="宋体"/>
                <w:vanish/>
              </w:rPr>
            </w:pPr>
          </w:p>
        </w:tc>
        <w:tc>
          <w:tcPr>
            <w:tcW w:w="0" w:type="auto"/>
            <w:shd w:val="clear" w:color="auto" w:fill="auto"/>
          </w:tcPr>
          <w:p w14:paraId="7DCFD710" w14:textId="77777777" w:rsidR="00C1563E" w:rsidRDefault="00C1563E">
            <w:pPr>
              <w:rPr>
                <w:rFonts w:ascii="宋体"/>
                <w:vanish/>
              </w:rPr>
            </w:pPr>
          </w:p>
        </w:tc>
        <w:tc>
          <w:tcPr>
            <w:tcW w:w="0" w:type="auto"/>
            <w:shd w:val="clear" w:color="auto" w:fill="auto"/>
          </w:tcPr>
          <w:p w14:paraId="7DCFD711" w14:textId="77777777" w:rsidR="00C1563E" w:rsidRDefault="00C1563E">
            <w:pPr>
              <w:rPr>
                <w:rFonts w:ascii="宋体"/>
                <w:vanish/>
              </w:rPr>
            </w:pPr>
          </w:p>
        </w:tc>
        <w:tc>
          <w:tcPr>
            <w:tcW w:w="0" w:type="auto"/>
            <w:shd w:val="clear" w:color="auto" w:fill="auto"/>
          </w:tcPr>
          <w:p w14:paraId="7DCFD712" w14:textId="77777777" w:rsidR="00C1563E" w:rsidRDefault="00C1563E">
            <w:pPr>
              <w:rPr>
                <w:rFonts w:ascii="宋体"/>
                <w:vanish/>
              </w:rPr>
            </w:pPr>
          </w:p>
        </w:tc>
        <w:tc>
          <w:tcPr>
            <w:tcW w:w="0" w:type="auto"/>
            <w:shd w:val="clear" w:color="auto" w:fill="auto"/>
          </w:tcPr>
          <w:p w14:paraId="7DCFD713" w14:textId="77777777" w:rsidR="00C1563E" w:rsidRDefault="00C1563E">
            <w:pPr>
              <w:rPr>
                <w:rFonts w:ascii="宋体"/>
                <w:vanish/>
              </w:rPr>
            </w:pPr>
          </w:p>
        </w:tc>
        <w:tc>
          <w:tcPr>
            <w:tcW w:w="0" w:type="auto"/>
            <w:shd w:val="clear" w:color="auto" w:fill="auto"/>
          </w:tcPr>
          <w:p w14:paraId="7DCFD71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715" w14:textId="77777777" w:rsidR="00C1563E" w:rsidRDefault="000B648B">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7DCFD7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1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1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1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1A" w14:textId="77777777" w:rsidR="00C1563E" w:rsidRDefault="000B648B">
            <w:pPr>
              <w:jc w:val="right"/>
              <w:textAlignment w:val="bottom"/>
            </w:pPr>
            <w:r>
              <w:rPr>
                <w:rFonts w:ascii="Times New Roman" w:eastAsia="宋体" w:hAnsi="Times New Roman"/>
                <w:color w:val="000000"/>
                <w:sz w:val="20"/>
                <w:szCs w:val="20"/>
              </w:rPr>
              <w:t>1,262 </w:t>
            </w:r>
          </w:p>
        </w:tc>
        <w:tc>
          <w:tcPr>
            <w:tcW w:w="0" w:type="auto"/>
            <w:shd w:val="clear" w:color="auto" w:fill="CCEEFF"/>
            <w:tcMar>
              <w:top w:w="40" w:type="dxa"/>
              <w:left w:w="0" w:type="dxa"/>
              <w:bottom w:w="40" w:type="dxa"/>
              <w:right w:w="20" w:type="dxa"/>
            </w:tcMar>
            <w:vAlign w:val="bottom"/>
          </w:tcPr>
          <w:p w14:paraId="7DCFD71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1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1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1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1F" w14:textId="77777777" w:rsidR="00C1563E" w:rsidRDefault="000B648B">
            <w:pPr>
              <w:jc w:val="right"/>
              <w:textAlignment w:val="bottom"/>
            </w:pPr>
            <w:r>
              <w:rPr>
                <w:rFonts w:ascii="Times New Roman" w:eastAsia="宋体" w:hAnsi="Times New Roman"/>
                <w:color w:val="000000"/>
                <w:sz w:val="20"/>
                <w:szCs w:val="20"/>
              </w:rPr>
              <w:t>918 </w:t>
            </w:r>
          </w:p>
        </w:tc>
        <w:tc>
          <w:tcPr>
            <w:tcW w:w="0" w:type="auto"/>
            <w:shd w:val="clear" w:color="auto" w:fill="CCEEFF"/>
            <w:tcMar>
              <w:top w:w="40" w:type="dxa"/>
              <w:left w:w="0" w:type="dxa"/>
              <w:bottom w:w="40" w:type="dxa"/>
              <w:right w:w="20" w:type="dxa"/>
            </w:tcMar>
            <w:vAlign w:val="bottom"/>
          </w:tcPr>
          <w:p w14:paraId="7DCFD720" w14:textId="77777777" w:rsidR="00C1563E" w:rsidRDefault="00C1563E">
            <w:pPr>
              <w:jc w:val="right"/>
              <w:rPr>
                <w:rFonts w:ascii="宋体"/>
              </w:rPr>
            </w:pPr>
          </w:p>
        </w:tc>
      </w:tr>
      <w:tr w:rsidR="00C1563E" w14:paraId="7DCFD735" w14:textId="77777777">
        <w:trPr>
          <w:jc w:val="center"/>
        </w:trPr>
        <w:tc>
          <w:tcPr>
            <w:tcW w:w="0" w:type="auto"/>
            <w:gridSpan w:val="3"/>
            <w:shd w:val="clear" w:color="auto" w:fill="FFFFFF"/>
            <w:tcMar>
              <w:top w:w="40" w:type="dxa"/>
              <w:left w:w="245" w:type="dxa"/>
              <w:bottom w:w="40" w:type="dxa"/>
              <w:right w:w="20" w:type="dxa"/>
            </w:tcMar>
            <w:vAlign w:val="bottom"/>
          </w:tcPr>
          <w:p w14:paraId="7DCFD722" w14:textId="77777777" w:rsidR="00C1563E" w:rsidRDefault="000B648B">
            <w:pPr>
              <w:textAlignment w:val="bottom"/>
            </w:pPr>
            <w:r>
              <w:rPr>
                <w:rFonts w:ascii="Times New Roman" w:eastAsia="宋体" w:hAnsi="Times New Roman"/>
                <w:color w:val="000000"/>
                <w:sz w:val="20"/>
                <w:szCs w:val="20"/>
              </w:rPr>
              <w:t>Other corporate expenses</w:t>
            </w:r>
          </w:p>
        </w:tc>
        <w:tc>
          <w:tcPr>
            <w:tcW w:w="0" w:type="auto"/>
            <w:shd w:val="clear" w:color="auto" w:fill="auto"/>
          </w:tcPr>
          <w:p w14:paraId="7DCFD723" w14:textId="77777777" w:rsidR="00C1563E" w:rsidRDefault="00C1563E">
            <w:pPr>
              <w:rPr>
                <w:rFonts w:ascii="宋体"/>
                <w:vanish/>
              </w:rPr>
            </w:pPr>
          </w:p>
        </w:tc>
        <w:tc>
          <w:tcPr>
            <w:tcW w:w="0" w:type="auto"/>
            <w:shd w:val="clear" w:color="auto" w:fill="auto"/>
          </w:tcPr>
          <w:p w14:paraId="7DCFD724" w14:textId="77777777" w:rsidR="00C1563E" w:rsidRDefault="00C1563E">
            <w:pPr>
              <w:rPr>
                <w:rFonts w:ascii="宋体"/>
                <w:vanish/>
              </w:rPr>
            </w:pPr>
          </w:p>
        </w:tc>
        <w:tc>
          <w:tcPr>
            <w:tcW w:w="0" w:type="auto"/>
            <w:shd w:val="clear" w:color="auto" w:fill="auto"/>
          </w:tcPr>
          <w:p w14:paraId="7DCFD725" w14:textId="77777777" w:rsidR="00C1563E" w:rsidRDefault="00C1563E">
            <w:pPr>
              <w:rPr>
                <w:rFonts w:ascii="宋体"/>
                <w:vanish/>
              </w:rPr>
            </w:pPr>
          </w:p>
        </w:tc>
        <w:tc>
          <w:tcPr>
            <w:tcW w:w="0" w:type="auto"/>
            <w:shd w:val="clear" w:color="auto" w:fill="auto"/>
          </w:tcPr>
          <w:p w14:paraId="7DCFD726" w14:textId="77777777" w:rsidR="00C1563E" w:rsidRDefault="00C1563E">
            <w:pPr>
              <w:rPr>
                <w:rFonts w:ascii="宋体"/>
                <w:vanish/>
              </w:rPr>
            </w:pPr>
          </w:p>
        </w:tc>
        <w:tc>
          <w:tcPr>
            <w:tcW w:w="0" w:type="auto"/>
            <w:shd w:val="clear" w:color="auto" w:fill="auto"/>
          </w:tcPr>
          <w:p w14:paraId="7DCFD727" w14:textId="77777777" w:rsidR="00C1563E" w:rsidRDefault="00C1563E">
            <w:pPr>
              <w:rPr>
                <w:rFonts w:ascii="宋体"/>
                <w:vanish/>
              </w:rPr>
            </w:pPr>
          </w:p>
        </w:tc>
        <w:tc>
          <w:tcPr>
            <w:tcW w:w="0" w:type="auto"/>
            <w:shd w:val="clear" w:color="auto" w:fill="auto"/>
          </w:tcPr>
          <w:p w14:paraId="7DCFD728"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729" w14:textId="77777777" w:rsidR="00C1563E" w:rsidRDefault="000B648B">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7DCFD72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2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2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2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2E" w14:textId="77777777" w:rsidR="00C1563E" w:rsidRDefault="000B648B">
            <w:pPr>
              <w:jc w:val="right"/>
              <w:textAlignment w:val="bottom"/>
            </w:pPr>
            <w:r>
              <w:rPr>
                <w:rFonts w:ascii="Times New Roman" w:eastAsia="宋体" w:hAnsi="Times New Roman"/>
                <w:color w:val="000000"/>
                <w:sz w:val="20"/>
                <w:szCs w:val="20"/>
              </w:rPr>
              <w:t>1,160 </w:t>
            </w:r>
          </w:p>
        </w:tc>
        <w:tc>
          <w:tcPr>
            <w:tcW w:w="0" w:type="auto"/>
            <w:shd w:val="clear" w:color="auto" w:fill="FFFFFF"/>
            <w:tcMar>
              <w:top w:w="40" w:type="dxa"/>
              <w:left w:w="0" w:type="dxa"/>
              <w:bottom w:w="40" w:type="dxa"/>
              <w:right w:w="20" w:type="dxa"/>
            </w:tcMar>
            <w:vAlign w:val="bottom"/>
          </w:tcPr>
          <w:p w14:paraId="7DCFD72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3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3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33" w14:textId="77777777" w:rsidR="00C1563E" w:rsidRDefault="000B648B">
            <w:pPr>
              <w:jc w:val="right"/>
              <w:textAlignment w:val="bottom"/>
            </w:pPr>
            <w:r>
              <w:rPr>
                <w:rFonts w:ascii="Times New Roman" w:eastAsia="宋体" w:hAnsi="Times New Roman"/>
                <w:color w:val="000000"/>
                <w:sz w:val="20"/>
                <w:szCs w:val="20"/>
              </w:rPr>
              <w:t>419 </w:t>
            </w:r>
          </w:p>
        </w:tc>
        <w:tc>
          <w:tcPr>
            <w:tcW w:w="0" w:type="auto"/>
            <w:shd w:val="clear" w:color="auto" w:fill="FFFFFF"/>
            <w:tcMar>
              <w:top w:w="40" w:type="dxa"/>
              <w:left w:w="0" w:type="dxa"/>
              <w:bottom w:w="40" w:type="dxa"/>
              <w:right w:w="20" w:type="dxa"/>
            </w:tcMar>
            <w:vAlign w:val="bottom"/>
          </w:tcPr>
          <w:p w14:paraId="7DCFD734" w14:textId="77777777" w:rsidR="00C1563E" w:rsidRDefault="00C1563E">
            <w:pPr>
              <w:jc w:val="right"/>
              <w:rPr>
                <w:rFonts w:ascii="宋体"/>
              </w:rPr>
            </w:pPr>
          </w:p>
        </w:tc>
      </w:tr>
      <w:tr w:rsidR="00C1563E" w14:paraId="7DCFD749" w14:textId="77777777">
        <w:trPr>
          <w:jc w:val="center"/>
        </w:trPr>
        <w:tc>
          <w:tcPr>
            <w:tcW w:w="0" w:type="auto"/>
            <w:gridSpan w:val="3"/>
            <w:shd w:val="clear" w:color="auto" w:fill="CCEEFF"/>
            <w:tcMar>
              <w:top w:w="40" w:type="dxa"/>
              <w:left w:w="245" w:type="dxa"/>
              <w:bottom w:w="40" w:type="dxa"/>
              <w:right w:w="20" w:type="dxa"/>
            </w:tcMar>
            <w:vAlign w:val="bottom"/>
          </w:tcPr>
          <w:p w14:paraId="7DCFD736" w14:textId="77777777" w:rsidR="00C1563E" w:rsidRDefault="000B648B">
            <w:pPr>
              <w:textAlignment w:val="bottom"/>
            </w:pPr>
            <w:r>
              <w:rPr>
                <w:rFonts w:ascii="Times New Roman" w:eastAsia="宋体" w:hAnsi="Times New Roman"/>
                <w:color w:val="000000"/>
                <w:sz w:val="20"/>
                <w:szCs w:val="20"/>
              </w:rPr>
              <w:t>Fair value adjustments on equity investments</w:t>
            </w:r>
          </w:p>
        </w:tc>
        <w:tc>
          <w:tcPr>
            <w:tcW w:w="0" w:type="auto"/>
            <w:shd w:val="clear" w:color="auto" w:fill="auto"/>
          </w:tcPr>
          <w:p w14:paraId="7DCFD737" w14:textId="77777777" w:rsidR="00C1563E" w:rsidRDefault="00C1563E">
            <w:pPr>
              <w:rPr>
                <w:rFonts w:ascii="宋体"/>
                <w:vanish/>
              </w:rPr>
            </w:pPr>
          </w:p>
        </w:tc>
        <w:tc>
          <w:tcPr>
            <w:tcW w:w="0" w:type="auto"/>
            <w:shd w:val="clear" w:color="auto" w:fill="auto"/>
          </w:tcPr>
          <w:p w14:paraId="7DCFD738" w14:textId="77777777" w:rsidR="00C1563E" w:rsidRDefault="00C1563E">
            <w:pPr>
              <w:rPr>
                <w:rFonts w:ascii="宋体"/>
                <w:vanish/>
              </w:rPr>
            </w:pPr>
          </w:p>
        </w:tc>
        <w:tc>
          <w:tcPr>
            <w:tcW w:w="0" w:type="auto"/>
            <w:shd w:val="clear" w:color="auto" w:fill="auto"/>
          </w:tcPr>
          <w:p w14:paraId="7DCFD739" w14:textId="77777777" w:rsidR="00C1563E" w:rsidRDefault="00C1563E">
            <w:pPr>
              <w:rPr>
                <w:rFonts w:ascii="宋体"/>
                <w:vanish/>
              </w:rPr>
            </w:pPr>
          </w:p>
        </w:tc>
        <w:tc>
          <w:tcPr>
            <w:tcW w:w="0" w:type="auto"/>
            <w:shd w:val="clear" w:color="auto" w:fill="auto"/>
          </w:tcPr>
          <w:p w14:paraId="7DCFD73A" w14:textId="77777777" w:rsidR="00C1563E" w:rsidRDefault="00C1563E">
            <w:pPr>
              <w:rPr>
                <w:rFonts w:ascii="宋体"/>
                <w:vanish/>
              </w:rPr>
            </w:pPr>
          </w:p>
        </w:tc>
        <w:tc>
          <w:tcPr>
            <w:tcW w:w="0" w:type="auto"/>
            <w:shd w:val="clear" w:color="auto" w:fill="auto"/>
          </w:tcPr>
          <w:p w14:paraId="7DCFD73B" w14:textId="77777777" w:rsidR="00C1563E" w:rsidRDefault="00C1563E">
            <w:pPr>
              <w:rPr>
                <w:rFonts w:ascii="宋体"/>
                <w:vanish/>
              </w:rPr>
            </w:pPr>
          </w:p>
        </w:tc>
        <w:tc>
          <w:tcPr>
            <w:tcW w:w="0" w:type="auto"/>
            <w:shd w:val="clear" w:color="auto" w:fill="auto"/>
          </w:tcPr>
          <w:p w14:paraId="7DCFD73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73D" w14:textId="77777777" w:rsidR="00C1563E" w:rsidRDefault="000B648B">
            <w:pPr>
              <w:jc w:val="right"/>
              <w:textAlignment w:val="bottom"/>
            </w:pPr>
            <w:r>
              <w:rPr>
                <w:rFonts w:ascii="Times New Roman" w:eastAsia="宋体" w:hAnsi="Times New Roman"/>
                <w:color w:val="000000"/>
                <w:sz w:val="20"/>
                <w:szCs w:val="20"/>
              </w:rPr>
              <w:t>(582)</w:t>
            </w:r>
          </w:p>
        </w:tc>
        <w:tc>
          <w:tcPr>
            <w:tcW w:w="0" w:type="auto"/>
            <w:shd w:val="clear" w:color="auto" w:fill="CCEEFF"/>
            <w:tcMar>
              <w:top w:w="40" w:type="dxa"/>
              <w:left w:w="0" w:type="dxa"/>
              <w:bottom w:w="40" w:type="dxa"/>
              <w:right w:w="20" w:type="dxa"/>
            </w:tcMar>
            <w:vAlign w:val="bottom"/>
          </w:tcPr>
          <w:p w14:paraId="7DCFD73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3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4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4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42" w14:textId="77777777" w:rsidR="00C1563E" w:rsidRDefault="000B648B">
            <w:pPr>
              <w:jc w:val="right"/>
              <w:textAlignment w:val="bottom"/>
            </w:pPr>
            <w:r>
              <w:rPr>
                <w:rFonts w:ascii="Times New Roman" w:eastAsia="宋体" w:hAnsi="Times New Roman"/>
                <w:color w:val="000000"/>
                <w:sz w:val="20"/>
                <w:szCs w:val="20"/>
              </w:rPr>
              <w:t>(194)</w:t>
            </w:r>
          </w:p>
        </w:tc>
        <w:tc>
          <w:tcPr>
            <w:tcW w:w="0" w:type="auto"/>
            <w:shd w:val="clear" w:color="auto" w:fill="CCEEFF"/>
            <w:tcMar>
              <w:top w:w="40" w:type="dxa"/>
              <w:left w:w="0" w:type="dxa"/>
              <w:bottom w:w="40" w:type="dxa"/>
              <w:right w:w="20" w:type="dxa"/>
            </w:tcMar>
            <w:vAlign w:val="bottom"/>
          </w:tcPr>
          <w:p w14:paraId="7DCFD74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4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4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74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47" w14:textId="77777777" w:rsidR="00C1563E" w:rsidRDefault="000B648B">
            <w:pPr>
              <w:jc w:val="right"/>
              <w:textAlignment w:val="bottom"/>
            </w:pPr>
            <w:r>
              <w:rPr>
                <w:rFonts w:ascii="Times New Roman" w:eastAsia="宋体" w:hAnsi="Times New Roman"/>
                <w:color w:val="000000"/>
                <w:sz w:val="20"/>
                <w:szCs w:val="20"/>
              </w:rPr>
              <w:t>(342)</w:t>
            </w:r>
          </w:p>
        </w:tc>
        <w:tc>
          <w:tcPr>
            <w:tcW w:w="0" w:type="auto"/>
            <w:shd w:val="clear" w:color="auto" w:fill="CCEEFF"/>
            <w:tcMar>
              <w:top w:w="40" w:type="dxa"/>
              <w:left w:w="0" w:type="dxa"/>
              <w:bottom w:w="40" w:type="dxa"/>
              <w:right w:w="20" w:type="dxa"/>
            </w:tcMar>
            <w:vAlign w:val="bottom"/>
          </w:tcPr>
          <w:p w14:paraId="7DCFD748" w14:textId="77777777" w:rsidR="00C1563E" w:rsidRDefault="00C1563E">
            <w:pPr>
              <w:jc w:val="right"/>
              <w:rPr>
                <w:rFonts w:ascii="宋体"/>
              </w:rPr>
            </w:pPr>
          </w:p>
        </w:tc>
      </w:tr>
      <w:tr w:rsidR="00C1563E" w14:paraId="7DCFD75D" w14:textId="77777777">
        <w:trPr>
          <w:jc w:val="center"/>
        </w:trPr>
        <w:tc>
          <w:tcPr>
            <w:tcW w:w="0" w:type="auto"/>
            <w:gridSpan w:val="3"/>
            <w:shd w:val="clear" w:color="auto" w:fill="FFFFFF"/>
            <w:tcMar>
              <w:top w:w="40" w:type="dxa"/>
              <w:left w:w="245" w:type="dxa"/>
              <w:bottom w:w="40" w:type="dxa"/>
              <w:right w:w="20" w:type="dxa"/>
            </w:tcMar>
            <w:vAlign w:val="bottom"/>
          </w:tcPr>
          <w:p w14:paraId="7DCFD74A" w14:textId="77777777" w:rsidR="00C1563E" w:rsidRDefault="000B648B">
            <w:pPr>
              <w:textAlignment w:val="bottom"/>
            </w:pPr>
            <w:r>
              <w:rPr>
                <w:rFonts w:ascii="Times New Roman" w:eastAsia="宋体" w:hAnsi="Times New Roman"/>
                <w:color w:val="000000"/>
                <w:sz w:val="20"/>
                <w:szCs w:val="20"/>
              </w:rPr>
              <w:t>Aggregate adjustment for income taxes</w:t>
            </w:r>
          </w:p>
        </w:tc>
        <w:tc>
          <w:tcPr>
            <w:tcW w:w="0" w:type="auto"/>
            <w:shd w:val="clear" w:color="auto" w:fill="auto"/>
          </w:tcPr>
          <w:p w14:paraId="7DCFD74B" w14:textId="77777777" w:rsidR="00C1563E" w:rsidRDefault="00C1563E">
            <w:pPr>
              <w:rPr>
                <w:rFonts w:ascii="宋体"/>
                <w:vanish/>
              </w:rPr>
            </w:pPr>
          </w:p>
        </w:tc>
        <w:tc>
          <w:tcPr>
            <w:tcW w:w="0" w:type="auto"/>
            <w:shd w:val="clear" w:color="auto" w:fill="auto"/>
          </w:tcPr>
          <w:p w14:paraId="7DCFD74C" w14:textId="77777777" w:rsidR="00C1563E" w:rsidRDefault="00C1563E">
            <w:pPr>
              <w:rPr>
                <w:rFonts w:ascii="宋体"/>
                <w:vanish/>
              </w:rPr>
            </w:pPr>
          </w:p>
        </w:tc>
        <w:tc>
          <w:tcPr>
            <w:tcW w:w="0" w:type="auto"/>
            <w:shd w:val="clear" w:color="auto" w:fill="auto"/>
          </w:tcPr>
          <w:p w14:paraId="7DCFD74D" w14:textId="77777777" w:rsidR="00C1563E" w:rsidRDefault="00C1563E">
            <w:pPr>
              <w:rPr>
                <w:rFonts w:ascii="宋体"/>
                <w:vanish/>
              </w:rPr>
            </w:pPr>
          </w:p>
        </w:tc>
        <w:tc>
          <w:tcPr>
            <w:tcW w:w="0" w:type="auto"/>
            <w:shd w:val="clear" w:color="auto" w:fill="auto"/>
          </w:tcPr>
          <w:p w14:paraId="7DCFD74E" w14:textId="77777777" w:rsidR="00C1563E" w:rsidRDefault="00C1563E">
            <w:pPr>
              <w:rPr>
                <w:rFonts w:ascii="宋体"/>
                <w:vanish/>
              </w:rPr>
            </w:pPr>
          </w:p>
        </w:tc>
        <w:tc>
          <w:tcPr>
            <w:tcW w:w="0" w:type="auto"/>
            <w:shd w:val="clear" w:color="auto" w:fill="auto"/>
          </w:tcPr>
          <w:p w14:paraId="7DCFD74F" w14:textId="77777777" w:rsidR="00C1563E" w:rsidRDefault="00C1563E">
            <w:pPr>
              <w:rPr>
                <w:rFonts w:ascii="宋体"/>
                <w:vanish/>
              </w:rPr>
            </w:pPr>
          </w:p>
        </w:tc>
        <w:tc>
          <w:tcPr>
            <w:tcW w:w="0" w:type="auto"/>
            <w:shd w:val="clear" w:color="auto" w:fill="auto"/>
          </w:tcPr>
          <w:p w14:paraId="7DCFD750"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751" w14:textId="77777777" w:rsidR="00C1563E" w:rsidRDefault="000B648B">
            <w:pPr>
              <w:jc w:val="right"/>
              <w:textAlignment w:val="bottom"/>
            </w:pPr>
            <w:r>
              <w:rPr>
                <w:rFonts w:ascii="Times New Roman" w:eastAsia="宋体" w:hAnsi="Times New Roman"/>
                <w:color w:val="000000"/>
                <w:sz w:val="20"/>
                <w:szCs w:val="20"/>
              </w:rPr>
              <w:t>(1,248)</w:t>
            </w:r>
          </w:p>
        </w:tc>
        <w:tc>
          <w:tcPr>
            <w:tcW w:w="0" w:type="auto"/>
            <w:shd w:val="clear" w:color="auto" w:fill="FFFFFF"/>
            <w:tcMar>
              <w:top w:w="40" w:type="dxa"/>
              <w:left w:w="0" w:type="dxa"/>
              <w:bottom w:w="40" w:type="dxa"/>
              <w:right w:w="20" w:type="dxa"/>
            </w:tcMar>
            <w:vAlign w:val="bottom"/>
          </w:tcPr>
          <w:p w14:paraId="7DCFD75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5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5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56" w14:textId="77777777" w:rsidR="00C1563E" w:rsidRDefault="000B648B">
            <w:pPr>
              <w:jc w:val="right"/>
              <w:textAlignment w:val="bottom"/>
            </w:pPr>
            <w:r>
              <w:rPr>
                <w:rFonts w:ascii="Times New Roman" w:eastAsia="宋体" w:hAnsi="Times New Roman"/>
                <w:color w:val="000000"/>
                <w:sz w:val="20"/>
                <w:szCs w:val="20"/>
              </w:rPr>
              <w:t>(6,772)</w:t>
            </w:r>
          </w:p>
        </w:tc>
        <w:tc>
          <w:tcPr>
            <w:tcW w:w="0" w:type="auto"/>
            <w:shd w:val="clear" w:color="auto" w:fill="FFFFFF"/>
            <w:tcMar>
              <w:top w:w="40" w:type="dxa"/>
              <w:left w:w="0" w:type="dxa"/>
              <w:bottom w:w="40" w:type="dxa"/>
              <w:right w:w="20" w:type="dxa"/>
            </w:tcMar>
            <w:vAlign w:val="bottom"/>
          </w:tcPr>
          <w:p w14:paraId="7DCFD7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75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5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5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75B" w14:textId="77777777" w:rsidR="00C1563E" w:rsidRDefault="000B648B">
            <w:pPr>
              <w:jc w:val="right"/>
              <w:textAlignment w:val="bottom"/>
            </w:pPr>
            <w:r>
              <w:rPr>
                <w:rFonts w:ascii="Times New Roman" w:eastAsia="宋体" w:hAnsi="Times New Roman"/>
                <w:color w:val="000000"/>
                <w:sz w:val="20"/>
                <w:szCs w:val="20"/>
              </w:rPr>
              <w:t>(1,369)</w:t>
            </w:r>
          </w:p>
        </w:tc>
        <w:tc>
          <w:tcPr>
            <w:tcW w:w="0" w:type="auto"/>
            <w:shd w:val="clear" w:color="auto" w:fill="FFFFFF"/>
            <w:tcMar>
              <w:top w:w="40" w:type="dxa"/>
              <w:left w:w="0" w:type="dxa"/>
              <w:bottom w:w="40" w:type="dxa"/>
              <w:right w:w="20" w:type="dxa"/>
            </w:tcMar>
            <w:vAlign w:val="bottom"/>
          </w:tcPr>
          <w:p w14:paraId="7DCFD75C" w14:textId="77777777" w:rsidR="00C1563E" w:rsidRDefault="00C1563E">
            <w:pPr>
              <w:jc w:val="right"/>
              <w:rPr>
                <w:rFonts w:ascii="宋体"/>
              </w:rPr>
            </w:pPr>
          </w:p>
        </w:tc>
      </w:tr>
      <w:tr w:rsidR="00C1563E" w14:paraId="7DCFD776" w14:textId="77777777">
        <w:trPr>
          <w:jc w:val="center"/>
        </w:trPr>
        <w:tc>
          <w:tcPr>
            <w:tcW w:w="0" w:type="auto"/>
            <w:gridSpan w:val="3"/>
            <w:shd w:val="clear" w:color="auto" w:fill="CCEEFF"/>
            <w:tcMar>
              <w:top w:w="40" w:type="dxa"/>
              <w:left w:w="20" w:type="dxa"/>
              <w:bottom w:w="40" w:type="dxa"/>
              <w:right w:w="20" w:type="dxa"/>
            </w:tcMar>
            <w:vAlign w:val="bottom"/>
          </w:tcPr>
          <w:p w14:paraId="7DCFD75E" w14:textId="77777777" w:rsidR="00C1563E" w:rsidRDefault="000B648B">
            <w:pPr>
              <w:spacing w:after="160"/>
              <w:textAlignment w:val="bottom"/>
            </w:pPr>
            <w:r>
              <w:rPr>
                <w:rFonts w:ascii="Times New Roman" w:eastAsia="宋体" w:hAnsi="Times New Roman"/>
                <w:color w:val="000000"/>
                <w:sz w:val="20"/>
                <w:szCs w:val="20"/>
              </w:rPr>
              <w:t>Non-GAAP net income</w:t>
            </w:r>
          </w:p>
        </w:tc>
        <w:tc>
          <w:tcPr>
            <w:tcW w:w="0" w:type="auto"/>
            <w:shd w:val="clear" w:color="auto" w:fill="auto"/>
          </w:tcPr>
          <w:p w14:paraId="7DCFD75F" w14:textId="77777777" w:rsidR="00C1563E" w:rsidRDefault="00C1563E">
            <w:pPr>
              <w:rPr>
                <w:rFonts w:ascii="宋体"/>
                <w:vanish/>
              </w:rPr>
            </w:pPr>
          </w:p>
        </w:tc>
        <w:tc>
          <w:tcPr>
            <w:tcW w:w="0" w:type="auto"/>
            <w:shd w:val="clear" w:color="auto" w:fill="auto"/>
          </w:tcPr>
          <w:p w14:paraId="7DCFD760" w14:textId="77777777" w:rsidR="00C1563E" w:rsidRDefault="00C1563E">
            <w:pPr>
              <w:rPr>
                <w:rFonts w:ascii="宋体"/>
                <w:vanish/>
              </w:rPr>
            </w:pPr>
          </w:p>
        </w:tc>
        <w:tc>
          <w:tcPr>
            <w:tcW w:w="0" w:type="auto"/>
            <w:shd w:val="clear" w:color="auto" w:fill="auto"/>
          </w:tcPr>
          <w:p w14:paraId="7DCFD761" w14:textId="77777777" w:rsidR="00C1563E" w:rsidRDefault="00C1563E">
            <w:pPr>
              <w:rPr>
                <w:rFonts w:ascii="宋体"/>
                <w:vanish/>
              </w:rPr>
            </w:pPr>
          </w:p>
        </w:tc>
        <w:tc>
          <w:tcPr>
            <w:tcW w:w="0" w:type="auto"/>
            <w:shd w:val="clear" w:color="auto" w:fill="auto"/>
          </w:tcPr>
          <w:p w14:paraId="7DCFD762" w14:textId="77777777" w:rsidR="00C1563E" w:rsidRDefault="00C1563E">
            <w:pPr>
              <w:rPr>
                <w:rFonts w:ascii="宋体"/>
                <w:vanish/>
              </w:rPr>
            </w:pPr>
          </w:p>
        </w:tc>
        <w:tc>
          <w:tcPr>
            <w:tcW w:w="0" w:type="auto"/>
            <w:shd w:val="clear" w:color="auto" w:fill="auto"/>
          </w:tcPr>
          <w:p w14:paraId="7DCFD763" w14:textId="77777777" w:rsidR="00C1563E" w:rsidRDefault="00C1563E">
            <w:pPr>
              <w:rPr>
                <w:rFonts w:ascii="宋体"/>
                <w:vanish/>
              </w:rPr>
            </w:pPr>
          </w:p>
        </w:tc>
        <w:tc>
          <w:tcPr>
            <w:tcW w:w="0" w:type="auto"/>
            <w:shd w:val="clear" w:color="auto" w:fill="auto"/>
          </w:tcPr>
          <w:p w14:paraId="7DCFD764"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76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766" w14:textId="77777777" w:rsidR="00C1563E" w:rsidRDefault="000B648B">
            <w:pPr>
              <w:jc w:val="right"/>
              <w:textAlignment w:val="bottom"/>
            </w:pPr>
            <w:r>
              <w:rPr>
                <w:rFonts w:ascii="Times New Roman" w:eastAsia="宋体" w:hAnsi="Times New Roman"/>
                <w:color w:val="000000"/>
                <w:sz w:val="20"/>
                <w:szCs w:val="20"/>
              </w:rPr>
              <w:t>6,763 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76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6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69"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CFD76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76B"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76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76D" w14:textId="77777777" w:rsidR="00C1563E" w:rsidRDefault="000B648B">
            <w:pPr>
              <w:jc w:val="right"/>
              <w:textAlignment w:val="bottom"/>
            </w:pPr>
            <w:r>
              <w:rPr>
                <w:rFonts w:ascii="Times New Roman" w:eastAsia="宋体" w:hAnsi="Times New Roman"/>
                <w:color w:val="000000"/>
                <w:sz w:val="20"/>
                <w:szCs w:val="20"/>
              </w:rPr>
              <w:t>6,089 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7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70"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D77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772"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77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774" w14:textId="77777777" w:rsidR="00C1563E" w:rsidRDefault="000B648B">
            <w:pPr>
              <w:jc w:val="right"/>
              <w:textAlignment w:val="bottom"/>
            </w:pPr>
            <w:r>
              <w:rPr>
                <w:rFonts w:ascii="Times New Roman" w:eastAsia="宋体" w:hAnsi="Times New Roman"/>
                <w:color w:val="000000"/>
                <w:sz w:val="20"/>
                <w:szCs w:val="20"/>
              </w:rPr>
              <w:t>5,227 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775" w14:textId="77777777" w:rsidR="00C1563E" w:rsidRDefault="00C1563E">
            <w:pPr>
              <w:jc w:val="right"/>
              <w:rPr>
                <w:rFonts w:ascii="宋体"/>
              </w:rPr>
            </w:pPr>
          </w:p>
        </w:tc>
      </w:tr>
    </w:tbl>
    <w:p w14:paraId="7DCFD777" w14:textId="77777777" w:rsidR="00C1563E" w:rsidRDefault="000B648B">
      <w:r>
        <w:rPr>
          <w:rFonts w:ascii="Times New Roman" w:eastAsia="宋体" w:hAnsi="Times New Roman"/>
          <w:color w:val="000000"/>
          <w:sz w:val="20"/>
          <w:szCs w:val="20"/>
        </w:rPr>
        <w:t>____________________</w:t>
      </w:r>
    </w:p>
    <w:p w14:paraId="7DCFD778" w14:textId="77777777" w:rsidR="00C1563E" w:rsidRDefault="000B648B">
      <w:r>
        <w:rPr>
          <w:rFonts w:ascii="Times New Roman" w:eastAsia="宋体" w:hAnsi="Times New Roman"/>
          <w:color w:val="000000"/>
          <w:sz w:val="20"/>
          <w:szCs w:val="20"/>
        </w:rPr>
        <w:t>NM Not me</w:t>
      </w:r>
      <w:r>
        <w:rPr>
          <w:rFonts w:ascii="Times New Roman" w:eastAsia="宋体" w:hAnsi="Times New Roman"/>
          <w:color w:val="000000"/>
          <w:sz w:val="20"/>
          <w:szCs w:val="20"/>
        </w:rPr>
        <w:t>aningful</w:t>
      </w:r>
    </w:p>
    <w:p w14:paraId="7DCFD779" w14:textId="77777777" w:rsidR="00C1563E" w:rsidRDefault="00C1563E">
      <w:pPr>
        <w:jc w:val="center"/>
      </w:pPr>
    </w:p>
    <w:p w14:paraId="7DCFD77A" w14:textId="77777777" w:rsidR="00C1563E" w:rsidRDefault="000B648B">
      <w:pPr>
        <w:jc w:val="center"/>
      </w:pPr>
      <w:r>
        <w:rPr>
          <w:rFonts w:ascii="Times New Roman" w:eastAsia="宋体" w:hAnsi="Times New Roman"/>
          <w:color w:val="000000"/>
          <w:sz w:val="20"/>
          <w:szCs w:val="20"/>
        </w:rPr>
        <w:t>46</w:t>
      </w:r>
    </w:p>
    <w:p w14:paraId="7DCFD77B" w14:textId="77777777" w:rsidR="00C1563E" w:rsidRDefault="00C1563E">
      <w:pPr>
        <w:jc w:val="center"/>
      </w:pPr>
    </w:p>
    <w:p w14:paraId="7DCFD77C" w14:textId="77777777" w:rsidR="00C1563E" w:rsidRDefault="000B648B">
      <w:r>
        <w:pict w14:anchorId="7DD02598">
          <v:rect id="_x0000_i1070" style="width:415.3pt;height:1.5pt" o:hralign="center" o:hrstd="t" o:hr="t" fillcolor="#a0a0a0" stroked="f"/>
        </w:pict>
      </w:r>
    </w:p>
    <w:p w14:paraId="7DCFD77D" w14:textId="77777777" w:rsidR="00C1563E" w:rsidRDefault="000B648B">
      <w:hyperlink r:id="rId122" w:anchor="i418e32e4a35149ffbf7d3a25d66881b8_10" w:history="1">
        <w:r>
          <w:rPr>
            <w:rStyle w:val="a5"/>
            <w:rFonts w:ascii="Times New Roman" w:eastAsia="宋体" w:hAnsi="Times New Roman"/>
            <w:sz w:val="20"/>
            <w:szCs w:val="20"/>
          </w:rPr>
          <w:t>Table of Contents</w:t>
        </w:r>
      </w:hyperlink>
    </w:p>
    <w:p w14:paraId="7DCFD77E" w14:textId="77777777" w:rsidR="00C1563E" w:rsidRDefault="00C1563E"/>
    <w:p w14:paraId="7DCFD77F" w14:textId="77777777" w:rsidR="00C1563E" w:rsidRDefault="000B648B">
      <w:r>
        <w:rPr>
          <w:rFonts w:ascii="Times New Roman" w:eastAsia="宋体" w:hAnsi="Times New Roman"/>
          <w:color w:val="000000"/>
          <w:sz w:val="20"/>
          <w:szCs w:val="20"/>
        </w:rPr>
        <w:t xml:space="preserve">In addition to the above measures, we also use EBITDA and </w:t>
      </w:r>
      <w:r>
        <w:rPr>
          <w:rFonts w:ascii="Times New Roman" w:eastAsia="宋体" w:hAnsi="Times New Roman"/>
          <w:color w:val="000000"/>
          <w:sz w:val="20"/>
          <w:szCs w:val="20"/>
        </w:rPr>
        <w:t>adjusted EBITDA to provide additional information for evaluation of our operating performance. Adjusted EBITDA excludes purchase accounting adjustments related to the EMC merger transaction and the going-private transaction, acquisition, integration, and d</w:t>
      </w:r>
      <w:r>
        <w:rPr>
          <w:rFonts w:ascii="Times New Roman" w:eastAsia="宋体" w:hAnsi="Times New Roman"/>
          <w:color w:val="000000"/>
          <w:sz w:val="20"/>
          <w:szCs w:val="20"/>
        </w:rPr>
        <w:t>ivestiture related costs, impairment charges, and severance, facility action, and other costs, and stock-based compensation expense. We believe that, due to the non-operational nature of the purchase accounting entries, it is appropriate to exclude these a</w:t>
      </w:r>
      <w:r>
        <w:rPr>
          <w:rFonts w:ascii="Times New Roman" w:eastAsia="宋体" w:hAnsi="Times New Roman"/>
          <w:color w:val="000000"/>
          <w:sz w:val="20"/>
          <w:szCs w:val="20"/>
        </w:rPr>
        <w:t>djustments.</w:t>
      </w:r>
    </w:p>
    <w:p w14:paraId="7DCFD780" w14:textId="77777777" w:rsidR="00C1563E" w:rsidRDefault="00C1563E"/>
    <w:p w14:paraId="7DCFD781" w14:textId="77777777" w:rsidR="00C1563E" w:rsidRDefault="000B648B">
      <w:r>
        <w:rPr>
          <w:rFonts w:ascii="Times New Roman" w:eastAsia="宋体" w:hAnsi="Times New Roman"/>
          <w:color w:val="000000"/>
          <w:sz w:val="20"/>
          <w:szCs w:val="20"/>
        </w:rPr>
        <w:t>As is the case with the non-GAAP measures presented above, users should consider the limitations of using EBITDA and adjusted EBITDA, including the fact that those measures do not provide a complete measure of our operating performance. EBITDA</w:t>
      </w:r>
      <w:r>
        <w:rPr>
          <w:rFonts w:ascii="Times New Roman" w:eastAsia="宋体" w:hAnsi="Times New Roman"/>
          <w:color w:val="000000"/>
          <w:sz w:val="20"/>
          <w:szCs w:val="20"/>
        </w:rPr>
        <w:t xml:space="preserve"> and adjusted EBITDA do not purport to be alternatives to net income (loss) as measures of operating performance or to cash flows from operating activities as a measure of liquidity. In particular, EBITDA and adjusted EBITDA are not intended to be a measur</w:t>
      </w:r>
      <w:r>
        <w:rPr>
          <w:rFonts w:ascii="Times New Roman" w:eastAsia="宋体" w:hAnsi="Times New Roman"/>
          <w:color w:val="000000"/>
          <w:sz w:val="20"/>
          <w:szCs w:val="20"/>
        </w:rPr>
        <w:t>e of free cash flow available for management’s discretionary use, as these measures do not consider certain cash requirements, such as working capital needs, capital expenditures, contractual commitments, interest payments, tax payments, and other debt ser</w:t>
      </w:r>
      <w:r>
        <w:rPr>
          <w:rFonts w:ascii="Times New Roman" w:eastAsia="宋体" w:hAnsi="Times New Roman"/>
          <w:color w:val="000000"/>
          <w:sz w:val="20"/>
          <w:szCs w:val="20"/>
        </w:rPr>
        <w:t>vice requirements.</w:t>
      </w:r>
    </w:p>
    <w:p w14:paraId="7DCFD782" w14:textId="77777777" w:rsidR="00C1563E" w:rsidRDefault="00C1563E"/>
    <w:p w14:paraId="7DCFD783" w14:textId="77777777" w:rsidR="00C1563E" w:rsidRDefault="000B648B">
      <w:pPr>
        <w:spacing w:after="120"/>
      </w:pPr>
      <w:r>
        <w:rPr>
          <w:rFonts w:ascii="Times New Roman" w:eastAsia="宋体" w:hAnsi="Times New Roman"/>
          <w:color w:val="000000"/>
          <w:sz w:val="20"/>
          <w:szCs w:val="20"/>
        </w:rPr>
        <w:t>The following table presents a reconciliation of EBITDA and adjusted EBITDA to net income (loss)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786"/>
        <w:gridCol w:w="40"/>
        <w:gridCol w:w="36"/>
        <w:gridCol w:w="36"/>
        <w:gridCol w:w="36"/>
        <w:gridCol w:w="36"/>
        <w:gridCol w:w="36"/>
        <w:gridCol w:w="36"/>
        <w:gridCol w:w="120"/>
        <w:gridCol w:w="921"/>
        <w:gridCol w:w="36"/>
        <w:gridCol w:w="36"/>
        <w:gridCol w:w="36"/>
        <w:gridCol w:w="36"/>
        <w:gridCol w:w="72"/>
        <w:gridCol w:w="617"/>
        <w:gridCol w:w="187"/>
        <w:gridCol w:w="36"/>
        <w:gridCol w:w="36"/>
        <w:gridCol w:w="36"/>
        <w:gridCol w:w="120"/>
        <w:gridCol w:w="834"/>
        <w:gridCol w:w="36"/>
        <w:gridCol w:w="36"/>
        <w:gridCol w:w="36"/>
        <w:gridCol w:w="36"/>
        <w:gridCol w:w="72"/>
        <w:gridCol w:w="617"/>
        <w:gridCol w:w="187"/>
        <w:gridCol w:w="36"/>
        <w:gridCol w:w="36"/>
        <w:gridCol w:w="36"/>
        <w:gridCol w:w="121"/>
        <w:gridCol w:w="837"/>
        <w:gridCol w:w="36"/>
      </w:tblGrid>
      <w:tr w:rsidR="00C1563E" w14:paraId="7DCFD7A8" w14:textId="77777777">
        <w:trPr>
          <w:jc w:val="center"/>
        </w:trPr>
        <w:tc>
          <w:tcPr>
            <w:tcW w:w="50" w:type="pct"/>
            <w:shd w:val="clear" w:color="auto" w:fill="auto"/>
          </w:tcPr>
          <w:p w14:paraId="7DCFD784" w14:textId="77777777" w:rsidR="00C1563E" w:rsidRDefault="00C1563E">
            <w:pPr>
              <w:rPr>
                <w:rFonts w:ascii="宋体"/>
              </w:rPr>
            </w:pPr>
          </w:p>
        </w:tc>
        <w:tc>
          <w:tcPr>
            <w:tcW w:w="1809" w:type="pct"/>
            <w:shd w:val="clear" w:color="auto" w:fill="auto"/>
          </w:tcPr>
          <w:p w14:paraId="7DCFD785" w14:textId="77777777" w:rsidR="00C1563E" w:rsidRDefault="00C1563E">
            <w:pPr>
              <w:rPr>
                <w:rFonts w:ascii="宋体"/>
              </w:rPr>
            </w:pPr>
          </w:p>
        </w:tc>
        <w:tc>
          <w:tcPr>
            <w:tcW w:w="5" w:type="pct"/>
            <w:shd w:val="clear" w:color="auto" w:fill="auto"/>
          </w:tcPr>
          <w:p w14:paraId="7DCFD786" w14:textId="77777777" w:rsidR="00C1563E" w:rsidRDefault="00C1563E">
            <w:pPr>
              <w:rPr>
                <w:rFonts w:ascii="宋体"/>
              </w:rPr>
            </w:pPr>
          </w:p>
        </w:tc>
        <w:tc>
          <w:tcPr>
            <w:tcW w:w="0" w:type="auto"/>
            <w:shd w:val="clear" w:color="auto" w:fill="auto"/>
          </w:tcPr>
          <w:p w14:paraId="7DCFD787" w14:textId="77777777" w:rsidR="00C1563E" w:rsidRDefault="00C1563E">
            <w:pPr>
              <w:rPr>
                <w:rFonts w:ascii="宋体"/>
                <w:vanish/>
              </w:rPr>
            </w:pPr>
          </w:p>
        </w:tc>
        <w:tc>
          <w:tcPr>
            <w:tcW w:w="0" w:type="auto"/>
            <w:shd w:val="clear" w:color="auto" w:fill="auto"/>
          </w:tcPr>
          <w:p w14:paraId="7DCFD788" w14:textId="77777777" w:rsidR="00C1563E" w:rsidRDefault="00C1563E">
            <w:pPr>
              <w:rPr>
                <w:rFonts w:ascii="宋体"/>
                <w:vanish/>
              </w:rPr>
            </w:pPr>
          </w:p>
        </w:tc>
        <w:tc>
          <w:tcPr>
            <w:tcW w:w="0" w:type="auto"/>
            <w:shd w:val="clear" w:color="auto" w:fill="auto"/>
          </w:tcPr>
          <w:p w14:paraId="7DCFD789" w14:textId="77777777" w:rsidR="00C1563E" w:rsidRDefault="00C1563E">
            <w:pPr>
              <w:rPr>
                <w:rFonts w:ascii="宋体"/>
                <w:vanish/>
              </w:rPr>
            </w:pPr>
          </w:p>
        </w:tc>
        <w:tc>
          <w:tcPr>
            <w:tcW w:w="0" w:type="auto"/>
            <w:shd w:val="clear" w:color="auto" w:fill="auto"/>
          </w:tcPr>
          <w:p w14:paraId="7DCFD78A" w14:textId="77777777" w:rsidR="00C1563E" w:rsidRDefault="00C1563E">
            <w:pPr>
              <w:rPr>
                <w:rFonts w:ascii="宋体"/>
                <w:vanish/>
              </w:rPr>
            </w:pPr>
          </w:p>
        </w:tc>
        <w:tc>
          <w:tcPr>
            <w:tcW w:w="0" w:type="auto"/>
            <w:shd w:val="clear" w:color="auto" w:fill="auto"/>
          </w:tcPr>
          <w:p w14:paraId="7DCFD78B" w14:textId="77777777" w:rsidR="00C1563E" w:rsidRDefault="00C1563E">
            <w:pPr>
              <w:rPr>
                <w:rFonts w:ascii="宋体"/>
                <w:vanish/>
              </w:rPr>
            </w:pPr>
          </w:p>
        </w:tc>
        <w:tc>
          <w:tcPr>
            <w:tcW w:w="0" w:type="auto"/>
            <w:shd w:val="clear" w:color="auto" w:fill="auto"/>
          </w:tcPr>
          <w:p w14:paraId="7DCFD78C" w14:textId="77777777" w:rsidR="00C1563E" w:rsidRDefault="00C1563E">
            <w:pPr>
              <w:rPr>
                <w:rFonts w:ascii="宋体"/>
                <w:vanish/>
              </w:rPr>
            </w:pPr>
          </w:p>
        </w:tc>
        <w:tc>
          <w:tcPr>
            <w:tcW w:w="50" w:type="pct"/>
            <w:shd w:val="clear" w:color="auto" w:fill="auto"/>
          </w:tcPr>
          <w:p w14:paraId="7DCFD78D" w14:textId="77777777" w:rsidR="00C1563E" w:rsidRDefault="00C1563E">
            <w:pPr>
              <w:rPr>
                <w:rFonts w:ascii="宋体"/>
              </w:rPr>
            </w:pPr>
          </w:p>
        </w:tc>
        <w:tc>
          <w:tcPr>
            <w:tcW w:w="624" w:type="pct"/>
            <w:shd w:val="clear" w:color="auto" w:fill="auto"/>
          </w:tcPr>
          <w:p w14:paraId="7DCFD78E" w14:textId="77777777" w:rsidR="00C1563E" w:rsidRDefault="00C1563E">
            <w:pPr>
              <w:rPr>
                <w:rFonts w:ascii="宋体"/>
              </w:rPr>
            </w:pPr>
          </w:p>
        </w:tc>
        <w:tc>
          <w:tcPr>
            <w:tcW w:w="5" w:type="pct"/>
            <w:shd w:val="clear" w:color="auto" w:fill="auto"/>
          </w:tcPr>
          <w:p w14:paraId="7DCFD78F" w14:textId="77777777" w:rsidR="00C1563E" w:rsidRDefault="00C1563E">
            <w:pPr>
              <w:rPr>
                <w:rFonts w:ascii="宋体"/>
              </w:rPr>
            </w:pPr>
          </w:p>
        </w:tc>
        <w:tc>
          <w:tcPr>
            <w:tcW w:w="5" w:type="pct"/>
            <w:shd w:val="clear" w:color="auto" w:fill="auto"/>
          </w:tcPr>
          <w:p w14:paraId="7DCFD790" w14:textId="77777777" w:rsidR="00C1563E" w:rsidRDefault="00C1563E">
            <w:pPr>
              <w:rPr>
                <w:rFonts w:ascii="宋体"/>
              </w:rPr>
            </w:pPr>
          </w:p>
        </w:tc>
        <w:tc>
          <w:tcPr>
            <w:tcW w:w="19" w:type="pct"/>
            <w:shd w:val="clear" w:color="auto" w:fill="auto"/>
          </w:tcPr>
          <w:p w14:paraId="7DCFD791" w14:textId="77777777" w:rsidR="00C1563E" w:rsidRDefault="00C1563E">
            <w:pPr>
              <w:rPr>
                <w:rFonts w:ascii="宋体"/>
              </w:rPr>
            </w:pPr>
          </w:p>
        </w:tc>
        <w:tc>
          <w:tcPr>
            <w:tcW w:w="5" w:type="pct"/>
            <w:shd w:val="clear" w:color="auto" w:fill="auto"/>
          </w:tcPr>
          <w:p w14:paraId="7DCFD792" w14:textId="77777777" w:rsidR="00C1563E" w:rsidRDefault="00C1563E">
            <w:pPr>
              <w:rPr>
                <w:rFonts w:ascii="宋体"/>
              </w:rPr>
            </w:pPr>
          </w:p>
        </w:tc>
        <w:tc>
          <w:tcPr>
            <w:tcW w:w="50" w:type="pct"/>
            <w:shd w:val="clear" w:color="auto" w:fill="auto"/>
          </w:tcPr>
          <w:p w14:paraId="7DCFD793" w14:textId="77777777" w:rsidR="00C1563E" w:rsidRDefault="00C1563E">
            <w:pPr>
              <w:rPr>
                <w:rFonts w:ascii="宋体"/>
              </w:rPr>
            </w:pPr>
          </w:p>
        </w:tc>
        <w:tc>
          <w:tcPr>
            <w:tcW w:w="434" w:type="pct"/>
            <w:shd w:val="clear" w:color="auto" w:fill="auto"/>
          </w:tcPr>
          <w:p w14:paraId="7DCFD794" w14:textId="77777777" w:rsidR="00C1563E" w:rsidRDefault="00C1563E">
            <w:pPr>
              <w:rPr>
                <w:rFonts w:ascii="宋体"/>
              </w:rPr>
            </w:pPr>
          </w:p>
        </w:tc>
        <w:tc>
          <w:tcPr>
            <w:tcW w:w="5" w:type="pct"/>
            <w:shd w:val="clear" w:color="auto" w:fill="auto"/>
          </w:tcPr>
          <w:p w14:paraId="7DCFD795" w14:textId="77777777" w:rsidR="00C1563E" w:rsidRDefault="00C1563E">
            <w:pPr>
              <w:rPr>
                <w:rFonts w:ascii="宋体"/>
              </w:rPr>
            </w:pPr>
          </w:p>
        </w:tc>
        <w:tc>
          <w:tcPr>
            <w:tcW w:w="5" w:type="pct"/>
            <w:shd w:val="clear" w:color="auto" w:fill="auto"/>
          </w:tcPr>
          <w:p w14:paraId="7DCFD796" w14:textId="77777777" w:rsidR="00C1563E" w:rsidRDefault="00C1563E">
            <w:pPr>
              <w:rPr>
                <w:rFonts w:ascii="宋体"/>
              </w:rPr>
            </w:pPr>
          </w:p>
        </w:tc>
        <w:tc>
          <w:tcPr>
            <w:tcW w:w="19" w:type="pct"/>
            <w:shd w:val="clear" w:color="auto" w:fill="auto"/>
          </w:tcPr>
          <w:p w14:paraId="7DCFD797" w14:textId="77777777" w:rsidR="00C1563E" w:rsidRDefault="00C1563E">
            <w:pPr>
              <w:rPr>
                <w:rFonts w:ascii="宋体"/>
              </w:rPr>
            </w:pPr>
          </w:p>
        </w:tc>
        <w:tc>
          <w:tcPr>
            <w:tcW w:w="5" w:type="pct"/>
            <w:shd w:val="clear" w:color="auto" w:fill="auto"/>
          </w:tcPr>
          <w:p w14:paraId="7DCFD798" w14:textId="77777777" w:rsidR="00C1563E" w:rsidRDefault="00C1563E">
            <w:pPr>
              <w:rPr>
                <w:rFonts w:ascii="宋体"/>
              </w:rPr>
            </w:pPr>
          </w:p>
        </w:tc>
        <w:tc>
          <w:tcPr>
            <w:tcW w:w="50" w:type="pct"/>
            <w:shd w:val="clear" w:color="auto" w:fill="auto"/>
          </w:tcPr>
          <w:p w14:paraId="7DCFD799" w14:textId="77777777" w:rsidR="00C1563E" w:rsidRDefault="00C1563E">
            <w:pPr>
              <w:rPr>
                <w:rFonts w:ascii="宋体"/>
              </w:rPr>
            </w:pPr>
          </w:p>
        </w:tc>
        <w:tc>
          <w:tcPr>
            <w:tcW w:w="624" w:type="pct"/>
            <w:shd w:val="clear" w:color="auto" w:fill="auto"/>
          </w:tcPr>
          <w:p w14:paraId="7DCFD79A" w14:textId="77777777" w:rsidR="00C1563E" w:rsidRDefault="00C1563E">
            <w:pPr>
              <w:rPr>
                <w:rFonts w:ascii="宋体"/>
              </w:rPr>
            </w:pPr>
          </w:p>
        </w:tc>
        <w:tc>
          <w:tcPr>
            <w:tcW w:w="5" w:type="pct"/>
            <w:shd w:val="clear" w:color="auto" w:fill="auto"/>
          </w:tcPr>
          <w:p w14:paraId="7DCFD79B" w14:textId="77777777" w:rsidR="00C1563E" w:rsidRDefault="00C1563E">
            <w:pPr>
              <w:rPr>
                <w:rFonts w:ascii="宋体"/>
              </w:rPr>
            </w:pPr>
          </w:p>
        </w:tc>
        <w:tc>
          <w:tcPr>
            <w:tcW w:w="5" w:type="pct"/>
            <w:shd w:val="clear" w:color="auto" w:fill="auto"/>
          </w:tcPr>
          <w:p w14:paraId="7DCFD79C" w14:textId="77777777" w:rsidR="00C1563E" w:rsidRDefault="00C1563E">
            <w:pPr>
              <w:rPr>
                <w:rFonts w:ascii="宋体"/>
              </w:rPr>
            </w:pPr>
          </w:p>
        </w:tc>
        <w:tc>
          <w:tcPr>
            <w:tcW w:w="19" w:type="pct"/>
            <w:shd w:val="clear" w:color="auto" w:fill="auto"/>
          </w:tcPr>
          <w:p w14:paraId="7DCFD79D" w14:textId="77777777" w:rsidR="00C1563E" w:rsidRDefault="00C1563E">
            <w:pPr>
              <w:rPr>
                <w:rFonts w:ascii="宋体"/>
              </w:rPr>
            </w:pPr>
          </w:p>
        </w:tc>
        <w:tc>
          <w:tcPr>
            <w:tcW w:w="5" w:type="pct"/>
            <w:shd w:val="clear" w:color="auto" w:fill="auto"/>
          </w:tcPr>
          <w:p w14:paraId="7DCFD79E" w14:textId="77777777" w:rsidR="00C1563E" w:rsidRDefault="00C1563E">
            <w:pPr>
              <w:rPr>
                <w:rFonts w:ascii="宋体"/>
              </w:rPr>
            </w:pPr>
          </w:p>
        </w:tc>
        <w:tc>
          <w:tcPr>
            <w:tcW w:w="50" w:type="pct"/>
            <w:shd w:val="clear" w:color="auto" w:fill="auto"/>
          </w:tcPr>
          <w:p w14:paraId="7DCFD79F" w14:textId="77777777" w:rsidR="00C1563E" w:rsidRDefault="00C1563E">
            <w:pPr>
              <w:rPr>
                <w:rFonts w:ascii="宋体"/>
              </w:rPr>
            </w:pPr>
          </w:p>
        </w:tc>
        <w:tc>
          <w:tcPr>
            <w:tcW w:w="434" w:type="pct"/>
            <w:shd w:val="clear" w:color="auto" w:fill="auto"/>
          </w:tcPr>
          <w:p w14:paraId="7DCFD7A0" w14:textId="77777777" w:rsidR="00C1563E" w:rsidRDefault="00C1563E">
            <w:pPr>
              <w:rPr>
                <w:rFonts w:ascii="宋体"/>
              </w:rPr>
            </w:pPr>
          </w:p>
        </w:tc>
        <w:tc>
          <w:tcPr>
            <w:tcW w:w="5" w:type="pct"/>
            <w:shd w:val="clear" w:color="auto" w:fill="auto"/>
          </w:tcPr>
          <w:p w14:paraId="7DCFD7A1" w14:textId="77777777" w:rsidR="00C1563E" w:rsidRDefault="00C1563E">
            <w:pPr>
              <w:rPr>
                <w:rFonts w:ascii="宋体"/>
              </w:rPr>
            </w:pPr>
          </w:p>
        </w:tc>
        <w:tc>
          <w:tcPr>
            <w:tcW w:w="5" w:type="pct"/>
            <w:shd w:val="clear" w:color="auto" w:fill="auto"/>
          </w:tcPr>
          <w:p w14:paraId="7DCFD7A2" w14:textId="77777777" w:rsidR="00C1563E" w:rsidRDefault="00C1563E">
            <w:pPr>
              <w:rPr>
                <w:rFonts w:ascii="宋体"/>
              </w:rPr>
            </w:pPr>
          </w:p>
        </w:tc>
        <w:tc>
          <w:tcPr>
            <w:tcW w:w="19" w:type="pct"/>
            <w:shd w:val="clear" w:color="auto" w:fill="auto"/>
          </w:tcPr>
          <w:p w14:paraId="7DCFD7A3" w14:textId="77777777" w:rsidR="00C1563E" w:rsidRDefault="00C1563E">
            <w:pPr>
              <w:rPr>
                <w:rFonts w:ascii="宋体"/>
              </w:rPr>
            </w:pPr>
          </w:p>
        </w:tc>
        <w:tc>
          <w:tcPr>
            <w:tcW w:w="5" w:type="pct"/>
            <w:shd w:val="clear" w:color="auto" w:fill="auto"/>
          </w:tcPr>
          <w:p w14:paraId="7DCFD7A4" w14:textId="77777777" w:rsidR="00C1563E" w:rsidRDefault="00C1563E">
            <w:pPr>
              <w:rPr>
                <w:rFonts w:ascii="宋体"/>
              </w:rPr>
            </w:pPr>
          </w:p>
        </w:tc>
        <w:tc>
          <w:tcPr>
            <w:tcW w:w="50" w:type="pct"/>
            <w:shd w:val="clear" w:color="auto" w:fill="auto"/>
          </w:tcPr>
          <w:p w14:paraId="7DCFD7A5" w14:textId="77777777" w:rsidR="00C1563E" w:rsidRDefault="00C1563E">
            <w:pPr>
              <w:rPr>
                <w:rFonts w:ascii="宋体"/>
              </w:rPr>
            </w:pPr>
          </w:p>
        </w:tc>
        <w:tc>
          <w:tcPr>
            <w:tcW w:w="625" w:type="pct"/>
            <w:shd w:val="clear" w:color="auto" w:fill="auto"/>
          </w:tcPr>
          <w:p w14:paraId="7DCFD7A6" w14:textId="77777777" w:rsidR="00C1563E" w:rsidRDefault="00C1563E">
            <w:pPr>
              <w:rPr>
                <w:rFonts w:ascii="宋体"/>
              </w:rPr>
            </w:pPr>
          </w:p>
        </w:tc>
        <w:tc>
          <w:tcPr>
            <w:tcW w:w="5" w:type="pct"/>
            <w:shd w:val="clear" w:color="auto" w:fill="auto"/>
          </w:tcPr>
          <w:p w14:paraId="7DCFD7A7" w14:textId="77777777" w:rsidR="00C1563E" w:rsidRDefault="00C1563E">
            <w:pPr>
              <w:rPr>
                <w:rFonts w:ascii="宋体"/>
              </w:rPr>
            </w:pPr>
          </w:p>
        </w:tc>
      </w:tr>
      <w:tr w:rsidR="00C1563E" w14:paraId="7DCFD7B9" w14:textId="77777777">
        <w:trPr>
          <w:jc w:val="center"/>
        </w:trPr>
        <w:tc>
          <w:tcPr>
            <w:tcW w:w="0" w:type="auto"/>
            <w:gridSpan w:val="3"/>
            <w:shd w:val="clear" w:color="auto" w:fill="auto"/>
            <w:tcMar>
              <w:top w:w="0" w:type="dxa"/>
              <w:left w:w="20" w:type="dxa"/>
              <w:bottom w:w="0" w:type="dxa"/>
              <w:right w:w="20" w:type="dxa"/>
            </w:tcMar>
          </w:tcPr>
          <w:p w14:paraId="7DCFD7A9" w14:textId="77777777" w:rsidR="00C1563E" w:rsidRDefault="00C1563E">
            <w:pPr>
              <w:rPr>
                <w:rFonts w:ascii="宋体"/>
              </w:rPr>
            </w:pPr>
          </w:p>
        </w:tc>
        <w:tc>
          <w:tcPr>
            <w:tcW w:w="0" w:type="auto"/>
            <w:shd w:val="clear" w:color="auto" w:fill="auto"/>
          </w:tcPr>
          <w:p w14:paraId="7DCFD7AA" w14:textId="77777777" w:rsidR="00C1563E" w:rsidRDefault="00C1563E">
            <w:pPr>
              <w:rPr>
                <w:rFonts w:ascii="宋体"/>
                <w:vanish/>
              </w:rPr>
            </w:pPr>
          </w:p>
        </w:tc>
        <w:tc>
          <w:tcPr>
            <w:tcW w:w="0" w:type="auto"/>
            <w:shd w:val="clear" w:color="auto" w:fill="auto"/>
          </w:tcPr>
          <w:p w14:paraId="7DCFD7AB"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D7AC"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D7AD" w14:textId="77777777" w:rsidR="00C1563E" w:rsidRDefault="00C1563E">
            <w:pPr>
              <w:rPr>
                <w:rFonts w:ascii="宋体"/>
              </w:rPr>
            </w:pPr>
          </w:p>
        </w:tc>
        <w:tc>
          <w:tcPr>
            <w:tcW w:w="0" w:type="auto"/>
            <w:shd w:val="clear" w:color="auto" w:fill="auto"/>
          </w:tcPr>
          <w:p w14:paraId="7DCFD7AE" w14:textId="77777777" w:rsidR="00C1563E" w:rsidRDefault="00C1563E">
            <w:pPr>
              <w:rPr>
                <w:rFonts w:ascii="宋体"/>
              </w:rPr>
            </w:pPr>
          </w:p>
        </w:tc>
        <w:tc>
          <w:tcPr>
            <w:tcW w:w="0" w:type="auto"/>
            <w:shd w:val="clear" w:color="auto" w:fill="auto"/>
          </w:tcPr>
          <w:p w14:paraId="7DCFD7AF" w14:textId="77777777" w:rsidR="00C1563E" w:rsidRDefault="00C1563E">
            <w:pPr>
              <w:rPr>
                <w:rFonts w:ascii="宋体"/>
              </w:rPr>
            </w:pPr>
          </w:p>
        </w:tc>
        <w:tc>
          <w:tcPr>
            <w:tcW w:w="0" w:type="auto"/>
            <w:shd w:val="clear" w:color="auto" w:fill="auto"/>
          </w:tcPr>
          <w:p w14:paraId="7DCFD7B0" w14:textId="77777777" w:rsidR="00C1563E" w:rsidRDefault="00C1563E">
            <w:pPr>
              <w:rPr>
                <w:rFonts w:ascii="宋体"/>
              </w:rPr>
            </w:pPr>
          </w:p>
        </w:tc>
        <w:tc>
          <w:tcPr>
            <w:tcW w:w="0" w:type="auto"/>
            <w:shd w:val="clear" w:color="auto" w:fill="auto"/>
          </w:tcPr>
          <w:p w14:paraId="7DCFD7B1" w14:textId="77777777" w:rsidR="00C1563E" w:rsidRDefault="00C1563E">
            <w:pPr>
              <w:rPr>
                <w:rFonts w:ascii="宋体"/>
              </w:rPr>
            </w:pPr>
          </w:p>
        </w:tc>
        <w:tc>
          <w:tcPr>
            <w:tcW w:w="0" w:type="auto"/>
            <w:shd w:val="clear" w:color="auto" w:fill="auto"/>
          </w:tcPr>
          <w:p w14:paraId="7DCFD7B2" w14:textId="77777777" w:rsidR="00C1563E" w:rsidRDefault="00C1563E">
            <w:pPr>
              <w:rPr>
                <w:rFonts w:ascii="宋体"/>
              </w:rPr>
            </w:pPr>
          </w:p>
        </w:tc>
        <w:tc>
          <w:tcPr>
            <w:tcW w:w="0" w:type="auto"/>
            <w:shd w:val="clear" w:color="auto" w:fill="auto"/>
          </w:tcPr>
          <w:p w14:paraId="7DCFD7B3" w14:textId="77777777" w:rsidR="00C1563E" w:rsidRDefault="00C1563E">
            <w:pPr>
              <w:rPr>
                <w:rFonts w:ascii="宋体"/>
              </w:rPr>
            </w:pPr>
          </w:p>
        </w:tc>
        <w:tc>
          <w:tcPr>
            <w:tcW w:w="0" w:type="auto"/>
            <w:shd w:val="clear" w:color="auto" w:fill="auto"/>
          </w:tcPr>
          <w:p w14:paraId="7DCFD7B4" w14:textId="77777777" w:rsidR="00C1563E" w:rsidRDefault="00C1563E">
            <w:pPr>
              <w:rPr>
                <w:rFonts w:ascii="宋体"/>
              </w:rPr>
            </w:pPr>
          </w:p>
        </w:tc>
        <w:tc>
          <w:tcPr>
            <w:tcW w:w="0" w:type="auto"/>
            <w:shd w:val="clear" w:color="auto" w:fill="auto"/>
          </w:tcPr>
          <w:p w14:paraId="7DCFD7B5" w14:textId="77777777" w:rsidR="00C1563E" w:rsidRDefault="00C1563E">
            <w:pPr>
              <w:rPr>
                <w:rFonts w:ascii="宋体"/>
              </w:rPr>
            </w:pPr>
          </w:p>
        </w:tc>
        <w:tc>
          <w:tcPr>
            <w:tcW w:w="0" w:type="auto"/>
            <w:shd w:val="clear" w:color="auto" w:fill="auto"/>
          </w:tcPr>
          <w:p w14:paraId="7DCFD7B6" w14:textId="77777777" w:rsidR="00C1563E" w:rsidRDefault="00C1563E">
            <w:pPr>
              <w:rPr>
                <w:rFonts w:ascii="宋体"/>
              </w:rPr>
            </w:pPr>
          </w:p>
        </w:tc>
        <w:tc>
          <w:tcPr>
            <w:tcW w:w="0" w:type="auto"/>
            <w:shd w:val="clear" w:color="auto" w:fill="auto"/>
          </w:tcPr>
          <w:p w14:paraId="7DCFD7B7" w14:textId="77777777" w:rsidR="00C1563E" w:rsidRDefault="00C1563E">
            <w:pPr>
              <w:rPr>
                <w:rFonts w:ascii="宋体"/>
              </w:rPr>
            </w:pPr>
          </w:p>
        </w:tc>
        <w:tc>
          <w:tcPr>
            <w:tcW w:w="0" w:type="auto"/>
            <w:shd w:val="clear" w:color="auto" w:fill="auto"/>
          </w:tcPr>
          <w:p w14:paraId="7DCFD7B8" w14:textId="77777777" w:rsidR="00C1563E" w:rsidRDefault="00C1563E">
            <w:pPr>
              <w:rPr>
                <w:rFonts w:ascii="宋体"/>
              </w:rPr>
            </w:pPr>
          </w:p>
        </w:tc>
      </w:tr>
      <w:tr w:rsidR="00C1563E" w14:paraId="7DCFD7CA" w14:textId="77777777">
        <w:trPr>
          <w:jc w:val="center"/>
        </w:trPr>
        <w:tc>
          <w:tcPr>
            <w:tcW w:w="0" w:type="auto"/>
            <w:gridSpan w:val="3"/>
            <w:shd w:val="clear" w:color="auto" w:fill="auto"/>
            <w:tcMar>
              <w:top w:w="0" w:type="dxa"/>
              <w:left w:w="20" w:type="dxa"/>
              <w:bottom w:w="0" w:type="dxa"/>
              <w:right w:w="20" w:type="dxa"/>
            </w:tcMar>
          </w:tcPr>
          <w:p w14:paraId="7DCFD7BA" w14:textId="77777777" w:rsidR="00C1563E" w:rsidRDefault="00C1563E">
            <w:pPr>
              <w:rPr>
                <w:rFonts w:ascii="宋体"/>
              </w:rPr>
            </w:pPr>
          </w:p>
        </w:tc>
        <w:tc>
          <w:tcPr>
            <w:tcW w:w="0" w:type="auto"/>
            <w:shd w:val="clear" w:color="auto" w:fill="auto"/>
          </w:tcPr>
          <w:p w14:paraId="7DCFD7BB" w14:textId="77777777" w:rsidR="00C1563E" w:rsidRDefault="00C1563E">
            <w:pPr>
              <w:rPr>
                <w:rFonts w:ascii="宋体"/>
                <w:vanish/>
              </w:rPr>
            </w:pPr>
          </w:p>
        </w:tc>
        <w:tc>
          <w:tcPr>
            <w:tcW w:w="0" w:type="auto"/>
            <w:shd w:val="clear" w:color="auto" w:fill="auto"/>
          </w:tcPr>
          <w:p w14:paraId="7DCFD7BC" w14:textId="77777777" w:rsidR="00C1563E" w:rsidRDefault="00C1563E">
            <w:pPr>
              <w:rPr>
                <w:rFonts w:ascii="宋体"/>
                <w:vanish/>
              </w:rPr>
            </w:pPr>
          </w:p>
        </w:tc>
        <w:tc>
          <w:tcPr>
            <w:tcW w:w="0" w:type="auto"/>
            <w:shd w:val="clear" w:color="auto" w:fill="auto"/>
          </w:tcPr>
          <w:p w14:paraId="7DCFD7BD" w14:textId="77777777" w:rsidR="00C1563E" w:rsidRDefault="00C1563E">
            <w:pPr>
              <w:rPr>
                <w:rFonts w:ascii="宋体"/>
                <w:vanish/>
              </w:rPr>
            </w:pPr>
          </w:p>
        </w:tc>
        <w:tc>
          <w:tcPr>
            <w:tcW w:w="0" w:type="auto"/>
            <w:shd w:val="clear" w:color="auto" w:fill="auto"/>
          </w:tcPr>
          <w:p w14:paraId="7DCFD7BE" w14:textId="77777777" w:rsidR="00C1563E" w:rsidRDefault="00C1563E">
            <w:pPr>
              <w:rPr>
                <w:rFonts w:ascii="宋体"/>
                <w:vanish/>
              </w:rPr>
            </w:pPr>
          </w:p>
        </w:tc>
        <w:tc>
          <w:tcPr>
            <w:tcW w:w="0" w:type="auto"/>
            <w:shd w:val="clear" w:color="auto" w:fill="auto"/>
          </w:tcPr>
          <w:p w14:paraId="7DCFD7BF" w14:textId="77777777" w:rsidR="00C1563E" w:rsidRDefault="00C1563E">
            <w:pPr>
              <w:rPr>
                <w:rFonts w:ascii="宋体"/>
                <w:vanish/>
              </w:rPr>
            </w:pPr>
          </w:p>
        </w:tc>
        <w:tc>
          <w:tcPr>
            <w:tcW w:w="0" w:type="auto"/>
            <w:shd w:val="clear" w:color="auto" w:fill="auto"/>
          </w:tcPr>
          <w:p w14:paraId="7DCFD7C0"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7C1" w14:textId="77777777" w:rsidR="00C1563E" w:rsidRDefault="000B648B">
            <w:pPr>
              <w:jc w:val="center"/>
              <w:textAlignment w:val="bottom"/>
            </w:pPr>
            <w:r>
              <w:rPr>
                <w:rFonts w:ascii="Times New Roman" w:eastAsia="宋体" w:hAnsi="Times New Roman"/>
                <w:b/>
                <w:bCs/>
                <w:color w:val="000000"/>
                <w:sz w:val="20"/>
                <w:szCs w:val="20"/>
              </w:rPr>
              <w:t>January 29,</w:t>
            </w:r>
            <w:r>
              <w:rPr>
                <w:rFonts w:ascii="Times New Roman" w:eastAsia="宋体" w:hAnsi="Times New Roman"/>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DCFD7C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7C3"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7C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7C5" w14:textId="77777777" w:rsidR="00C1563E" w:rsidRDefault="000B648B">
            <w:pPr>
              <w:jc w:val="center"/>
              <w:textAlignment w:val="bottom"/>
            </w:pPr>
            <w:r>
              <w:rPr>
                <w:rFonts w:ascii="Times New Roman" w:eastAsia="宋体" w:hAnsi="Times New Roman"/>
                <w:b/>
                <w:bCs/>
                <w:color w:val="000000"/>
                <w:sz w:val="20"/>
                <w:szCs w:val="20"/>
              </w:rPr>
              <w:t>January 31,</w:t>
            </w:r>
            <w:r>
              <w:rPr>
                <w:rFonts w:ascii="Times New Roman" w:eastAsia="宋体" w:hAnsi="Times New Roman"/>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DCFD7C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7C7"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D7C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7C9" w14:textId="77777777" w:rsidR="00C1563E" w:rsidRDefault="000B648B">
            <w:pPr>
              <w:jc w:val="center"/>
              <w:textAlignment w:val="bottom"/>
            </w:pPr>
            <w:r>
              <w:rPr>
                <w:rFonts w:ascii="Times New Roman" w:eastAsia="宋体" w:hAnsi="Times New Roman"/>
                <w:b/>
                <w:bCs/>
                <w:color w:val="000000"/>
                <w:sz w:val="20"/>
                <w:szCs w:val="20"/>
              </w:rPr>
              <w:t>February 1,</w:t>
            </w:r>
            <w:r>
              <w:rPr>
                <w:rFonts w:ascii="Times New Roman" w:eastAsia="宋体" w:hAnsi="Times New Roman"/>
                <w:b/>
                <w:bCs/>
                <w:color w:val="000000"/>
                <w:sz w:val="20"/>
                <w:szCs w:val="20"/>
              </w:rPr>
              <w:br/>
              <w:t>2019</w:t>
            </w:r>
          </w:p>
        </w:tc>
      </w:tr>
      <w:tr w:rsidR="00C1563E" w14:paraId="7DCFD7D3" w14:textId="77777777">
        <w:trPr>
          <w:jc w:val="center"/>
        </w:trPr>
        <w:tc>
          <w:tcPr>
            <w:tcW w:w="0" w:type="auto"/>
            <w:gridSpan w:val="3"/>
            <w:shd w:val="clear" w:color="auto" w:fill="auto"/>
            <w:tcMar>
              <w:top w:w="40" w:type="dxa"/>
              <w:left w:w="20" w:type="dxa"/>
              <w:bottom w:w="40" w:type="dxa"/>
              <w:right w:w="20" w:type="dxa"/>
            </w:tcMar>
            <w:vAlign w:val="bottom"/>
          </w:tcPr>
          <w:p w14:paraId="7DCFD7CB"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CFD7CC" w14:textId="77777777" w:rsidR="00C1563E" w:rsidRDefault="00C1563E">
            <w:pPr>
              <w:rPr>
                <w:rFonts w:ascii="宋体"/>
                <w:vanish/>
              </w:rPr>
            </w:pPr>
          </w:p>
        </w:tc>
        <w:tc>
          <w:tcPr>
            <w:tcW w:w="0" w:type="auto"/>
            <w:shd w:val="clear" w:color="auto" w:fill="auto"/>
          </w:tcPr>
          <w:p w14:paraId="7DCFD7CD" w14:textId="77777777" w:rsidR="00C1563E" w:rsidRDefault="00C1563E">
            <w:pPr>
              <w:rPr>
                <w:rFonts w:ascii="宋体"/>
                <w:vanish/>
              </w:rPr>
            </w:pPr>
          </w:p>
        </w:tc>
        <w:tc>
          <w:tcPr>
            <w:tcW w:w="0" w:type="auto"/>
            <w:shd w:val="clear" w:color="auto" w:fill="auto"/>
          </w:tcPr>
          <w:p w14:paraId="7DCFD7CE" w14:textId="77777777" w:rsidR="00C1563E" w:rsidRDefault="00C1563E">
            <w:pPr>
              <w:rPr>
                <w:rFonts w:ascii="宋体"/>
                <w:vanish/>
              </w:rPr>
            </w:pPr>
          </w:p>
        </w:tc>
        <w:tc>
          <w:tcPr>
            <w:tcW w:w="0" w:type="auto"/>
            <w:shd w:val="clear" w:color="auto" w:fill="auto"/>
          </w:tcPr>
          <w:p w14:paraId="7DCFD7CF" w14:textId="77777777" w:rsidR="00C1563E" w:rsidRDefault="00C1563E">
            <w:pPr>
              <w:rPr>
                <w:rFonts w:ascii="宋体"/>
                <w:vanish/>
              </w:rPr>
            </w:pPr>
          </w:p>
        </w:tc>
        <w:tc>
          <w:tcPr>
            <w:tcW w:w="0" w:type="auto"/>
            <w:shd w:val="clear" w:color="auto" w:fill="auto"/>
          </w:tcPr>
          <w:p w14:paraId="7DCFD7D0" w14:textId="77777777" w:rsidR="00C1563E" w:rsidRDefault="00C1563E">
            <w:pPr>
              <w:rPr>
                <w:rFonts w:ascii="宋体"/>
                <w:vanish/>
              </w:rPr>
            </w:pPr>
          </w:p>
        </w:tc>
        <w:tc>
          <w:tcPr>
            <w:tcW w:w="0" w:type="auto"/>
            <w:shd w:val="clear" w:color="auto" w:fill="auto"/>
          </w:tcPr>
          <w:p w14:paraId="7DCFD7D1"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D7D2"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D7EC" w14:textId="77777777">
        <w:trPr>
          <w:jc w:val="center"/>
        </w:trPr>
        <w:tc>
          <w:tcPr>
            <w:tcW w:w="0" w:type="auto"/>
            <w:gridSpan w:val="3"/>
            <w:shd w:val="clear" w:color="auto" w:fill="CCEEFF"/>
            <w:tcMar>
              <w:top w:w="40" w:type="dxa"/>
              <w:left w:w="20" w:type="dxa"/>
              <w:bottom w:w="40" w:type="dxa"/>
              <w:right w:w="20" w:type="dxa"/>
            </w:tcMar>
            <w:vAlign w:val="bottom"/>
          </w:tcPr>
          <w:p w14:paraId="7DCFD7D4" w14:textId="77777777" w:rsidR="00C1563E" w:rsidRDefault="000B648B">
            <w:pPr>
              <w:textAlignment w:val="bottom"/>
            </w:pPr>
            <w:r>
              <w:rPr>
                <w:rFonts w:ascii="Times New Roman" w:eastAsia="宋体" w:hAnsi="Times New Roman"/>
                <w:color w:val="000000"/>
                <w:sz w:val="20"/>
                <w:szCs w:val="20"/>
              </w:rPr>
              <w:t>Net income (loss)</w:t>
            </w:r>
          </w:p>
        </w:tc>
        <w:tc>
          <w:tcPr>
            <w:tcW w:w="0" w:type="auto"/>
            <w:shd w:val="clear" w:color="auto" w:fill="auto"/>
          </w:tcPr>
          <w:p w14:paraId="7DCFD7D5" w14:textId="77777777" w:rsidR="00C1563E" w:rsidRDefault="00C1563E">
            <w:pPr>
              <w:rPr>
                <w:rFonts w:ascii="宋体"/>
                <w:vanish/>
              </w:rPr>
            </w:pPr>
          </w:p>
        </w:tc>
        <w:tc>
          <w:tcPr>
            <w:tcW w:w="0" w:type="auto"/>
            <w:shd w:val="clear" w:color="auto" w:fill="auto"/>
          </w:tcPr>
          <w:p w14:paraId="7DCFD7D6" w14:textId="77777777" w:rsidR="00C1563E" w:rsidRDefault="00C1563E">
            <w:pPr>
              <w:rPr>
                <w:rFonts w:ascii="宋体"/>
                <w:vanish/>
              </w:rPr>
            </w:pPr>
          </w:p>
        </w:tc>
        <w:tc>
          <w:tcPr>
            <w:tcW w:w="0" w:type="auto"/>
            <w:shd w:val="clear" w:color="auto" w:fill="auto"/>
          </w:tcPr>
          <w:p w14:paraId="7DCFD7D7" w14:textId="77777777" w:rsidR="00C1563E" w:rsidRDefault="00C1563E">
            <w:pPr>
              <w:rPr>
                <w:rFonts w:ascii="宋体"/>
                <w:vanish/>
              </w:rPr>
            </w:pPr>
          </w:p>
        </w:tc>
        <w:tc>
          <w:tcPr>
            <w:tcW w:w="0" w:type="auto"/>
            <w:shd w:val="clear" w:color="auto" w:fill="auto"/>
          </w:tcPr>
          <w:p w14:paraId="7DCFD7D8" w14:textId="77777777" w:rsidR="00C1563E" w:rsidRDefault="00C1563E">
            <w:pPr>
              <w:rPr>
                <w:rFonts w:ascii="宋体"/>
                <w:vanish/>
              </w:rPr>
            </w:pPr>
          </w:p>
        </w:tc>
        <w:tc>
          <w:tcPr>
            <w:tcW w:w="0" w:type="auto"/>
            <w:shd w:val="clear" w:color="auto" w:fill="auto"/>
          </w:tcPr>
          <w:p w14:paraId="7DCFD7D9" w14:textId="77777777" w:rsidR="00C1563E" w:rsidRDefault="00C1563E">
            <w:pPr>
              <w:rPr>
                <w:rFonts w:ascii="宋体"/>
                <w:vanish/>
              </w:rPr>
            </w:pPr>
          </w:p>
        </w:tc>
        <w:tc>
          <w:tcPr>
            <w:tcW w:w="0" w:type="auto"/>
            <w:shd w:val="clear" w:color="auto" w:fill="auto"/>
          </w:tcPr>
          <w:p w14:paraId="7DCFD7DA"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7D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7DC" w14:textId="77777777" w:rsidR="00C1563E" w:rsidRDefault="000B648B">
            <w:pPr>
              <w:jc w:val="right"/>
              <w:textAlignment w:val="bottom"/>
            </w:pPr>
            <w:r>
              <w:rPr>
                <w:rFonts w:ascii="Times New Roman" w:eastAsia="宋体" w:hAnsi="Times New Roman"/>
                <w:color w:val="000000"/>
                <w:sz w:val="20"/>
                <w:szCs w:val="20"/>
              </w:rPr>
              <w:t>3,505 </w:t>
            </w:r>
          </w:p>
        </w:tc>
        <w:tc>
          <w:tcPr>
            <w:tcW w:w="0" w:type="auto"/>
            <w:shd w:val="clear" w:color="auto" w:fill="CCEEFF"/>
            <w:tcMar>
              <w:top w:w="40" w:type="dxa"/>
              <w:left w:w="0" w:type="dxa"/>
              <w:bottom w:w="40" w:type="dxa"/>
              <w:right w:w="20" w:type="dxa"/>
            </w:tcMar>
            <w:vAlign w:val="bottom"/>
          </w:tcPr>
          <w:p w14:paraId="7DCFD7D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D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DF" w14:textId="77777777" w:rsidR="00C1563E" w:rsidRDefault="000B648B">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7DCFD7E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7E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7E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7E3" w14:textId="77777777" w:rsidR="00C1563E" w:rsidRDefault="000B648B">
            <w:pPr>
              <w:jc w:val="right"/>
              <w:textAlignment w:val="bottom"/>
            </w:pPr>
            <w:r>
              <w:rPr>
                <w:rFonts w:ascii="Times New Roman" w:eastAsia="宋体" w:hAnsi="Times New Roman"/>
                <w:color w:val="000000"/>
                <w:sz w:val="20"/>
                <w:szCs w:val="20"/>
              </w:rPr>
              <w:t>5,529 </w:t>
            </w:r>
          </w:p>
        </w:tc>
        <w:tc>
          <w:tcPr>
            <w:tcW w:w="0" w:type="auto"/>
            <w:shd w:val="clear" w:color="auto" w:fill="CCEEFF"/>
            <w:tcMar>
              <w:top w:w="40" w:type="dxa"/>
              <w:left w:w="0" w:type="dxa"/>
              <w:bottom w:w="40" w:type="dxa"/>
              <w:right w:w="20" w:type="dxa"/>
            </w:tcMar>
            <w:vAlign w:val="bottom"/>
          </w:tcPr>
          <w:p w14:paraId="7DCFD7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7E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7E6" w14:textId="77777777" w:rsidR="00C1563E" w:rsidRDefault="000B648B">
            <w:pPr>
              <w:jc w:val="right"/>
              <w:textAlignment w:val="bottom"/>
            </w:pPr>
            <w:r>
              <w:rPr>
                <w:rFonts w:ascii="Times New Roman" w:eastAsia="宋体" w:hAnsi="Times New Roman"/>
                <w:color w:val="000000"/>
                <w:sz w:val="20"/>
                <w:szCs w:val="20"/>
              </w:rPr>
              <w:t>354 </w:t>
            </w:r>
          </w:p>
        </w:tc>
        <w:tc>
          <w:tcPr>
            <w:tcW w:w="0" w:type="auto"/>
            <w:shd w:val="clear" w:color="auto" w:fill="CCEEFF"/>
            <w:tcMar>
              <w:top w:w="40" w:type="dxa"/>
              <w:left w:w="0" w:type="dxa"/>
              <w:bottom w:w="40" w:type="dxa"/>
              <w:right w:w="20" w:type="dxa"/>
            </w:tcMar>
            <w:vAlign w:val="bottom"/>
          </w:tcPr>
          <w:p w14:paraId="7DCFD7E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7E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7E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7EA" w14:textId="77777777" w:rsidR="00C1563E" w:rsidRDefault="000B648B">
            <w:pPr>
              <w:jc w:val="right"/>
              <w:textAlignment w:val="bottom"/>
            </w:pPr>
            <w:r>
              <w:rPr>
                <w:rFonts w:ascii="Times New Roman" w:eastAsia="宋体" w:hAnsi="Times New Roman"/>
                <w:color w:val="000000"/>
                <w:sz w:val="20"/>
                <w:szCs w:val="20"/>
              </w:rPr>
              <w:t>(2,181)</w:t>
            </w:r>
          </w:p>
        </w:tc>
        <w:tc>
          <w:tcPr>
            <w:tcW w:w="0" w:type="auto"/>
            <w:shd w:val="clear" w:color="auto" w:fill="CCEEFF"/>
            <w:tcMar>
              <w:top w:w="40" w:type="dxa"/>
              <w:left w:w="0" w:type="dxa"/>
              <w:bottom w:w="40" w:type="dxa"/>
              <w:right w:w="20" w:type="dxa"/>
            </w:tcMar>
            <w:vAlign w:val="bottom"/>
          </w:tcPr>
          <w:p w14:paraId="7DCFD7EB" w14:textId="77777777" w:rsidR="00C1563E" w:rsidRDefault="00C1563E">
            <w:pPr>
              <w:jc w:val="right"/>
              <w:rPr>
                <w:rFonts w:ascii="宋体"/>
              </w:rPr>
            </w:pPr>
          </w:p>
        </w:tc>
      </w:tr>
      <w:tr w:rsidR="00C1563E" w14:paraId="7DCFD7FD" w14:textId="77777777">
        <w:trPr>
          <w:jc w:val="center"/>
        </w:trPr>
        <w:tc>
          <w:tcPr>
            <w:tcW w:w="0" w:type="auto"/>
            <w:gridSpan w:val="3"/>
            <w:shd w:val="clear" w:color="auto" w:fill="FFFFFF"/>
            <w:tcMar>
              <w:top w:w="40" w:type="dxa"/>
              <w:left w:w="155" w:type="dxa"/>
              <w:bottom w:w="40" w:type="dxa"/>
              <w:right w:w="20" w:type="dxa"/>
            </w:tcMar>
            <w:vAlign w:val="bottom"/>
          </w:tcPr>
          <w:p w14:paraId="7DCFD7ED" w14:textId="77777777" w:rsidR="00C1563E" w:rsidRDefault="000B648B">
            <w:pPr>
              <w:textAlignment w:val="bottom"/>
            </w:pPr>
            <w:r>
              <w:rPr>
                <w:rFonts w:ascii="Times New Roman" w:eastAsia="宋体" w:hAnsi="Times New Roman"/>
                <w:color w:val="000000"/>
                <w:sz w:val="20"/>
                <w:szCs w:val="20"/>
              </w:rPr>
              <w:t>Adjustments:</w:t>
            </w:r>
          </w:p>
        </w:tc>
        <w:tc>
          <w:tcPr>
            <w:tcW w:w="0" w:type="auto"/>
            <w:shd w:val="clear" w:color="auto" w:fill="auto"/>
          </w:tcPr>
          <w:p w14:paraId="7DCFD7EE" w14:textId="77777777" w:rsidR="00C1563E" w:rsidRDefault="00C1563E">
            <w:pPr>
              <w:rPr>
                <w:rFonts w:ascii="宋体"/>
                <w:vanish/>
              </w:rPr>
            </w:pPr>
          </w:p>
        </w:tc>
        <w:tc>
          <w:tcPr>
            <w:tcW w:w="0" w:type="auto"/>
            <w:shd w:val="clear" w:color="auto" w:fill="auto"/>
          </w:tcPr>
          <w:p w14:paraId="7DCFD7EF" w14:textId="77777777" w:rsidR="00C1563E" w:rsidRDefault="00C1563E">
            <w:pPr>
              <w:rPr>
                <w:rFonts w:ascii="宋体"/>
                <w:vanish/>
              </w:rPr>
            </w:pPr>
          </w:p>
        </w:tc>
        <w:tc>
          <w:tcPr>
            <w:tcW w:w="0" w:type="auto"/>
            <w:shd w:val="clear" w:color="auto" w:fill="auto"/>
          </w:tcPr>
          <w:p w14:paraId="7DCFD7F0" w14:textId="77777777" w:rsidR="00C1563E" w:rsidRDefault="00C1563E">
            <w:pPr>
              <w:rPr>
                <w:rFonts w:ascii="宋体"/>
                <w:vanish/>
              </w:rPr>
            </w:pPr>
          </w:p>
        </w:tc>
        <w:tc>
          <w:tcPr>
            <w:tcW w:w="0" w:type="auto"/>
            <w:shd w:val="clear" w:color="auto" w:fill="auto"/>
          </w:tcPr>
          <w:p w14:paraId="7DCFD7F1" w14:textId="77777777" w:rsidR="00C1563E" w:rsidRDefault="00C1563E">
            <w:pPr>
              <w:rPr>
                <w:rFonts w:ascii="宋体"/>
                <w:vanish/>
              </w:rPr>
            </w:pPr>
          </w:p>
        </w:tc>
        <w:tc>
          <w:tcPr>
            <w:tcW w:w="0" w:type="auto"/>
            <w:shd w:val="clear" w:color="auto" w:fill="auto"/>
          </w:tcPr>
          <w:p w14:paraId="7DCFD7F2" w14:textId="77777777" w:rsidR="00C1563E" w:rsidRDefault="00C1563E">
            <w:pPr>
              <w:rPr>
                <w:rFonts w:ascii="宋体"/>
                <w:vanish/>
              </w:rPr>
            </w:pPr>
          </w:p>
        </w:tc>
        <w:tc>
          <w:tcPr>
            <w:tcW w:w="0" w:type="auto"/>
            <w:shd w:val="clear" w:color="auto" w:fill="auto"/>
          </w:tcPr>
          <w:p w14:paraId="7DCFD7F3"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D7F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7FC" w14:textId="77777777" w:rsidR="00C1563E" w:rsidRDefault="00C1563E">
            <w:pPr>
              <w:rPr>
                <w:rFonts w:ascii="宋体"/>
              </w:rPr>
            </w:pPr>
          </w:p>
        </w:tc>
      </w:tr>
      <w:tr w:rsidR="00C1563E" w14:paraId="7DCFD811" w14:textId="77777777">
        <w:trPr>
          <w:jc w:val="center"/>
        </w:trPr>
        <w:tc>
          <w:tcPr>
            <w:tcW w:w="0" w:type="auto"/>
            <w:gridSpan w:val="3"/>
            <w:shd w:val="clear" w:color="auto" w:fill="CCEEFF"/>
            <w:tcMar>
              <w:top w:w="40" w:type="dxa"/>
              <w:left w:w="245" w:type="dxa"/>
              <w:bottom w:w="40" w:type="dxa"/>
              <w:right w:w="20" w:type="dxa"/>
            </w:tcMar>
            <w:vAlign w:val="bottom"/>
          </w:tcPr>
          <w:p w14:paraId="7DCFD7FE" w14:textId="77777777" w:rsidR="00C1563E" w:rsidRDefault="000B648B">
            <w:pPr>
              <w:textAlignment w:val="bottom"/>
            </w:pPr>
            <w:r>
              <w:rPr>
                <w:rFonts w:ascii="Times New Roman" w:eastAsia="宋体" w:hAnsi="Times New Roman"/>
                <w:color w:val="000000"/>
                <w:sz w:val="20"/>
                <w:szCs w:val="20"/>
              </w:rPr>
              <w:t>Interest and other, net (a)</w:t>
            </w:r>
          </w:p>
        </w:tc>
        <w:tc>
          <w:tcPr>
            <w:tcW w:w="0" w:type="auto"/>
            <w:shd w:val="clear" w:color="auto" w:fill="auto"/>
          </w:tcPr>
          <w:p w14:paraId="7DCFD7FF" w14:textId="77777777" w:rsidR="00C1563E" w:rsidRDefault="00C1563E">
            <w:pPr>
              <w:rPr>
                <w:rFonts w:ascii="宋体"/>
                <w:vanish/>
              </w:rPr>
            </w:pPr>
          </w:p>
        </w:tc>
        <w:tc>
          <w:tcPr>
            <w:tcW w:w="0" w:type="auto"/>
            <w:shd w:val="clear" w:color="auto" w:fill="auto"/>
          </w:tcPr>
          <w:p w14:paraId="7DCFD800" w14:textId="77777777" w:rsidR="00C1563E" w:rsidRDefault="00C1563E">
            <w:pPr>
              <w:rPr>
                <w:rFonts w:ascii="宋体"/>
                <w:vanish/>
              </w:rPr>
            </w:pPr>
          </w:p>
        </w:tc>
        <w:tc>
          <w:tcPr>
            <w:tcW w:w="0" w:type="auto"/>
            <w:shd w:val="clear" w:color="auto" w:fill="auto"/>
          </w:tcPr>
          <w:p w14:paraId="7DCFD801" w14:textId="77777777" w:rsidR="00C1563E" w:rsidRDefault="00C1563E">
            <w:pPr>
              <w:rPr>
                <w:rFonts w:ascii="宋体"/>
                <w:vanish/>
              </w:rPr>
            </w:pPr>
          </w:p>
        </w:tc>
        <w:tc>
          <w:tcPr>
            <w:tcW w:w="0" w:type="auto"/>
            <w:shd w:val="clear" w:color="auto" w:fill="auto"/>
          </w:tcPr>
          <w:p w14:paraId="7DCFD802" w14:textId="77777777" w:rsidR="00C1563E" w:rsidRDefault="00C1563E">
            <w:pPr>
              <w:rPr>
                <w:rFonts w:ascii="宋体"/>
                <w:vanish/>
              </w:rPr>
            </w:pPr>
          </w:p>
        </w:tc>
        <w:tc>
          <w:tcPr>
            <w:tcW w:w="0" w:type="auto"/>
            <w:shd w:val="clear" w:color="auto" w:fill="auto"/>
          </w:tcPr>
          <w:p w14:paraId="7DCFD803" w14:textId="77777777" w:rsidR="00C1563E" w:rsidRDefault="00C1563E">
            <w:pPr>
              <w:rPr>
                <w:rFonts w:ascii="宋体"/>
                <w:vanish/>
              </w:rPr>
            </w:pPr>
          </w:p>
        </w:tc>
        <w:tc>
          <w:tcPr>
            <w:tcW w:w="0" w:type="auto"/>
            <w:shd w:val="clear" w:color="auto" w:fill="auto"/>
          </w:tcPr>
          <w:p w14:paraId="7DCFD80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805" w14:textId="77777777" w:rsidR="00C1563E" w:rsidRDefault="000B648B">
            <w:pPr>
              <w:jc w:val="right"/>
              <w:textAlignment w:val="bottom"/>
            </w:pPr>
            <w:r>
              <w:rPr>
                <w:rFonts w:ascii="Times New Roman" w:eastAsia="宋体" w:hAnsi="Times New Roman"/>
                <w:color w:val="000000"/>
                <w:sz w:val="20"/>
                <w:szCs w:val="20"/>
              </w:rPr>
              <w:t>1,474 </w:t>
            </w:r>
          </w:p>
        </w:tc>
        <w:tc>
          <w:tcPr>
            <w:tcW w:w="0" w:type="auto"/>
            <w:shd w:val="clear" w:color="auto" w:fill="CCEEFF"/>
            <w:tcMar>
              <w:top w:w="40" w:type="dxa"/>
              <w:left w:w="0" w:type="dxa"/>
              <w:bottom w:w="40" w:type="dxa"/>
              <w:right w:w="20" w:type="dxa"/>
            </w:tcMar>
            <w:vAlign w:val="bottom"/>
          </w:tcPr>
          <w:p w14:paraId="7DCFD80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0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0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0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0A" w14:textId="77777777" w:rsidR="00C1563E" w:rsidRDefault="000B648B">
            <w:pPr>
              <w:jc w:val="right"/>
              <w:textAlignment w:val="bottom"/>
            </w:pPr>
            <w:r>
              <w:rPr>
                <w:rFonts w:ascii="Times New Roman" w:eastAsia="宋体" w:hAnsi="Times New Roman"/>
                <w:color w:val="000000"/>
                <w:sz w:val="20"/>
                <w:szCs w:val="20"/>
              </w:rPr>
              <w:t>2,626 </w:t>
            </w:r>
          </w:p>
        </w:tc>
        <w:tc>
          <w:tcPr>
            <w:tcW w:w="0" w:type="auto"/>
            <w:shd w:val="clear" w:color="auto" w:fill="CCEEFF"/>
            <w:tcMar>
              <w:top w:w="40" w:type="dxa"/>
              <w:left w:w="0" w:type="dxa"/>
              <w:bottom w:w="40" w:type="dxa"/>
              <w:right w:w="20" w:type="dxa"/>
            </w:tcMar>
            <w:vAlign w:val="bottom"/>
          </w:tcPr>
          <w:p w14:paraId="7DCFD80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0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0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0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0F" w14:textId="77777777" w:rsidR="00C1563E" w:rsidRDefault="000B648B">
            <w:pPr>
              <w:jc w:val="right"/>
              <w:textAlignment w:val="bottom"/>
            </w:pPr>
            <w:r>
              <w:rPr>
                <w:rFonts w:ascii="Times New Roman" w:eastAsia="宋体" w:hAnsi="Times New Roman"/>
                <w:color w:val="000000"/>
                <w:sz w:val="20"/>
                <w:szCs w:val="20"/>
              </w:rPr>
              <w:t>2,170 </w:t>
            </w:r>
          </w:p>
        </w:tc>
        <w:tc>
          <w:tcPr>
            <w:tcW w:w="0" w:type="auto"/>
            <w:shd w:val="clear" w:color="auto" w:fill="CCEEFF"/>
            <w:tcMar>
              <w:top w:w="40" w:type="dxa"/>
              <w:left w:w="0" w:type="dxa"/>
              <w:bottom w:w="40" w:type="dxa"/>
              <w:right w:w="20" w:type="dxa"/>
            </w:tcMar>
            <w:vAlign w:val="bottom"/>
          </w:tcPr>
          <w:p w14:paraId="7DCFD810" w14:textId="77777777" w:rsidR="00C1563E" w:rsidRDefault="00C1563E">
            <w:pPr>
              <w:jc w:val="right"/>
              <w:rPr>
                <w:rFonts w:ascii="宋体"/>
              </w:rPr>
            </w:pPr>
          </w:p>
        </w:tc>
      </w:tr>
      <w:tr w:rsidR="00C1563E" w14:paraId="7DCFD825" w14:textId="77777777">
        <w:trPr>
          <w:jc w:val="center"/>
        </w:trPr>
        <w:tc>
          <w:tcPr>
            <w:tcW w:w="0" w:type="auto"/>
            <w:gridSpan w:val="3"/>
            <w:shd w:val="clear" w:color="auto" w:fill="FFFFFF"/>
            <w:tcMar>
              <w:top w:w="40" w:type="dxa"/>
              <w:left w:w="245" w:type="dxa"/>
              <w:bottom w:w="40" w:type="dxa"/>
              <w:right w:w="20" w:type="dxa"/>
            </w:tcMar>
            <w:vAlign w:val="bottom"/>
          </w:tcPr>
          <w:p w14:paraId="7DCFD812" w14:textId="77777777" w:rsidR="00C1563E" w:rsidRDefault="000B648B">
            <w:pPr>
              <w:textAlignment w:val="bottom"/>
            </w:pPr>
            <w:r>
              <w:rPr>
                <w:rFonts w:ascii="Times New Roman" w:eastAsia="宋体" w:hAnsi="Times New Roman"/>
                <w:color w:val="000000"/>
                <w:sz w:val="20"/>
                <w:szCs w:val="20"/>
              </w:rPr>
              <w:t>Income tax expense (benefit) (b)</w:t>
            </w:r>
          </w:p>
        </w:tc>
        <w:tc>
          <w:tcPr>
            <w:tcW w:w="0" w:type="auto"/>
            <w:shd w:val="clear" w:color="auto" w:fill="auto"/>
          </w:tcPr>
          <w:p w14:paraId="7DCFD813" w14:textId="77777777" w:rsidR="00C1563E" w:rsidRDefault="00C1563E">
            <w:pPr>
              <w:rPr>
                <w:rFonts w:ascii="宋体"/>
                <w:vanish/>
              </w:rPr>
            </w:pPr>
          </w:p>
        </w:tc>
        <w:tc>
          <w:tcPr>
            <w:tcW w:w="0" w:type="auto"/>
            <w:shd w:val="clear" w:color="auto" w:fill="auto"/>
          </w:tcPr>
          <w:p w14:paraId="7DCFD814" w14:textId="77777777" w:rsidR="00C1563E" w:rsidRDefault="00C1563E">
            <w:pPr>
              <w:rPr>
                <w:rFonts w:ascii="宋体"/>
                <w:vanish/>
              </w:rPr>
            </w:pPr>
          </w:p>
        </w:tc>
        <w:tc>
          <w:tcPr>
            <w:tcW w:w="0" w:type="auto"/>
            <w:shd w:val="clear" w:color="auto" w:fill="auto"/>
          </w:tcPr>
          <w:p w14:paraId="7DCFD815" w14:textId="77777777" w:rsidR="00C1563E" w:rsidRDefault="00C1563E">
            <w:pPr>
              <w:rPr>
                <w:rFonts w:ascii="宋体"/>
                <w:vanish/>
              </w:rPr>
            </w:pPr>
          </w:p>
        </w:tc>
        <w:tc>
          <w:tcPr>
            <w:tcW w:w="0" w:type="auto"/>
            <w:shd w:val="clear" w:color="auto" w:fill="auto"/>
          </w:tcPr>
          <w:p w14:paraId="7DCFD816" w14:textId="77777777" w:rsidR="00C1563E" w:rsidRDefault="00C1563E">
            <w:pPr>
              <w:rPr>
                <w:rFonts w:ascii="宋体"/>
                <w:vanish/>
              </w:rPr>
            </w:pPr>
          </w:p>
        </w:tc>
        <w:tc>
          <w:tcPr>
            <w:tcW w:w="0" w:type="auto"/>
            <w:shd w:val="clear" w:color="auto" w:fill="auto"/>
          </w:tcPr>
          <w:p w14:paraId="7DCFD817" w14:textId="77777777" w:rsidR="00C1563E" w:rsidRDefault="00C1563E">
            <w:pPr>
              <w:rPr>
                <w:rFonts w:ascii="宋体"/>
                <w:vanish/>
              </w:rPr>
            </w:pPr>
          </w:p>
        </w:tc>
        <w:tc>
          <w:tcPr>
            <w:tcW w:w="0" w:type="auto"/>
            <w:shd w:val="clear" w:color="auto" w:fill="auto"/>
          </w:tcPr>
          <w:p w14:paraId="7DCFD818"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819" w14:textId="77777777" w:rsidR="00C1563E" w:rsidRDefault="000B648B">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7DCFD81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1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1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1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1E" w14:textId="77777777" w:rsidR="00C1563E" w:rsidRDefault="000B648B">
            <w:pPr>
              <w:jc w:val="right"/>
              <w:textAlignment w:val="bottom"/>
            </w:pPr>
            <w:r>
              <w:rPr>
                <w:rFonts w:ascii="Times New Roman" w:eastAsia="宋体" w:hAnsi="Times New Roman"/>
                <w:color w:val="000000"/>
                <w:sz w:val="20"/>
                <w:szCs w:val="20"/>
              </w:rPr>
              <w:t>(5,533)</w:t>
            </w:r>
          </w:p>
        </w:tc>
        <w:tc>
          <w:tcPr>
            <w:tcW w:w="0" w:type="auto"/>
            <w:shd w:val="clear" w:color="auto" w:fill="FFFFFF"/>
            <w:tcMar>
              <w:top w:w="40" w:type="dxa"/>
              <w:left w:w="0" w:type="dxa"/>
              <w:bottom w:w="40" w:type="dxa"/>
              <w:right w:w="20" w:type="dxa"/>
            </w:tcMar>
            <w:vAlign w:val="bottom"/>
          </w:tcPr>
          <w:p w14:paraId="7DCFD81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2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2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2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23" w14:textId="77777777" w:rsidR="00C1563E" w:rsidRDefault="000B648B">
            <w:pPr>
              <w:jc w:val="right"/>
              <w:textAlignment w:val="bottom"/>
            </w:pPr>
            <w:r>
              <w:rPr>
                <w:rFonts w:ascii="Times New Roman" w:eastAsia="宋体" w:hAnsi="Times New Roman"/>
                <w:color w:val="000000"/>
                <w:sz w:val="20"/>
                <w:szCs w:val="20"/>
              </w:rPr>
              <w:t>(180)</w:t>
            </w:r>
          </w:p>
        </w:tc>
        <w:tc>
          <w:tcPr>
            <w:tcW w:w="0" w:type="auto"/>
            <w:shd w:val="clear" w:color="auto" w:fill="FFFFFF"/>
            <w:tcMar>
              <w:top w:w="40" w:type="dxa"/>
              <w:left w:w="0" w:type="dxa"/>
              <w:bottom w:w="40" w:type="dxa"/>
              <w:right w:w="20" w:type="dxa"/>
            </w:tcMar>
            <w:vAlign w:val="bottom"/>
          </w:tcPr>
          <w:p w14:paraId="7DCFD824" w14:textId="77777777" w:rsidR="00C1563E" w:rsidRDefault="00C1563E">
            <w:pPr>
              <w:jc w:val="right"/>
              <w:rPr>
                <w:rFonts w:ascii="宋体"/>
              </w:rPr>
            </w:pPr>
          </w:p>
        </w:tc>
      </w:tr>
      <w:tr w:rsidR="00C1563E" w14:paraId="7DCFD839" w14:textId="77777777">
        <w:trPr>
          <w:jc w:val="center"/>
        </w:trPr>
        <w:tc>
          <w:tcPr>
            <w:tcW w:w="0" w:type="auto"/>
            <w:gridSpan w:val="3"/>
            <w:shd w:val="clear" w:color="auto" w:fill="CCEEFF"/>
            <w:tcMar>
              <w:top w:w="40" w:type="dxa"/>
              <w:left w:w="245" w:type="dxa"/>
              <w:bottom w:w="40" w:type="dxa"/>
              <w:right w:w="20" w:type="dxa"/>
            </w:tcMar>
            <w:vAlign w:val="bottom"/>
          </w:tcPr>
          <w:p w14:paraId="7DCFD826" w14:textId="77777777" w:rsidR="00C1563E" w:rsidRDefault="000B648B">
            <w:pPr>
              <w:textAlignment w:val="bottom"/>
            </w:pPr>
            <w:r>
              <w:rPr>
                <w:rFonts w:ascii="Times New Roman" w:eastAsia="宋体" w:hAnsi="Times New Roman"/>
                <w:color w:val="000000"/>
                <w:sz w:val="20"/>
                <w:szCs w:val="20"/>
              </w:rPr>
              <w:t>Depreciation and amortization</w:t>
            </w:r>
          </w:p>
        </w:tc>
        <w:tc>
          <w:tcPr>
            <w:tcW w:w="0" w:type="auto"/>
            <w:shd w:val="clear" w:color="auto" w:fill="auto"/>
          </w:tcPr>
          <w:p w14:paraId="7DCFD827" w14:textId="77777777" w:rsidR="00C1563E" w:rsidRDefault="00C1563E">
            <w:pPr>
              <w:rPr>
                <w:rFonts w:ascii="宋体"/>
                <w:vanish/>
              </w:rPr>
            </w:pPr>
          </w:p>
        </w:tc>
        <w:tc>
          <w:tcPr>
            <w:tcW w:w="0" w:type="auto"/>
            <w:shd w:val="clear" w:color="auto" w:fill="auto"/>
          </w:tcPr>
          <w:p w14:paraId="7DCFD828" w14:textId="77777777" w:rsidR="00C1563E" w:rsidRDefault="00C1563E">
            <w:pPr>
              <w:rPr>
                <w:rFonts w:ascii="宋体"/>
                <w:vanish/>
              </w:rPr>
            </w:pPr>
          </w:p>
        </w:tc>
        <w:tc>
          <w:tcPr>
            <w:tcW w:w="0" w:type="auto"/>
            <w:shd w:val="clear" w:color="auto" w:fill="auto"/>
          </w:tcPr>
          <w:p w14:paraId="7DCFD829" w14:textId="77777777" w:rsidR="00C1563E" w:rsidRDefault="00C1563E">
            <w:pPr>
              <w:rPr>
                <w:rFonts w:ascii="宋体"/>
                <w:vanish/>
              </w:rPr>
            </w:pPr>
          </w:p>
        </w:tc>
        <w:tc>
          <w:tcPr>
            <w:tcW w:w="0" w:type="auto"/>
            <w:shd w:val="clear" w:color="auto" w:fill="auto"/>
          </w:tcPr>
          <w:p w14:paraId="7DCFD82A" w14:textId="77777777" w:rsidR="00C1563E" w:rsidRDefault="00C1563E">
            <w:pPr>
              <w:rPr>
                <w:rFonts w:ascii="宋体"/>
                <w:vanish/>
              </w:rPr>
            </w:pPr>
          </w:p>
        </w:tc>
        <w:tc>
          <w:tcPr>
            <w:tcW w:w="0" w:type="auto"/>
            <w:shd w:val="clear" w:color="auto" w:fill="auto"/>
          </w:tcPr>
          <w:p w14:paraId="7DCFD82B" w14:textId="77777777" w:rsidR="00C1563E" w:rsidRDefault="00C1563E">
            <w:pPr>
              <w:rPr>
                <w:rFonts w:ascii="宋体"/>
                <w:vanish/>
              </w:rPr>
            </w:pPr>
          </w:p>
        </w:tc>
        <w:tc>
          <w:tcPr>
            <w:tcW w:w="0" w:type="auto"/>
            <w:shd w:val="clear" w:color="auto" w:fill="auto"/>
          </w:tcPr>
          <w:p w14:paraId="7DCFD82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82D" w14:textId="77777777" w:rsidR="00C1563E" w:rsidRDefault="000B648B">
            <w:pPr>
              <w:jc w:val="right"/>
              <w:textAlignment w:val="bottom"/>
            </w:pPr>
            <w:r>
              <w:rPr>
                <w:rFonts w:ascii="Times New Roman" w:eastAsia="宋体" w:hAnsi="Times New Roman"/>
                <w:color w:val="000000"/>
                <w:sz w:val="20"/>
                <w:szCs w:val="20"/>
              </w:rPr>
              <w:t>5,390 </w:t>
            </w:r>
          </w:p>
        </w:tc>
        <w:tc>
          <w:tcPr>
            <w:tcW w:w="0" w:type="auto"/>
            <w:shd w:val="clear" w:color="auto" w:fill="CCEEFF"/>
            <w:tcMar>
              <w:top w:w="40" w:type="dxa"/>
              <w:left w:w="0" w:type="dxa"/>
              <w:bottom w:w="40" w:type="dxa"/>
              <w:right w:w="20" w:type="dxa"/>
            </w:tcMar>
            <w:vAlign w:val="bottom"/>
          </w:tcPr>
          <w:p w14:paraId="7DCFD82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2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3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3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32" w14:textId="77777777" w:rsidR="00C1563E" w:rsidRDefault="000B648B">
            <w:pPr>
              <w:jc w:val="right"/>
              <w:textAlignment w:val="bottom"/>
            </w:pPr>
            <w:r>
              <w:rPr>
                <w:rFonts w:ascii="Times New Roman" w:eastAsia="宋体" w:hAnsi="Times New Roman"/>
                <w:color w:val="000000"/>
                <w:sz w:val="20"/>
                <w:szCs w:val="20"/>
              </w:rPr>
              <w:t>6,143 </w:t>
            </w:r>
          </w:p>
        </w:tc>
        <w:tc>
          <w:tcPr>
            <w:tcW w:w="0" w:type="auto"/>
            <w:shd w:val="clear" w:color="auto" w:fill="CCEEFF"/>
            <w:tcMar>
              <w:top w:w="40" w:type="dxa"/>
              <w:left w:w="0" w:type="dxa"/>
              <w:bottom w:w="40" w:type="dxa"/>
              <w:right w:w="20" w:type="dxa"/>
            </w:tcMar>
            <w:vAlign w:val="bottom"/>
          </w:tcPr>
          <w:p w14:paraId="7DCFD83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3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3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3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37" w14:textId="77777777" w:rsidR="00C1563E" w:rsidRDefault="000B648B">
            <w:pPr>
              <w:jc w:val="right"/>
              <w:textAlignment w:val="bottom"/>
            </w:pPr>
            <w:r>
              <w:rPr>
                <w:rFonts w:ascii="Times New Roman" w:eastAsia="宋体" w:hAnsi="Times New Roman"/>
                <w:color w:val="000000"/>
                <w:sz w:val="20"/>
                <w:szCs w:val="20"/>
              </w:rPr>
              <w:t>7,746 </w:t>
            </w:r>
          </w:p>
        </w:tc>
        <w:tc>
          <w:tcPr>
            <w:tcW w:w="0" w:type="auto"/>
            <w:shd w:val="clear" w:color="auto" w:fill="CCEEFF"/>
            <w:tcMar>
              <w:top w:w="40" w:type="dxa"/>
              <w:left w:w="0" w:type="dxa"/>
              <w:bottom w:w="40" w:type="dxa"/>
              <w:right w:w="20" w:type="dxa"/>
            </w:tcMar>
            <w:vAlign w:val="bottom"/>
          </w:tcPr>
          <w:p w14:paraId="7DCFD838" w14:textId="77777777" w:rsidR="00C1563E" w:rsidRDefault="00C1563E">
            <w:pPr>
              <w:jc w:val="right"/>
              <w:rPr>
                <w:rFonts w:ascii="宋体"/>
              </w:rPr>
            </w:pPr>
          </w:p>
        </w:tc>
      </w:tr>
      <w:tr w:rsidR="00C1563E" w14:paraId="7DCFD852" w14:textId="77777777">
        <w:trPr>
          <w:jc w:val="center"/>
        </w:trPr>
        <w:tc>
          <w:tcPr>
            <w:tcW w:w="0" w:type="auto"/>
            <w:gridSpan w:val="3"/>
            <w:shd w:val="clear" w:color="auto" w:fill="FFFFFF"/>
            <w:tcMar>
              <w:top w:w="40" w:type="dxa"/>
              <w:left w:w="380" w:type="dxa"/>
              <w:bottom w:w="40" w:type="dxa"/>
              <w:right w:w="20" w:type="dxa"/>
            </w:tcMar>
            <w:vAlign w:val="bottom"/>
          </w:tcPr>
          <w:p w14:paraId="7DCFD83A" w14:textId="77777777" w:rsidR="00C1563E" w:rsidRDefault="000B648B">
            <w:pPr>
              <w:textAlignment w:val="bottom"/>
            </w:pPr>
            <w:r>
              <w:rPr>
                <w:rFonts w:ascii="Times New Roman" w:eastAsia="宋体" w:hAnsi="Times New Roman"/>
                <w:color w:val="000000"/>
                <w:sz w:val="20"/>
                <w:szCs w:val="20"/>
              </w:rPr>
              <w:t>EBITDA</w:t>
            </w:r>
          </w:p>
        </w:tc>
        <w:tc>
          <w:tcPr>
            <w:tcW w:w="0" w:type="auto"/>
            <w:shd w:val="clear" w:color="auto" w:fill="auto"/>
          </w:tcPr>
          <w:p w14:paraId="7DCFD83B" w14:textId="77777777" w:rsidR="00C1563E" w:rsidRDefault="00C1563E">
            <w:pPr>
              <w:rPr>
                <w:rFonts w:ascii="宋体"/>
                <w:vanish/>
              </w:rPr>
            </w:pPr>
          </w:p>
        </w:tc>
        <w:tc>
          <w:tcPr>
            <w:tcW w:w="0" w:type="auto"/>
            <w:shd w:val="clear" w:color="auto" w:fill="auto"/>
          </w:tcPr>
          <w:p w14:paraId="7DCFD83C" w14:textId="77777777" w:rsidR="00C1563E" w:rsidRDefault="00C1563E">
            <w:pPr>
              <w:rPr>
                <w:rFonts w:ascii="宋体"/>
                <w:vanish/>
              </w:rPr>
            </w:pPr>
          </w:p>
        </w:tc>
        <w:tc>
          <w:tcPr>
            <w:tcW w:w="0" w:type="auto"/>
            <w:shd w:val="clear" w:color="auto" w:fill="auto"/>
          </w:tcPr>
          <w:p w14:paraId="7DCFD83D" w14:textId="77777777" w:rsidR="00C1563E" w:rsidRDefault="00C1563E">
            <w:pPr>
              <w:rPr>
                <w:rFonts w:ascii="宋体"/>
                <w:vanish/>
              </w:rPr>
            </w:pPr>
          </w:p>
        </w:tc>
        <w:tc>
          <w:tcPr>
            <w:tcW w:w="0" w:type="auto"/>
            <w:shd w:val="clear" w:color="auto" w:fill="auto"/>
          </w:tcPr>
          <w:p w14:paraId="7DCFD83E" w14:textId="77777777" w:rsidR="00C1563E" w:rsidRDefault="00C1563E">
            <w:pPr>
              <w:rPr>
                <w:rFonts w:ascii="宋体"/>
                <w:vanish/>
              </w:rPr>
            </w:pPr>
          </w:p>
        </w:tc>
        <w:tc>
          <w:tcPr>
            <w:tcW w:w="0" w:type="auto"/>
            <w:shd w:val="clear" w:color="auto" w:fill="auto"/>
          </w:tcPr>
          <w:p w14:paraId="7DCFD83F" w14:textId="77777777" w:rsidR="00C1563E" w:rsidRDefault="00C1563E">
            <w:pPr>
              <w:rPr>
                <w:rFonts w:ascii="宋体"/>
                <w:vanish/>
              </w:rPr>
            </w:pPr>
          </w:p>
        </w:tc>
        <w:tc>
          <w:tcPr>
            <w:tcW w:w="0" w:type="auto"/>
            <w:shd w:val="clear" w:color="auto" w:fill="auto"/>
          </w:tcPr>
          <w:p w14:paraId="7DCFD840"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84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842" w14:textId="77777777" w:rsidR="00C1563E" w:rsidRDefault="000B648B">
            <w:pPr>
              <w:jc w:val="right"/>
              <w:textAlignment w:val="bottom"/>
            </w:pPr>
            <w:r>
              <w:rPr>
                <w:rFonts w:ascii="Times New Roman" w:eastAsia="宋体" w:hAnsi="Times New Roman"/>
                <w:color w:val="000000"/>
                <w:sz w:val="20"/>
                <w:szCs w:val="20"/>
              </w:rPr>
              <w:t>10,534 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84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4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45"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DCFD846"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47"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84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849" w14:textId="77777777" w:rsidR="00C1563E" w:rsidRDefault="000B648B">
            <w:pPr>
              <w:jc w:val="right"/>
              <w:textAlignment w:val="bottom"/>
            </w:pPr>
            <w:r>
              <w:rPr>
                <w:rFonts w:ascii="Times New Roman" w:eastAsia="宋体" w:hAnsi="Times New Roman"/>
                <w:color w:val="000000"/>
                <w:sz w:val="20"/>
                <w:szCs w:val="20"/>
              </w:rPr>
              <w:t>8,765 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84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4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4C"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DCFD84D"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4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84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850" w14:textId="77777777" w:rsidR="00C1563E" w:rsidRDefault="000B648B">
            <w:pPr>
              <w:jc w:val="right"/>
              <w:textAlignment w:val="bottom"/>
            </w:pPr>
            <w:r>
              <w:rPr>
                <w:rFonts w:ascii="Times New Roman" w:eastAsia="宋体" w:hAnsi="Times New Roman"/>
                <w:color w:val="000000"/>
                <w:sz w:val="20"/>
                <w:szCs w:val="20"/>
              </w:rPr>
              <w:t>7,555 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851" w14:textId="77777777" w:rsidR="00C1563E" w:rsidRDefault="00C1563E">
            <w:pPr>
              <w:jc w:val="right"/>
              <w:rPr>
                <w:rFonts w:ascii="宋体"/>
              </w:rPr>
            </w:pPr>
          </w:p>
        </w:tc>
      </w:tr>
      <w:tr w:rsidR="00C1563E" w14:paraId="7DCFD863" w14:textId="77777777">
        <w:trPr>
          <w:trHeight w:val="300"/>
          <w:jc w:val="center"/>
        </w:trPr>
        <w:tc>
          <w:tcPr>
            <w:tcW w:w="0" w:type="auto"/>
            <w:gridSpan w:val="3"/>
            <w:shd w:val="clear" w:color="auto" w:fill="CCEEFF"/>
            <w:tcMar>
              <w:top w:w="0" w:type="dxa"/>
              <w:left w:w="20" w:type="dxa"/>
              <w:bottom w:w="0" w:type="dxa"/>
              <w:right w:w="20" w:type="dxa"/>
            </w:tcMar>
          </w:tcPr>
          <w:p w14:paraId="7DCFD853" w14:textId="77777777" w:rsidR="00C1563E" w:rsidRDefault="00C1563E">
            <w:pPr>
              <w:rPr>
                <w:rFonts w:ascii="宋体"/>
              </w:rPr>
            </w:pPr>
          </w:p>
        </w:tc>
        <w:tc>
          <w:tcPr>
            <w:tcW w:w="0" w:type="auto"/>
            <w:shd w:val="clear" w:color="auto" w:fill="auto"/>
          </w:tcPr>
          <w:p w14:paraId="7DCFD854" w14:textId="77777777" w:rsidR="00C1563E" w:rsidRDefault="00C1563E">
            <w:pPr>
              <w:rPr>
                <w:rFonts w:ascii="宋体"/>
                <w:vanish/>
              </w:rPr>
            </w:pPr>
          </w:p>
        </w:tc>
        <w:tc>
          <w:tcPr>
            <w:tcW w:w="0" w:type="auto"/>
            <w:shd w:val="clear" w:color="auto" w:fill="auto"/>
          </w:tcPr>
          <w:p w14:paraId="7DCFD855" w14:textId="77777777" w:rsidR="00C1563E" w:rsidRDefault="00C1563E">
            <w:pPr>
              <w:rPr>
                <w:rFonts w:ascii="宋体"/>
                <w:vanish/>
              </w:rPr>
            </w:pPr>
          </w:p>
        </w:tc>
        <w:tc>
          <w:tcPr>
            <w:tcW w:w="0" w:type="auto"/>
            <w:shd w:val="clear" w:color="auto" w:fill="auto"/>
          </w:tcPr>
          <w:p w14:paraId="7DCFD856" w14:textId="77777777" w:rsidR="00C1563E" w:rsidRDefault="00C1563E">
            <w:pPr>
              <w:rPr>
                <w:rFonts w:ascii="宋体"/>
                <w:vanish/>
              </w:rPr>
            </w:pPr>
          </w:p>
        </w:tc>
        <w:tc>
          <w:tcPr>
            <w:tcW w:w="0" w:type="auto"/>
            <w:shd w:val="clear" w:color="auto" w:fill="auto"/>
          </w:tcPr>
          <w:p w14:paraId="7DCFD857" w14:textId="77777777" w:rsidR="00C1563E" w:rsidRDefault="00C1563E">
            <w:pPr>
              <w:rPr>
                <w:rFonts w:ascii="宋体"/>
                <w:vanish/>
              </w:rPr>
            </w:pPr>
          </w:p>
        </w:tc>
        <w:tc>
          <w:tcPr>
            <w:tcW w:w="0" w:type="auto"/>
            <w:shd w:val="clear" w:color="auto" w:fill="auto"/>
          </w:tcPr>
          <w:p w14:paraId="7DCFD858" w14:textId="77777777" w:rsidR="00C1563E" w:rsidRDefault="00C1563E">
            <w:pPr>
              <w:rPr>
                <w:rFonts w:ascii="宋体"/>
                <w:vanish/>
              </w:rPr>
            </w:pPr>
          </w:p>
        </w:tc>
        <w:tc>
          <w:tcPr>
            <w:tcW w:w="0" w:type="auto"/>
            <w:shd w:val="clear" w:color="auto" w:fill="auto"/>
          </w:tcPr>
          <w:p w14:paraId="7DCFD859" w14:textId="77777777" w:rsidR="00C1563E" w:rsidRDefault="00C1563E">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85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5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5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5D"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85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5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6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61"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D862" w14:textId="77777777" w:rsidR="00C1563E" w:rsidRDefault="00C1563E">
            <w:pPr>
              <w:rPr>
                <w:rFonts w:ascii="宋体"/>
              </w:rPr>
            </w:pPr>
          </w:p>
        </w:tc>
      </w:tr>
      <w:tr w:rsidR="00C1563E" w14:paraId="7DCFD87C" w14:textId="77777777">
        <w:trPr>
          <w:jc w:val="center"/>
        </w:trPr>
        <w:tc>
          <w:tcPr>
            <w:tcW w:w="0" w:type="auto"/>
            <w:gridSpan w:val="3"/>
            <w:shd w:val="clear" w:color="auto" w:fill="FFFFFF"/>
            <w:tcMar>
              <w:top w:w="40" w:type="dxa"/>
              <w:left w:w="20" w:type="dxa"/>
              <w:bottom w:w="40" w:type="dxa"/>
              <w:right w:w="20" w:type="dxa"/>
            </w:tcMar>
            <w:vAlign w:val="bottom"/>
          </w:tcPr>
          <w:p w14:paraId="7DCFD864" w14:textId="77777777" w:rsidR="00C1563E" w:rsidRDefault="000B648B">
            <w:pPr>
              <w:textAlignment w:val="bottom"/>
            </w:pPr>
            <w:r>
              <w:rPr>
                <w:rFonts w:ascii="Times New Roman" w:eastAsia="宋体" w:hAnsi="Times New Roman"/>
                <w:color w:val="000000"/>
                <w:sz w:val="20"/>
                <w:szCs w:val="20"/>
              </w:rPr>
              <w:t>EBITDA</w:t>
            </w:r>
          </w:p>
        </w:tc>
        <w:tc>
          <w:tcPr>
            <w:tcW w:w="0" w:type="auto"/>
            <w:shd w:val="clear" w:color="auto" w:fill="auto"/>
          </w:tcPr>
          <w:p w14:paraId="7DCFD865" w14:textId="77777777" w:rsidR="00C1563E" w:rsidRDefault="00C1563E">
            <w:pPr>
              <w:rPr>
                <w:rFonts w:ascii="宋体"/>
                <w:vanish/>
              </w:rPr>
            </w:pPr>
          </w:p>
        </w:tc>
        <w:tc>
          <w:tcPr>
            <w:tcW w:w="0" w:type="auto"/>
            <w:shd w:val="clear" w:color="auto" w:fill="auto"/>
          </w:tcPr>
          <w:p w14:paraId="7DCFD866" w14:textId="77777777" w:rsidR="00C1563E" w:rsidRDefault="00C1563E">
            <w:pPr>
              <w:rPr>
                <w:rFonts w:ascii="宋体"/>
                <w:vanish/>
              </w:rPr>
            </w:pPr>
          </w:p>
        </w:tc>
        <w:tc>
          <w:tcPr>
            <w:tcW w:w="0" w:type="auto"/>
            <w:shd w:val="clear" w:color="auto" w:fill="auto"/>
          </w:tcPr>
          <w:p w14:paraId="7DCFD867" w14:textId="77777777" w:rsidR="00C1563E" w:rsidRDefault="00C1563E">
            <w:pPr>
              <w:rPr>
                <w:rFonts w:ascii="宋体"/>
                <w:vanish/>
              </w:rPr>
            </w:pPr>
          </w:p>
        </w:tc>
        <w:tc>
          <w:tcPr>
            <w:tcW w:w="0" w:type="auto"/>
            <w:shd w:val="clear" w:color="auto" w:fill="auto"/>
          </w:tcPr>
          <w:p w14:paraId="7DCFD868" w14:textId="77777777" w:rsidR="00C1563E" w:rsidRDefault="00C1563E">
            <w:pPr>
              <w:rPr>
                <w:rFonts w:ascii="宋体"/>
                <w:vanish/>
              </w:rPr>
            </w:pPr>
          </w:p>
        </w:tc>
        <w:tc>
          <w:tcPr>
            <w:tcW w:w="0" w:type="auto"/>
            <w:shd w:val="clear" w:color="auto" w:fill="auto"/>
          </w:tcPr>
          <w:p w14:paraId="7DCFD869" w14:textId="77777777" w:rsidR="00C1563E" w:rsidRDefault="00C1563E">
            <w:pPr>
              <w:rPr>
                <w:rFonts w:ascii="宋体"/>
                <w:vanish/>
              </w:rPr>
            </w:pPr>
          </w:p>
        </w:tc>
        <w:tc>
          <w:tcPr>
            <w:tcW w:w="0" w:type="auto"/>
            <w:shd w:val="clear" w:color="auto" w:fill="auto"/>
          </w:tcPr>
          <w:p w14:paraId="7DCFD86A"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86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86C" w14:textId="77777777" w:rsidR="00C1563E" w:rsidRDefault="000B648B">
            <w:pPr>
              <w:jc w:val="right"/>
              <w:textAlignment w:val="bottom"/>
            </w:pPr>
            <w:r>
              <w:rPr>
                <w:rFonts w:ascii="Times New Roman" w:eastAsia="宋体" w:hAnsi="Times New Roman"/>
                <w:color w:val="000000"/>
                <w:sz w:val="20"/>
                <w:szCs w:val="20"/>
              </w:rPr>
              <w:t>10,534 </w:t>
            </w:r>
          </w:p>
        </w:tc>
        <w:tc>
          <w:tcPr>
            <w:tcW w:w="0" w:type="auto"/>
            <w:shd w:val="clear" w:color="auto" w:fill="FFFFFF"/>
            <w:tcMar>
              <w:top w:w="40" w:type="dxa"/>
              <w:left w:w="0" w:type="dxa"/>
              <w:bottom w:w="40" w:type="dxa"/>
              <w:right w:w="20" w:type="dxa"/>
            </w:tcMar>
            <w:vAlign w:val="bottom"/>
          </w:tcPr>
          <w:p w14:paraId="7DCFD8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6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6F"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DCFD87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7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87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873" w14:textId="77777777" w:rsidR="00C1563E" w:rsidRDefault="000B648B">
            <w:pPr>
              <w:jc w:val="right"/>
              <w:textAlignment w:val="bottom"/>
            </w:pPr>
            <w:r>
              <w:rPr>
                <w:rFonts w:ascii="Times New Roman" w:eastAsia="宋体" w:hAnsi="Times New Roman"/>
                <w:color w:val="000000"/>
                <w:sz w:val="20"/>
                <w:szCs w:val="20"/>
              </w:rPr>
              <w:t>8,765 </w:t>
            </w:r>
          </w:p>
        </w:tc>
        <w:tc>
          <w:tcPr>
            <w:tcW w:w="0" w:type="auto"/>
            <w:shd w:val="clear" w:color="auto" w:fill="FFFFFF"/>
            <w:tcMar>
              <w:top w:w="40" w:type="dxa"/>
              <w:left w:w="0" w:type="dxa"/>
              <w:bottom w:w="40" w:type="dxa"/>
              <w:right w:w="20" w:type="dxa"/>
            </w:tcMar>
            <w:vAlign w:val="bottom"/>
          </w:tcPr>
          <w:p w14:paraId="7DCFD87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7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76"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DCFD87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7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87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87A" w14:textId="77777777" w:rsidR="00C1563E" w:rsidRDefault="000B648B">
            <w:pPr>
              <w:jc w:val="right"/>
              <w:textAlignment w:val="bottom"/>
            </w:pPr>
            <w:r>
              <w:rPr>
                <w:rFonts w:ascii="Times New Roman" w:eastAsia="宋体" w:hAnsi="Times New Roman"/>
                <w:color w:val="000000"/>
                <w:sz w:val="20"/>
                <w:szCs w:val="20"/>
              </w:rPr>
              <w:t>7,555 </w:t>
            </w:r>
          </w:p>
        </w:tc>
        <w:tc>
          <w:tcPr>
            <w:tcW w:w="0" w:type="auto"/>
            <w:shd w:val="clear" w:color="auto" w:fill="FFFFFF"/>
            <w:tcMar>
              <w:top w:w="40" w:type="dxa"/>
              <w:left w:w="0" w:type="dxa"/>
              <w:bottom w:w="40" w:type="dxa"/>
              <w:right w:w="20" w:type="dxa"/>
            </w:tcMar>
            <w:vAlign w:val="bottom"/>
          </w:tcPr>
          <w:p w14:paraId="7DCFD87B" w14:textId="77777777" w:rsidR="00C1563E" w:rsidRDefault="00C1563E">
            <w:pPr>
              <w:jc w:val="right"/>
              <w:rPr>
                <w:rFonts w:ascii="宋体"/>
              </w:rPr>
            </w:pPr>
          </w:p>
        </w:tc>
      </w:tr>
      <w:tr w:rsidR="00C1563E" w14:paraId="7DCFD88D" w14:textId="77777777">
        <w:trPr>
          <w:jc w:val="center"/>
        </w:trPr>
        <w:tc>
          <w:tcPr>
            <w:tcW w:w="0" w:type="auto"/>
            <w:gridSpan w:val="3"/>
            <w:shd w:val="clear" w:color="auto" w:fill="CCEEFF"/>
            <w:tcMar>
              <w:top w:w="40" w:type="dxa"/>
              <w:left w:w="155" w:type="dxa"/>
              <w:bottom w:w="40" w:type="dxa"/>
              <w:right w:w="20" w:type="dxa"/>
            </w:tcMar>
            <w:vAlign w:val="bottom"/>
          </w:tcPr>
          <w:p w14:paraId="7DCFD87D" w14:textId="77777777" w:rsidR="00C1563E" w:rsidRDefault="000B648B">
            <w:pPr>
              <w:textAlignment w:val="bottom"/>
            </w:pPr>
            <w:r>
              <w:rPr>
                <w:rFonts w:ascii="Times New Roman" w:eastAsia="宋体" w:hAnsi="Times New Roman"/>
                <w:color w:val="000000"/>
                <w:sz w:val="20"/>
                <w:szCs w:val="20"/>
              </w:rPr>
              <w:t>Adjustments:</w:t>
            </w:r>
          </w:p>
        </w:tc>
        <w:tc>
          <w:tcPr>
            <w:tcW w:w="0" w:type="auto"/>
            <w:shd w:val="clear" w:color="auto" w:fill="auto"/>
          </w:tcPr>
          <w:p w14:paraId="7DCFD87E" w14:textId="77777777" w:rsidR="00C1563E" w:rsidRDefault="00C1563E">
            <w:pPr>
              <w:rPr>
                <w:rFonts w:ascii="宋体"/>
                <w:vanish/>
              </w:rPr>
            </w:pPr>
          </w:p>
        </w:tc>
        <w:tc>
          <w:tcPr>
            <w:tcW w:w="0" w:type="auto"/>
            <w:shd w:val="clear" w:color="auto" w:fill="auto"/>
          </w:tcPr>
          <w:p w14:paraId="7DCFD87F" w14:textId="77777777" w:rsidR="00C1563E" w:rsidRDefault="00C1563E">
            <w:pPr>
              <w:rPr>
                <w:rFonts w:ascii="宋体"/>
                <w:vanish/>
              </w:rPr>
            </w:pPr>
          </w:p>
        </w:tc>
        <w:tc>
          <w:tcPr>
            <w:tcW w:w="0" w:type="auto"/>
            <w:shd w:val="clear" w:color="auto" w:fill="auto"/>
          </w:tcPr>
          <w:p w14:paraId="7DCFD880" w14:textId="77777777" w:rsidR="00C1563E" w:rsidRDefault="00C1563E">
            <w:pPr>
              <w:rPr>
                <w:rFonts w:ascii="宋体"/>
                <w:vanish/>
              </w:rPr>
            </w:pPr>
          </w:p>
        </w:tc>
        <w:tc>
          <w:tcPr>
            <w:tcW w:w="0" w:type="auto"/>
            <w:shd w:val="clear" w:color="auto" w:fill="auto"/>
          </w:tcPr>
          <w:p w14:paraId="7DCFD881" w14:textId="77777777" w:rsidR="00C1563E" w:rsidRDefault="00C1563E">
            <w:pPr>
              <w:rPr>
                <w:rFonts w:ascii="宋体"/>
                <w:vanish/>
              </w:rPr>
            </w:pPr>
          </w:p>
        </w:tc>
        <w:tc>
          <w:tcPr>
            <w:tcW w:w="0" w:type="auto"/>
            <w:shd w:val="clear" w:color="auto" w:fill="auto"/>
          </w:tcPr>
          <w:p w14:paraId="7DCFD882" w14:textId="77777777" w:rsidR="00C1563E" w:rsidRDefault="00C1563E">
            <w:pPr>
              <w:rPr>
                <w:rFonts w:ascii="宋体"/>
                <w:vanish/>
              </w:rPr>
            </w:pPr>
          </w:p>
        </w:tc>
        <w:tc>
          <w:tcPr>
            <w:tcW w:w="0" w:type="auto"/>
            <w:shd w:val="clear" w:color="auto" w:fill="auto"/>
          </w:tcPr>
          <w:p w14:paraId="7DCFD883"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88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8C" w14:textId="77777777" w:rsidR="00C1563E" w:rsidRDefault="00C1563E">
            <w:pPr>
              <w:rPr>
                <w:rFonts w:ascii="宋体"/>
              </w:rPr>
            </w:pPr>
          </w:p>
        </w:tc>
      </w:tr>
      <w:tr w:rsidR="00C1563E" w14:paraId="7DCFD8A1" w14:textId="77777777">
        <w:trPr>
          <w:jc w:val="center"/>
        </w:trPr>
        <w:tc>
          <w:tcPr>
            <w:tcW w:w="0" w:type="auto"/>
            <w:gridSpan w:val="3"/>
            <w:shd w:val="clear" w:color="auto" w:fill="FFFFFF"/>
            <w:tcMar>
              <w:top w:w="40" w:type="dxa"/>
              <w:left w:w="245" w:type="dxa"/>
              <w:bottom w:w="40" w:type="dxa"/>
              <w:right w:w="20" w:type="dxa"/>
            </w:tcMar>
            <w:vAlign w:val="bottom"/>
          </w:tcPr>
          <w:p w14:paraId="7DCFD88E"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shd w:val="clear" w:color="auto" w:fill="auto"/>
          </w:tcPr>
          <w:p w14:paraId="7DCFD88F" w14:textId="77777777" w:rsidR="00C1563E" w:rsidRDefault="00C1563E">
            <w:pPr>
              <w:rPr>
                <w:rFonts w:ascii="宋体"/>
                <w:vanish/>
              </w:rPr>
            </w:pPr>
          </w:p>
        </w:tc>
        <w:tc>
          <w:tcPr>
            <w:tcW w:w="0" w:type="auto"/>
            <w:shd w:val="clear" w:color="auto" w:fill="auto"/>
          </w:tcPr>
          <w:p w14:paraId="7DCFD890" w14:textId="77777777" w:rsidR="00C1563E" w:rsidRDefault="00C1563E">
            <w:pPr>
              <w:rPr>
                <w:rFonts w:ascii="宋体"/>
                <w:vanish/>
              </w:rPr>
            </w:pPr>
          </w:p>
        </w:tc>
        <w:tc>
          <w:tcPr>
            <w:tcW w:w="0" w:type="auto"/>
            <w:shd w:val="clear" w:color="auto" w:fill="auto"/>
          </w:tcPr>
          <w:p w14:paraId="7DCFD891" w14:textId="77777777" w:rsidR="00C1563E" w:rsidRDefault="00C1563E">
            <w:pPr>
              <w:rPr>
                <w:rFonts w:ascii="宋体"/>
                <w:vanish/>
              </w:rPr>
            </w:pPr>
          </w:p>
        </w:tc>
        <w:tc>
          <w:tcPr>
            <w:tcW w:w="0" w:type="auto"/>
            <w:shd w:val="clear" w:color="auto" w:fill="auto"/>
          </w:tcPr>
          <w:p w14:paraId="7DCFD892" w14:textId="77777777" w:rsidR="00C1563E" w:rsidRDefault="00C1563E">
            <w:pPr>
              <w:rPr>
                <w:rFonts w:ascii="宋体"/>
                <w:vanish/>
              </w:rPr>
            </w:pPr>
          </w:p>
        </w:tc>
        <w:tc>
          <w:tcPr>
            <w:tcW w:w="0" w:type="auto"/>
            <w:shd w:val="clear" w:color="auto" w:fill="auto"/>
          </w:tcPr>
          <w:p w14:paraId="7DCFD893" w14:textId="77777777" w:rsidR="00C1563E" w:rsidRDefault="00C1563E">
            <w:pPr>
              <w:rPr>
                <w:rFonts w:ascii="宋体"/>
                <w:vanish/>
              </w:rPr>
            </w:pPr>
          </w:p>
        </w:tc>
        <w:tc>
          <w:tcPr>
            <w:tcW w:w="0" w:type="auto"/>
            <w:shd w:val="clear" w:color="auto" w:fill="auto"/>
          </w:tcPr>
          <w:p w14:paraId="7DCFD894"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895" w14:textId="77777777" w:rsidR="00C1563E" w:rsidRDefault="000B648B">
            <w:pPr>
              <w:jc w:val="right"/>
              <w:textAlignment w:val="bottom"/>
            </w:pPr>
            <w:r>
              <w:rPr>
                <w:rFonts w:ascii="Times New Roman" w:eastAsia="宋体" w:hAnsi="Times New Roman"/>
                <w:color w:val="000000"/>
                <w:sz w:val="20"/>
                <w:szCs w:val="20"/>
              </w:rPr>
              <w:t>1,609 </w:t>
            </w:r>
          </w:p>
        </w:tc>
        <w:tc>
          <w:tcPr>
            <w:tcW w:w="0" w:type="auto"/>
            <w:shd w:val="clear" w:color="auto" w:fill="FFFFFF"/>
            <w:tcMar>
              <w:top w:w="40" w:type="dxa"/>
              <w:left w:w="0" w:type="dxa"/>
              <w:bottom w:w="40" w:type="dxa"/>
              <w:right w:w="20" w:type="dxa"/>
            </w:tcMar>
            <w:vAlign w:val="bottom"/>
          </w:tcPr>
          <w:p w14:paraId="7DCFD89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9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9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9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9A" w14:textId="77777777" w:rsidR="00C1563E" w:rsidRDefault="000B648B">
            <w:pPr>
              <w:jc w:val="right"/>
              <w:textAlignment w:val="bottom"/>
            </w:pPr>
            <w:r>
              <w:rPr>
                <w:rFonts w:ascii="Times New Roman" w:eastAsia="宋体" w:hAnsi="Times New Roman"/>
                <w:color w:val="000000"/>
                <w:sz w:val="20"/>
                <w:szCs w:val="20"/>
              </w:rPr>
              <w:t>1,262 </w:t>
            </w:r>
          </w:p>
        </w:tc>
        <w:tc>
          <w:tcPr>
            <w:tcW w:w="0" w:type="auto"/>
            <w:shd w:val="clear" w:color="auto" w:fill="FFFFFF"/>
            <w:tcMar>
              <w:top w:w="40" w:type="dxa"/>
              <w:left w:w="0" w:type="dxa"/>
              <w:bottom w:w="40" w:type="dxa"/>
              <w:right w:w="20" w:type="dxa"/>
            </w:tcMar>
            <w:vAlign w:val="bottom"/>
          </w:tcPr>
          <w:p w14:paraId="7DCFD8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9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9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9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9F" w14:textId="77777777" w:rsidR="00C1563E" w:rsidRDefault="000B648B">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7DCFD8A0" w14:textId="77777777" w:rsidR="00C1563E" w:rsidRDefault="00C1563E">
            <w:pPr>
              <w:jc w:val="right"/>
              <w:rPr>
                <w:rFonts w:ascii="宋体"/>
              </w:rPr>
            </w:pPr>
          </w:p>
        </w:tc>
      </w:tr>
      <w:tr w:rsidR="00C1563E" w14:paraId="7DCFD8B5" w14:textId="77777777">
        <w:trPr>
          <w:jc w:val="center"/>
        </w:trPr>
        <w:tc>
          <w:tcPr>
            <w:tcW w:w="0" w:type="auto"/>
            <w:gridSpan w:val="3"/>
            <w:shd w:val="clear" w:color="auto" w:fill="CCEEFF"/>
            <w:tcMar>
              <w:top w:w="40" w:type="dxa"/>
              <w:left w:w="245" w:type="dxa"/>
              <w:bottom w:w="40" w:type="dxa"/>
              <w:right w:w="20" w:type="dxa"/>
            </w:tcMar>
            <w:vAlign w:val="bottom"/>
          </w:tcPr>
          <w:p w14:paraId="7DCFD8A2" w14:textId="77777777" w:rsidR="00C1563E" w:rsidRDefault="000B648B">
            <w:pPr>
              <w:textAlignment w:val="bottom"/>
            </w:pPr>
            <w:r>
              <w:rPr>
                <w:rFonts w:ascii="Times New Roman" w:eastAsia="宋体" w:hAnsi="Times New Roman"/>
                <w:color w:val="000000"/>
                <w:sz w:val="20"/>
                <w:szCs w:val="20"/>
              </w:rPr>
              <w:t>Impact of purchase accounting (c)</w:t>
            </w:r>
          </w:p>
        </w:tc>
        <w:tc>
          <w:tcPr>
            <w:tcW w:w="0" w:type="auto"/>
            <w:shd w:val="clear" w:color="auto" w:fill="auto"/>
          </w:tcPr>
          <w:p w14:paraId="7DCFD8A3" w14:textId="77777777" w:rsidR="00C1563E" w:rsidRDefault="00C1563E">
            <w:pPr>
              <w:rPr>
                <w:rFonts w:ascii="宋体"/>
                <w:vanish/>
              </w:rPr>
            </w:pPr>
          </w:p>
        </w:tc>
        <w:tc>
          <w:tcPr>
            <w:tcW w:w="0" w:type="auto"/>
            <w:shd w:val="clear" w:color="auto" w:fill="auto"/>
          </w:tcPr>
          <w:p w14:paraId="7DCFD8A4" w14:textId="77777777" w:rsidR="00C1563E" w:rsidRDefault="00C1563E">
            <w:pPr>
              <w:rPr>
                <w:rFonts w:ascii="宋体"/>
                <w:vanish/>
              </w:rPr>
            </w:pPr>
          </w:p>
        </w:tc>
        <w:tc>
          <w:tcPr>
            <w:tcW w:w="0" w:type="auto"/>
            <w:shd w:val="clear" w:color="auto" w:fill="auto"/>
          </w:tcPr>
          <w:p w14:paraId="7DCFD8A5" w14:textId="77777777" w:rsidR="00C1563E" w:rsidRDefault="00C1563E">
            <w:pPr>
              <w:rPr>
                <w:rFonts w:ascii="宋体"/>
                <w:vanish/>
              </w:rPr>
            </w:pPr>
          </w:p>
        </w:tc>
        <w:tc>
          <w:tcPr>
            <w:tcW w:w="0" w:type="auto"/>
            <w:shd w:val="clear" w:color="auto" w:fill="auto"/>
          </w:tcPr>
          <w:p w14:paraId="7DCFD8A6" w14:textId="77777777" w:rsidR="00C1563E" w:rsidRDefault="00C1563E">
            <w:pPr>
              <w:rPr>
                <w:rFonts w:ascii="宋体"/>
                <w:vanish/>
              </w:rPr>
            </w:pPr>
          </w:p>
        </w:tc>
        <w:tc>
          <w:tcPr>
            <w:tcW w:w="0" w:type="auto"/>
            <w:shd w:val="clear" w:color="auto" w:fill="auto"/>
          </w:tcPr>
          <w:p w14:paraId="7DCFD8A7" w14:textId="77777777" w:rsidR="00C1563E" w:rsidRDefault="00C1563E">
            <w:pPr>
              <w:rPr>
                <w:rFonts w:ascii="宋体"/>
                <w:vanish/>
              </w:rPr>
            </w:pPr>
          </w:p>
        </w:tc>
        <w:tc>
          <w:tcPr>
            <w:tcW w:w="0" w:type="auto"/>
            <w:shd w:val="clear" w:color="auto" w:fill="auto"/>
          </w:tcPr>
          <w:p w14:paraId="7DCFD8A8"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8A9" w14:textId="77777777" w:rsidR="00C1563E" w:rsidRDefault="000B648B">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7DCFD8A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A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A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A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AE" w14:textId="77777777" w:rsidR="00C1563E" w:rsidRDefault="000B648B">
            <w:pPr>
              <w:jc w:val="right"/>
              <w:textAlignment w:val="bottom"/>
            </w:pPr>
            <w:r>
              <w:rPr>
                <w:rFonts w:ascii="Times New Roman" w:eastAsia="宋体" w:hAnsi="Times New Roman"/>
                <w:color w:val="000000"/>
                <w:sz w:val="20"/>
                <w:szCs w:val="20"/>
              </w:rPr>
              <w:t>347 </w:t>
            </w:r>
          </w:p>
        </w:tc>
        <w:tc>
          <w:tcPr>
            <w:tcW w:w="0" w:type="auto"/>
            <w:shd w:val="clear" w:color="auto" w:fill="CCEEFF"/>
            <w:tcMar>
              <w:top w:w="40" w:type="dxa"/>
              <w:left w:w="0" w:type="dxa"/>
              <w:bottom w:w="40" w:type="dxa"/>
              <w:right w:w="20" w:type="dxa"/>
            </w:tcMar>
            <w:vAlign w:val="bottom"/>
          </w:tcPr>
          <w:p w14:paraId="7DCFD8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B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B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B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B3" w14:textId="77777777" w:rsidR="00C1563E" w:rsidRDefault="000B648B">
            <w:pPr>
              <w:jc w:val="right"/>
              <w:textAlignment w:val="bottom"/>
            </w:pPr>
            <w:r>
              <w:rPr>
                <w:rFonts w:ascii="Times New Roman" w:eastAsia="宋体" w:hAnsi="Times New Roman"/>
                <w:color w:val="000000"/>
                <w:sz w:val="20"/>
                <w:szCs w:val="20"/>
              </w:rPr>
              <w:t>704 </w:t>
            </w:r>
          </w:p>
        </w:tc>
        <w:tc>
          <w:tcPr>
            <w:tcW w:w="0" w:type="auto"/>
            <w:shd w:val="clear" w:color="auto" w:fill="CCEEFF"/>
            <w:tcMar>
              <w:top w:w="40" w:type="dxa"/>
              <w:left w:w="0" w:type="dxa"/>
              <w:bottom w:w="40" w:type="dxa"/>
              <w:right w:w="20" w:type="dxa"/>
            </w:tcMar>
            <w:vAlign w:val="bottom"/>
          </w:tcPr>
          <w:p w14:paraId="7DCFD8B4" w14:textId="77777777" w:rsidR="00C1563E" w:rsidRDefault="00C1563E">
            <w:pPr>
              <w:jc w:val="right"/>
              <w:rPr>
                <w:rFonts w:ascii="宋体"/>
              </w:rPr>
            </w:pPr>
          </w:p>
        </w:tc>
      </w:tr>
      <w:tr w:rsidR="00C1563E" w14:paraId="7DCFD8C9" w14:textId="77777777">
        <w:trPr>
          <w:jc w:val="center"/>
        </w:trPr>
        <w:tc>
          <w:tcPr>
            <w:tcW w:w="0" w:type="auto"/>
            <w:gridSpan w:val="3"/>
            <w:shd w:val="clear" w:color="auto" w:fill="FFFFFF"/>
            <w:tcMar>
              <w:top w:w="40" w:type="dxa"/>
              <w:left w:w="245" w:type="dxa"/>
              <w:bottom w:w="40" w:type="dxa"/>
              <w:right w:w="20" w:type="dxa"/>
            </w:tcMar>
            <w:vAlign w:val="bottom"/>
          </w:tcPr>
          <w:p w14:paraId="7DCFD8B6" w14:textId="77777777" w:rsidR="00C1563E" w:rsidRDefault="000B648B">
            <w:pPr>
              <w:textAlignment w:val="bottom"/>
            </w:pPr>
            <w:r>
              <w:rPr>
                <w:rFonts w:ascii="Times New Roman" w:eastAsia="宋体" w:hAnsi="Times New Roman"/>
                <w:color w:val="000000"/>
                <w:sz w:val="20"/>
                <w:szCs w:val="20"/>
              </w:rPr>
              <w:t>Transaction-related expenses (d)</w:t>
            </w:r>
          </w:p>
        </w:tc>
        <w:tc>
          <w:tcPr>
            <w:tcW w:w="0" w:type="auto"/>
            <w:shd w:val="clear" w:color="auto" w:fill="auto"/>
          </w:tcPr>
          <w:p w14:paraId="7DCFD8B7" w14:textId="77777777" w:rsidR="00C1563E" w:rsidRDefault="00C1563E">
            <w:pPr>
              <w:rPr>
                <w:rFonts w:ascii="宋体"/>
                <w:vanish/>
              </w:rPr>
            </w:pPr>
          </w:p>
        </w:tc>
        <w:tc>
          <w:tcPr>
            <w:tcW w:w="0" w:type="auto"/>
            <w:shd w:val="clear" w:color="auto" w:fill="auto"/>
          </w:tcPr>
          <w:p w14:paraId="7DCFD8B8" w14:textId="77777777" w:rsidR="00C1563E" w:rsidRDefault="00C1563E">
            <w:pPr>
              <w:rPr>
                <w:rFonts w:ascii="宋体"/>
                <w:vanish/>
              </w:rPr>
            </w:pPr>
          </w:p>
        </w:tc>
        <w:tc>
          <w:tcPr>
            <w:tcW w:w="0" w:type="auto"/>
            <w:shd w:val="clear" w:color="auto" w:fill="auto"/>
          </w:tcPr>
          <w:p w14:paraId="7DCFD8B9" w14:textId="77777777" w:rsidR="00C1563E" w:rsidRDefault="00C1563E">
            <w:pPr>
              <w:rPr>
                <w:rFonts w:ascii="宋体"/>
                <w:vanish/>
              </w:rPr>
            </w:pPr>
          </w:p>
        </w:tc>
        <w:tc>
          <w:tcPr>
            <w:tcW w:w="0" w:type="auto"/>
            <w:shd w:val="clear" w:color="auto" w:fill="auto"/>
          </w:tcPr>
          <w:p w14:paraId="7DCFD8BA" w14:textId="77777777" w:rsidR="00C1563E" w:rsidRDefault="00C1563E">
            <w:pPr>
              <w:rPr>
                <w:rFonts w:ascii="宋体"/>
                <w:vanish/>
              </w:rPr>
            </w:pPr>
          </w:p>
        </w:tc>
        <w:tc>
          <w:tcPr>
            <w:tcW w:w="0" w:type="auto"/>
            <w:shd w:val="clear" w:color="auto" w:fill="auto"/>
          </w:tcPr>
          <w:p w14:paraId="7DCFD8BB" w14:textId="77777777" w:rsidR="00C1563E" w:rsidRDefault="00C1563E">
            <w:pPr>
              <w:rPr>
                <w:rFonts w:ascii="宋体"/>
                <w:vanish/>
              </w:rPr>
            </w:pPr>
          </w:p>
        </w:tc>
        <w:tc>
          <w:tcPr>
            <w:tcW w:w="0" w:type="auto"/>
            <w:shd w:val="clear" w:color="auto" w:fill="auto"/>
          </w:tcPr>
          <w:p w14:paraId="7DCFD8BC"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8BD" w14:textId="77777777" w:rsidR="00C1563E" w:rsidRDefault="000B648B">
            <w:pPr>
              <w:jc w:val="right"/>
              <w:textAlignment w:val="bottom"/>
            </w:pPr>
            <w:r>
              <w:rPr>
                <w:rFonts w:ascii="Times New Roman" w:eastAsia="宋体" w:hAnsi="Times New Roman"/>
                <w:color w:val="000000"/>
                <w:sz w:val="20"/>
                <w:szCs w:val="20"/>
              </w:rPr>
              <w:t>257 </w:t>
            </w:r>
          </w:p>
        </w:tc>
        <w:tc>
          <w:tcPr>
            <w:tcW w:w="0" w:type="auto"/>
            <w:shd w:val="clear" w:color="auto" w:fill="FFFFFF"/>
            <w:tcMar>
              <w:top w:w="40" w:type="dxa"/>
              <w:left w:w="0" w:type="dxa"/>
              <w:bottom w:w="40" w:type="dxa"/>
              <w:right w:w="20" w:type="dxa"/>
            </w:tcMar>
            <w:vAlign w:val="bottom"/>
          </w:tcPr>
          <w:p w14:paraId="7DCFD8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B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C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C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C2" w14:textId="77777777" w:rsidR="00C1563E" w:rsidRDefault="000B648B">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7DCFD8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C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C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D8C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C7" w14:textId="77777777" w:rsidR="00C1563E" w:rsidRDefault="000B648B">
            <w:pPr>
              <w:jc w:val="right"/>
              <w:textAlignment w:val="bottom"/>
            </w:pPr>
            <w:r>
              <w:rPr>
                <w:rFonts w:ascii="Times New Roman" w:eastAsia="宋体" w:hAnsi="Times New Roman"/>
                <w:color w:val="000000"/>
                <w:sz w:val="20"/>
                <w:szCs w:val="20"/>
              </w:rPr>
              <w:t>722 </w:t>
            </w:r>
          </w:p>
        </w:tc>
        <w:tc>
          <w:tcPr>
            <w:tcW w:w="0" w:type="auto"/>
            <w:shd w:val="clear" w:color="auto" w:fill="FFFFFF"/>
            <w:tcMar>
              <w:top w:w="40" w:type="dxa"/>
              <w:left w:w="0" w:type="dxa"/>
              <w:bottom w:w="40" w:type="dxa"/>
              <w:right w:w="20" w:type="dxa"/>
            </w:tcMar>
            <w:vAlign w:val="bottom"/>
          </w:tcPr>
          <w:p w14:paraId="7DCFD8C8" w14:textId="77777777" w:rsidR="00C1563E" w:rsidRDefault="00C1563E">
            <w:pPr>
              <w:jc w:val="right"/>
              <w:rPr>
                <w:rFonts w:ascii="宋体"/>
              </w:rPr>
            </w:pPr>
          </w:p>
        </w:tc>
      </w:tr>
      <w:tr w:rsidR="00C1563E" w14:paraId="7DCFD8DD" w14:textId="77777777">
        <w:trPr>
          <w:jc w:val="center"/>
        </w:trPr>
        <w:tc>
          <w:tcPr>
            <w:tcW w:w="0" w:type="auto"/>
            <w:gridSpan w:val="3"/>
            <w:shd w:val="clear" w:color="auto" w:fill="CCEEFF"/>
            <w:tcMar>
              <w:top w:w="40" w:type="dxa"/>
              <w:left w:w="245" w:type="dxa"/>
              <w:bottom w:w="40" w:type="dxa"/>
              <w:right w:w="20" w:type="dxa"/>
            </w:tcMar>
            <w:vAlign w:val="bottom"/>
          </w:tcPr>
          <w:p w14:paraId="7DCFD8CA" w14:textId="77777777" w:rsidR="00C1563E" w:rsidRDefault="000B648B">
            <w:pPr>
              <w:textAlignment w:val="bottom"/>
            </w:pPr>
            <w:r>
              <w:rPr>
                <w:rFonts w:ascii="Times New Roman" w:eastAsia="宋体" w:hAnsi="Times New Roman"/>
                <w:color w:val="000000"/>
                <w:sz w:val="20"/>
                <w:szCs w:val="20"/>
              </w:rPr>
              <w:t>Other corporate expenses (e)</w:t>
            </w:r>
          </w:p>
        </w:tc>
        <w:tc>
          <w:tcPr>
            <w:tcW w:w="0" w:type="auto"/>
            <w:shd w:val="clear" w:color="auto" w:fill="auto"/>
          </w:tcPr>
          <w:p w14:paraId="7DCFD8CB" w14:textId="77777777" w:rsidR="00C1563E" w:rsidRDefault="00C1563E">
            <w:pPr>
              <w:rPr>
                <w:rFonts w:ascii="宋体"/>
                <w:vanish/>
              </w:rPr>
            </w:pPr>
          </w:p>
        </w:tc>
        <w:tc>
          <w:tcPr>
            <w:tcW w:w="0" w:type="auto"/>
            <w:shd w:val="clear" w:color="auto" w:fill="auto"/>
          </w:tcPr>
          <w:p w14:paraId="7DCFD8CC" w14:textId="77777777" w:rsidR="00C1563E" w:rsidRDefault="00C1563E">
            <w:pPr>
              <w:rPr>
                <w:rFonts w:ascii="宋体"/>
                <w:vanish/>
              </w:rPr>
            </w:pPr>
          </w:p>
        </w:tc>
        <w:tc>
          <w:tcPr>
            <w:tcW w:w="0" w:type="auto"/>
            <w:shd w:val="clear" w:color="auto" w:fill="auto"/>
          </w:tcPr>
          <w:p w14:paraId="7DCFD8CD" w14:textId="77777777" w:rsidR="00C1563E" w:rsidRDefault="00C1563E">
            <w:pPr>
              <w:rPr>
                <w:rFonts w:ascii="宋体"/>
                <w:vanish/>
              </w:rPr>
            </w:pPr>
          </w:p>
        </w:tc>
        <w:tc>
          <w:tcPr>
            <w:tcW w:w="0" w:type="auto"/>
            <w:shd w:val="clear" w:color="auto" w:fill="auto"/>
          </w:tcPr>
          <w:p w14:paraId="7DCFD8CE" w14:textId="77777777" w:rsidR="00C1563E" w:rsidRDefault="00C1563E">
            <w:pPr>
              <w:rPr>
                <w:rFonts w:ascii="宋体"/>
                <w:vanish/>
              </w:rPr>
            </w:pPr>
          </w:p>
        </w:tc>
        <w:tc>
          <w:tcPr>
            <w:tcW w:w="0" w:type="auto"/>
            <w:shd w:val="clear" w:color="auto" w:fill="auto"/>
          </w:tcPr>
          <w:p w14:paraId="7DCFD8CF" w14:textId="77777777" w:rsidR="00C1563E" w:rsidRDefault="00C1563E">
            <w:pPr>
              <w:rPr>
                <w:rFonts w:ascii="宋体"/>
                <w:vanish/>
              </w:rPr>
            </w:pPr>
          </w:p>
        </w:tc>
        <w:tc>
          <w:tcPr>
            <w:tcW w:w="0" w:type="auto"/>
            <w:shd w:val="clear" w:color="auto" w:fill="auto"/>
          </w:tcPr>
          <w:p w14:paraId="7DCFD8D0"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8D1" w14:textId="77777777" w:rsidR="00C1563E" w:rsidRDefault="000B648B">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7DCFD8D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D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D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D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D6" w14:textId="77777777" w:rsidR="00C1563E" w:rsidRDefault="000B648B">
            <w:pPr>
              <w:jc w:val="right"/>
              <w:textAlignment w:val="bottom"/>
            </w:pPr>
            <w:r>
              <w:rPr>
                <w:rFonts w:ascii="Times New Roman" w:eastAsia="宋体" w:hAnsi="Times New Roman"/>
                <w:color w:val="000000"/>
                <w:sz w:val="20"/>
                <w:szCs w:val="20"/>
              </w:rPr>
              <w:t>1,128 </w:t>
            </w:r>
          </w:p>
        </w:tc>
        <w:tc>
          <w:tcPr>
            <w:tcW w:w="0" w:type="auto"/>
            <w:shd w:val="clear" w:color="auto" w:fill="CCEEFF"/>
            <w:tcMar>
              <w:top w:w="40" w:type="dxa"/>
              <w:left w:w="0" w:type="dxa"/>
              <w:bottom w:w="40" w:type="dxa"/>
              <w:right w:w="20" w:type="dxa"/>
            </w:tcMar>
            <w:vAlign w:val="bottom"/>
          </w:tcPr>
          <w:p w14:paraId="7DCFD8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8D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D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8D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8DB" w14:textId="77777777" w:rsidR="00C1563E" w:rsidRDefault="000B648B">
            <w:pPr>
              <w:jc w:val="right"/>
              <w:textAlignment w:val="bottom"/>
            </w:pPr>
            <w:r>
              <w:rPr>
                <w:rFonts w:ascii="Times New Roman" w:eastAsia="宋体" w:hAnsi="Times New Roman"/>
                <w:color w:val="000000"/>
                <w:sz w:val="20"/>
                <w:szCs w:val="20"/>
              </w:rPr>
              <w:t>397 </w:t>
            </w:r>
          </w:p>
        </w:tc>
        <w:tc>
          <w:tcPr>
            <w:tcW w:w="0" w:type="auto"/>
            <w:shd w:val="clear" w:color="auto" w:fill="CCEEFF"/>
            <w:tcMar>
              <w:top w:w="40" w:type="dxa"/>
              <w:left w:w="0" w:type="dxa"/>
              <w:bottom w:w="40" w:type="dxa"/>
              <w:right w:w="20" w:type="dxa"/>
            </w:tcMar>
            <w:vAlign w:val="bottom"/>
          </w:tcPr>
          <w:p w14:paraId="7DCFD8DC" w14:textId="77777777" w:rsidR="00C1563E" w:rsidRDefault="00C1563E">
            <w:pPr>
              <w:jc w:val="right"/>
              <w:rPr>
                <w:rFonts w:ascii="宋体"/>
              </w:rPr>
            </w:pPr>
          </w:p>
        </w:tc>
      </w:tr>
      <w:tr w:rsidR="00C1563E" w14:paraId="7DCFD8F6" w14:textId="77777777">
        <w:trPr>
          <w:jc w:val="center"/>
        </w:trPr>
        <w:tc>
          <w:tcPr>
            <w:tcW w:w="0" w:type="auto"/>
            <w:gridSpan w:val="3"/>
            <w:shd w:val="clear" w:color="auto" w:fill="FFFFFF"/>
            <w:tcMar>
              <w:top w:w="40" w:type="dxa"/>
              <w:left w:w="380" w:type="dxa"/>
              <w:bottom w:w="40" w:type="dxa"/>
              <w:right w:w="20" w:type="dxa"/>
            </w:tcMar>
            <w:vAlign w:val="bottom"/>
          </w:tcPr>
          <w:p w14:paraId="7DCFD8DE" w14:textId="77777777" w:rsidR="00C1563E" w:rsidRDefault="000B648B">
            <w:pPr>
              <w:textAlignment w:val="bottom"/>
            </w:pPr>
            <w:r>
              <w:rPr>
                <w:rFonts w:ascii="Times New Roman" w:eastAsia="宋体" w:hAnsi="Times New Roman"/>
                <w:color w:val="000000"/>
                <w:sz w:val="20"/>
                <w:szCs w:val="20"/>
              </w:rPr>
              <w:t>Adjusted EBITDA</w:t>
            </w:r>
          </w:p>
        </w:tc>
        <w:tc>
          <w:tcPr>
            <w:tcW w:w="0" w:type="auto"/>
            <w:shd w:val="clear" w:color="auto" w:fill="auto"/>
          </w:tcPr>
          <w:p w14:paraId="7DCFD8DF" w14:textId="77777777" w:rsidR="00C1563E" w:rsidRDefault="00C1563E">
            <w:pPr>
              <w:rPr>
                <w:rFonts w:ascii="宋体"/>
                <w:vanish/>
              </w:rPr>
            </w:pPr>
          </w:p>
        </w:tc>
        <w:tc>
          <w:tcPr>
            <w:tcW w:w="0" w:type="auto"/>
            <w:shd w:val="clear" w:color="auto" w:fill="auto"/>
          </w:tcPr>
          <w:p w14:paraId="7DCFD8E0" w14:textId="77777777" w:rsidR="00C1563E" w:rsidRDefault="00C1563E">
            <w:pPr>
              <w:rPr>
                <w:rFonts w:ascii="宋体"/>
                <w:vanish/>
              </w:rPr>
            </w:pPr>
          </w:p>
        </w:tc>
        <w:tc>
          <w:tcPr>
            <w:tcW w:w="0" w:type="auto"/>
            <w:shd w:val="clear" w:color="auto" w:fill="auto"/>
          </w:tcPr>
          <w:p w14:paraId="7DCFD8E1" w14:textId="77777777" w:rsidR="00C1563E" w:rsidRDefault="00C1563E">
            <w:pPr>
              <w:rPr>
                <w:rFonts w:ascii="宋体"/>
                <w:vanish/>
              </w:rPr>
            </w:pPr>
          </w:p>
        </w:tc>
        <w:tc>
          <w:tcPr>
            <w:tcW w:w="0" w:type="auto"/>
            <w:shd w:val="clear" w:color="auto" w:fill="auto"/>
          </w:tcPr>
          <w:p w14:paraId="7DCFD8E2" w14:textId="77777777" w:rsidR="00C1563E" w:rsidRDefault="00C1563E">
            <w:pPr>
              <w:rPr>
                <w:rFonts w:ascii="宋体"/>
                <w:vanish/>
              </w:rPr>
            </w:pPr>
          </w:p>
        </w:tc>
        <w:tc>
          <w:tcPr>
            <w:tcW w:w="0" w:type="auto"/>
            <w:shd w:val="clear" w:color="auto" w:fill="auto"/>
          </w:tcPr>
          <w:p w14:paraId="7DCFD8E3" w14:textId="77777777" w:rsidR="00C1563E" w:rsidRDefault="00C1563E">
            <w:pPr>
              <w:rPr>
                <w:rFonts w:ascii="宋体"/>
                <w:vanish/>
              </w:rPr>
            </w:pPr>
          </w:p>
        </w:tc>
        <w:tc>
          <w:tcPr>
            <w:tcW w:w="0" w:type="auto"/>
            <w:shd w:val="clear" w:color="auto" w:fill="auto"/>
          </w:tcPr>
          <w:p w14:paraId="7DCFD8E4"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8E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8E6" w14:textId="77777777" w:rsidR="00C1563E" w:rsidRDefault="000B648B">
            <w:pPr>
              <w:jc w:val="right"/>
              <w:textAlignment w:val="bottom"/>
            </w:pPr>
            <w:r>
              <w:rPr>
                <w:rFonts w:ascii="Times New Roman" w:eastAsia="宋体" w:hAnsi="Times New Roman"/>
                <w:color w:val="000000"/>
                <w:sz w:val="20"/>
                <w:szCs w:val="20"/>
              </w:rPr>
              <w:t>12,747 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8E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E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E9"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DCFD8E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E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8E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8ED" w14:textId="77777777" w:rsidR="00C1563E" w:rsidRDefault="000B648B">
            <w:pPr>
              <w:jc w:val="right"/>
              <w:textAlignment w:val="bottom"/>
            </w:pPr>
            <w:r>
              <w:rPr>
                <w:rFonts w:ascii="Times New Roman" w:eastAsia="宋体" w:hAnsi="Times New Roman"/>
                <w:color w:val="000000"/>
                <w:sz w:val="20"/>
                <w:szCs w:val="20"/>
              </w:rPr>
              <w:t>11,787 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8E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8E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8F0" w14:textId="77777777" w:rsidR="00C1563E" w:rsidRDefault="000B648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DCFD8F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D8F2"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D8F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D8F4" w14:textId="77777777" w:rsidR="00C1563E" w:rsidRDefault="000B648B">
            <w:pPr>
              <w:jc w:val="right"/>
              <w:textAlignment w:val="bottom"/>
            </w:pPr>
            <w:r>
              <w:rPr>
                <w:rFonts w:ascii="Times New Roman" w:eastAsia="宋体" w:hAnsi="Times New Roman"/>
                <w:color w:val="000000"/>
                <w:sz w:val="20"/>
                <w:szCs w:val="20"/>
              </w:rPr>
              <w:t>10,296 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D8F5" w14:textId="77777777" w:rsidR="00C1563E" w:rsidRDefault="00C1563E">
            <w:pPr>
              <w:jc w:val="right"/>
              <w:rPr>
                <w:rFonts w:ascii="宋体"/>
              </w:rPr>
            </w:pPr>
          </w:p>
        </w:tc>
      </w:tr>
    </w:tbl>
    <w:p w14:paraId="7DCFD8F7" w14:textId="77777777" w:rsidR="00C1563E" w:rsidRDefault="000B648B">
      <w:r>
        <w:rPr>
          <w:rFonts w:ascii="Times New Roman" w:eastAsia="宋体" w:hAnsi="Times New Roman"/>
          <w:color w:val="000000"/>
          <w:sz w:val="20"/>
          <w:szCs w:val="20"/>
        </w:rPr>
        <w:t>____________________</w:t>
      </w:r>
    </w:p>
    <w:p w14:paraId="7DCFD8F8" w14:textId="77777777" w:rsidR="00C1563E" w:rsidRDefault="000B648B">
      <w:pPr>
        <w:ind w:hanging="360"/>
      </w:pPr>
      <w:r>
        <w:rPr>
          <w:rFonts w:ascii="Times New Roman" w:eastAsia="宋体" w:hAnsi="Times New Roman"/>
          <w:color w:val="000000"/>
          <w:sz w:val="20"/>
          <w:szCs w:val="20"/>
        </w:rPr>
        <w:t>(a)Se</w:t>
      </w:r>
      <w:r>
        <w:rPr>
          <w:rFonts w:ascii="Times New Roman" w:eastAsia="宋体" w:hAnsi="Times New Roman"/>
          <w:color w:val="000000"/>
          <w:sz w:val="20"/>
          <w:szCs w:val="20"/>
        </w:rPr>
        <w:t>e “Results of Operations — Interest and Other, Net” for more information on the components of interest and other, net.</w:t>
      </w:r>
    </w:p>
    <w:p w14:paraId="7DCFD8F9" w14:textId="77777777" w:rsidR="00C1563E" w:rsidRDefault="000B648B">
      <w:pPr>
        <w:ind w:hanging="360"/>
      </w:pPr>
      <w:r>
        <w:rPr>
          <w:rFonts w:ascii="Times New Roman" w:eastAsia="宋体" w:hAnsi="Times New Roman"/>
          <w:color w:val="000000"/>
          <w:sz w:val="20"/>
          <w:szCs w:val="20"/>
        </w:rPr>
        <w:t>(b)See Note 11 of the Notes to the Consolidated Financial Statements included in this report for additional information on discrete tax i</w:t>
      </w:r>
      <w:r>
        <w:rPr>
          <w:rFonts w:ascii="Times New Roman" w:eastAsia="宋体" w:hAnsi="Times New Roman"/>
          <w:color w:val="000000"/>
          <w:sz w:val="20"/>
          <w:szCs w:val="20"/>
        </w:rPr>
        <w:t>tems.</w:t>
      </w:r>
    </w:p>
    <w:p w14:paraId="7DCFD8FA" w14:textId="77777777" w:rsidR="00C1563E" w:rsidRDefault="000B648B">
      <w:pPr>
        <w:ind w:hanging="360"/>
      </w:pPr>
      <w:r>
        <w:rPr>
          <w:rFonts w:ascii="Times New Roman" w:eastAsia="宋体" w:hAnsi="Times New Roman"/>
          <w:color w:val="000000"/>
          <w:sz w:val="20"/>
          <w:szCs w:val="20"/>
        </w:rPr>
        <w:t>(c)This amount includes the non-cash purchase accounting adjustments related to the EMC merger transaction and the going-private transaction.</w:t>
      </w:r>
    </w:p>
    <w:p w14:paraId="7DCFD8FB" w14:textId="77777777" w:rsidR="00C1563E" w:rsidRDefault="000B648B">
      <w:pPr>
        <w:ind w:hanging="360"/>
      </w:pPr>
      <w:r>
        <w:rPr>
          <w:rFonts w:ascii="Times New Roman" w:eastAsia="宋体" w:hAnsi="Times New Roman"/>
          <w:color w:val="000000"/>
          <w:sz w:val="20"/>
          <w:szCs w:val="20"/>
        </w:rPr>
        <w:t xml:space="preserve">(d)Transaction-related expenses consist of acquisition, integration, and divestiture related costs, as well </w:t>
      </w:r>
      <w:r>
        <w:rPr>
          <w:rFonts w:ascii="Times New Roman" w:eastAsia="宋体" w:hAnsi="Times New Roman"/>
          <w:color w:val="000000"/>
          <w:sz w:val="20"/>
          <w:szCs w:val="20"/>
        </w:rPr>
        <w:t>as the costs incurred in the Class V transaction.</w:t>
      </w:r>
    </w:p>
    <w:p w14:paraId="7DCFD8FC" w14:textId="77777777" w:rsidR="00C1563E" w:rsidRDefault="000B648B">
      <w:pPr>
        <w:ind w:hanging="360"/>
      </w:pPr>
      <w:r>
        <w:rPr>
          <w:rFonts w:ascii="Times New Roman" w:eastAsia="宋体" w:hAnsi="Times New Roman"/>
          <w:color w:val="000000"/>
          <w:sz w:val="20"/>
          <w:szCs w:val="20"/>
        </w:rPr>
        <w:t>(e)Other corporate expenses includes impairment charges, severance, facility action, and other costs.</w:t>
      </w:r>
    </w:p>
    <w:p w14:paraId="7DCFD8FD" w14:textId="77777777" w:rsidR="00C1563E" w:rsidRDefault="00C1563E">
      <w:pPr>
        <w:jc w:val="center"/>
      </w:pPr>
    </w:p>
    <w:p w14:paraId="7DCFD8FE" w14:textId="77777777" w:rsidR="00C1563E" w:rsidRDefault="000B648B">
      <w:pPr>
        <w:jc w:val="center"/>
      </w:pPr>
      <w:r>
        <w:rPr>
          <w:rFonts w:ascii="Times New Roman" w:eastAsia="宋体" w:hAnsi="Times New Roman"/>
          <w:color w:val="000000"/>
          <w:sz w:val="20"/>
          <w:szCs w:val="20"/>
        </w:rPr>
        <w:t>47</w:t>
      </w:r>
    </w:p>
    <w:p w14:paraId="7DCFD8FF" w14:textId="77777777" w:rsidR="00C1563E" w:rsidRDefault="00C1563E">
      <w:pPr>
        <w:jc w:val="center"/>
      </w:pPr>
    </w:p>
    <w:p w14:paraId="7DCFD900" w14:textId="77777777" w:rsidR="00C1563E" w:rsidRDefault="000B648B">
      <w:r>
        <w:pict w14:anchorId="7DD02599">
          <v:rect id="_x0000_i1071" style="width:415.3pt;height:1.5pt" o:hralign="center" o:hrstd="t" o:hr="t" fillcolor="#a0a0a0" stroked="f"/>
        </w:pict>
      </w:r>
    </w:p>
    <w:p w14:paraId="7DCFD901" w14:textId="77777777" w:rsidR="00C1563E" w:rsidRDefault="000B648B">
      <w:hyperlink r:id="rId123" w:anchor="i418e32e4a35149ffbf7d3a25d66881b8_10" w:history="1">
        <w:r>
          <w:rPr>
            <w:rStyle w:val="a5"/>
            <w:rFonts w:ascii="Times New Roman" w:eastAsia="宋体" w:hAnsi="Times New Roman"/>
            <w:sz w:val="20"/>
            <w:szCs w:val="20"/>
          </w:rPr>
          <w:t>Table of Contents</w:t>
        </w:r>
      </w:hyperlink>
    </w:p>
    <w:p w14:paraId="7DCFD902" w14:textId="77777777" w:rsidR="00C1563E" w:rsidRDefault="000B648B">
      <w:r>
        <w:rPr>
          <w:rFonts w:ascii="Times New Roman" w:eastAsia="宋体" w:hAnsi="Times New Roman"/>
          <w:b/>
          <w:bCs/>
          <w:color w:val="000000"/>
          <w:sz w:val="20"/>
          <w:szCs w:val="20"/>
        </w:rPr>
        <w:t>RESULTS OF OPERATIONS</w:t>
      </w:r>
    </w:p>
    <w:p w14:paraId="7DCFD903" w14:textId="77777777" w:rsidR="00C1563E" w:rsidRDefault="00C1563E"/>
    <w:p w14:paraId="7DCFD904" w14:textId="77777777" w:rsidR="00C1563E" w:rsidRDefault="000B648B">
      <w:r>
        <w:rPr>
          <w:rFonts w:ascii="Times New Roman" w:eastAsia="宋体" w:hAnsi="Times New Roman"/>
          <w:b/>
          <w:bCs/>
          <w:color w:val="000000"/>
          <w:sz w:val="20"/>
          <w:szCs w:val="20"/>
        </w:rPr>
        <w:t>Consolidated Results</w:t>
      </w:r>
    </w:p>
    <w:p w14:paraId="7DCFD905" w14:textId="77777777" w:rsidR="00C1563E" w:rsidRDefault="00C1563E"/>
    <w:p w14:paraId="7DCFD906" w14:textId="77777777" w:rsidR="00C1563E" w:rsidRDefault="000B648B">
      <w:pPr>
        <w:spacing w:after="120"/>
      </w:pPr>
      <w:r>
        <w:rPr>
          <w:rFonts w:ascii="Times New Roman" w:eastAsia="宋体" w:hAnsi="Times New Roman"/>
          <w:color w:val="000000"/>
          <w:sz w:val="20"/>
          <w:szCs w:val="20"/>
        </w:rPr>
        <w:t>The following table summarizes our cons</w:t>
      </w:r>
      <w:r>
        <w:rPr>
          <w:rFonts w:ascii="Times New Roman" w:eastAsia="宋体" w:hAnsi="Times New Roman"/>
          <w:color w:val="000000"/>
          <w:sz w:val="20"/>
          <w:szCs w:val="20"/>
        </w:rPr>
        <w:t xml:space="preserve">olidated results for the periods indicated. Unless otherwise indicated, all changes identified for the current period results represent comparisons to results for the prior corresponding fiscal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280"/>
        <w:gridCol w:w="583"/>
        <w:gridCol w:w="38"/>
        <w:gridCol w:w="34"/>
        <w:gridCol w:w="34"/>
        <w:gridCol w:w="40"/>
        <w:gridCol w:w="31"/>
        <w:gridCol w:w="34"/>
        <w:gridCol w:w="34"/>
        <w:gridCol w:w="171"/>
        <w:gridCol w:w="168"/>
        <w:gridCol w:w="168"/>
        <w:gridCol w:w="432"/>
        <w:gridCol w:w="89"/>
        <w:gridCol w:w="387"/>
        <w:gridCol w:w="34"/>
        <w:gridCol w:w="125"/>
        <w:gridCol w:w="436"/>
        <w:gridCol w:w="121"/>
        <w:gridCol w:w="65"/>
        <w:gridCol w:w="442"/>
        <w:gridCol w:w="129"/>
        <w:gridCol w:w="88"/>
        <w:gridCol w:w="299"/>
        <w:gridCol w:w="85"/>
        <w:gridCol w:w="69"/>
        <w:gridCol w:w="388"/>
        <w:gridCol w:w="128"/>
        <w:gridCol w:w="85"/>
        <w:gridCol w:w="284"/>
        <w:gridCol w:w="81"/>
        <w:gridCol w:w="89"/>
        <w:gridCol w:w="387"/>
        <w:gridCol w:w="34"/>
        <w:gridCol w:w="125"/>
        <w:gridCol w:w="436"/>
        <w:gridCol w:w="121"/>
        <w:gridCol w:w="65"/>
        <w:gridCol w:w="442"/>
        <w:gridCol w:w="128"/>
        <w:gridCol w:w="104"/>
        <w:gridCol w:w="359"/>
        <w:gridCol w:w="664"/>
      </w:tblGrid>
      <w:tr w:rsidR="00C1563E" w14:paraId="7DCFD932" w14:textId="77777777">
        <w:trPr>
          <w:jc w:val="center"/>
        </w:trPr>
        <w:tc>
          <w:tcPr>
            <w:tcW w:w="50" w:type="pct"/>
            <w:shd w:val="clear" w:color="auto" w:fill="auto"/>
          </w:tcPr>
          <w:p w14:paraId="7DCFD907" w14:textId="77777777" w:rsidR="00C1563E" w:rsidRDefault="00C1563E">
            <w:pPr>
              <w:rPr>
                <w:rFonts w:ascii="宋体"/>
              </w:rPr>
            </w:pPr>
          </w:p>
        </w:tc>
        <w:tc>
          <w:tcPr>
            <w:tcW w:w="1268" w:type="pct"/>
            <w:shd w:val="clear" w:color="auto" w:fill="auto"/>
          </w:tcPr>
          <w:p w14:paraId="7DCFD908" w14:textId="77777777" w:rsidR="00C1563E" w:rsidRDefault="00C1563E">
            <w:pPr>
              <w:rPr>
                <w:rFonts w:ascii="宋体"/>
              </w:rPr>
            </w:pPr>
          </w:p>
        </w:tc>
        <w:tc>
          <w:tcPr>
            <w:tcW w:w="5" w:type="pct"/>
            <w:shd w:val="clear" w:color="auto" w:fill="auto"/>
          </w:tcPr>
          <w:p w14:paraId="7DCFD909" w14:textId="77777777" w:rsidR="00C1563E" w:rsidRDefault="00C1563E">
            <w:pPr>
              <w:rPr>
                <w:rFonts w:ascii="宋体"/>
              </w:rPr>
            </w:pPr>
          </w:p>
        </w:tc>
        <w:tc>
          <w:tcPr>
            <w:tcW w:w="0" w:type="auto"/>
            <w:shd w:val="clear" w:color="auto" w:fill="auto"/>
          </w:tcPr>
          <w:p w14:paraId="7DCFD90A" w14:textId="77777777" w:rsidR="00C1563E" w:rsidRDefault="00C1563E">
            <w:pPr>
              <w:rPr>
                <w:rFonts w:ascii="宋体"/>
                <w:vanish/>
              </w:rPr>
            </w:pPr>
          </w:p>
        </w:tc>
        <w:tc>
          <w:tcPr>
            <w:tcW w:w="0" w:type="auto"/>
            <w:shd w:val="clear" w:color="auto" w:fill="auto"/>
          </w:tcPr>
          <w:p w14:paraId="7DCFD90B" w14:textId="77777777" w:rsidR="00C1563E" w:rsidRDefault="00C1563E">
            <w:pPr>
              <w:rPr>
                <w:rFonts w:ascii="宋体"/>
                <w:vanish/>
              </w:rPr>
            </w:pPr>
          </w:p>
        </w:tc>
        <w:tc>
          <w:tcPr>
            <w:tcW w:w="0" w:type="auto"/>
            <w:shd w:val="clear" w:color="auto" w:fill="auto"/>
          </w:tcPr>
          <w:p w14:paraId="7DCFD90C" w14:textId="77777777" w:rsidR="00C1563E" w:rsidRDefault="00C1563E">
            <w:pPr>
              <w:rPr>
                <w:rFonts w:ascii="宋体"/>
                <w:vanish/>
              </w:rPr>
            </w:pPr>
          </w:p>
        </w:tc>
        <w:tc>
          <w:tcPr>
            <w:tcW w:w="0" w:type="auto"/>
            <w:shd w:val="clear" w:color="auto" w:fill="auto"/>
          </w:tcPr>
          <w:p w14:paraId="7DCFD90D" w14:textId="77777777" w:rsidR="00C1563E" w:rsidRDefault="00C1563E">
            <w:pPr>
              <w:rPr>
                <w:rFonts w:ascii="宋体"/>
                <w:vanish/>
              </w:rPr>
            </w:pPr>
          </w:p>
        </w:tc>
        <w:tc>
          <w:tcPr>
            <w:tcW w:w="0" w:type="auto"/>
            <w:shd w:val="clear" w:color="auto" w:fill="auto"/>
          </w:tcPr>
          <w:p w14:paraId="7DCFD90E" w14:textId="77777777" w:rsidR="00C1563E" w:rsidRDefault="00C1563E">
            <w:pPr>
              <w:rPr>
                <w:rFonts w:ascii="宋体"/>
                <w:vanish/>
              </w:rPr>
            </w:pPr>
          </w:p>
        </w:tc>
        <w:tc>
          <w:tcPr>
            <w:tcW w:w="0" w:type="auto"/>
            <w:shd w:val="clear" w:color="auto" w:fill="auto"/>
          </w:tcPr>
          <w:p w14:paraId="7DCFD90F" w14:textId="77777777" w:rsidR="00C1563E" w:rsidRDefault="00C1563E">
            <w:pPr>
              <w:rPr>
                <w:rFonts w:ascii="宋体"/>
                <w:vanish/>
              </w:rPr>
            </w:pPr>
          </w:p>
        </w:tc>
        <w:tc>
          <w:tcPr>
            <w:tcW w:w="0" w:type="auto"/>
            <w:shd w:val="clear" w:color="auto" w:fill="auto"/>
          </w:tcPr>
          <w:p w14:paraId="7DCFD910" w14:textId="77777777" w:rsidR="00C1563E" w:rsidRDefault="00C1563E">
            <w:pPr>
              <w:rPr>
                <w:rFonts w:ascii="宋体"/>
                <w:vanish/>
              </w:rPr>
            </w:pPr>
          </w:p>
        </w:tc>
        <w:tc>
          <w:tcPr>
            <w:tcW w:w="0" w:type="auto"/>
            <w:shd w:val="clear" w:color="auto" w:fill="auto"/>
          </w:tcPr>
          <w:p w14:paraId="7DCFD911" w14:textId="77777777" w:rsidR="00C1563E" w:rsidRDefault="00C1563E">
            <w:pPr>
              <w:rPr>
                <w:rFonts w:ascii="宋体"/>
                <w:vanish/>
              </w:rPr>
            </w:pPr>
          </w:p>
        </w:tc>
        <w:tc>
          <w:tcPr>
            <w:tcW w:w="0" w:type="auto"/>
            <w:shd w:val="clear" w:color="auto" w:fill="auto"/>
          </w:tcPr>
          <w:p w14:paraId="7DCFD912" w14:textId="77777777" w:rsidR="00C1563E" w:rsidRDefault="00C1563E">
            <w:pPr>
              <w:rPr>
                <w:rFonts w:ascii="宋体"/>
                <w:vanish/>
              </w:rPr>
            </w:pPr>
          </w:p>
        </w:tc>
        <w:tc>
          <w:tcPr>
            <w:tcW w:w="0" w:type="auto"/>
            <w:shd w:val="clear" w:color="auto" w:fill="auto"/>
          </w:tcPr>
          <w:p w14:paraId="7DCFD913" w14:textId="77777777" w:rsidR="00C1563E" w:rsidRDefault="00C1563E">
            <w:pPr>
              <w:rPr>
                <w:rFonts w:ascii="宋体"/>
                <w:vanish/>
              </w:rPr>
            </w:pPr>
          </w:p>
        </w:tc>
        <w:tc>
          <w:tcPr>
            <w:tcW w:w="50" w:type="pct"/>
            <w:shd w:val="clear" w:color="auto" w:fill="auto"/>
          </w:tcPr>
          <w:p w14:paraId="7DCFD914" w14:textId="77777777" w:rsidR="00C1563E" w:rsidRDefault="00C1563E">
            <w:pPr>
              <w:rPr>
                <w:rFonts w:ascii="宋体"/>
              </w:rPr>
            </w:pPr>
          </w:p>
        </w:tc>
        <w:tc>
          <w:tcPr>
            <w:tcW w:w="376" w:type="pct"/>
            <w:shd w:val="clear" w:color="auto" w:fill="auto"/>
          </w:tcPr>
          <w:p w14:paraId="7DCFD915" w14:textId="77777777" w:rsidR="00C1563E" w:rsidRDefault="00C1563E">
            <w:pPr>
              <w:rPr>
                <w:rFonts w:ascii="宋体"/>
              </w:rPr>
            </w:pPr>
          </w:p>
        </w:tc>
        <w:tc>
          <w:tcPr>
            <w:tcW w:w="5" w:type="pct"/>
            <w:shd w:val="clear" w:color="auto" w:fill="auto"/>
          </w:tcPr>
          <w:p w14:paraId="7DCFD916" w14:textId="77777777" w:rsidR="00C1563E" w:rsidRDefault="00C1563E">
            <w:pPr>
              <w:rPr>
                <w:rFonts w:ascii="宋体"/>
              </w:rPr>
            </w:pPr>
          </w:p>
        </w:tc>
        <w:tc>
          <w:tcPr>
            <w:tcW w:w="5" w:type="pct"/>
            <w:shd w:val="clear" w:color="auto" w:fill="auto"/>
          </w:tcPr>
          <w:p w14:paraId="7DCFD917" w14:textId="77777777" w:rsidR="00C1563E" w:rsidRDefault="00C1563E">
            <w:pPr>
              <w:rPr>
                <w:rFonts w:ascii="宋体"/>
              </w:rPr>
            </w:pPr>
          </w:p>
        </w:tc>
        <w:tc>
          <w:tcPr>
            <w:tcW w:w="19" w:type="pct"/>
            <w:shd w:val="clear" w:color="auto" w:fill="auto"/>
          </w:tcPr>
          <w:p w14:paraId="7DCFD918" w14:textId="77777777" w:rsidR="00C1563E" w:rsidRDefault="00C1563E">
            <w:pPr>
              <w:rPr>
                <w:rFonts w:ascii="宋体"/>
              </w:rPr>
            </w:pPr>
          </w:p>
        </w:tc>
        <w:tc>
          <w:tcPr>
            <w:tcW w:w="5" w:type="pct"/>
            <w:shd w:val="clear" w:color="auto" w:fill="auto"/>
          </w:tcPr>
          <w:p w14:paraId="7DCFD919" w14:textId="77777777" w:rsidR="00C1563E" w:rsidRDefault="00C1563E">
            <w:pPr>
              <w:rPr>
                <w:rFonts w:ascii="宋体"/>
              </w:rPr>
            </w:pPr>
          </w:p>
        </w:tc>
        <w:tc>
          <w:tcPr>
            <w:tcW w:w="50" w:type="pct"/>
            <w:shd w:val="clear" w:color="auto" w:fill="auto"/>
          </w:tcPr>
          <w:p w14:paraId="7DCFD91A" w14:textId="77777777" w:rsidR="00C1563E" w:rsidRDefault="00C1563E">
            <w:pPr>
              <w:rPr>
                <w:rFonts w:ascii="宋体"/>
              </w:rPr>
            </w:pPr>
          </w:p>
        </w:tc>
        <w:tc>
          <w:tcPr>
            <w:tcW w:w="412" w:type="pct"/>
            <w:shd w:val="clear" w:color="auto" w:fill="auto"/>
          </w:tcPr>
          <w:p w14:paraId="7DCFD91B" w14:textId="77777777" w:rsidR="00C1563E" w:rsidRDefault="00C1563E">
            <w:pPr>
              <w:rPr>
                <w:rFonts w:ascii="宋体"/>
              </w:rPr>
            </w:pPr>
          </w:p>
        </w:tc>
        <w:tc>
          <w:tcPr>
            <w:tcW w:w="5" w:type="pct"/>
            <w:shd w:val="clear" w:color="auto" w:fill="auto"/>
          </w:tcPr>
          <w:p w14:paraId="7DCFD91C" w14:textId="77777777" w:rsidR="00C1563E" w:rsidRDefault="00C1563E">
            <w:pPr>
              <w:rPr>
                <w:rFonts w:ascii="宋体"/>
              </w:rPr>
            </w:pPr>
          </w:p>
        </w:tc>
        <w:tc>
          <w:tcPr>
            <w:tcW w:w="5" w:type="pct"/>
            <w:shd w:val="clear" w:color="auto" w:fill="auto"/>
          </w:tcPr>
          <w:p w14:paraId="7DCFD91D" w14:textId="77777777" w:rsidR="00C1563E" w:rsidRDefault="00C1563E">
            <w:pPr>
              <w:rPr>
                <w:rFonts w:ascii="宋体"/>
              </w:rPr>
            </w:pPr>
          </w:p>
        </w:tc>
        <w:tc>
          <w:tcPr>
            <w:tcW w:w="19" w:type="pct"/>
            <w:shd w:val="clear" w:color="auto" w:fill="auto"/>
          </w:tcPr>
          <w:p w14:paraId="7DCFD91E" w14:textId="77777777" w:rsidR="00C1563E" w:rsidRDefault="00C1563E">
            <w:pPr>
              <w:rPr>
                <w:rFonts w:ascii="宋体"/>
              </w:rPr>
            </w:pPr>
          </w:p>
        </w:tc>
        <w:tc>
          <w:tcPr>
            <w:tcW w:w="5" w:type="pct"/>
            <w:shd w:val="clear" w:color="auto" w:fill="auto"/>
          </w:tcPr>
          <w:p w14:paraId="7DCFD91F" w14:textId="77777777" w:rsidR="00C1563E" w:rsidRDefault="00C1563E">
            <w:pPr>
              <w:rPr>
                <w:rFonts w:ascii="宋体"/>
              </w:rPr>
            </w:pPr>
          </w:p>
        </w:tc>
        <w:tc>
          <w:tcPr>
            <w:tcW w:w="50" w:type="pct"/>
            <w:shd w:val="clear" w:color="auto" w:fill="auto"/>
          </w:tcPr>
          <w:p w14:paraId="7DCFD920" w14:textId="77777777" w:rsidR="00C1563E" w:rsidRDefault="00C1563E">
            <w:pPr>
              <w:rPr>
                <w:rFonts w:ascii="宋体"/>
              </w:rPr>
            </w:pPr>
          </w:p>
        </w:tc>
        <w:tc>
          <w:tcPr>
            <w:tcW w:w="332" w:type="pct"/>
            <w:shd w:val="clear" w:color="auto" w:fill="auto"/>
          </w:tcPr>
          <w:p w14:paraId="7DCFD921" w14:textId="77777777" w:rsidR="00C1563E" w:rsidRDefault="00C1563E">
            <w:pPr>
              <w:rPr>
                <w:rFonts w:ascii="宋体"/>
              </w:rPr>
            </w:pPr>
          </w:p>
        </w:tc>
        <w:tc>
          <w:tcPr>
            <w:tcW w:w="5" w:type="pct"/>
            <w:shd w:val="clear" w:color="auto" w:fill="auto"/>
          </w:tcPr>
          <w:p w14:paraId="7DCFD922" w14:textId="77777777" w:rsidR="00C1563E" w:rsidRDefault="00C1563E">
            <w:pPr>
              <w:rPr>
                <w:rFonts w:ascii="宋体"/>
              </w:rPr>
            </w:pPr>
          </w:p>
        </w:tc>
        <w:tc>
          <w:tcPr>
            <w:tcW w:w="5" w:type="pct"/>
            <w:shd w:val="clear" w:color="auto" w:fill="auto"/>
          </w:tcPr>
          <w:p w14:paraId="7DCFD923" w14:textId="77777777" w:rsidR="00C1563E" w:rsidRDefault="00C1563E">
            <w:pPr>
              <w:rPr>
                <w:rFonts w:ascii="宋体"/>
              </w:rPr>
            </w:pPr>
          </w:p>
        </w:tc>
        <w:tc>
          <w:tcPr>
            <w:tcW w:w="19" w:type="pct"/>
            <w:shd w:val="clear" w:color="auto" w:fill="auto"/>
          </w:tcPr>
          <w:p w14:paraId="7DCFD924" w14:textId="77777777" w:rsidR="00C1563E" w:rsidRDefault="00C1563E">
            <w:pPr>
              <w:rPr>
                <w:rFonts w:ascii="宋体"/>
              </w:rPr>
            </w:pPr>
          </w:p>
        </w:tc>
        <w:tc>
          <w:tcPr>
            <w:tcW w:w="5" w:type="pct"/>
            <w:shd w:val="clear" w:color="auto" w:fill="auto"/>
          </w:tcPr>
          <w:p w14:paraId="7DCFD925" w14:textId="77777777" w:rsidR="00C1563E" w:rsidRDefault="00C1563E">
            <w:pPr>
              <w:rPr>
                <w:rFonts w:ascii="宋体"/>
              </w:rPr>
            </w:pPr>
          </w:p>
        </w:tc>
        <w:tc>
          <w:tcPr>
            <w:tcW w:w="50" w:type="pct"/>
            <w:shd w:val="clear" w:color="auto" w:fill="auto"/>
          </w:tcPr>
          <w:p w14:paraId="7DCFD926" w14:textId="77777777" w:rsidR="00C1563E" w:rsidRDefault="00C1563E">
            <w:pPr>
              <w:rPr>
                <w:rFonts w:ascii="宋体"/>
              </w:rPr>
            </w:pPr>
          </w:p>
        </w:tc>
        <w:tc>
          <w:tcPr>
            <w:tcW w:w="376" w:type="pct"/>
            <w:shd w:val="clear" w:color="auto" w:fill="auto"/>
          </w:tcPr>
          <w:p w14:paraId="7DCFD927" w14:textId="77777777" w:rsidR="00C1563E" w:rsidRDefault="00C1563E">
            <w:pPr>
              <w:rPr>
                <w:rFonts w:ascii="宋体"/>
              </w:rPr>
            </w:pPr>
          </w:p>
        </w:tc>
        <w:tc>
          <w:tcPr>
            <w:tcW w:w="5" w:type="pct"/>
            <w:shd w:val="clear" w:color="auto" w:fill="auto"/>
          </w:tcPr>
          <w:p w14:paraId="7DCFD928" w14:textId="77777777" w:rsidR="00C1563E" w:rsidRDefault="00C1563E">
            <w:pPr>
              <w:rPr>
                <w:rFonts w:ascii="宋体"/>
              </w:rPr>
            </w:pPr>
          </w:p>
        </w:tc>
        <w:tc>
          <w:tcPr>
            <w:tcW w:w="5" w:type="pct"/>
            <w:shd w:val="clear" w:color="auto" w:fill="auto"/>
          </w:tcPr>
          <w:p w14:paraId="7DCFD929" w14:textId="77777777" w:rsidR="00C1563E" w:rsidRDefault="00C1563E">
            <w:pPr>
              <w:rPr>
                <w:rFonts w:ascii="宋体"/>
              </w:rPr>
            </w:pPr>
          </w:p>
        </w:tc>
        <w:tc>
          <w:tcPr>
            <w:tcW w:w="19" w:type="pct"/>
            <w:shd w:val="clear" w:color="auto" w:fill="auto"/>
          </w:tcPr>
          <w:p w14:paraId="7DCFD92A" w14:textId="77777777" w:rsidR="00C1563E" w:rsidRDefault="00C1563E">
            <w:pPr>
              <w:rPr>
                <w:rFonts w:ascii="宋体"/>
              </w:rPr>
            </w:pPr>
          </w:p>
        </w:tc>
        <w:tc>
          <w:tcPr>
            <w:tcW w:w="5" w:type="pct"/>
            <w:shd w:val="clear" w:color="auto" w:fill="auto"/>
          </w:tcPr>
          <w:p w14:paraId="7DCFD92B" w14:textId="77777777" w:rsidR="00C1563E" w:rsidRDefault="00C1563E">
            <w:pPr>
              <w:rPr>
                <w:rFonts w:ascii="宋体"/>
              </w:rPr>
            </w:pPr>
          </w:p>
        </w:tc>
        <w:tc>
          <w:tcPr>
            <w:tcW w:w="50" w:type="pct"/>
            <w:shd w:val="clear" w:color="auto" w:fill="auto"/>
          </w:tcPr>
          <w:p w14:paraId="7DCFD92C" w14:textId="77777777" w:rsidR="00C1563E" w:rsidRDefault="00C1563E">
            <w:pPr>
              <w:rPr>
                <w:rFonts w:ascii="宋体"/>
              </w:rPr>
            </w:pPr>
          </w:p>
        </w:tc>
        <w:tc>
          <w:tcPr>
            <w:tcW w:w="412" w:type="pct"/>
            <w:shd w:val="clear" w:color="auto" w:fill="auto"/>
          </w:tcPr>
          <w:p w14:paraId="7DCFD92D" w14:textId="77777777" w:rsidR="00C1563E" w:rsidRDefault="00C1563E">
            <w:pPr>
              <w:rPr>
                <w:rFonts w:ascii="宋体"/>
              </w:rPr>
            </w:pPr>
          </w:p>
        </w:tc>
        <w:tc>
          <w:tcPr>
            <w:tcW w:w="5" w:type="pct"/>
            <w:shd w:val="clear" w:color="auto" w:fill="auto"/>
          </w:tcPr>
          <w:p w14:paraId="7DCFD92E" w14:textId="77777777" w:rsidR="00C1563E" w:rsidRDefault="00C1563E">
            <w:pPr>
              <w:rPr>
                <w:rFonts w:ascii="宋体"/>
              </w:rPr>
            </w:pPr>
          </w:p>
        </w:tc>
        <w:tc>
          <w:tcPr>
            <w:tcW w:w="5" w:type="pct"/>
            <w:shd w:val="clear" w:color="auto" w:fill="auto"/>
          </w:tcPr>
          <w:p w14:paraId="7DCFD92F" w14:textId="77777777" w:rsidR="00C1563E" w:rsidRDefault="00C1563E">
            <w:pPr>
              <w:rPr>
                <w:rFonts w:ascii="宋体"/>
              </w:rPr>
            </w:pPr>
          </w:p>
        </w:tc>
        <w:tc>
          <w:tcPr>
            <w:tcW w:w="19" w:type="pct"/>
            <w:shd w:val="clear" w:color="auto" w:fill="auto"/>
          </w:tcPr>
          <w:p w14:paraId="7DCFD930" w14:textId="77777777" w:rsidR="00C1563E" w:rsidRDefault="00C1563E">
            <w:pPr>
              <w:rPr>
                <w:rFonts w:ascii="宋体"/>
              </w:rPr>
            </w:pPr>
          </w:p>
        </w:tc>
        <w:tc>
          <w:tcPr>
            <w:tcW w:w="5" w:type="pct"/>
            <w:shd w:val="clear" w:color="auto" w:fill="auto"/>
          </w:tcPr>
          <w:p w14:paraId="7DCFD931" w14:textId="77777777" w:rsidR="00C1563E" w:rsidRDefault="00C1563E">
            <w:pPr>
              <w:rPr>
                <w:rFonts w:ascii="宋体"/>
              </w:rPr>
            </w:pPr>
          </w:p>
        </w:tc>
      </w:tr>
      <w:tr w:rsidR="00C1563E" w14:paraId="7DCFD940" w14:textId="77777777">
        <w:trPr>
          <w:jc w:val="center"/>
        </w:trPr>
        <w:tc>
          <w:tcPr>
            <w:tcW w:w="0" w:type="auto"/>
            <w:gridSpan w:val="3"/>
            <w:shd w:val="clear" w:color="auto" w:fill="auto"/>
            <w:tcMar>
              <w:top w:w="0" w:type="dxa"/>
              <w:left w:w="20" w:type="dxa"/>
              <w:bottom w:w="0" w:type="dxa"/>
              <w:right w:w="20" w:type="dxa"/>
            </w:tcMar>
          </w:tcPr>
          <w:p w14:paraId="7DCFD933" w14:textId="77777777" w:rsidR="00C1563E" w:rsidRDefault="00C1563E">
            <w:pPr>
              <w:rPr>
                <w:rFonts w:ascii="宋体"/>
              </w:rPr>
            </w:pPr>
          </w:p>
        </w:tc>
        <w:tc>
          <w:tcPr>
            <w:tcW w:w="0" w:type="auto"/>
            <w:shd w:val="clear" w:color="auto" w:fill="auto"/>
          </w:tcPr>
          <w:p w14:paraId="7DCFD934" w14:textId="77777777" w:rsidR="00C1563E" w:rsidRDefault="00C1563E">
            <w:pPr>
              <w:rPr>
                <w:rFonts w:ascii="宋体"/>
                <w:vanish/>
              </w:rPr>
            </w:pPr>
          </w:p>
        </w:tc>
        <w:tc>
          <w:tcPr>
            <w:tcW w:w="0" w:type="auto"/>
            <w:shd w:val="clear" w:color="auto" w:fill="auto"/>
          </w:tcPr>
          <w:p w14:paraId="7DCFD935" w14:textId="77777777" w:rsidR="00C1563E" w:rsidRDefault="00C1563E">
            <w:pPr>
              <w:rPr>
                <w:rFonts w:ascii="宋体"/>
                <w:vanish/>
              </w:rPr>
            </w:pPr>
          </w:p>
        </w:tc>
        <w:tc>
          <w:tcPr>
            <w:tcW w:w="0" w:type="auto"/>
            <w:gridSpan w:val="29"/>
            <w:tcBorders>
              <w:bottom w:val="single" w:sz="8" w:space="0" w:color="000000"/>
            </w:tcBorders>
            <w:shd w:val="clear" w:color="auto" w:fill="auto"/>
            <w:tcMar>
              <w:top w:w="40" w:type="dxa"/>
              <w:left w:w="20" w:type="dxa"/>
              <w:bottom w:w="40" w:type="dxa"/>
              <w:right w:w="20" w:type="dxa"/>
            </w:tcMar>
            <w:vAlign w:val="bottom"/>
          </w:tcPr>
          <w:p w14:paraId="7DCFD936" w14:textId="77777777" w:rsidR="00C1563E" w:rsidRDefault="000B648B">
            <w:pPr>
              <w:jc w:val="center"/>
              <w:textAlignment w:val="bottom"/>
            </w:pPr>
            <w:r>
              <w:rPr>
                <w:rFonts w:ascii="Times New Roman" w:eastAsia="宋体" w:hAnsi="Times New Roman"/>
                <w:b/>
                <w:bCs/>
                <w:color w:val="000000"/>
                <w:sz w:val="18"/>
                <w:szCs w:val="18"/>
              </w:rPr>
              <w:t>Fiscal Year Ended</w:t>
            </w:r>
          </w:p>
        </w:tc>
        <w:tc>
          <w:tcPr>
            <w:tcW w:w="0" w:type="auto"/>
            <w:shd w:val="clear" w:color="auto" w:fill="auto"/>
          </w:tcPr>
          <w:p w14:paraId="7DCFD937" w14:textId="77777777" w:rsidR="00C1563E" w:rsidRDefault="00C1563E">
            <w:pPr>
              <w:rPr>
                <w:rFonts w:ascii="宋体"/>
              </w:rPr>
            </w:pPr>
          </w:p>
        </w:tc>
        <w:tc>
          <w:tcPr>
            <w:tcW w:w="0" w:type="auto"/>
            <w:shd w:val="clear" w:color="auto" w:fill="auto"/>
          </w:tcPr>
          <w:p w14:paraId="7DCFD938" w14:textId="77777777" w:rsidR="00C1563E" w:rsidRDefault="00C1563E">
            <w:pPr>
              <w:rPr>
                <w:rFonts w:ascii="宋体"/>
              </w:rPr>
            </w:pPr>
          </w:p>
        </w:tc>
        <w:tc>
          <w:tcPr>
            <w:tcW w:w="0" w:type="auto"/>
            <w:shd w:val="clear" w:color="auto" w:fill="auto"/>
          </w:tcPr>
          <w:p w14:paraId="7DCFD939" w14:textId="77777777" w:rsidR="00C1563E" w:rsidRDefault="00C1563E">
            <w:pPr>
              <w:rPr>
                <w:rFonts w:ascii="宋体"/>
              </w:rPr>
            </w:pPr>
          </w:p>
        </w:tc>
        <w:tc>
          <w:tcPr>
            <w:tcW w:w="0" w:type="auto"/>
            <w:shd w:val="clear" w:color="auto" w:fill="auto"/>
          </w:tcPr>
          <w:p w14:paraId="7DCFD93A" w14:textId="77777777" w:rsidR="00C1563E" w:rsidRDefault="00C1563E">
            <w:pPr>
              <w:rPr>
                <w:rFonts w:ascii="宋体"/>
              </w:rPr>
            </w:pPr>
          </w:p>
        </w:tc>
        <w:tc>
          <w:tcPr>
            <w:tcW w:w="0" w:type="auto"/>
            <w:shd w:val="clear" w:color="auto" w:fill="auto"/>
          </w:tcPr>
          <w:p w14:paraId="7DCFD93B" w14:textId="77777777" w:rsidR="00C1563E" w:rsidRDefault="00C1563E">
            <w:pPr>
              <w:rPr>
                <w:rFonts w:ascii="宋体"/>
              </w:rPr>
            </w:pPr>
          </w:p>
        </w:tc>
        <w:tc>
          <w:tcPr>
            <w:tcW w:w="0" w:type="auto"/>
            <w:shd w:val="clear" w:color="auto" w:fill="auto"/>
          </w:tcPr>
          <w:p w14:paraId="7DCFD93C" w14:textId="77777777" w:rsidR="00C1563E" w:rsidRDefault="00C1563E">
            <w:pPr>
              <w:rPr>
                <w:rFonts w:ascii="宋体"/>
              </w:rPr>
            </w:pPr>
          </w:p>
        </w:tc>
        <w:tc>
          <w:tcPr>
            <w:tcW w:w="0" w:type="auto"/>
            <w:shd w:val="clear" w:color="auto" w:fill="auto"/>
          </w:tcPr>
          <w:p w14:paraId="7DCFD93D" w14:textId="77777777" w:rsidR="00C1563E" w:rsidRDefault="00C1563E">
            <w:pPr>
              <w:rPr>
                <w:rFonts w:ascii="宋体"/>
              </w:rPr>
            </w:pPr>
          </w:p>
        </w:tc>
        <w:tc>
          <w:tcPr>
            <w:tcW w:w="0" w:type="auto"/>
            <w:shd w:val="clear" w:color="auto" w:fill="auto"/>
          </w:tcPr>
          <w:p w14:paraId="7DCFD93E" w14:textId="77777777" w:rsidR="00C1563E" w:rsidRDefault="00C1563E">
            <w:pPr>
              <w:rPr>
                <w:rFonts w:ascii="宋体"/>
              </w:rPr>
            </w:pPr>
          </w:p>
        </w:tc>
        <w:tc>
          <w:tcPr>
            <w:tcW w:w="0" w:type="auto"/>
            <w:shd w:val="clear" w:color="auto" w:fill="auto"/>
          </w:tcPr>
          <w:p w14:paraId="7DCFD93F" w14:textId="77777777" w:rsidR="00C1563E" w:rsidRDefault="00C1563E">
            <w:pPr>
              <w:rPr>
                <w:rFonts w:ascii="宋体"/>
              </w:rPr>
            </w:pPr>
          </w:p>
        </w:tc>
      </w:tr>
      <w:tr w:rsidR="00C1563E" w14:paraId="7DCFD951" w14:textId="77777777">
        <w:trPr>
          <w:jc w:val="center"/>
        </w:trPr>
        <w:tc>
          <w:tcPr>
            <w:tcW w:w="0" w:type="auto"/>
            <w:gridSpan w:val="3"/>
            <w:shd w:val="clear" w:color="auto" w:fill="auto"/>
            <w:tcMar>
              <w:top w:w="40" w:type="dxa"/>
              <w:left w:w="20" w:type="dxa"/>
              <w:bottom w:w="40" w:type="dxa"/>
              <w:right w:w="20" w:type="dxa"/>
            </w:tcMar>
            <w:vAlign w:val="bottom"/>
          </w:tcPr>
          <w:p w14:paraId="7DCFD941" w14:textId="77777777" w:rsidR="00C1563E" w:rsidRDefault="000B648B">
            <w:pPr>
              <w:textAlignment w:val="bottom"/>
            </w:pPr>
            <w:r>
              <w:rPr>
                <w:rFonts w:ascii="Times New Roman" w:eastAsia="宋体" w:hAnsi="Times New Roman"/>
                <w:i/>
                <w:iCs/>
                <w:color w:val="000000"/>
                <w:sz w:val="18"/>
                <w:szCs w:val="18"/>
              </w:rPr>
              <w:t> </w:t>
            </w:r>
          </w:p>
        </w:tc>
        <w:tc>
          <w:tcPr>
            <w:tcW w:w="0" w:type="auto"/>
            <w:shd w:val="clear" w:color="auto" w:fill="auto"/>
          </w:tcPr>
          <w:p w14:paraId="7DCFD942" w14:textId="77777777" w:rsidR="00C1563E" w:rsidRDefault="00C1563E">
            <w:pPr>
              <w:rPr>
                <w:rFonts w:ascii="宋体"/>
                <w:vanish/>
              </w:rPr>
            </w:pPr>
          </w:p>
        </w:tc>
        <w:tc>
          <w:tcPr>
            <w:tcW w:w="0" w:type="auto"/>
            <w:shd w:val="clear" w:color="auto" w:fill="auto"/>
          </w:tcPr>
          <w:p w14:paraId="7DCFD943" w14:textId="77777777" w:rsidR="00C1563E" w:rsidRDefault="00C1563E">
            <w:pPr>
              <w:rPr>
                <w:rFonts w:ascii="宋体"/>
                <w:vanish/>
              </w:rPr>
            </w:pPr>
          </w:p>
        </w:tc>
        <w:tc>
          <w:tcPr>
            <w:tcW w:w="0" w:type="auto"/>
            <w:shd w:val="clear" w:color="auto" w:fill="auto"/>
          </w:tcPr>
          <w:p w14:paraId="7DCFD944" w14:textId="77777777" w:rsidR="00C1563E" w:rsidRDefault="00C1563E">
            <w:pPr>
              <w:rPr>
                <w:rFonts w:ascii="宋体"/>
                <w:vanish/>
              </w:rPr>
            </w:pPr>
          </w:p>
        </w:tc>
        <w:tc>
          <w:tcPr>
            <w:tcW w:w="0" w:type="auto"/>
            <w:shd w:val="clear" w:color="auto" w:fill="auto"/>
          </w:tcPr>
          <w:p w14:paraId="7DCFD945" w14:textId="77777777" w:rsidR="00C1563E" w:rsidRDefault="00C1563E">
            <w:pPr>
              <w:rPr>
                <w:rFonts w:ascii="宋体"/>
                <w:vanish/>
              </w:rPr>
            </w:pPr>
          </w:p>
        </w:tc>
        <w:tc>
          <w:tcPr>
            <w:tcW w:w="0" w:type="auto"/>
            <w:shd w:val="clear" w:color="auto" w:fill="auto"/>
          </w:tcPr>
          <w:p w14:paraId="7DCFD946" w14:textId="77777777" w:rsidR="00C1563E" w:rsidRDefault="00C1563E">
            <w:pPr>
              <w:rPr>
                <w:rFonts w:ascii="宋体"/>
                <w:vanish/>
              </w:rPr>
            </w:pPr>
          </w:p>
        </w:tc>
        <w:tc>
          <w:tcPr>
            <w:tcW w:w="0" w:type="auto"/>
            <w:shd w:val="clear" w:color="auto" w:fill="auto"/>
          </w:tcPr>
          <w:p w14:paraId="7DCFD947"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948" w14:textId="77777777" w:rsidR="00C1563E" w:rsidRDefault="000B648B">
            <w:pPr>
              <w:jc w:val="center"/>
              <w:textAlignment w:val="bottom"/>
            </w:pPr>
            <w:r>
              <w:rPr>
                <w:rFonts w:ascii="Times New Roman" w:eastAsia="宋体" w:hAnsi="Times New Roman"/>
                <w:b/>
                <w:bCs/>
                <w:color w:val="000000"/>
                <w:sz w:val="18"/>
                <w:szCs w:val="18"/>
              </w:rPr>
              <w:t>January 29, 2021</w:t>
            </w:r>
          </w:p>
        </w:tc>
        <w:tc>
          <w:tcPr>
            <w:tcW w:w="0" w:type="auto"/>
            <w:tcBorders>
              <w:top w:val="single" w:sz="8" w:space="0" w:color="000000"/>
            </w:tcBorders>
            <w:shd w:val="clear" w:color="auto" w:fill="auto"/>
            <w:tcMar>
              <w:top w:w="0" w:type="dxa"/>
              <w:left w:w="20" w:type="dxa"/>
              <w:bottom w:w="0" w:type="dxa"/>
              <w:right w:w="20" w:type="dxa"/>
            </w:tcMar>
          </w:tcPr>
          <w:p w14:paraId="7DCFD949"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94A"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94B"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94C" w14:textId="77777777" w:rsidR="00C1563E" w:rsidRDefault="000B648B">
            <w:pPr>
              <w:jc w:val="center"/>
              <w:textAlignment w:val="bottom"/>
            </w:pPr>
            <w:r>
              <w:rPr>
                <w:rFonts w:ascii="Times New Roman" w:eastAsia="宋体" w:hAnsi="Times New Roman"/>
                <w:b/>
                <w:bCs/>
                <w:color w:val="000000"/>
                <w:sz w:val="18"/>
                <w:szCs w:val="18"/>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D94D"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94E"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94F" w14:textId="77777777" w:rsidR="00C1563E" w:rsidRDefault="00C1563E">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DCFD950" w14:textId="77777777" w:rsidR="00C1563E" w:rsidRDefault="000B648B">
            <w:pPr>
              <w:jc w:val="center"/>
              <w:textAlignment w:val="bottom"/>
            </w:pPr>
            <w:r>
              <w:rPr>
                <w:rFonts w:ascii="Times New Roman" w:eastAsia="宋体" w:hAnsi="Times New Roman"/>
                <w:b/>
                <w:bCs/>
                <w:color w:val="000000"/>
                <w:sz w:val="18"/>
                <w:szCs w:val="18"/>
              </w:rPr>
              <w:t>February 1, 2019</w:t>
            </w:r>
          </w:p>
        </w:tc>
      </w:tr>
      <w:tr w:rsidR="00C1563E" w14:paraId="7DCFD96A" w14:textId="77777777">
        <w:trPr>
          <w:jc w:val="center"/>
        </w:trPr>
        <w:tc>
          <w:tcPr>
            <w:tcW w:w="0" w:type="auto"/>
            <w:gridSpan w:val="3"/>
            <w:shd w:val="clear" w:color="auto" w:fill="auto"/>
            <w:tcMar>
              <w:top w:w="40" w:type="dxa"/>
              <w:left w:w="20" w:type="dxa"/>
              <w:bottom w:w="40" w:type="dxa"/>
              <w:right w:w="20" w:type="dxa"/>
            </w:tcMar>
            <w:vAlign w:val="bottom"/>
          </w:tcPr>
          <w:p w14:paraId="7DCFD952" w14:textId="77777777" w:rsidR="00C1563E" w:rsidRDefault="000B648B">
            <w:pPr>
              <w:jc w:val="center"/>
              <w:textAlignment w:val="bottom"/>
            </w:pPr>
            <w:r>
              <w:rPr>
                <w:rFonts w:ascii="Times New Roman" w:eastAsia="宋体" w:hAnsi="Times New Roman"/>
                <w:color w:val="000000"/>
                <w:sz w:val="18"/>
                <w:szCs w:val="18"/>
              </w:rPr>
              <w:t> </w:t>
            </w:r>
          </w:p>
        </w:tc>
        <w:tc>
          <w:tcPr>
            <w:tcW w:w="0" w:type="auto"/>
            <w:shd w:val="clear" w:color="auto" w:fill="auto"/>
          </w:tcPr>
          <w:p w14:paraId="7DCFD953" w14:textId="77777777" w:rsidR="00C1563E" w:rsidRDefault="00C1563E">
            <w:pPr>
              <w:rPr>
                <w:rFonts w:ascii="宋体"/>
                <w:vanish/>
              </w:rPr>
            </w:pPr>
          </w:p>
        </w:tc>
        <w:tc>
          <w:tcPr>
            <w:tcW w:w="0" w:type="auto"/>
            <w:shd w:val="clear" w:color="auto" w:fill="auto"/>
          </w:tcPr>
          <w:p w14:paraId="7DCFD954" w14:textId="77777777" w:rsidR="00C1563E" w:rsidRDefault="00C1563E">
            <w:pPr>
              <w:rPr>
                <w:rFonts w:ascii="宋体"/>
                <w:vanish/>
              </w:rPr>
            </w:pPr>
          </w:p>
        </w:tc>
        <w:tc>
          <w:tcPr>
            <w:tcW w:w="0" w:type="auto"/>
            <w:shd w:val="clear" w:color="auto" w:fill="auto"/>
          </w:tcPr>
          <w:p w14:paraId="7DCFD955" w14:textId="77777777" w:rsidR="00C1563E" w:rsidRDefault="00C1563E">
            <w:pPr>
              <w:rPr>
                <w:rFonts w:ascii="宋体"/>
                <w:vanish/>
              </w:rPr>
            </w:pPr>
          </w:p>
        </w:tc>
        <w:tc>
          <w:tcPr>
            <w:tcW w:w="0" w:type="auto"/>
            <w:shd w:val="clear" w:color="auto" w:fill="auto"/>
          </w:tcPr>
          <w:p w14:paraId="7DCFD956" w14:textId="77777777" w:rsidR="00C1563E" w:rsidRDefault="00C1563E">
            <w:pPr>
              <w:rPr>
                <w:rFonts w:ascii="宋体"/>
                <w:vanish/>
              </w:rPr>
            </w:pPr>
          </w:p>
        </w:tc>
        <w:tc>
          <w:tcPr>
            <w:tcW w:w="0" w:type="auto"/>
            <w:shd w:val="clear" w:color="auto" w:fill="auto"/>
          </w:tcPr>
          <w:p w14:paraId="7DCFD957" w14:textId="77777777" w:rsidR="00C1563E" w:rsidRDefault="00C1563E">
            <w:pPr>
              <w:rPr>
                <w:rFonts w:ascii="宋体"/>
                <w:vanish/>
              </w:rPr>
            </w:pPr>
          </w:p>
        </w:tc>
        <w:tc>
          <w:tcPr>
            <w:tcW w:w="0" w:type="auto"/>
            <w:shd w:val="clear" w:color="auto" w:fill="auto"/>
          </w:tcPr>
          <w:p w14:paraId="7DCFD958" w14:textId="77777777" w:rsidR="00C1563E" w:rsidRDefault="00C1563E">
            <w:pPr>
              <w:rPr>
                <w:rFonts w:ascii="宋体"/>
                <w:vanish/>
              </w:rPr>
            </w:pPr>
          </w:p>
        </w:tc>
        <w:tc>
          <w:tcPr>
            <w:tcW w:w="0" w:type="auto"/>
            <w:shd w:val="clear" w:color="auto" w:fill="auto"/>
          </w:tcPr>
          <w:p w14:paraId="7DCFD959" w14:textId="77777777" w:rsidR="00C1563E" w:rsidRDefault="00C1563E">
            <w:pPr>
              <w:rPr>
                <w:rFonts w:ascii="宋体"/>
                <w:vanish/>
              </w:rPr>
            </w:pPr>
          </w:p>
        </w:tc>
        <w:tc>
          <w:tcPr>
            <w:tcW w:w="0" w:type="auto"/>
            <w:shd w:val="clear" w:color="auto" w:fill="auto"/>
          </w:tcPr>
          <w:p w14:paraId="7DCFD95A" w14:textId="77777777" w:rsidR="00C1563E" w:rsidRDefault="00C1563E">
            <w:pPr>
              <w:rPr>
                <w:rFonts w:ascii="宋体"/>
                <w:vanish/>
              </w:rPr>
            </w:pPr>
          </w:p>
        </w:tc>
        <w:tc>
          <w:tcPr>
            <w:tcW w:w="0" w:type="auto"/>
            <w:shd w:val="clear" w:color="auto" w:fill="auto"/>
          </w:tcPr>
          <w:p w14:paraId="7DCFD95B" w14:textId="77777777" w:rsidR="00C1563E" w:rsidRDefault="00C1563E">
            <w:pPr>
              <w:rPr>
                <w:rFonts w:ascii="宋体"/>
                <w:vanish/>
              </w:rPr>
            </w:pPr>
          </w:p>
        </w:tc>
        <w:tc>
          <w:tcPr>
            <w:tcW w:w="0" w:type="auto"/>
            <w:shd w:val="clear" w:color="auto" w:fill="auto"/>
          </w:tcPr>
          <w:p w14:paraId="7DCFD95C"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95D"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95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95F"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DCFD960"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D961"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DCFD96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963"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96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965"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2"/>
            <w:shd w:val="clear" w:color="auto" w:fill="auto"/>
            <w:tcMar>
              <w:top w:w="0" w:type="dxa"/>
              <w:left w:w="20" w:type="dxa"/>
              <w:bottom w:w="0" w:type="dxa"/>
              <w:right w:w="20" w:type="dxa"/>
            </w:tcMar>
          </w:tcPr>
          <w:p w14:paraId="7DCFD966" w14:textId="77777777" w:rsidR="00C1563E" w:rsidRDefault="00C1563E">
            <w:pPr>
              <w:rPr>
                <w:rFonts w:ascii="宋体"/>
              </w:rPr>
            </w:pPr>
          </w:p>
        </w:tc>
        <w:tc>
          <w:tcPr>
            <w:tcW w:w="0" w:type="auto"/>
            <w:tcBorders>
              <w:bottom w:val="single" w:sz="8" w:space="0" w:color="000000"/>
            </w:tcBorders>
            <w:shd w:val="clear" w:color="auto" w:fill="auto"/>
            <w:tcMar>
              <w:top w:w="40" w:type="dxa"/>
              <w:left w:w="20" w:type="dxa"/>
              <w:bottom w:w="40" w:type="dxa"/>
              <w:right w:w="20" w:type="dxa"/>
            </w:tcMar>
            <w:vAlign w:val="bottom"/>
          </w:tcPr>
          <w:p w14:paraId="7DCFD967"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p w14:paraId="7DCFD968" w14:textId="77777777" w:rsidR="00C1563E" w:rsidRDefault="000B648B">
            <w:pPr>
              <w:jc w:val="center"/>
              <w:textAlignment w:val="bottom"/>
            </w:pPr>
            <w:r>
              <w:rPr>
                <w:rFonts w:ascii="Times New Roman" w:eastAsia="宋体" w:hAnsi="Times New Roman"/>
                <w:b/>
                <w:bCs/>
                <w:color w:val="000000"/>
                <w:sz w:val="18"/>
                <w:szCs w:val="18"/>
              </w:rPr>
              <w:t>Dollars</w:t>
            </w:r>
          </w:p>
          <w:p w14:paraId="7DCFD969"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C1563E" w14:paraId="7DCFD977" w14:textId="77777777">
        <w:trPr>
          <w:jc w:val="center"/>
        </w:trPr>
        <w:tc>
          <w:tcPr>
            <w:tcW w:w="0" w:type="auto"/>
            <w:gridSpan w:val="3"/>
            <w:shd w:val="clear" w:color="auto" w:fill="auto"/>
            <w:tcMar>
              <w:top w:w="0" w:type="dxa"/>
              <w:left w:w="20" w:type="dxa"/>
              <w:bottom w:w="0" w:type="dxa"/>
              <w:right w:w="20" w:type="dxa"/>
            </w:tcMar>
          </w:tcPr>
          <w:p w14:paraId="7DCFD96B" w14:textId="77777777" w:rsidR="00C1563E" w:rsidRDefault="00C1563E">
            <w:pPr>
              <w:rPr>
                <w:rFonts w:ascii="宋体"/>
              </w:rPr>
            </w:pPr>
          </w:p>
        </w:tc>
        <w:tc>
          <w:tcPr>
            <w:tcW w:w="0" w:type="auto"/>
            <w:shd w:val="clear" w:color="auto" w:fill="auto"/>
          </w:tcPr>
          <w:p w14:paraId="7DCFD96C" w14:textId="77777777" w:rsidR="00C1563E" w:rsidRDefault="00C1563E">
            <w:pPr>
              <w:rPr>
                <w:rFonts w:ascii="宋体"/>
                <w:vanish/>
              </w:rPr>
            </w:pPr>
          </w:p>
        </w:tc>
        <w:tc>
          <w:tcPr>
            <w:tcW w:w="0" w:type="auto"/>
            <w:shd w:val="clear" w:color="auto" w:fill="auto"/>
          </w:tcPr>
          <w:p w14:paraId="7DCFD96D" w14:textId="77777777" w:rsidR="00C1563E" w:rsidRDefault="00C1563E">
            <w:pPr>
              <w:rPr>
                <w:rFonts w:ascii="宋体"/>
                <w:vanish/>
              </w:rPr>
            </w:pPr>
          </w:p>
        </w:tc>
        <w:tc>
          <w:tcPr>
            <w:tcW w:w="0" w:type="auto"/>
            <w:shd w:val="clear" w:color="auto" w:fill="auto"/>
          </w:tcPr>
          <w:p w14:paraId="7DCFD96E" w14:textId="77777777" w:rsidR="00C1563E" w:rsidRDefault="00C1563E">
            <w:pPr>
              <w:rPr>
                <w:rFonts w:ascii="宋体"/>
                <w:vanish/>
              </w:rPr>
            </w:pPr>
          </w:p>
        </w:tc>
        <w:tc>
          <w:tcPr>
            <w:tcW w:w="0" w:type="auto"/>
            <w:shd w:val="clear" w:color="auto" w:fill="auto"/>
          </w:tcPr>
          <w:p w14:paraId="7DCFD96F" w14:textId="77777777" w:rsidR="00C1563E" w:rsidRDefault="00C1563E">
            <w:pPr>
              <w:rPr>
                <w:rFonts w:ascii="宋体"/>
                <w:vanish/>
              </w:rPr>
            </w:pPr>
          </w:p>
        </w:tc>
        <w:tc>
          <w:tcPr>
            <w:tcW w:w="0" w:type="auto"/>
            <w:shd w:val="clear" w:color="auto" w:fill="auto"/>
          </w:tcPr>
          <w:p w14:paraId="7DCFD970" w14:textId="77777777" w:rsidR="00C1563E" w:rsidRDefault="00C1563E">
            <w:pPr>
              <w:rPr>
                <w:rFonts w:ascii="宋体"/>
                <w:vanish/>
              </w:rPr>
            </w:pPr>
          </w:p>
        </w:tc>
        <w:tc>
          <w:tcPr>
            <w:tcW w:w="0" w:type="auto"/>
            <w:shd w:val="clear" w:color="auto" w:fill="auto"/>
          </w:tcPr>
          <w:p w14:paraId="7DCFD971" w14:textId="77777777" w:rsidR="00C1563E" w:rsidRDefault="00C1563E">
            <w:pPr>
              <w:rPr>
                <w:rFonts w:ascii="宋体"/>
                <w:vanish/>
              </w:rPr>
            </w:pPr>
          </w:p>
        </w:tc>
        <w:tc>
          <w:tcPr>
            <w:tcW w:w="0" w:type="auto"/>
            <w:shd w:val="clear" w:color="auto" w:fill="auto"/>
          </w:tcPr>
          <w:p w14:paraId="7DCFD972" w14:textId="77777777" w:rsidR="00C1563E" w:rsidRDefault="00C1563E">
            <w:pPr>
              <w:rPr>
                <w:rFonts w:ascii="宋体"/>
                <w:vanish/>
              </w:rPr>
            </w:pPr>
          </w:p>
        </w:tc>
        <w:tc>
          <w:tcPr>
            <w:tcW w:w="0" w:type="auto"/>
            <w:shd w:val="clear" w:color="auto" w:fill="auto"/>
          </w:tcPr>
          <w:p w14:paraId="7DCFD973" w14:textId="77777777" w:rsidR="00C1563E" w:rsidRDefault="00C1563E">
            <w:pPr>
              <w:rPr>
                <w:rFonts w:ascii="宋体"/>
                <w:vanish/>
              </w:rPr>
            </w:pPr>
          </w:p>
        </w:tc>
        <w:tc>
          <w:tcPr>
            <w:tcW w:w="0" w:type="auto"/>
            <w:shd w:val="clear" w:color="auto" w:fill="auto"/>
          </w:tcPr>
          <w:p w14:paraId="7DCFD974" w14:textId="77777777" w:rsidR="00C1563E" w:rsidRDefault="00C1563E">
            <w:pPr>
              <w:rPr>
                <w:rFonts w:ascii="宋体"/>
                <w:vanish/>
              </w:rPr>
            </w:pPr>
          </w:p>
        </w:tc>
        <w:tc>
          <w:tcPr>
            <w:tcW w:w="0" w:type="auto"/>
            <w:shd w:val="clear" w:color="auto" w:fill="auto"/>
          </w:tcPr>
          <w:p w14:paraId="7DCFD975" w14:textId="77777777" w:rsidR="00C1563E" w:rsidRDefault="00C1563E">
            <w:pPr>
              <w:rPr>
                <w:rFonts w:ascii="宋体"/>
                <w:vanish/>
              </w:rPr>
            </w:pPr>
          </w:p>
        </w:tc>
        <w:tc>
          <w:tcPr>
            <w:tcW w:w="0" w:type="auto"/>
            <w:gridSpan w:val="30"/>
            <w:tcBorders>
              <w:top w:val="single" w:sz="8" w:space="0" w:color="000000"/>
            </w:tcBorders>
            <w:shd w:val="clear" w:color="auto" w:fill="auto"/>
            <w:tcMar>
              <w:top w:w="40" w:type="dxa"/>
              <w:left w:w="20" w:type="dxa"/>
              <w:bottom w:w="40" w:type="dxa"/>
              <w:right w:w="20" w:type="dxa"/>
            </w:tcMar>
            <w:vAlign w:val="bottom"/>
          </w:tcPr>
          <w:p w14:paraId="7DCFD976" w14:textId="77777777" w:rsidR="00C1563E" w:rsidRDefault="000B648B">
            <w:pPr>
              <w:jc w:val="center"/>
              <w:textAlignment w:val="bottom"/>
            </w:pPr>
            <w:r>
              <w:rPr>
                <w:rFonts w:ascii="Times New Roman" w:eastAsia="宋体" w:hAnsi="Times New Roman"/>
                <w:color w:val="000000"/>
                <w:sz w:val="18"/>
                <w:szCs w:val="18"/>
              </w:rPr>
              <w:t>(in millions, except percentages)</w:t>
            </w:r>
          </w:p>
        </w:tc>
      </w:tr>
      <w:tr w:rsidR="00C1563E" w14:paraId="7DCFD98E" w14:textId="77777777">
        <w:trPr>
          <w:jc w:val="center"/>
        </w:trPr>
        <w:tc>
          <w:tcPr>
            <w:tcW w:w="0" w:type="auto"/>
            <w:gridSpan w:val="3"/>
            <w:shd w:val="clear" w:color="auto" w:fill="CCEEFF"/>
            <w:tcMar>
              <w:top w:w="40" w:type="dxa"/>
              <w:left w:w="20" w:type="dxa"/>
              <w:bottom w:w="40" w:type="dxa"/>
              <w:right w:w="20" w:type="dxa"/>
            </w:tcMar>
            <w:vAlign w:val="bottom"/>
          </w:tcPr>
          <w:p w14:paraId="7DCFD978" w14:textId="77777777" w:rsidR="00C1563E" w:rsidRDefault="000B648B">
            <w:pPr>
              <w:textAlignment w:val="bottom"/>
            </w:pPr>
            <w:r>
              <w:rPr>
                <w:rFonts w:ascii="Times New Roman" w:eastAsia="宋体" w:hAnsi="Times New Roman"/>
                <w:i/>
                <w:iCs/>
                <w:color w:val="000000"/>
                <w:sz w:val="18"/>
                <w:szCs w:val="18"/>
              </w:rPr>
              <w:t>Net revenue:</w:t>
            </w:r>
          </w:p>
        </w:tc>
        <w:tc>
          <w:tcPr>
            <w:tcW w:w="0" w:type="auto"/>
            <w:shd w:val="clear" w:color="auto" w:fill="auto"/>
          </w:tcPr>
          <w:p w14:paraId="7DCFD979" w14:textId="77777777" w:rsidR="00C1563E" w:rsidRDefault="00C1563E">
            <w:pPr>
              <w:rPr>
                <w:rFonts w:ascii="宋体"/>
                <w:vanish/>
              </w:rPr>
            </w:pPr>
          </w:p>
        </w:tc>
        <w:tc>
          <w:tcPr>
            <w:tcW w:w="0" w:type="auto"/>
            <w:shd w:val="clear" w:color="auto" w:fill="auto"/>
          </w:tcPr>
          <w:p w14:paraId="7DCFD97A" w14:textId="77777777" w:rsidR="00C1563E" w:rsidRDefault="00C1563E">
            <w:pPr>
              <w:rPr>
                <w:rFonts w:ascii="宋体"/>
                <w:vanish/>
              </w:rPr>
            </w:pPr>
          </w:p>
        </w:tc>
        <w:tc>
          <w:tcPr>
            <w:tcW w:w="0" w:type="auto"/>
            <w:shd w:val="clear" w:color="auto" w:fill="auto"/>
          </w:tcPr>
          <w:p w14:paraId="7DCFD97B" w14:textId="77777777" w:rsidR="00C1563E" w:rsidRDefault="00C1563E">
            <w:pPr>
              <w:rPr>
                <w:rFonts w:ascii="宋体"/>
                <w:vanish/>
              </w:rPr>
            </w:pPr>
          </w:p>
        </w:tc>
        <w:tc>
          <w:tcPr>
            <w:tcW w:w="0" w:type="auto"/>
            <w:shd w:val="clear" w:color="auto" w:fill="auto"/>
          </w:tcPr>
          <w:p w14:paraId="7DCFD97C" w14:textId="77777777" w:rsidR="00C1563E" w:rsidRDefault="00C1563E">
            <w:pPr>
              <w:rPr>
                <w:rFonts w:ascii="宋体"/>
                <w:vanish/>
              </w:rPr>
            </w:pPr>
          </w:p>
        </w:tc>
        <w:tc>
          <w:tcPr>
            <w:tcW w:w="0" w:type="auto"/>
            <w:shd w:val="clear" w:color="auto" w:fill="auto"/>
          </w:tcPr>
          <w:p w14:paraId="7DCFD97D" w14:textId="77777777" w:rsidR="00C1563E" w:rsidRDefault="00C1563E">
            <w:pPr>
              <w:rPr>
                <w:rFonts w:ascii="宋体"/>
                <w:vanish/>
              </w:rPr>
            </w:pPr>
          </w:p>
        </w:tc>
        <w:tc>
          <w:tcPr>
            <w:tcW w:w="0" w:type="auto"/>
            <w:shd w:val="clear" w:color="auto" w:fill="auto"/>
          </w:tcPr>
          <w:p w14:paraId="7DCFD97E" w14:textId="77777777" w:rsidR="00C1563E" w:rsidRDefault="00C1563E">
            <w:pPr>
              <w:rPr>
                <w:rFonts w:ascii="宋体"/>
                <w:vanish/>
              </w:rPr>
            </w:pPr>
          </w:p>
        </w:tc>
        <w:tc>
          <w:tcPr>
            <w:tcW w:w="0" w:type="auto"/>
            <w:shd w:val="clear" w:color="auto" w:fill="auto"/>
          </w:tcPr>
          <w:p w14:paraId="7DCFD97F" w14:textId="77777777" w:rsidR="00C1563E" w:rsidRDefault="00C1563E">
            <w:pPr>
              <w:rPr>
                <w:rFonts w:ascii="宋体"/>
                <w:vanish/>
              </w:rPr>
            </w:pPr>
          </w:p>
        </w:tc>
        <w:tc>
          <w:tcPr>
            <w:tcW w:w="0" w:type="auto"/>
            <w:shd w:val="clear" w:color="auto" w:fill="auto"/>
          </w:tcPr>
          <w:p w14:paraId="7DCFD980" w14:textId="77777777" w:rsidR="00C1563E" w:rsidRDefault="00C1563E">
            <w:pPr>
              <w:rPr>
                <w:rFonts w:ascii="宋体"/>
                <w:vanish/>
              </w:rPr>
            </w:pPr>
          </w:p>
        </w:tc>
        <w:tc>
          <w:tcPr>
            <w:tcW w:w="0" w:type="auto"/>
            <w:shd w:val="clear" w:color="auto" w:fill="auto"/>
          </w:tcPr>
          <w:p w14:paraId="7DCFD981" w14:textId="77777777" w:rsidR="00C1563E" w:rsidRDefault="00C1563E">
            <w:pPr>
              <w:rPr>
                <w:rFonts w:ascii="宋体"/>
                <w:vanish/>
              </w:rPr>
            </w:pPr>
          </w:p>
        </w:tc>
        <w:tc>
          <w:tcPr>
            <w:tcW w:w="0" w:type="auto"/>
            <w:shd w:val="clear" w:color="auto" w:fill="auto"/>
          </w:tcPr>
          <w:p w14:paraId="7DCFD982"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98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98B" w14:textId="77777777" w:rsidR="00C1563E" w:rsidRDefault="00C1563E">
            <w:pPr>
              <w:rPr>
                <w:rFonts w:ascii="宋体"/>
              </w:rPr>
            </w:pPr>
          </w:p>
        </w:tc>
        <w:tc>
          <w:tcPr>
            <w:tcW w:w="0" w:type="auto"/>
            <w:gridSpan w:val="2"/>
            <w:shd w:val="clear" w:color="auto" w:fill="CCEEFF"/>
            <w:tcMar>
              <w:top w:w="0" w:type="dxa"/>
              <w:left w:w="20" w:type="dxa"/>
              <w:bottom w:w="0" w:type="dxa"/>
              <w:right w:w="20" w:type="dxa"/>
            </w:tcMar>
          </w:tcPr>
          <w:p w14:paraId="7DCFD98C" w14:textId="77777777" w:rsidR="00C1563E" w:rsidRDefault="00C1563E">
            <w:pPr>
              <w:rPr>
                <w:rFonts w:ascii="宋体"/>
              </w:rPr>
            </w:pPr>
          </w:p>
        </w:tc>
        <w:tc>
          <w:tcPr>
            <w:tcW w:w="0" w:type="auto"/>
            <w:shd w:val="clear" w:color="auto" w:fill="CCEEFF"/>
            <w:tcMar>
              <w:top w:w="0" w:type="dxa"/>
              <w:left w:w="20" w:type="dxa"/>
              <w:bottom w:w="0" w:type="dxa"/>
              <w:right w:w="20" w:type="dxa"/>
            </w:tcMar>
          </w:tcPr>
          <w:p w14:paraId="7DCFD98D" w14:textId="77777777" w:rsidR="00C1563E" w:rsidRDefault="00C1563E">
            <w:pPr>
              <w:rPr>
                <w:rFonts w:ascii="宋体"/>
              </w:rPr>
            </w:pPr>
          </w:p>
        </w:tc>
      </w:tr>
      <w:tr w:rsidR="00C1563E" w14:paraId="7DCFD9B1" w14:textId="77777777">
        <w:trPr>
          <w:jc w:val="center"/>
        </w:trPr>
        <w:tc>
          <w:tcPr>
            <w:tcW w:w="0" w:type="auto"/>
            <w:gridSpan w:val="3"/>
            <w:shd w:val="clear" w:color="auto" w:fill="FFFFFF"/>
            <w:tcMar>
              <w:top w:w="40" w:type="dxa"/>
              <w:left w:w="155" w:type="dxa"/>
              <w:bottom w:w="40" w:type="dxa"/>
              <w:right w:w="20" w:type="dxa"/>
            </w:tcMar>
            <w:vAlign w:val="bottom"/>
          </w:tcPr>
          <w:p w14:paraId="7DCFD98F" w14:textId="77777777" w:rsidR="00C1563E" w:rsidRDefault="000B648B">
            <w:pPr>
              <w:textAlignment w:val="bottom"/>
            </w:pPr>
            <w:r>
              <w:rPr>
                <w:rFonts w:ascii="Times New Roman" w:eastAsia="宋体" w:hAnsi="Times New Roman"/>
                <w:color w:val="000000"/>
                <w:sz w:val="18"/>
                <w:szCs w:val="18"/>
              </w:rPr>
              <w:t>Products</w:t>
            </w:r>
          </w:p>
        </w:tc>
        <w:tc>
          <w:tcPr>
            <w:tcW w:w="0" w:type="auto"/>
            <w:shd w:val="clear" w:color="auto" w:fill="auto"/>
          </w:tcPr>
          <w:p w14:paraId="7DCFD990" w14:textId="77777777" w:rsidR="00C1563E" w:rsidRDefault="00C1563E">
            <w:pPr>
              <w:rPr>
                <w:rFonts w:ascii="宋体"/>
                <w:vanish/>
              </w:rPr>
            </w:pPr>
          </w:p>
        </w:tc>
        <w:tc>
          <w:tcPr>
            <w:tcW w:w="0" w:type="auto"/>
            <w:shd w:val="clear" w:color="auto" w:fill="auto"/>
          </w:tcPr>
          <w:p w14:paraId="7DCFD991" w14:textId="77777777" w:rsidR="00C1563E" w:rsidRDefault="00C1563E">
            <w:pPr>
              <w:rPr>
                <w:rFonts w:ascii="宋体"/>
                <w:vanish/>
              </w:rPr>
            </w:pPr>
          </w:p>
        </w:tc>
        <w:tc>
          <w:tcPr>
            <w:tcW w:w="0" w:type="auto"/>
            <w:shd w:val="clear" w:color="auto" w:fill="auto"/>
          </w:tcPr>
          <w:p w14:paraId="7DCFD992" w14:textId="77777777" w:rsidR="00C1563E" w:rsidRDefault="00C1563E">
            <w:pPr>
              <w:rPr>
                <w:rFonts w:ascii="宋体"/>
                <w:vanish/>
              </w:rPr>
            </w:pPr>
          </w:p>
        </w:tc>
        <w:tc>
          <w:tcPr>
            <w:tcW w:w="0" w:type="auto"/>
            <w:shd w:val="clear" w:color="auto" w:fill="auto"/>
          </w:tcPr>
          <w:p w14:paraId="7DCFD993" w14:textId="77777777" w:rsidR="00C1563E" w:rsidRDefault="00C1563E">
            <w:pPr>
              <w:rPr>
                <w:rFonts w:ascii="宋体"/>
                <w:vanish/>
              </w:rPr>
            </w:pPr>
          </w:p>
        </w:tc>
        <w:tc>
          <w:tcPr>
            <w:tcW w:w="0" w:type="auto"/>
            <w:shd w:val="clear" w:color="auto" w:fill="auto"/>
          </w:tcPr>
          <w:p w14:paraId="7DCFD994" w14:textId="77777777" w:rsidR="00C1563E" w:rsidRDefault="00C1563E">
            <w:pPr>
              <w:rPr>
                <w:rFonts w:ascii="宋体"/>
                <w:vanish/>
              </w:rPr>
            </w:pPr>
          </w:p>
        </w:tc>
        <w:tc>
          <w:tcPr>
            <w:tcW w:w="0" w:type="auto"/>
            <w:shd w:val="clear" w:color="auto" w:fill="auto"/>
          </w:tcPr>
          <w:p w14:paraId="7DCFD995" w14:textId="77777777" w:rsidR="00C1563E" w:rsidRDefault="00C1563E">
            <w:pPr>
              <w:rPr>
                <w:rFonts w:ascii="宋体"/>
                <w:vanish/>
              </w:rPr>
            </w:pPr>
          </w:p>
        </w:tc>
        <w:tc>
          <w:tcPr>
            <w:tcW w:w="0" w:type="auto"/>
            <w:shd w:val="clear" w:color="auto" w:fill="auto"/>
          </w:tcPr>
          <w:p w14:paraId="7DCFD996" w14:textId="77777777" w:rsidR="00C1563E" w:rsidRDefault="00C1563E">
            <w:pPr>
              <w:rPr>
                <w:rFonts w:ascii="宋体"/>
                <w:vanish/>
              </w:rPr>
            </w:pPr>
          </w:p>
        </w:tc>
        <w:tc>
          <w:tcPr>
            <w:tcW w:w="0" w:type="auto"/>
            <w:shd w:val="clear" w:color="auto" w:fill="auto"/>
          </w:tcPr>
          <w:p w14:paraId="7DCFD997" w14:textId="77777777" w:rsidR="00C1563E" w:rsidRDefault="00C1563E">
            <w:pPr>
              <w:rPr>
                <w:rFonts w:ascii="宋体"/>
                <w:vanish/>
              </w:rPr>
            </w:pPr>
          </w:p>
        </w:tc>
        <w:tc>
          <w:tcPr>
            <w:tcW w:w="0" w:type="auto"/>
            <w:shd w:val="clear" w:color="auto" w:fill="auto"/>
          </w:tcPr>
          <w:p w14:paraId="7DCFD998" w14:textId="77777777" w:rsidR="00C1563E" w:rsidRDefault="00C1563E">
            <w:pPr>
              <w:rPr>
                <w:rFonts w:ascii="宋体"/>
                <w:vanish/>
              </w:rPr>
            </w:pPr>
          </w:p>
        </w:tc>
        <w:tc>
          <w:tcPr>
            <w:tcW w:w="0" w:type="auto"/>
            <w:shd w:val="clear" w:color="auto" w:fill="auto"/>
          </w:tcPr>
          <w:p w14:paraId="7DCFD999"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99A"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99B" w14:textId="77777777" w:rsidR="00C1563E" w:rsidRDefault="000B648B">
            <w:pPr>
              <w:jc w:val="right"/>
              <w:textAlignment w:val="bottom"/>
            </w:pPr>
            <w:r>
              <w:rPr>
                <w:rFonts w:ascii="Times New Roman" w:eastAsia="宋体" w:hAnsi="Times New Roman"/>
                <w:color w:val="000000"/>
                <w:sz w:val="18"/>
                <w:szCs w:val="18"/>
              </w:rPr>
              <w:t>69,911 </w:t>
            </w:r>
          </w:p>
        </w:tc>
        <w:tc>
          <w:tcPr>
            <w:tcW w:w="0" w:type="auto"/>
            <w:shd w:val="clear" w:color="auto" w:fill="FFFFFF"/>
            <w:tcMar>
              <w:top w:w="40" w:type="dxa"/>
              <w:left w:w="0" w:type="dxa"/>
              <w:bottom w:w="40" w:type="dxa"/>
              <w:right w:w="20" w:type="dxa"/>
            </w:tcMar>
            <w:vAlign w:val="bottom"/>
          </w:tcPr>
          <w:p w14:paraId="7DCFD99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99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99E" w14:textId="77777777" w:rsidR="00C1563E" w:rsidRDefault="000B648B">
            <w:pPr>
              <w:jc w:val="right"/>
              <w:textAlignment w:val="bottom"/>
            </w:pPr>
            <w:r>
              <w:rPr>
                <w:rFonts w:ascii="Times New Roman" w:eastAsia="宋体" w:hAnsi="Times New Roman"/>
                <w:color w:val="000000"/>
                <w:sz w:val="18"/>
                <w:szCs w:val="18"/>
              </w:rPr>
              <w:t>74.2 </w:t>
            </w:r>
          </w:p>
        </w:tc>
        <w:tc>
          <w:tcPr>
            <w:tcW w:w="0" w:type="auto"/>
            <w:shd w:val="clear" w:color="auto" w:fill="FFFFFF"/>
            <w:tcMar>
              <w:top w:w="40" w:type="dxa"/>
              <w:left w:w="0" w:type="dxa"/>
              <w:bottom w:w="40" w:type="dxa"/>
              <w:right w:w="20" w:type="dxa"/>
            </w:tcMar>
            <w:vAlign w:val="bottom"/>
          </w:tcPr>
          <w:p w14:paraId="7DCFD99F"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9A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9A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D9A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9A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9A4"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9A5" w14:textId="77777777" w:rsidR="00C1563E" w:rsidRDefault="000B648B">
            <w:pPr>
              <w:jc w:val="right"/>
              <w:textAlignment w:val="bottom"/>
            </w:pPr>
            <w:r>
              <w:rPr>
                <w:rFonts w:ascii="Times New Roman" w:eastAsia="宋体" w:hAnsi="Times New Roman"/>
                <w:color w:val="000000"/>
                <w:sz w:val="18"/>
                <w:szCs w:val="18"/>
              </w:rPr>
              <w:t>69,918 </w:t>
            </w:r>
          </w:p>
        </w:tc>
        <w:tc>
          <w:tcPr>
            <w:tcW w:w="0" w:type="auto"/>
            <w:shd w:val="clear" w:color="auto" w:fill="FFFFFF"/>
            <w:tcMar>
              <w:top w:w="40" w:type="dxa"/>
              <w:left w:w="0" w:type="dxa"/>
              <w:bottom w:w="40" w:type="dxa"/>
              <w:right w:w="20" w:type="dxa"/>
            </w:tcMar>
            <w:vAlign w:val="bottom"/>
          </w:tcPr>
          <w:p w14:paraId="7DCFD9A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9A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9A8" w14:textId="77777777" w:rsidR="00C1563E" w:rsidRDefault="000B648B">
            <w:pPr>
              <w:jc w:val="right"/>
              <w:textAlignment w:val="bottom"/>
            </w:pPr>
            <w:r>
              <w:rPr>
                <w:rFonts w:ascii="Times New Roman" w:eastAsia="宋体" w:hAnsi="Times New Roman"/>
                <w:color w:val="000000"/>
                <w:sz w:val="18"/>
                <w:szCs w:val="18"/>
              </w:rPr>
              <w:t>75.9 </w:t>
            </w:r>
          </w:p>
        </w:tc>
        <w:tc>
          <w:tcPr>
            <w:tcW w:w="0" w:type="auto"/>
            <w:shd w:val="clear" w:color="auto" w:fill="FFFFFF"/>
            <w:tcMar>
              <w:top w:w="40" w:type="dxa"/>
              <w:left w:w="0" w:type="dxa"/>
              <w:bottom w:w="40" w:type="dxa"/>
              <w:right w:w="20" w:type="dxa"/>
            </w:tcMar>
            <w:vAlign w:val="bottom"/>
          </w:tcPr>
          <w:p w14:paraId="7DCFD9A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9A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9AB" w14:textId="77777777" w:rsidR="00C1563E" w:rsidRDefault="000B648B">
            <w:pPr>
              <w:jc w:val="right"/>
              <w:textAlignment w:val="bottom"/>
            </w:pPr>
            <w:r>
              <w:rPr>
                <w:rFonts w:ascii="Times New Roman" w:eastAsia="宋体" w:hAnsi="Times New Roman"/>
                <w:color w:val="000000"/>
                <w:sz w:val="18"/>
                <w:szCs w:val="18"/>
              </w:rPr>
              <w:t>(1)</w:t>
            </w:r>
          </w:p>
          <w:p w14:paraId="7DCFD9AC" w14:textId="77777777" w:rsidR="00C1563E" w:rsidRDefault="000B648B">
            <w:pPr>
              <w:jc w:val="right"/>
              <w:textAlignment w:val="bottom"/>
            </w:pPr>
            <w:r>
              <w:rPr>
                <w:rFonts w:ascii="Times New Roman" w:eastAsia="宋体" w:hAnsi="Times New Roman"/>
                <w:color w:val="000000"/>
                <w:sz w:val="18"/>
                <w:szCs w:val="18"/>
              </w:rPr>
              <w:t>%</w:t>
            </w:r>
          </w:p>
          <w:p w14:paraId="7DCFD9AD" w14:textId="77777777" w:rsidR="00C1563E" w:rsidRDefault="000B648B">
            <w:pPr>
              <w:textAlignment w:val="bottom"/>
            </w:pPr>
            <w:r>
              <w:rPr>
                <w:rFonts w:ascii="Times New Roman" w:eastAsia="宋体" w:hAnsi="Times New Roman"/>
                <w:color w:val="000000"/>
                <w:sz w:val="18"/>
                <w:szCs w:val="18"/>
              </w:rPr>
              <w:t>$</w:t>
            </w:r>
          </w:p>
          <w:p w14:paraId="7DCFD9AE" w14:textId="77777777" w:rsidR="00C1563E" w:rsidRDefault="000B648B">
            <w:pPr>
              <w:jc w:val="right"/>
              <w:textAlignment w:val="bottom"/>
            </w:pPr>
            <w:r>
              <w:rPr>
                <w:rFonts w:ascii="Times New Roman" w:eastAsia="宋体" w:hAnsi="Times New Roman"/>
                <w:color w:val="000000"/>
                <w:sz w:val="18"/>
                <w:szCs w:val="18"/>
              </w:rPr>
              <w:t>70,707 </w:t>
            </w:r>
          </w:p>
          <w:p w14:paraId="7DCFD9AF" w14:textId="77777777" w:rsidR="00C1563E" w:rsidRDefault="000B648B">
            <w:pPr>
              <w:jc w:val="right"/>
              <w:textAlignment w:val="bottom"/>
            </w:pPr>
            <w:r>
              <w:rPr>
                <w:rFonts w:ascii="Times New Roman" w:eastAsia="宋体" w:hAnsi="Times New Roman"/>
                <w:color w:val="000000"/>
                <w:sz w:val="18"/>
                <w:szCs w:val="18"/>
              </w:rPr>
              <w:t>78.0 </w:t>
            </w:r>
          </w:p>
          <w:p w14:paraId="7DCFD9B0"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9D1" w14:textId="77777777">
        <w:trPr>
          <w:jc w:val="center"/>
        </w:trPr>
        <w:tc>
          <w:tcPr>
            <w:tcW w:w="0" w:type="auto"/>
            <w:gridSpan w:val="3"/>
            <w:shd w:val="clear" w:color="auto" w:fill="CCEEFF"/>
            <w:tcMar>
              <w:top w:w="40" w:type="dxa"/>
              <w:left w:w="155" w:type="dxa"/>
              <w:bottom w:w="40" w:type="dxa"/>
              <w:right w:w="20" w:type="dxa"/>
            </w:tcMar>
            <w:vAlign w:val="bottom"/>
          </w:tcPr>
          <w:p w14:paraId="7DCFD9B2" w14:textId="77777777" w:rsidR="00C1563E" w:rsidRDefault="000B648B">
            <w:pPr>
              <w:textAlignment w:val="bottom"/>
            </w:pPr>
            <w:r>
              <w:rPr>
                <w:rFonts w:ascii="Times New Roman" w:eastAsia="宋体" w:hAnsi="Times New Roman"/>
                <w:color w:val="000000"/>
                <w:sz w:val="18"/>
                <w:szCs w:val="18"/>
              </w:rPr>
              <w:t>Services</w:t>
            </w:r>
          </w:p>
        </w:tc>
        <w:tc>
          <w:tcPr>
            <w:tcW w:w="0" w:type="auto"/>
            <w:shd w:val="clear" w:color="auto" w:fill="auto"/>
          </w:tcPr>
          <w:p w14:paraId="7DCFD9B3" w14:textId="77777777" w:rsidR="00C1563E" w:rsidRDefault="00C1563E">
            <w:pPr>
              <w:rPr>
                <w:rFonts w:ascii="宋体"/>
                <w:vanish/>
              </w:rPr>
            </w:pPr>
          </w:p>
        </w:tc>
        <w:tc>
          <w:tcPr>
            <w:tcW w:w="0" w:type="auto"/>
            <w:shd w:val="clear" w:color="auto" w:fill="auto"/>
          </w:tcPr>
          <w:p w14:paraId="7DCFD9B4" w14:textId="77777777" w:rsidR="00C1563E" w:rsidRDefault="00C1563E">
            <w:pPr>
              <w:rPr>
                <w:rFonts w:ascii="宋体"/>
                <w:vanish/>
              </w:rPr>
            </w:pPr>
          </w:p>
        </w:tc>
        <w:tc>
          <w:tcPr>
            <w:tcW w:w="0" w:type="auto"/>
            <w:shd w:val="clear" w:color="auto" w:fill="auto"/>
          </w:tcPr>
          <w:p w14:paraId="7DCFD9B5" w14:textId="77777777" w:rsidR="00C1563E" w:rsidRDefault="00C1563E">
            <w:pPr>
              <w:rPr>
                <w:rFonts w:ascii="宋体"/>
                <w:vanish/>
              </w:rPr>
            </w:pPr>
          </w:p>
        </w:tc>
        <w:tc>
          <w:tcPr>
            <w:tcW w:w="0" w:type="auto"/>
            <w:shd w:val="clear" w:color="auto" w:fill="auto"/>
          </w:tcPr>
          <w:p w14:paraId="7DCFD9B6" w14:textId="77777777" w:rsidR="00C1563E" w:rsidRDefault="00C1563E">
            <w:pPr>
              <w:rPr>
                <w:rFonts w:ascii="宋体"/>
                <w:vanish/>
              </w:rPr>
            </w:pPr>
          </w:p>
        </w:tc>
        <w:tc>
          <w:tcPr>
            <w:tcW w:w="0" w:type="auto"/>
            <w:shd w:val="clear" w:color="auto" w:fill="auto"/>
          </w:tcPr>
          <w:p w14:paraId="7DCFD9B7" w14:textId="77777777" w:rsidR="00C1563E" w:rsidRDefault="00C1563E">
            <w:pPr>
              <w:rPr>
                <w:rFonts w:ascii="宋体"/>
                <w:vanish/>
              </w:rPr>
            </w:pPr>
          </w:p>
        </w:tc>
        <w:tc>
          <w:tcPr>
            <w:tcW w:w="0" w:type="auto"/>
            <w:shd w:val="clear" w:color="auto" w:fill="auto"/>
          </w:tcPr>
          <w:p w14:paraId="7DCFD9B8" w14:textId="77777777" w:rsidR="00C1563E" w:rsidRDefault="00C1563E">
            <w:pPr>
              <w:rPr>
                <w:rFonts w:ascii="宋体"/>
                <w:vanish/>
              </w:rPr>
            </w:pPr>
          </w:p>
        </w:tc>
        <w:tc>
          <w:tcPr>
            <w:tcW w:w="0" w:type="auto"/>
            <w:shd w:val="clear" w:color="auto" w:fill="auto"/>
          </w:tcPr>
          <w:p w14:paraId="7DCFD9B9" w14:textId="77777777" w:rsidR="00C1563E" w:rsidRDefault="00C1563E">
            <w:pPr>
              <w:rPr>
                <w:rFonts w:ascii="宋体"/>
                <w:vanish/>
              </w:rPr>
            </w:pPr>
          </w:p>
        </w:tc>
        <w:tc>
          <w:tcPr>
            <w:tcW w:w="0" w:type="auto"/>
            <w:shd w:val="clear" w:color="auto" w:fill="auto"/>
          </w:tcPr>
          <w:p w14:paraId="7DCFD9BA" w14:textId="77777777" w:rsidR="00C1563E" w:rsidRDefault="00C1563E">
            <w:pPr>
              <w:rPr>
                <w:rFonts w:ascii="宋体"/>
                <w:vanish/>
              </w:rPr>
            </w:pPr>
          </w:p>
        </w:tc>
        <w:tc>
          <w:tcPr>
            <w:tcW w:w="0" w:type="auto"/>
            <w:shd w:val="clear" w:color="auto" w:fill="auto"/>
          </w:tcPr>
          <w:p w14:paraId="7DCFD9BB" w14:textId="77777777" w:rsidR="00C1563E" w:rsidRDefault="00C1563E">
            <w:pPr>
              <w:rPr>
                <w:rFonts w:ascii="宋体"/>
                <w:vanish/>
              </w:rPr>
            </w:pPr>
          </w:p>
        </w:tc>
        <w:tc>
          <w:tcPr>
            <w:tcW w:w="0" w:type="auto"/>
            <w:shd w:val="clear" w:color="auto" w:fill="auto"/>
          </w:tcPr>
          <w:p w14:paraId="7DCFD9B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9BD" w14:textId="77777777" w:rsidR="00C1563E" w:rsidRDefault="000B648B">
            <w:pPr>
              <w:jc w:val="right"/>
              <w:textAlignment w:val="bottom"/>
            </w:pPr>
            <w:r>
              <w:rPr>
                <w:rFonts w:ascii="Times New Roman" w:eastAsia="宋体" w:hAnsi="Times New Roman"/>
                <w:color w:val="000000"/>
                <w:sz w:val="18"/>
                <w:szCs w:val="18"/>
              </w:rPr>
              <w:t>24,313 </w:t>
            </w:r>
          </w:p>
        </w:tc>
        <w:tc>
          <w:tcPr>
            <w:tcW w:w="0" w:type="auto"/>
            <w:shd w:val="clear" w:color="auto" w:fill="CCEEFF"/>
            <w:tcMar>
              <w:top w:w="40" w:type="dxa"/>
              <w:left w:w="0" w:type="dxa"/>
              <w:bottom w:w="40" w:type="dxa"/>
              <w:right w:w="20" w:type="dxa"/>
            </w:tcMar>
            <w:vAlign w:val="bottom"/>
          </w:tcPr>
          <w:p w14:paraId="7DCFD9B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9B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9C0" w14:textId="77777777" w:rsidR="00C1563E" w:rsidRDefault="000B648B">
            <w:pPr>
              <w:jc w:val="right"/>
              <w:textAlignment w:val="bottom"/>
            </w:pPr>
            <w:r>
              <w:rPr>
                <w:rFonts w:ascii="Times New Roman" w:eastAsia="宋体" w:hAnsi="Times New Roman"/>
                <w:color w:val="000000"/>
                <w:sz w:val="18"/>
                <w:szCs w:val="18"/>
              </w:rPr>
              <w:t>25.8 </w:t>
            </w:r>
          </w:p>
        </w:tc>
        <w:tc>
          <w:tcPr>
            <w:tcW w:w="0" w:type="auto"/>
            <w:shd w:val="clear" w:color="auto" w:fill="CCEEFF"/>
            <w:tcMar>
              <w:top w:w="40" w:type="dxa"/>
              <w:left w:w="0" w:type="dxa"/>
              <w:bottom w:w="40" w:type="dxa"/>
              <w:right w:w="20" w:type="dxa"/>
            </w:tcMar>
            <w:vAlign w:val="bottom"/>
          </w:tcPr>
          <w:p w14:paraId="7DCFD9C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9C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9C3" w14:textId="77777777" w:rsidR="00C1563E" w:rsidRDefault="000B648B">
            <w:pPr>
              <w:jc w:val="right"/>
              <w:textAlignment w:val="bottom"/>
            </w:pPr>
            <w:r>
              <w:rPr>
                <w:rFonts w:ascii="Times New Roman" w:eastAsia="宋体" w:hAnsi="Times New Roman"/>
                <w:color w:val="000000"/>
                <w:sz w:val="18"/>
                <w:szCs w:val="18"/>
              </w:rPr>
              <w:t>9 </w:t>
            </w:r>
          </w:p>
        </w:tc>
        <w:tc>
          <w:tcPr>
            <w:tcW w:w="0" w:type="auto"/>
            <w:shd w:val="clear" w:color="auto" w:fill="CCEEFF"/>
            <w:tcMar>
              <w:top w:w="40" w:type="dxa"/>
              <w:left w:w="0" w:type="dxa"/>
              <w:bottom w:w="40" w:type="dxa"/>
              <w:right w:w="20" w:type="dxa"/>
            </w:tcMar>
            <w:vAlign w:val="bottom"/>
          </w:tcPr>
          <w:p w14:paraId="7DCFD9C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9C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9C6" w14:textId="77777777" w:rsidR="00C1563E" w:rsidRDefault="000B648B">
            <w:pPr>
              <w:jc w:val="right"/>
              <w:textAlignment w:val="bottom"/>
            </w:pPr>
            <w:r>
              <w:rPr>
                <w:rFonts w:ascii="Times New Roman" w:eastAsia="宋体" w:hAnsi="Times New Roman"/>
                <w:color w:val="000000"/>
                <w:sz w:val="18"/>
                <w:szCs w:val="18"/>
              </w:rPr>
              <w:t>22,236 </w:t>
            </w:r>
          </w:p>
        </w:tc>
        <w:tc>
          <w:tcPr>
            <w:tcW w:w="0" w:type="auto"/>
            <w:shd w:val="clear" w:color="auto" w:fill="CCEEFF"/>
            <w:tcMar>
              <w:top w:w="40" w:type="dxa"/>
              <w:left w:w="0" w:type="dxa"/>
              <w:bottom w:w="40" w:type="dxa"/>
              <w:right w:w="20" w:type="dxa"/>
            </w:tcMar>
            <w:vAlign w:val="bottom"/>
          </w:tcPr>
          <w:p w14:paraId="7DCFD9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9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9C9" w14:textId="77777777" w:rsidR="00C1563E" w:rsidRDefault="000B648B">
            <w:pPr>
              <w:jc w:val="right"/>
              <w:textAlignment w:val="bottom"/>
            </w:pPr>
            <w:r>
              <w:rPr>
                <w:rFonts w:ascii="Times New Roman" w:eastAsia="宋体" w:hAnsi="Times New Roman"/>
                <w:color w:val="000000"/>
                <w:sz w:val="18"/>
                <w:szCs w:val="18"/>
              </w:rPr>
              <w:t>24.1 </w:t>
            </w:r>
          </w:p>
        </w:tc>
        <w:tc>
          <w:tcPr>
            <w:tcW w:w="0" w:type="auto"/>
            <w:shd w:val="clear" w:color="auto" w:fill="CCEEFF"/>
            <w:tcMar>
              <w:top w:w="40" w:type="dxa"/>
              <w:left w:w="0" w:type="dxa"/>
              <w:bottom w:w="40" w:type="dxa"/>
              <w:right w:w="20" w:type="dxa"/>
            </w:tcMar>
            <w:vAlign w:val="bottom"/>
          </w:tcPr>
          <w:p w14:paraId="7DCFD9C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9C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9CC" w14:textId="77777777" w:rsidR="00C1563E" w:rsidRDefault="000B648B">
            <w:pPr>
              <w:jc w:val="right"/>
              <w:textAlignment w:val="bottom"/>
            </w:pPr>
            <w:r>
              <w:rPr>
                <w:rFonts w:ascii="Times New Roman" w:eastAsia="宋体" w:hAnsi="Times New Roman"/>
                <w:color w:val="000000"/>
                <w:sz w:val="18"/>
                <w:szCs w:val="18"/>
              </w:rPr>
              <w:t>12 </w:t>
            </w:r>
          </w:p>
          <w:p w14:paraId="7DCFD9CD" w14:textId="77777777" w:rsidR="00C1563E" w:rsidRDefault="000B648B">
            <w:pPr>
              <w:jc w:val="right"/>
              <w:textAlignment w:val="bottom"/>
            </w:pPr>
            <w:r>
              <w:rPr>
                <w:rFonts w:ascii="Times New Roman" w:eastAsia="宋体" w:hAnsi="Times New Roman"/>
                <w:color w:val="000000"/>
                <w:sz w:val="18"/>
                <w:szCs w:val="18"/>
              </w:rPr>
              <w:t>%</w:t>
            </w:r>
          </w:p>
          <w:p w14:paraId="7DCFD9CE" w14:textId="77777777" w:rsidR="00C1563E" w:rsidRDefault="000B648B">
            <w:pPr>
              <w:jc w:val="right"/>
              <w:textAlignment w:val="bottom"/>
            </w:pPr>
            <w:r>
              <w:rPr>
                <w:rFonts w:ascii="Times New Roman" w:eastAsia="宋体" w:hAnsi="Times New Roman"/>
                <w:color w:val="000000"/>
                <w:sz w:val="18"/>
                <w:szCs w:val="18"/>
              </w:rPr>
              <w:t>19,914 </w:t>
            </w:r>
          </w:p>
          <w:p w14:paraId="7DCFD9CF" w14:textId="77777777" w:rsidR="00C1563E" w:rsidRDefault="000B648B">
            <w:pPr>
              <w:jc w:val="right"/>
              <w:textAlignment w:val="bottom"/>
            </w:pPr>
            <w:r>
              <w:rPr>
                <w:rFonts w:ascii="Times New Roman" w:eastAsia="宋体" w:hAnsi="Times New Roman"/>
                <w:color w:val="000000"/>
                <w:sz w:val="18"/>
                <w:szCs w:val="18"/>
              </w:rPr>
              <w:t>22.0 </w:t>
            </w:r>
          </w:p>
          <w:p w14:paraId="7DCFD9D0"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9F4" w14:textId="77777777">
        <w:trPr>
          <w:jc w:val="center"/>
        </w:trPr>
        <w:tc>
          <w:tcPr>
            <w:tcW w:w="0" w:type="auto"/>
            <w:gridSpan w:val="3"/>
            <w:shd w:val="clear" w:color="auto" w:fill="FFFFFF"/>
            <w:tcMar>
              <w:top w:w="40" w:type="dxa"/>
              <w:left w:w="260" w:type="dxa"/>
              <w:bottom w:w="40" w:type="dxa"/>
              <w:right w:w="20" w:type="dxa"/>
            </w:tcMar>
            <w:vAlign w:val="bottom"/>
          </w:tcPr>
          <w:p w14:paraId="7DCFD9D2" w14:textId="77777777" w:rsidR="00C1563E" w:rsidRDefault="000B648B">
            <w:pPr>
              <w:textAlignment w:val="bottom"/>
            </w:pPr>
            <w:r>
              <w:rPr>
                <w:rFonts w:ascii="Times New Roman" w:eastAsia="宋体" w:hAnsi="Times New Roman"/>
                <w:color w:val="000000"/>
                <w:sz w:val="18"/>
                <w:szCs w:val="18"/>
              </w:rPr>
              <w:t>Total net revenue</w:t>
            </w:r>
          </w:p>
        </w:tc>
        <w:tc>
          <w:tcPr>
            <w:tcW w:w="0" w:type="auto"/>
            <w:shd w:val="clear" w:color="auto" w:fill="auto"/>
          </w:tcPr>
          <w:p w14:paraId="7DCFD9D3" w14:textId="77777777" w:rsidR="00C1563E" w:rsidRDefault="00C1563E">
            <w:pPr>
              <w:rPr>
                <w:rFonts w:ascii="宋体"/>
                <w:vanish/>
              </w:rPr>
            </w:pPr>
          </w:p>
        </w:tc>
        <w:tc>
          <w:tcPr>
            <w:tcW w:w="0" w:type="auto"/>
            <w:shd w:val="clear" w:color="auto" w:fill="auto"/>
          </w:tcPr>
          <w:p w14:paraId="7DCFD9D4" w14:textId="77777777" w:rsidR="00C1563E" w:rsidRDefault="00C1563E">
            <w:pPr>
              <w:rPr>
                <w:rFonts w:ascii="宋体"/>
                <w:vanish/>
              </w:rPr>
            </w:pPr>
          </w:p>
        </w:tc>
        <w:tc>
          <w:tcPr>
            <w:tcW w:w="0" w:type="auto"/>
            <w:shd w:val="clear" w:color="auto" w:fill="auto"/>
          </w:tcPr>
          <w:p w14:paraId="7DCFD9D5" w14:textId="77777777" w:rsidR="00C1563E" w:rsidRDefault="00C1563E">
            <w:pPr>
              <w:rPr>
                <w:rFonts w:ascii="宋体"/>
                <w:vanish/>
              </w:rPr>
            </w:pPr>
          </w:p>
        </w:tc>
        <w:tc>
          <w:tcPr>
            <w:tcW w:w="0" w:type="auto"/>
            <w:shd w:val="clear" w:color="auto" w:fill="auto"/>
          </w:tcPr>
          <w:p w14:paraId="7DCFD9D6" w14:textId="77777777" w:rsidR="00C1563E" w:rsidRDefault="00C1563E">
            <w:pPr>
              <w:rPr>
                <w:rFonts w:ascii="宋体"/>
                <w:vanish/>
              </w:rPr>
            </w:pPr>
          </w:p>
        </w:tc>
        <w:tc>
          <w:tcPr>
            <w:tcW w:w="0" w:type="auto"/>
            <w:shd w:val="clear" w:color="auto" w:fill="auto"/>
          </w:tcPr>
          <w:p w14:paraId="7DCFD9D7" w14:textId="77777777" w:rsidR="00C1563E" w:rsidRDefault="00C1563E">
            <w:pPr>
              <w:rPr>
                <w:rFonts w:ascii="宋体"/>
                <w:vanish/>
              </w:rPr>
            </w:pPr>
          </w:p>
        </w:tc>
        <w:tc>
          <w:tcPr>
            <w:tcW w:w="0" w:type="auto"/>
            <w:shd w:val="clear" w:color="auto" w:fill="auto"/>
          </w:tcPr>
          <w:p w14:paraId="7DCFD9D8" w14:textId="77777777" w:rsidR="00C1563E" w:rsidRDefault="00C1563E">
            <w:pPr>
              <w:rPr>
                <w:rFonts w:ascii="宋体"/>
                <w:vanish/>
              </w:rPr>
            </w:pPr>
          </w:p>
        </w:tc>
        <w:tc>
          <w:tcPr>
            <w:tcW w:w="0" w:type="auto"/>
            <w:shd w:val="clear" w:color="auto" w:fill="auto"/>
          </w:tcPr>
          <w:p w14:paraId="7DCFD9D9" w14:textId="77777777" w:rsidR="00C1563E" w:rsidRDefault="00C1563E">
            <w:pPr>
              <w:rPr>
                <w:rFonts w:ascii="宋体"/>
                <w:vanish/>
              </w:rPr>
            </w:pPr>
          </w:p>
        </w:tc>
        <w:tc>
          <w:tcPr>
            <w:tcW w:w="0" w:type="auto"/>
            <w:shd w:val="clear" w:color="auto" w:fill="auto"/>
          </w:tcPr>
          <w:p w14:paraId="7DCFD9DA" w14:textId="77777777" w:rsidR="00C1563E" w:rsidRDefault="00C1563E">
            <w:pPr>
              <w:rPr>
                <w:rFonts w:ascii="宋体"/>
                <w:vanish/>
              </w:rPr>
            </w:pPr>
          </w:p>
        </w:tc>
        <w:tc>
          <w:tcPr>
            <w:tcW w:w="0" w:type="auto"/>
            <w:shd w:val="clear" w:color="auto" w:fill="auto"/>
          </w:tcPr>
          <w:p w14:paraId="7DCFD9DB" w14:textId="77777777" w:rsidR="00C1563E" w:rsidRDefault="00C1563E">
            <w:pPr>
              <w:rPr>
                <w:rFonts w:ascii="宋体"/>
                <w:vanish/>
              </w:rPr>
            </w:pPr>
          </w:p>
        </w:tc>
        <w:tc>
          <w:tcPr>
            <w:tcW w:w="0" w:type="auto"/>
            <w:shd w:val="clear" w:color="auto" w:fill="auto"/>
          </w:tcPr>
          <w:p w14:paraId="7DCFD9DC"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9DD"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9DE" w14:textId="77777777" w:rsidR="00C1563E" w:rsidRDefault="000B648B">
            <w:pPr>
              <w:jc w:val="right"/>
              <w:textAlignment w:val="bottom"/>
            </w:pPr>
            <w:r>
              <w:rPr>
                <w:rFonts w:ascii="Times New Roman" w:eastAsia="宋体" w:hAnsi="Times New Roman"/>
                <w:color w:val="000000"/>
                <w:sz w:val="18"/>
                <w:szCs w:val="18"/>
              </w:rPr>
              <w:t>94,224 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9D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9E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D9E1" w14:textId="77777777" w:rsidR="00C1563E" w:rsidRDefault="000B648B">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9E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9E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9E4" w14:textId="77777777" w:rsidR="00C1563E" w:rsidRDefault="000B648B">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7DCFD9E5"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9E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9E7"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9E8" w14:textId="77777777" w:rsidR="00C1563E" w:rsidRDefault="000B648B">
            <w:pPr>
              <w:jc w:val="right"/>
              <w:textAlignment w:val="bottom"/>
            </w:pPr>
            <w:r>
              <w:rPr>
                <w:rFonts w:ascii="Times New Roman" w:eastAsia="宋体" w:hAnsi="Times New Roman"/>
                <w:color w:val="000000"/>
                <w:sz w:val="18"/>
                <w:szCs w:val="18"/>
              </w:rPr>
              <w:t>92,154 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9E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9E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D9EB" w14:textId="77777777" w:rsidR="00C1563E" w:rsidRDefault="000B648B">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9E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9ED"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9EE" w14:textId="77777777" w:rsidR="00C1563E" w:rsidRDefault="000B648B">
            <w:pPr>
              <w:jc w:val="right"/>
              <w:textAlignment w:val="bottom"/>
            </w:pPr>
            <w:r>
              <w:rPr>
                <w:rFonts w:ascii="Times New Roman" w:eastAsia="宋体" w:hAnsi="Times New Roman"/>
                <w:color w:val="000000"/>
                <w:sz w:val="18"/>
                <w:szCs w:val="18"/>
              </w:rPr>
              <w:t>2 </w:t>
            </w:r>
          </w:p>
          <w:p w14:paraId="7DCFD9EF" w14:textId="77777777" w:rsidR="00C1563E" w:rsidRDefault="000B648B">
            <w:pPr>
              <w:jc w:val="right"/>
              <w:textAlignment w:val="bottom"/>
            </w:pPr>
            <w:r>
              <w:rPr>
                <w:rFonts w:ascii="Times New Roman" w:eastAsia="宋体" w:hAnsi="Times New Roman"/>
                <w:color w:val="000000"/>
                <w:sz w:val="18"/>
                <w:szCs w:val="18"/>
              </w:rPr>
              <w:t>%</w:t>
            </w:r>
          </w:p>
          <w:p w14:paraId="7DCFD9F0" w14:textId="77777777" w:rsidR="00C1563E" w:rsidRDefault="000B648B">
            <w:pPr>
              <w:textAlignment w:val="bottom"/>
            </w:pPr>
            <w:r>
              <w:rPr>
                <w:rFonts w:ascii="Times New Roman" w:eastAsia="宋体" w:hAnsi="Times New Roman"/>
                <w:color w:val="000000"/>
                <w:sz w:val="18"/>
                <w:szCs w:val="18"/>
              </w:rPr>
              <w:t>$</w:t>
            </w:r>
          </w:p>
          <w:p w14:paraId="7DCFD9F1" w14:textId="77777777" w:rsidR="00C1563E" w:rsidRDefault="000B648B">
            <w:pPr>
              <w:jc w:val="right"/>
              <w:textAlignment w:val="bottom"/>
            </w:pPr>
            <w:r>
              <w:rPr>
                <w:rFonts w:ascii="Times New Roman" w:eastAsia="宋体" w:hAnsi="Times New Roman"/>
                <w:color w:val="000000"/>
                <w:sz w:val="18"/>
                <w:szCs w:val="18"/>
              </w:rPr>
              <w:t>90,621 </w:t>
            </w:r>
          </w:p>
          <w:p w14:paraId="7DCFD9F2" w14:textId="77777777" w:rsidR="00C1563E" w:rsidRDefault="000B648B">
            <w:pPr>
              <w:jc w:val="right"/>
              <w:textAlignment w:val="bottom"/>
            </w:pPr>
            <w:r>
              <w:rPr>
                <w:rFonts w:ascii="Times New Roman" w:eastAsia="宋体" w:hAnsi="Times New Roman"/>
                <w:color w:val="000000"/>
                <w:sz w:val="18"/>
                <w:szCs w:val="18"/>
              </w:rPr>
              <w:t>100.0 </w:t>
            </w:r>
          </w:p>
          <w:p w14:paraId="7DCFD9F3"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0B" w14:textId="77777777">
        <w:trPr>
          <w:jc w:val="center"/>
        </w:trPr>
        <w:tc>
          <w:tcPr>
            <w:tcW w:w="0" w:type="auto"/>
            <w:gridSpan w:val="3"/>
            <w:shd w:val="clear" w:color="auto" w:fill="CCEEFF"/>
            <w:tcMar>
              <w:top w:w="40" w:type="dxa"/>
              <w:left w:w="20" w:type="dxa"/>
              <w:bottom w:w="40" w:type="dxa"/>
              <w:right w:w="20" w:type="dxa"/>
            </w:tcMar>
            <w:vAlign w:val="bottom"/>
          </w:tcPr>
          <w:p w14:paraId="7DCFD9F5" w14:textId="77777777" w:rsidR="00C1563E" w:rsidRDefault="000B648B">
            <w:pPr>
              <w:textAlignment w:val="bottom"/>
            </w:pPr>
            <w:r>
              <w:rPr>
                <w:rFonts w:ascii="Times New Roman" w:eastAsia="宋体" w:hAnsi="Times New Roman"/>
                <w:i/>
                <w:iCs/>
                <w:color w:val="000000"/>
                <w:sz w:val="18"/>
                <w:szCs w:val="18"/>
              </w:rPr>
              <w:t>Gross margin:</w:t>
            </w:r>
          </w:p>
        </w:tc>
        <w:tc>
          <w:tcPr>
            <w:tcW w:w="0" w:type="auto"/>
            <w:shd w:val="clear" w:color="auto" w:fill="auto"/>
          </w:tcPr>
          <w:p w14:paraId="7DCFD9F6" w14:textId="77777777" w:rsidR="00C1563E" w:rsidRDefault="00C1563E">
            <w:pPr>
              <w:rPr>
                <w:rFonts w:ascii="宋体"/>
                <w:vanish/>
              </w:rPr>
            </w:pPr>
          </w:p>
        </w:tc>
        <w:tc>
          <w:tcPr>
            <w:tcW w:w="0" w:type="auto"/>
            <w:shd w:val="clear" w:color="auto" w:fill="auto"/>
          </w:tcPr>
          <w:p w14:paraId="7DCFD9F7" w14:textId="77777777" w:rsidR="00C1563E" w:rsidRDefault="00C1563E">
            <w:pPr>
              <w:rPr>
                <w:rFonts w:ascii="宋体"/>
                <w:vanish/>
              </w:rPr>
            </w:pPr>
          </w:p>
        </w:tc>
        <w:tc>
          <w:tcPr>
            <w:tcW w:w="0" w:type="auto"/>
            <w:shd w:val="clear" w:color="auto" w:fill="auto"/>
          </w:tcPr>
          <w:p w14:paraId="7DCFD9F8" w14:textId="77777777" w:rsidR="00C1563E" w:rsidRDefault="00C1563E">
            <w:pPr>
              <w:rPr>
                <w:rFonts w:ascii="宋体"/>
                <w:vanish/>
              </w:rPr>
            </w:pPr>
          </w:p>
        </w:tc>
        <w:tc>
          <w:tcPr>
            <w:tcW w:w="0" w:type="auto"/>
            <w:shd w:val="clear" w:color="auto" w:fill="auto"/>
          </w:tcPr>
          <w:p w14:paraId="7DCFD9F9" w14:textId="77777777" w:rsidR="00C1563E" w:rsidRDefault="00C1563E">
            <w:pPr>
              <w:rPr>
                <w:rFonts w:ascii="宋体"/>
                <w:vanish/>
              </w:rPr>
            </w:pPr>
          </w:p>
        </w:tc>
        <w:tc>
          <w:tcPr>
            <w:tcW w:w="0" w:type="auto"/>
            <w:shd w:val="clear" w:color="auto" w:fill="auto"/>
          </w:tcPr>
          <w:p w14:paraId="7DCFD9FA" w14:textId="77777777" w:rsidR="00C1563E" w:rsidRDefault="00C1563E">
            <w:pPr>
              <w:rPr>
                <w:rFonts w:ascii="宋体"/>
                <w:vanish/>
              </w:rPr>
            </w:pPr>
          </w:p>
        </w:tc>
        <w:tc>
          <w:tcPr>
            <w:tcW w:w="0" w:type="auto"/>
            <w:shd w:val="clear" w:color="auto" w:fill="auto"/>
          </w:tcPr>
          <w:p w14:paraId="7DCFD9FB" w14:textId="77777777" w:rsidR="00C1563E" w:rsidRDefault="00C1563E">
            <w:pPr>
              <w:rPr>
                <w:rFonts w:ascii="宋体"/>
                <w:vanish/>
              </w:rPr>
            </w:pPr>
          </w:p>
        </w:tc>
        <w:tc>
          <w:tcPr>
            <w:tcW w:w="0" w:type="auto"/>
            <w:shd w:val="clear" w:color="auto" w:fill="auto"/>
          </w:tcPr>
          <w:p w14:paraId="7DCFD9FC" w14:textId="77777777" w:rsidR="00C1563E" w:rsidRDefault="00C1563E">
            <w:pPr>
              <w:rPr>
                <w:rFonts w:ascii="宋体"/>
                <w:vanish/>
              </w:rPr>
            </w:pPr>
          </w:p>
        </w:tc>
        <w:tc>
          <w:tcPr>
            <w:tcW w:w="0" w:type="auto"/>
            <w:shd w:val="clear" w:color="auto" w:fill="auto"/>
          </w:tcPr>
          <w:p w14:paraId="7DCFD9FD" w14:textId="77777777" w:rsidR="00C1563E" w:rsidRDefault="00C1563E">
            <w:pPr>
              <w:rPr>
                <w:rFonts w:ascii="宋体"/>
                <w:vanish/>
              </w:rPr>
            </w:pPr>
          </w:p>
        </w:tc>
        <w:tc>
          <w:tcPr>
            <w:tcW w:w="0" w:type="auto"/>
            <w:shd w:val="clear" w:color="auto" w:fill="auto"/>
          </w:tcPr>
          <w:p w14:paraId="7DCFD9FE" w14:textId="77777777" w:rsidR="00C1563E" w:rsidRDefault="00C1563E">
            <w:pPr>
              <w:rPr>
                <w:rFonts w:ascii="宋体"/>
                <w:vanish/>
              </w:rPr>
            </w:pPr>
          </w:p>
        </w:tc>
        <w:tc>
          <w:tcPr>
            <w:tcW w:w="0" w:type="auto"/>
            <w:shd w:val="clear" w:color="auto" w:fill="auto"/>
          </w:tcPr>
          <w:p w14:paraId="7DCFD9FF"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A0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A08" w14:textId="77777777" w:rsidR="00C1563E" w:rsidRDefault="00C1563E">
            <w:pPr>
              <w:rPr>
                <w:rFonts w:ascii="宋体"/>
              </w:rPr>
            </w:pPr>
          </w:p>
        </w:tc>
        <w:tc>
          <w:tcPr>
            <w:tcW w:w="0" w:type="auto"/>
            <w:gridSpan w:val="2"/>
            <w:shd w:val="clear" w:color="auto" w:fill="CCEEFF"/>
            <w:tcMar>
              <w:top w:w="0" w:type="dxa"/>
              <w:left w:w="20" w:type="dxa"/>
              <w:bottom w:w="0" w:type="dxa"/>
              <w:right w:w="20" w:type="dxa"/>
            </w:tcMar>
          </w:tcPr>
          <w:p w14:paraId="7DCFDA09" w14:textId="77777777" w:rsidR="00C1563E" w:rsidRDefault="00C1563E">
            <w:pPr>
              <w:rPr>
                <w:rFonts w:ascii="宋体"/>
              </w:rPr>
            </w:pPr>
          </w:p>
        </w:tc>
        <w:tc>
          <w:tcPr>
            <w:tcW w:w="0" w:type="auto"/>
            <w:shd w:val="clear" w:color="auto" w:fill="CCEEFF"/>
            <w:tcMar>
              <w:top w:w="0" w:type="dxa"/>
              <w:left w:w="20" w:type="dxa"/>
              <w:bottom w:w="0" w:type="dxa"/>
              <w:right w:w="20" w:type="dxa"/>
            </w:tcMar>
          </w:tcPr>
          <w:p w14:paraId="7DCFDA0A" w14:textId="77777777" w:rsidR="00C1563E" w:rsidRDefault="00C1563E">
            <w:pPr>
              <w:rPr>
                <w:rFonts w:ascii="宋体"/>
              </w:rPr>
            </w:pPr>
          </w:p>
        </w:tc>
      </w:tr>
      <w:tr w:rsidR="00C1563E" w14:paraId="7DCFDA2E" w14:textId="77777777">
        <w:trPr>
          <w:jc w:val="center"/>
        </w:trPr>
        <w:tc>
          <w:tcPr>
            <w:tcW w:w="0" w:type="auto"/>
            <w:gridSpan w:val="3"/>
            <w:shd w:val="clear" w:color="auto" w:fill="FFFFFF"/>
            <w:tcMar>
              <w:top w:w="40" w:type="dxa"/>
              <w:left w:w="155" w:type="dxa"/>
              <w:bottom w:w="40" w:type="dxa"/>
              <w:right w:w="20" w:type="dxa"/>
            </w:tcMar>
            <w:vAlign w:val="bottom"/>
          </w:tcPr>
          <w:p w14:paraId="7DCFDA0C" w14:textId="77777777" w:rsidR="00C1563E" w:rsidRDefault="000B648B">
            <w:pPr>
              <w:textAlignment w:val="bottom"/>
            </w:pPr>
            <w:r>
              <w:rPr>
                <w:rFonts w:ascii="Times New Roman" w:eastAsia="宋体" w:hAnsi="Times New Roman"/>
                <w:color w:val="000000"/>
                <w:sz w:val="18"/>
                <w:szCs w:val="18"/>
              </w:rPr>
              <w:t>Products (a)</w:t>
            </w:r>
          </w:p>
        </w:tc>
        <w:tc>
          <w:tcPr>
            <w:tcW w:w="0" w:type="auto"/>
            <w:shd w:val="clear" w:color="auto" w:fill="auto"/>
          </w:tcPr>
          <w:p w14:paraId="7DCFDA0D" w14:textId="77777777" w:rsidR="00C1563E" w:rsidRDefault="00C1563E">
            <w:pPr>
              <w:rPr>
                <w:rFonts w:ascii="宋体"/>
                <w:vanish/>
              </w:rPr>
            </w:pPr>
          </w:p>
        </w:tc>
        <w:tc>
          <w:tcPr>
            <w:tcW w:w="0" w:type="auto"/>
            <w:shd w:val="clear" w:color="auto" w:fill="auto"/>
          </w:tcPr>
          <w:p w14:paraId="7DCFDA0E" w14:textId="77777777" w:rsidR="00C1563E" w:rsidRDefault="00C1563E">
            <w:pPr>
              <w:rPr>
                <w:rFonts w:ascii="宋体"/>
                <w:vanish/>
              </w:rPr>
            </w:pPr>
          </w:p>
        </w:tc>
        <w:tc>
          <w:tcPr>
            <w:tcW w:w="0" w:type="auto"/>
            <w:shd w:val="clear" w:color="auto" w:fill="auto"/>
          </w:tcPr>
          <w:p w14:paraId="7DCFDA0F" w14:textId="77777777" w:rsidR="00C1563E" w:rsidRDefault="00C1563E">
            <w:pPr>
              <w:rPr>
                <w:rFonts w:ascii="宋体"/>
                <w:vanish/>
              </w:rPr>
            </w:pPr>
          </w:p>
        </w:tc>
        <w:tc>
          <w:tcPr>
            <w:tcW w:w="0" w:type="auto"/>
            <w:shd w:val="clear" w:color="auto" w:fill="auto"/>
          </w:tcPr>
          <w:p w14:paraId="7DCFDA10" w14:textId="77777777" w:rsidR="00C1563E" w:rsidRDefault="00C1563E">
            <w:pPr>
              <w:rPr>
                <w:rFonts w:ascii="宋体"/>
                <w:vanish/>
              </w:rPr>
            </w:pPr>
          </w:p>
        </w:tc>
        <w:tc>
          <w:tcPr>
            <w:tcW w:w="0" w:type="auto"/>
            <w:shd w:val="clear" w:color="auto" w:fill="auto"/>
          </w:tcPr>
          <w:p w14:paraId="7DCFDA11" w14:textId="77777777" w:rsidR="00C1563E" w:rsidRDefault="00C1563E">
            <w:pPr>
              <w:rPr>
                <w:rFonts w:ascii="宋体"/>
                <w:vanish/>
              </w:rPr>
            </w:pPr>
          </w:p>
        </w:tc>
        <w:tc>
          <w:tcPr>
            <w:tcW w:w="0" w:type="auto"/>
            <w:shd w:val="clear" w:color="auto" w:fill="auto"/>
          </w:tcPr>
          <w:p w14:paraId="7DCFDA12" w14:textId="77777777" w:rsidR="00C1563E" w:rsidRDefault="00C1563E">
            <w:pPr>
              <w:rPr>
                <w:rFonts w:ascii="宋体"/>
                <w:vanish/>
              </w:rPr>
            </w:pPr>
          </w:p>
        </w:tc>
        <w:tc>
          <w:tcPr>
            <w:tcW w:w="0" w:type="auto"/>
            <w:shd w:val="clear" w:color="auto" w:fill="auto"/>
          </w:tcPr>
          <w:p w14:paraId="7DCFDA13" w14:textId="77777777" w:rsidR="00C1563E" w:rsidRDefault="00C1563E">
            <w:pPr>
              <w:rPr>
                <w:rFonts w:ascii="宋体"/>
                <w:vanish/>
              </w:rPr>
            </w:pPr>
          </w:p>
        </w:tc>
        <w:tc>
          <w:tcPr>
            <w:tcW w:w="0" w:type="auto"/>
            <w:shd w:val="clear" w:color="auto" w:fill="auto"/>
          </w:tcPr>
          <w:p w14:paraId="7DCFDA14" w14:textId="77777777" w:rsidR="00C1563E" w:rsidRDefault="00C1563E">
            <w:pPr>
              <w:rPr>
                <w:rFonts w:ascii="宋体"/>
                <w:vanish/>
              </w:rPr>
            </w:pPr>
          </w:p>
        </w:tc>
        <w:tc>
          <w:tcPr>
            <w:tcW w:w="0" w:type="auto"/>
            <w:shd w:val="clear" w:color="auto" w:fill="auto"/>
          </w:tcPr>
          <w:p w14:paraId="7DCFDA15" w14:textId="77777777" w:rsidR="00C1563E" w:rsidRDefault="00C1563E">
            <w:pPr>
              <w:rPr>
                <w:rFonts w:ascii="宋体"/>
                <w:vanish/>
              </w:rPr>
            </w:pPr>
          </w:p>
        </w:tc>
        <w:tc>
          <w:tcPr>
            <w:tcW w:w="0" w:type="auto"/>
            <w:shd w:val="clear" w:color="auto" w:fill="auto"/>
          </w:tcPr>
          <w:p w14:paraId="7DCFDA16"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A17"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18" w14:textId="77777777" w:rsidR="00C1563E" w:rsidRDefault="000B648B">
            <w:pPr>
              <w:jc w:val="right"/>
              <w:textAlignment w:val="bottom"/>
            </w:pPr>
            <w:r>
              <w:rPr>
                <w:rFonts w:ascii="Times New Roman" w:eastAsia="宋体" w:hAnsi="Times New Roman"/>
                <w:color w:val="000000"/>
                <w:sz w:val="18"/>
                <w:szCs w:val="18"/>
              </w:rPr>
              <w:t>14,564 </w:t>
            </w:r>
          </w:p>
        </w:tc>
        <w:tc>
          <w:tcPr>
            <w:tcW w:w="0" w:type="auto"/>
            <w:shd w:val="clear" w:color="auto" w:fill="FFFFFF"/>
            <w:tcMar>
              <w:top w:w="40" w:type="dxa"/>
              <w:left w:w="0" w:type="dxa"/>
              <w:bottom w:w="40" w:type="dxa"/>
              <w:right w:w="20" w:type="dxa"/>
            </w:tcMar>
            <w:vAlign w:val="bottom"/>
          </w:tcPr>
          <w:p w14:paraId="7DCFDA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1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1B" w14:textId="77777777" w:rsidR="00C1563E" w:rsidRDefault="000B648B">
            <w:pPr>
              <w:jc w:val="right"/>
              <w:textAlignment w:val="bottom"/>
            </w:pPr>
            <w:r>
              <w:rPr>
                <w:rFonts w:ascii="Times New Roman" w:eastAsia="宋体" w:hAnsi="Times New Roman"/>
                <w:color w:val="000000"/>
                <w:sz w:val="18"/>
                <w:szCs w:val="18"/>
              </w:rPr>
              <w:t>20.8 </w:t>
            </w:r>
          </w:p>
        </w:tc>
        <w:tc>
          <w:tcPr>
            <w:tcW w:w="0" w:type="auto"/>
            <w:shd w:val="clear" w:color="auto" w:fill="FFFFFF"/>
            <w:tcMar>
              <w:top w:w="40" w:type="dxa"/>
              <w:left w:w="0" w:type="dxa"/>
              <w:bottom w:w="40" w:type="dxa"/>
              <w:right w:w="20" w:type="dxa"/>
            </w:tcMar>
            <w:vAlign w:val="bottom"/>
          </w:tcPr>
          <w:p w14:paraId="7DCFDA1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1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1E" w14:textId="77777777" w:rsidR="00C1563E" w:rsidRDefault="000B648B">
            <w:pPr>
              <w:jc w:val="right"/>
              <w:textAlignment w:val="bottom"/>
            </w:pPr>
            <w:r>
              <w:rPr>
                <w:rFonts w:ascii="Times New Roman" w:eastAsia="宋体" w:hAnsi="Times New Roman"/>
                <w:color w:val="000000"/>
                <w:sz w:val="18"/>
                <w:szCs w:val="18"/>
              </w:rPr>
              <w:t>(5)</w:t>
            </w:r>
          </w:p>
        </w:tc>
        <w:tc>
          <w:tcPr>
            <w:tcW w:w="0" w:type="auto"/>
            <w:shd w:val="clear" w:color="auto" w:fill="FFFFFF"/>
            <w:tcMar>
              <w:top w:w="40" w:type="dxa"/>
              <w:left w:w="0" w:type="dxa"/>
              <w:bottom w:w="40" w:type="dxa"/>
              <w:right w:w="20" w:type="dxa"/>
            </w:tcMar>
            <w:vAlign w:val="bottom"/>
          </w:tcPr>
          <w:p w14:paraId="7DCFDA1F"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2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21"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22" w14:textId="77777777" w:rsidR="00C1563E" w:rsidRDefault="000B648B">
            <w:pPr>
              <w:jc w:val="right"/>
              <w:textAlignment w:val="bottom"/>
            </w:pPr>
            <w:r>
              <w:rPr>
                <w:rFonts w:ascii="Times New Roman" w:eastAsia="宋体" w:hAnsi="Times New Roman"/>
                <w:color w:val="000000"/>
                <w:sz w:val="18"/>
                <w:szCs w:val="18"/>
              </w:rPr>
              <w:t>15,393 </w:t>
            </w:r>
          </w:p>
        </w:tc>
        <w:tc>
          <w:tcPr>
            <w:tcW w:w="0" w:type="auto"/>
            <w:shd w:val="clear" w:color="auto" w:fill="FFFFFF"/>
            <w:tcMar>
              <w:top w:w="40" w:type="dxa"/>
              <w:left w:w="0" w:type="dxa"/>
              <w:bottom w:w="40" w:type="dxa"/>
              <w:right w:w="20" w:type="dxa"/>
            </w:tcMar>
            <w:vAlign w:val="bottom"/>
          </w:tcPr>
          <w:p w14:paraId="7DCFDA2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2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25" w14:textId="77777777" w:rsidR="00C1563E" w:rsidRDefault="000B648B">
            <w:pPr>
              <w:jc w:val="right"/>
              <w:textAlignment w:val="bottom"/>
            </w:pPr>
            <w:r>
              <w:rPr>
                <w:rFonts w:ascii="Times New Roman" w:eastAsia="宋体" w:hAnsi="Times New Roman"/>
                <w:color w:val="000000"/>
                <w:sz w:val="18"/>
                <w:szCs w:val="18"/>
              </w:rPr>
              <w:t>22.0 </w:t>
            </w:r>
          </w:p>
        </w:tc>
        <w:tc>
          <w:tcPr>
            <w:tcW w:w="0" w:type="auto"/>
            <w:shd w:val="clear" w:color="auto" w:fill="FFFFFF"/>
            <w:tcMar>
              <w:top w:w="40" w:type="dxa"/>
              <w:left w:w="0" w:type="dxa"/>
              <w:bottom w:w="40" w:type="dxa"/>
              <w:right w:w="20" w:type="dxa"/>
            </w:tcMar>
            <w:vAlign w:val="bottom"/>
          </w:tcPr>
          <w:p w14:paraId="7DCFDA26"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A2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28" w14:textId="77777777" w:rsidR="00C1563E" w:rsidRDefault="000B648B">
            <w:pPr>
              <w:jc w:val="right"/>
              <w:textAlignment w:val="bottom"/>
            </w:pPr>
            <w:r>
              <w:rPr>
                <w:rFonts w:ascii="Times New Roman" w:eastAsia="宋体" w:hAnsi="Times New Roman"/>
                <w:color w:val="000000"/>
                <w:sz w:val="18"/>
                <w:szCs w:val="18"/>
              </w:rPr>
              <w:t>20 </w:t>
            </w:r>
          </w:p>
          <w:p w14:paraId="7DCFDA29" w14:textId="77777777" w:rsidR="00C1563E" w:rsidRDefault="000B648B">
            <w:pPr>
              <w:jc w:val="right"/>
              <w:textAlignment w:val="bottom"/>
            </w:pPr>
            <w:r>
              <w:rPr>
                <w:rFonts w:ascii="Times New Roman" w:eastAsia="宋体" w:hAnsi="Times New Roman"/>
                <w:color w:val="000000"/>
                <w:sz w:val="18"/>
                <w:szCs w:val="18"/>
              </w:rPr>
              <w:t>%</w:t>
            </w:r>
          </w:p>
          <w:p w14:paraId="7DCFDA2A" w14:textId="77777777" w:rsidR="00C1563E" w:rsidRDefault="000B648B">
            <w:pPr>
              <w:textAlignment w:val="bottom"/>
            </w:pPr>
            <w:r>
              <w:rPr>
                <w:rFonts w:ascii="Times New Roman" w:eastAsia="宋体" w:hAnsi="Times New Roman"/>
                <w:color w:val="000000"/>
                <w:sz w:val="18"/>
                <w:szCs w:val="18"/>
              </w:rPr>
              <w:t>$</w:t>
            </w:r>
          </w:p>
          <w:p w14:paraId="7DCFDA2B" w14:textId="77777777" w:rsidR="00C1563E" w:rsidRDefault="000B648B">
            <w:pPr>
              <w:jc w:val="right"/>
              <w:textAlignment w:val="bottom"/>
            </w:pPr>
            <w:r>
              <w:rPr>
                <w:rFonts w:ascii="Times New Roman" w:eastAsia="宋体" w:hAnsi="Times New Roman"/>
                <w:color w:val="000000"/>
                <w:sz w:val="18"/>
                <w:szCs w:val="18"/>
              </w:rPr>
              <w:t>12,818 </w:t>
            </w:r>
          </w:p>
          <w:p w14:paraId="7DCFDA2C" w14:textId="77777777" w:rsidR="00C1563E" w:rsidRDefault="000B648B">
            <w:pPr>
              <w:jc w:val="right"/>
              <w:textAlignment w:val="bottom"/>
            </w:pPr>
            <w:r>
              <w:rPr>
                <w:rFonts w:ascii="Times New Roman" w:eastAsia="宋体" w:hAnsi="Times New Roman"/>
                <w:color w:val="000000"/>
                <w:sz w:val="18"/>
                <w:szCs w:val="18"/>
              </w:rPr>
              <w:t>18.1 </w:t>
            </w:r>
          </w:p>
          <w:p w14:paraId="7DCFDA2D"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4E" w14:textId="77777777">
        <w:trPr>
          <w:jc w:val="center"/>
        </w:trPr>
        <w:tc>
          <w:tcPr>
            <w:tcW w:w="0" w:type="auto"/>
            <w:gridSpan w:val="3"/>
            <w:shd w:val="clear" w:color="auto" w:fill="CCEEFF"/>
            <w:tcMar>
              <w:top w:w="40" w:type="dxa"/>
              <w:left w:w="155" w:type="dxa"/>
              <w:bottom w:w="40" w:type="dxa"/>
              <w:right w:w="20" w:type="dxa"/>
            </w:tcMar>
            <w:vAlign w:val="bottom"/>
          </w:tcPr>
          <w:p w14:paraId="7DCFDA2F" w14:textId="77777777" w:rsidR="00C1563E" w:rsidRDefault="000B648B">
            <w:pPr>
              <w:textAlignment w:val="bottom"/>
            </w:pPr>
            <w:r>
              <w:rPr>
                <w:rFonts w:ascii="Times New Roman" w:eastAsia="宋体" w:hAnsi="Times New Roman"/>
                <w:color w:val="000000"/>
                <w:sz w:val="18"/>
                <w:szCs w:val="18"/>
              </w:rPr>
              <w:t>Services (b)</w:t>
            </w:r>
          </w:p>
        </w:tc>
        <w:tc>
          <w:tcPr>
            <w:tcW w:w="0" w:type="auto"/>
            <w:shd w:val="clear" w:color="auto" w:fill="auto"/>
          </w:tcPr>
          <w:p w14:paraId="7DCFDA30" w14:textId="77777777" w:rsidR="00C1563E" w:rsidRDefault="00C1563E">
            <w:pPr>
              <w:rPr>
                <w:rFonts w:ascii="宋体"/>
                <w:vanish/>
              </w:rPr>
            </w:pPr>
          </w:p>
        </w:tc>
        <w:tc>
          <w:tcPr>
            <w:tcW w:w="0" w:type="auto"/>
            <w:shd w:val="clear" w:color="auto" w:fill="auto"/>
          </w:tcPr>
          <w:p w14:paraId="7DCFDA31" w14:textId="77777777" w:rsidR="00C1563E" w:rsidRDefault="00C1563E">
            <w:pPr>
              <w:rPr>
                <w:rFonts w:ascii="宋体"/>
                <w:vanish/>
              </w:rPr>
            </w:pPr>
          </w:p>
        </w:tc>
        <w:tc>
          <w:tcPr>
            <w:tcW w:w="0" w:type="auto"/>
            <w:shd w:val="clear" w:color="auto" w:fill="auto"/>
          </w:tcPr>
          <w:p w14:paraId="7DCFDA32" w14:textId="77777777" w:rsidR="00C1563E" w:rsidRDefault="00C1563E">
            <w:pPr>
              <w:rPr>
                <w:rFonts w:ascii="宋体"/>
                <w:vanish/>
              </w:rPr>
            </w:pPr>
          </w:p>
        </w:tc>
        <w:tc>
          <w:tcPr>
            <w:tcW w:w="0" w:type="auto"/>
            <w:shd w:val="clear" w:color="auto" w:fill="auto"/>
          </w:tcPr>
          <w:p w14:paraId="7DCFDA33" w14:textId="77777777" w:rsidR="00C1563E" w:rsidRDefault="00C1563E">
            <w:pPr>
              <w:rPr>
                <w:rFonts w:ascii="宋体"/>
                <w:vanish/>
              </w:rPr>
            </w:pPr>
          </w:p>
        </w:tc>
        <w:tc>
          <w:tcPr>
            <w:tcW w:w="0" w:type="auto"/>
            <w:shd w:val="clear" w:color="auto" w:fill="auto"/>
          </w:tcPr>
          <w:p w14:paraId="7DCFDA34" w14:textId="77777777" w:rsidR="00C1563E" w:rsidRDefault="00C1563E">
            <w:pPr>
              <w:rPr>
                <w:rFonts w:ascii="宋体"/>
                <w:vanish/>
              </w:rPr>
            </w:pPr>
          </w:p>
        </w:tc>
        <w:tc>
          <w:tcPr>
            <w:tcW w:w="0" w:type="auto"/>
            <w:shd w:val="clear" w:color="auto" w:fill="auto"/>
          </w:tcPr>
          <w:p w14:paraId="7DCFDA35" w14:textId="77777777" w:rsidR="00C1563E" w:rsidRDefault="00C1563E">
            <w:pPr>
              <w:rPr>
                <w:rFonts w:ascii="宋体"/>
                <w:vanish/>
              </w:rPr>
            </w:pPr>
          </w:p>
        </w:tc>
        <w:tc>
          <w:tcPr>
            <w:tcW w:w="0" w:type="auto"/>
            <w:shd w:val="clear" w:color="auto" w:fill="auto"/>
          </w:tcPr>
          <w:p w14:paraId="7DCFDA36" w14:textId="77777777" w:rsidR="00C1563E" w:rsidRDefault="00C1563E">
            <w:pPr>
              <w:rPr>
                <w:rFonts w:ascii="宋体"/>
                <w:vanish/>
              </w:rPr>
            </w:pPr>
          </w:p>
        </w:tc>
        <w:tc>
          <w:tcPr>
            <w:tcW w:w="0" w:type="auto"/>
            <w:shd w:val="clear" w:color="auto" w:fill="auto"/>
          </w:tcPr>
          <w:p w14:paraId="7DCFDA37" w14:textId="77777777" w:rsidR="00C1563E" w:rsidRDefault="00C1563E">
            <w:pPr>
              <w:rPr>
                <w:rFonts w:ascii="宋体"/>
                <w:vanish/>
              </w:rPr>
            </w:pPr>
          </w:p>
        </w:tc>
        <w:tc>
          <w:tcPr>
            <w:tcW w:w="0" w:type="auto"/>
            <w:shd w:val="clear" w:color="auto" w:fill="auto"/>
          </w:tcPr>
          <w:p w14:paraId="7DCFDA38" w14:textId="77777777" w:rsidR="00C1563E" w:rsidRDefault="00C1563E">
            <w:pPr>
              <w:rPr>
                <w:rFonts w:ascii="宋体"/>
                <w:vanish/>
              </w:rPr>
            </w:pPr>
          </w:p>
        </w:tc>
        <w:tc>
          <w:tcPr>
            <w:tcW w:w="0" w:type="auto"/>
            <w:shd w:val="clear" w:color="auto" w:fill="auto"/>
          </w:tcPr>
          <w:p w14:paraId="7DCFDA39"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A3A" w14:textId="77777777" w:rsidR="00C1563E" w:rsidRDefault="000B648B">
            <w:pPr>
              <w:jc w:val="right"/>
              <w:textAlignment w:val="bottom"/>
            </w:pPr>
            <w:r>
              <w:rPr>
                <w:rFonts w:ascii="Times New Roman" w:eastAsia="宋体" w:hAnsi="Times New Roman"/>
                <w:color w:val="000000"/>
                <w:sz w:val="18"/>
                <w:szCs w:val="18"/>
              </w:rPr>
              <w:t>14,853 </w:t>
            </w:r>
          </w:p>
        </w:tc>
        <w:tc>
          <w:tcPr>
            <w:tcW w:w="0" w:type="auto"/>
            <w:shd w:val="clear" w:color="auto" w:fill="CCEEFF"/>
            <w:tcMar>
              <w:top w:w="40" w:type="dxa"/>
              <w:left w:w="0" w:type="dxa"/>
              <w:bottom w:w="40" w:type="dxa"/>
              <w:right w:w="20" w:type="dxa"/>
            </w:tcMar>
            <w:vAlign w:val="bottom"/>
          </w:tcPr>
          <w:p w14:paraId="7DCFDA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3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3D" w14:textId="77777777" w:rsidR="00C1563E" w:rsidRDefault="000B648B">
            <w:pPr>
              <w:jc w:val="right"/>
              <w:textAlignment w:val="bottom"/>
            </w:pPr>
            <w:r>
              <w:rPr>
                <w:rFonts w:ascii="Times New Roman" w:eastAsia="宋体" w:hAnsi="Times New Roman"/>
                <w:color w:val="000000"/>
                <w:sz w:val="18"/>
                <w:szCs w:val="18"/>
              </w:rPr>
              <w:t>61.1 </w:t>
            </w:r>
          </w:p>
        </w:tc>
        <w:tc>
          <w:tcPr>
            <w:tcW w:w="0" w:type="auto"/>
            <w:shd w:val="clear" w:color="auto" w:fill="CCEEFF"/>
            <w:tcMar>
              <w:top w:w="40" w:type="dxa"/>
              <w:left w:w="0" w:type="dxa"/>
              <w:bottom w:w="40" w:type="dxa"/>
              <w:right w:w="20" w:type="dxa"/>
            </w:tcMar>
            <w:vAlign w:val="bottom"/>
          </w:tcPr>
          <w:p w14:paraId="7DCFDA3E"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3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40" w14:textId="77777777" w:rsidR="00C1563E" w:rsidRDefault="000B648B">
            <w:pPr>
              <w:jc w:val="right"/>
              <w:textAlignment w:val="bottom"/>
            </w:pPr>
            <w:r>
              <w:rPr>
                <w:rFonts w:ascii="Times New Roman" w:eastAsia="宋体" w:hAnsi="Times New Roman"/>
                <w:color w:val="000000"/>
                <w:sz w:val="18"/>
                <w:szCs w:val="18"/>
              </w:rPr>
              <w:t>10 </w:t>
            </w:r>
          </w:p>
        </w:tc>
        <w:tc>
          <w:tcPr>
            <w:tcW w:w="0" w:type="auto"/>
            <w:shd w:val="clear" w:color="auto" w:fill="CCEEFF"/>
            <w:tcMar>
              <w:top w:w="40" w:type="dxa"/>
              <w:left w:w="0" w:type="dxa"/>
              <w:bottom w:w="40" w:type="dxa"/>
              <w:right w:w="20" w:type="dxa"/>
            </w:tcMar>
            <w:vAlign w:val="bottom"/>
          </w:tcPr>
          <w:p w14:paraId="7DCFDA4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4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43" w14:textId="77777777" w:rsidR="00C1563E" w:rsidRDefault="000B648B">
            <w:pPr>
              <w:jc w:val="right"/>
              <w:textAlignment w:val="bottom"/>
            </w:pPr>
            <w:r>
              <w:rPr>
                <w:rFonts w:ascii="Times New Roman" w:eastAsia="宋体" w:hAnsi="Times New Roman"/>
                <w:color w:val="000000"/>
                <w:sz w:val="18"/>
                <w:szCs w:val="18"/>
              </w:rPr>
              <w:t>13,540 </w:t>
            </w:r>
          </w:p>
        </w:tc>
        <w:tc>
          <w:tcPr>
            <w:tcW w:w="0" w:type="auto"/>
            <w:shd w:val="clear" w:color="auto" w:fill="CCEEFF"/>
            <w:tcMar>
              <w:top w:w="40" w:type="dxa"/>
              <w:left w:w="0" w:type="dxa"/>
              <w:bottom w:w="40" w:type="dxa"/>
              <w:right w:w="20" w:type="dxa"/>
            </w:tcMar>
            <w:vAlign w:val="bottom"/>
          </w:tcPr>
          <w:p w14:paraId="7DCFDA4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4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46" w14:textId="77777777" w:rsidR="00C1563E" w:rsidRDefault="000B648B">
            <w:pPr>
              <w:jc w:val="right"/>
              <w:textAlignment w:val="bottom"/>
            </w:pPr>
            <w:r>
              <w:rPr>
                <w:rFonts w:ascii="Times New Roman" w:eastAsia="宋体" w:hAnsi="Times New Roman"/>
                <w:color w:val="000000"/>
                <w:sz w:val="18"/>
                <w:szCs w:val="18"/>
              </w:rPr>
              <w:t>60.9 </w:t>
            </w:r>
          </w:p>
        </w:tc>
        <w:tc>
          <w:tcPr>
            <w:tcW w:w="0" w:type="auto"/>
            <w:shd w:val="clear" w:color="auto" w:fill="CCEEFF"/>
            <w:tcMar>
              <w:top w:w="40" w:type="dxa"/>
              <w:left w:w="0" w:type="dxa"/>
              <w:bottom w:w="40" w:type="dxa"/>
              <w:right w:w="20" w:type="dxa"/>
            </w:tcMar>
            <w:vAlign w:val="bottom"/>
          </w:tcPr>
          <w:p w14:paraId="7DCFDA4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A4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A49" w14:textId="77777777" w:rsidR="00C1563E" w:rsidRDefault="000B648B">
            <w:pPr>
              <w:jc w:val="right"/>
              <w:textAlignment w:val="bottom"/>
            </w:pPr>
            <w:r>
              <w:rPr>
                <w:rFonts w:ascii="Times New Roman" w:eastAsia="宋体" w:hAnsi="Times New Roman"/>
                <w:color w:val="000000"/>
                <w:sz w:val="18"/>
                <w:szCs w:val="18"/>
              </w:rPr>
              <w:t>11 </w:t>
            </w:r>
          </w:p>
          <w:p w14:paraId="7DCFDA4A" w14:textId="77777777" w:rsidR="00C1563E" w:rsidRDefault="000B648B">
            <w:pPr>
              <w:jc w:val="right"/>
              <w:textAlignment w:val="bottom"/>
            </w:pPr>
            <w:r>
              <w:rPr>
                <w:rFonts w:ascii="Times New Roman" w:eastAsia="宋体" w:hAnsi="Times New Roman"/>
                <w:color w:val="000000"/>
                <w:sz w:val="18"/>
                <w:szCs w:val="18"/>
              </w:rPr>
              <w:t>%</w:t>
            </w:r>
          </w:p>
          <w:p w14:paraId="7DCFDA4B" w14:textId="77777777" w:rsidR="00C1563E" w:rsidRDefault="000B648B">
            <w:pPr>
              <w:jc w:val="right"/>
              <w:textAlignment w:val="bottom"/>
            </w:pPr>
            <w:r>
              <w:rPr>
                <w:rFonts w:ascii="Times New Roman" w:eastAsia="宋体" w:hAnsi="Times New Roman"/>
                <w:color w:val="000000"/>
                <w:sz w:val="18"/>
                <w:szCs w:val="18"/>
              </w:rPr>
              <w:t>12,235 </w:t>
            </w:r>
          </w:p>
          <w:p w14:paraId="7DCFDA4C" w14:textId="77777777" w:rsidR="00C1563E" w:rsidRDefault="000B648B">
            <w:pPr>
              <w:jc w:val="right"/>
              <w:textAlignment w:val="bottom"/>
            </w:pPr>
            <w:r>
              <w:rPr>
                <w:rFonts w:ascii="Times New Roman" w:eastAsia="宋体" w:hAnsi="Times New Roman"/>
                <w:color w:val="000000"/>
                <w:sz w:val="18"/>
                <w:szCs w:val="18"/>
              </w:rPr>
              <w:t>61.4 </w:t>
            </w:r>
          </w:p>
          <w:p w14:paraId="7DCFDA4D"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71" w14:textId="77777777">
        <w:trPr>
          <w:jc w:val="center"/>
        </w:trPr>
        <w:tc>
          <w:tcPr>
            <w:tcW w:w="0" w:type="auto"/>
            <w:gridSpan w:val="3"/>
            <w:shd w:val="clear" w:color="auto" w:fill="FFFFFF"/>
            <w:tcMar>
              <w:top w:w="40" w:type="dxa"/>
              <w:left w:w="260" w:type="dxa"/>
              <w:bottom w:w="40" w:type="dxa"/>
              <w:right w:w="20" w:type="dxa"/>
            </w:tcMar>
            <w:vAlign w:val="bottom"/>
          </w:tcPr>
          <w:p w14:paraId="7DCFDA4F" w14:textId="77777777" w:rsidR="00C1563E" w:rsidRDefault="000B648B">
            <w:pPr>
              <w:textAlignment w:val="bottom"/>
            </w:pPr>
            <w:r>
              <w:rPr>
                <w:rFonts w:ascii="Times New Roman" w:eastAsia="宋体" w:hAnsi="Times New Roman"/>
                <w:color w:val="000000"/>
                <w:sz w:val="18"/>
                <w:szCs w:val="18"/>
              </w:rPr>
              <w:t>Total gross margin</w:t>
            </w:r>
          </w:p>
        </w:tc>
        <w:tc>
          <w:tcPr>
            <w:tcW w:w="0" w:type="auto"/>
            <w:shd w:val="clear" w:color="auto" w:fill="auto"/>
          </w:tcPr>
          <w:p w14:paraId="7DCFDA50" w14:textId="77777777" w:rsidR="00C1563E" w:rsidRDefault="00C1563E">
            <w:pPr>
              <w:rPr>
                <w:rFonts w:ascii="宋体"/>
                <w:vanish/>
              </w:rPr>
            </w:pPr>
          </w:p>
        </w:tc>
        <w:tc>
          <w:tcPr>
            <w:tcW w:w="0" w:type="auto"/>
            <w:shd w:val="clear" w:color="auto" w:fill="auto"/>
          </w:tcPr>
          <w:p w14:paraId="7DCFDA51" w14:textId="77777777" w:rsidR="00C1563E" w:rsidRDefault="00C1563E">
            <w:pPr>
              <w:rPr>
                <w:rFonts w:ascii="宋体"/>
                <w:vanish/>
              </w:rPr>
            </w:pPr>
          </w:p>
        </w:tc>
        <w:tc>
          <w:tcPr>
            <w:tcW w:w="0" w:type="auto"/>
            <w:shd w:val="clear" w:color="auto" w:fill="auto"/>
          </w:tcPr>
          <w:p w14:paraId="7DCFDA52" w14:textId="77777777" w:rsidR="00C1563E" w:rsidRDefault="00C1563E">
            <w:pPr>
              <w:rPr>
                <w:rFonts w:ascii="宋体"/>
                <w:vanish/>
              </w:rPr>
            </w:pPr>
          </w:p>
        </w:tc>
        <w:tc>
          <w:tcPr>
            <w:tcW w:w="0" w:type="auto"/>
            <w:shd w:val="clear" w:color="auto" w:fill="auto"/>
          </w:tcPr>
          <w:p w14:paraId="7DCFDA53" w14:textId="77777777" w:rsidR="00C1563E" w:rsidRDefault="00C1563E">
            <w:pPr>
              <w:rPr>
                <w:rFonts w:ascii="宋体"/>
                <w:vanish/>
              </w:rPr>
            </w:pPr>
          </w:p>
        </w:tc>
        <w:tc>
          <w:tcPr>
            <w:tcW w:w="0" w:type="auto"/>
            <w:shd w:val="clear" w:color="auto" w:fill="auto"/>
          </w:tcPr>
          <w:p w14:paraId="7DCFDA54" w14:textId="77777777" w:rsidR="00C1563E" w:rsidRDefault="00C1563E">
            <w:pPr>
              <w:rPr>
                <w:rFonts w:ascii="宋体"/>
                <w:vanish/>
              </w:rPr>
            </w:pPr>
          </w:p>
        </w:tc>
        <w:tc>
          <w:tcPr>
            <w:tcW w:w="0" w:type="auto"/>
            <w:shd w:val="clear" w:color="auto" w:fill="auto"/>
          </w:tcPr>
          <w:p w14:paraId="7DCFDA55" w14:textId="77777777" w:rsidR="00C1563E" w:rsidRDefault="00C1563E">
            <w:pPr>
              <w:rPr>
                <w:rFonts w:ascii="宋体"/>
                <w:vanish/>
              </w:rPr>
            </w:pPr>
          </w:p>
        </w:tc>
        <w:tc>
          <w:tcPr>
            <w:tcW w:w="0" w:type="auto"/>
            <w:shd w:val="clear" w:color="auto" w:fill="auto"/>
          </w:tcPr>
          <w:p w14:paraId="7DCFDA56" w14:textId="77777777" w:rsidR="00C1563E" w:rsidRDefault="00C1563E">
            <w:pPr>
              <w:rPr>
                <w:rFonts w:ascii="宋体"/>
                <w:vanish/>
              </w:rPr>
            </w:pPr>
          </w:p>
        </w:tc>
        <w:tc>
          <w:tcPr>
            <w:tcW w:w="0" w:type="auto"/>
            <w:shd w:val="clear" w:color="auto" w:fill="auto"/>
          </w:tcPr>
          <w:p w14:paraId="7DCFDA57" w14:textId="77777777" w:rsidR="00C1563E" w:rsidRDefault="00C1563E">
            <w:pPr>
              <w:rPr>
                <w:rFonts w:ascii="宋体"/>
                <w:vanish/>
              </w:rPr>
            </w:pPr>
          </w:p>
        </w:tc>
        <w:tc>
          <w:tcPr>
            <w:tcW w:w="0" w:type="auto"/>
            <w:shd w:val="clear" w:color="auto" w:fill="auto"/>
          </w:tcPr>
          <w:p w14:paraId="7DCFDA58" w14:textId="77777777" w:rsidR="00C1563E" w:rsidRDefault="00C1563E">
            <w:pPr>
              <w:rPr>
                <w:rFonts w:ascii="宋体"/>
                <w:vanish/>
              </w:rPr>
            </w:pPr>
          </w:p>
        </w:tc>
        <w:tc>
          <w:tcPr>
            <w:tcW w:w="0" w:type="auto"/>
            <w:shd w:val="clear" w:color="auto" w:fill="auto"/>
          </w:tcPr>
          <w:p w14:paraId="7DCFDA59"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A5A"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A5B" w14:textId="77777777" w:rsidR="00C1563E" w:rsidRDefault="000B648B">
            <w:pPr>
              <w:jc w:val="right"/>
              <w:textAlignment w:val="bottom"/>
            </w:pPr>
            <w:r>
              <w:rPr>
                <w:rFonts w:ascii="Times New Roman" w:eastAsia="宋体" w:hAnsi="Times New Roman"/>
                <w:color w:val="000000"/>
                <w:sz w:val="18"/>
                <w:szCs w:val="18"/>
              </w:rPr>
              <w:t>29,417 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A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5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5E" w14:textId="77777777" w:rsidR="00C1563E" w:rsidRDefault="000B648B">
            <w:pPr>
              <w:jc w:val="right"/>
              <w:textAlignment w:val="bottom"/>
            </w:pPr>
            <w:r>
              <w:rPr>
                <w:rFonts w:ascii="Times New Roman" w:eastAsia="宋体" w:hAnsi="Times New Roman"/>
                <w:color w:val="000000"/>
                <w:sz w:val="18"/>
                <w:szCs w:val="18"/>
              </w:rPr>
              <w:t>31.2 </w:t>
            </w:r>
          </w:p>
        </w:tc>
        <w:tc>
          <w:tcPr>
            <w:tcW w:w="0" w:type="auto"/>
            <w:shd w:val="clear" w:color="auto" w:fill="FFFFFF"/>
            <w:tcMar>
              <w:top w:w="40" w:type="dxa"/>
              <w:left w:w="0" w:type="dxa"/>
              <w:bottom w:w="40" w:type="dxa"/>
              <w:right w:w="20" w:type="dxa"/>
            </w:tcMar>
            <w:vAlign w:val="bottom"/>
          </w:tcPr>
          <w:p w14:paraId="7DCFDA5F"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6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61" w14:textId="77777777" w:rsidR="00C1563E" w:rsidRDefault="000B648B">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7DCFDA6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63"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A6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A65" w14:textId="77777777" w:rsidR="00C1563E" w:rsidRDefault="000B648B">
            <w:pPr>
              <w:jc w:val="right"/>
              <w:textAlignment w:val="bottom"/>
            </w:pPr>
            <w:r>
              <w:rPr>
                <w:rFonts w:ascii="Times New Roman" w:eastAsia="宋体" w:hAnsi="Times New Roman"/>
                <w:color w:val="000000"/>
                <w:sz w:val="18"/>
                <w:szCs w:val="18"/>
              </w:rPr>
              <w:t>28,933 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A6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6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68" w14:textId="77777777" w:rsidR="00C1563E" w:rsidRDefault="000B648B">
            <w:pPr>
              <w:jc w:val="right"/>
              <w:textAlignment w:val="bottom"/>
            </w:pPr>
            <w:r>
              <w:rPr>
                <w:rFonts w:ascii="Times New Roman" w:eastAsia="宋体" w:hAnsi="Times New Roman"/>
                <w:color w:val="000000"/>
                <w:sz w:val="18"/>
                <w:szCs w:val="18"/>
              </w:rPr>
              <w:t>31.4 </w:t>
            </w:r>
          </w:p>
        </w:tc>
        <w:tc>
          <w:tcPr>
            <w:tcW w:w="0" w:type="auto"/>
            <w:shd w:val="clear" w:color="auto" w:fill="FFFFFF"/>
            <w:tcMar>
              <w:top w:w="40" w:type="dxa"/>
              <w:left w:w="0" w:type="dxa"/>
              <w:bottom w:w="40" w:type="dxa"/>
              <w:right w:w="20" w:type="dxa"/>
            </w:tcMar>
            <w:vAlign w:val="bottom"/>
          </w:tcPr>
          <w:p w14:paraId="7DCFDA6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A6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6B" w14:textId="77777777" w:rsidR="00C1563E" w:rsidRDefault="000B648B">
            <w:pPr>
              <w:jc w:val="right"/>
              <w:textAlignment w:val="bottom"/>
            </w:pPr>
            <w:r>
              <w:rPr>
                <w:rFonts w:ascii="Times New Roman" w:eastAsia="宋体" w:hAnsi="Times New Roman"/>
                <w:color w:val="000000"/>
                <w:sz w:val="18"/>
                <w:szCs w:val="18"/>
              </w:rPr>
              <w:t>15 </w:t>
            </w:r>
          </w:p>
          <w:p w14:paraId="7DCFDA6C" w14:textId="77777777" w:rsidR="00C1563E" w:rsidRDefault="000B648B">
            <w:pPr>
              <w:jc w:val="right"/>
              <w:textAlignment w:val="bottom"/>
            </w:pPr>
            <w:r>
              <w:rPr>
                <w:rFonts w:ascii="Times New Roman" w:eastAsia="宋体" w:hAnsi="Times New Roman"/>
                <w:color w:val="000000"/>
                <w:sz w:val="18"/>
                <w:szCs w:val="18"/>
              </w:rPr>
              <w:t>%</w:t>
            </w:r>
          </w:p>
          <w:p w14:paraId="7DCFDA6D" w14:textId="77777777" w:rsidR="00C1563E" w:rsidRDefault="000B648B">
            <w:pPr>
              <w:textAlignment w:val="bottom"/>
            </w:pPr>
            <w:r>
              <w:rPr>
                <w:rFonts w:ascii="Times New Roman" w:eastAsia="宋体" w:hAnsi="Times New Roman"/>
                <w:color w:val="000000"/>
                <w:sz w:val="18"/>
                <w:szCs w:val="18"/>
              </w:rPr>
              <w:t>$</w:t>
            </w:r>
          </w:p>
          <w:p w14:paraId="7DCFDA6E" w14:textId="77777777" w:rsidR="00C1563E" w:rsidRDefault="000B648B">
            <w:pPr>
              <w:jc w:val="right"/>
              <w:textAlignment w:val="bottom"/>
            </w:pPr>
            <w:r>
              <w:rPr>
                <w:rFonts w:ascii="Times New Roman" w:eastAsia="宋体" w:hAnsi="Times New Roman"/>
                <w:color w:val="000000"/>
                <w:sz w:val="18"/>
                <w:szCs w:val="18"/>
              </w:rPr>
              <w:t>25,053 </w:t>
            </w:r>
          </w:p>
          <w:p w14:paraId="7DCFDA6F" w14:textId="77777777" w:rsidR="00C1563E" w:rsidRDefault="000B648B">
            <w:pPr>
              <w:jc w:val="right"/>
              <w:textAlignment w:val="bottom"/>
            </w:pPr>
            <w:r>
              <w:rPr>
                <w:rFonts w:ascii="Times New Roman" w:eastAsia="宋体" w:hAnsi="Times New Roman"/>
                <w:color w:val="000000"/>
                <w:sz w:val="18"/>
                <w:szCs w:val="18"/>
              </w:rPr>
              <w:t>27.6 </w:t>
            </w:r>
          </w:p>
          <w:p w14:paraId="7DCFDA70"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94" w14:textId="77777777">
        <w:trPr>
          <w:jc w:val="center"/>
        </w:trPr>
        <w:tc>
          <w:tcPr>
            <w:tcW w:w="0" w:type="auto"/>
            <w:gridSpan w:val="3"/>
            <w:shd w:val="clear" w:color="auto" w:fill="CCEEFF"/>
            <w:tcMar>
              <w:top w:w="40" w:type="dxa"/>
              <w:left w:w="20" w:type="dxa"/>
              <w:bottom w:w="40" w:type="dxa"/>
              <w:right w:w="20" w:type="dxa"/>
            </w:tcMar>
            <w:vAlign w:val="bottom"/>
          </w:tcPr>
          <w:p w14:paraId="7DCFDA72" w14:textId="77777777" w:rsidR="00C1563E" w:rsidRDefault="000B648B">
            <w:pPr>
              <w:textAlignment w:val="bottom"/>
            </w:pPr>
            <w:r>
              <w:rPr>
                <w:rFonts w:ascii="Times New Roman" w:eastAsia="宋体" w:hAnsi="Times New Roman"/>
                <w:color w:val="000000"/>
                <w:sz w:val="18"/>
                <w:szCs w:val="18"/>
              </w:rPr>
              <w:t>Ope</w:t>
            </w:r>
            <w:r>
              <w:rPr>
                <w:rFonts w:ascii="Times New Roman" w:eastAsia="宋体" w:hAnsi="Times New Roman"/>
                <w:color w:val="000000"/>
                <w:sz w:val="18"/>
                <w:szCs w:val="18"/>
              </w:rPr>
              <w:t>rating expenses</w:t>
            </w:r>
          </w:p>
        </w:tc>
        <w:tc>
          <w:tcPr>
            <w:tcW w:w="0" w:type="auto"/>
            <w:shd w:val="clear" w:color="auto" w:fill="auto"/>
          </w:tcPr>
          <w:p w14:paraId="7DCFDA73" w14:textId="77777777" w:rsidR="00C1563E" w:rsidRDefault="00C1563E">
            <w:pPr>
              <w:rPr>
                <w:rFonts w:ascii="宋体"/>
                <w:vanish/>
              </w:rPr>
            </w:pPr>
          </w:p>
        </w:tc>
        <w:tc>
          <w:tcPr>
            <w:tcW w:w="0" w:type="auto"/>
            <w:shd w:val="clear" w:color="auto" w:fill="auto"/>
          </w:tcPr>
          <w:p w14:paraId="7DCFDA74" w14:textId="77777777" w:rsidR="00C1563E" w:rsidRDefault="00C1563E">
            <w:pPr>
              <w:rPr>
                <w:rFonts w:ascii="宋体"/>
                <w:vanish/>
              </w:rPr>
            </w:pPr>
          </w:p>
        </w:tc>
        <w:tc>
          <w:tcPr>
            <w:tcW w:w="0" w:type="auto"/>
            <w:shd w:val="clear" w:color="auto" w:fill="auto"/>
          </w:tcPr>
          <w:p w14:paraId="7DCFDA75" w14:textId="77777777" w:rsidR="00C1563E" w:rsidRDefault="00C1563E">
            <w:pPr>
              <w:rPr>
                <w:rFonts w:ascii="宋体"/>
                <w:vanish/>
              </w:rPr>
            </w:pPr>
          </w:p>
        </w:tc>
        <w:tc>
          <w:tcPr>
            <w:tcW w:w="0" w:type="auto"/>
            <w:shd w:val="clear" w:color="auto" w:fill="auto"/>
          </w:tcPr>
          <w:p w14:paraId="7DCFDA76" w14:textId="77777777" w:rsidR="00C1563E" w:rsidRDefault="00C1563E">
            <w:pPr>
              <w:rPr>
                <w:rFonts w:ascii="宋体"/>
                <w:vanish/>
              </w:rPr>
            </w:pPr>
          </w:p>
        </w:tc>
        <w:tc>
          <w:tcPr>
            <w:tcW w:w="0" w:type="auto"/>
            <w:shd w:val="clear" w:color="auto" w:fill="auto"/>
          </w:tcPr>
          <w:p w14:paraId="7DCFDA77" w14:textId="77777777" w:rsidR="00C1563E" w:rsidRDefault="00C1563E">
            <w:pPr>
              <w:rPr>
                <w:rFonts w:ascii="宋体"/>
                <w:vanish/>
              </w:rPr>
            </w:pPr>
          </w:p>
        </w:tc>
        <w:tc>
          <w:tcPr>
            <w:tcW w:w="0" w:type="auto"/>
            <w:shd w:val="clear" w:color="auto" w:fill="auto"/>
          </w:tcPr>
          <w:p w14:paraId="7DCFDA78" w14:textId="77777777" w:rsidR="00C1563E" w:rsidRDefault="00C1563E">
            <w:pPr>
              <w:rPr>
                <w:rFonts w:ascii="宋体"/>
                <w:vanish/>
              </w:rPr>
            </w:pPr>
          </w:p>
        </w:tc>
        <w:tc>
          <w:tcPr>
            <w:tcW w:w="0" w:type="auto"/>
            <w:shd w:val="clear" w:color="auto" w:fill="auto"/>
          </w:tcPr>
          <w:p w14:paraId="7DCFDA79" w14:textId="77777777" w:rsidR="00C1563E" w:rsidRDefault="00C1563E">
            <w:pPr>
              <w:rPr>
                <w:rFonts w:ascii="宋体"/>
                <w:vanish/>
              </w:rPr>
            </w:pPr>
          </w:p>
        </w:tc>
        <w:tc>
          <w:tcPr>
            <w:tcW w:w="0" w:type="auto"/>
            <w:shd w:val="clear" w:color="auto" w:fill="auto"/>
          </w:tcPr>
          <w:p w14:paraId="7DCFDA7A" w14:textId="77777777" w:rsidR="00C1563E" w:rsidRDefault="00C1563E">
            <w:pPr>
              <w:rPr>
                <w:rFonts w:ascii="宋体"/>
                <w:vanish/>
              </w:rPr>
            </w:pPr>
          </w:p>
        </w:tc>
        <w:tc>
          <w:tcPr>
            <w:tcW w:w="0" w:type="auto"/>
            <w:shd w:val="clear" w:color="auto" w:fill="auto"/>
          </w:tcPr>
          <w:p w14:paraId="7DCFDA7B" w14:textId="77777777" w:rsidR="00C1563E" w:rsidRDefault="00C1563E">
            <w:pPr>
              <w:rPr>
                <w:rFonts w:ascii="宋体"/>
                <w:vanish/>
              </w:rPr>
            </w:pPr>
          </w:p>
        </w:tc>
        <w:tc>
          <w:tcPr>
            <w:tcW w:w="0" w:type="auto"/>
            <w:shd w:val="clear" w:color="auto" w:fill="auto"/>
          </w:tcPr>
          <w:p w14:paraId="7DCFDA7C"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A7D"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A7E" w14:textId="77777777" w:rsidR="00C1563E" w:rsidRDefault="000B648B">
            <w:pPr>
              <w:jc w:val="right"/>
              <w:textAlignment w:val="bottom"/>
            </w:pPr>
            <w:r>
              <w:rPr>
                <w:rFonts w:ascii="Times New Roman" w:eastAsia="宋体" w:hAnsi="Times New Roman"/>
                <w:color w:val="000000"/>
                <w:sz w:val="18"/>
                <w:szCs w:val="18"/>
              </w:rPr>
              <w:t>24,273 </w:t>
            </w:r>
          </w:p>
        </w:tc>
        <w:tc>
          <w:tcPr>
            <w:tcW w:w="0" w:type="auto"/>
            <w:shd w:val="clear" w:color="auto" w:fill="CCEEFF"/>
            <w:tcMar>
              <w:top w:w="40" w:type="dxa"/>
              <w:left w:w="0" w:type="dxa"/>
              <w:bottom w:w="40" w:type="dxa"/>
              <w:right w:w="20" w:type="dxa"/>
            </w:tcMar>
            <w:vAlign w:val="bottom"/>
          </w:tcPr>
          <w:p w14:paraId="7DCFDA7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8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81" w14:textId="77777777" w:rsidR="00C1563E" w:rsidRDefault="000B648B">
            <w:pPr>
              <w:jc w:val="right"/>
              <w:textAlignment w:val="bottom"/>
            </w:pPr>
            <w:r>
              <w:rPr>
                <w:rFonts w:ascii="Times New Roman" w:eastAsia="宋体" w:hAnsi="Times New Roman"/>
                <w:color w:val="000000"/>
                <w:sz w:val="18"/>
                <w:szCs w:val="18"/>
              </w:rPr>
              <w:t>25.7 </w:t>
            </w:r>
          </w:p>
        </w:tc>
        <w:tc>
          <w:tcPr>
            <w:tcW w:w="0" w:type="auto"/>
            <w:shd w:val="clear" w:color="auto" w:fill="CCEEFF"/>
            <w:tcMar>
              <w:top w:w="40" w:type="dxa"/>
              <w:left w:w="0" w:type="dxa"/>
              <w:bottom w:w="40" w:type="dxa"/>
              <w:right w:w="20" w:type="dxa"/>
            </w:tcMar>
            <w:vAlign w:val="bottom"/>
          </w:tcPr>
          <w:p w14:paraId="7DCFDA8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8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84" w14:textId="77777777" w:rsidR="00C1563E" w:rsidRDefault="000B648B">
            <w:pPr>
              <w:jc w:val="right"/>
              <w:textAlignment w:val="bottom"/>
            </w:pPr>
            <w:r>
              <w:rPr>
                <w:rFonts w:ascii="Times New Roman" w:eastAsia="宋体" w:hAnsi="Times New Roman"/>
                <w:color w:val="000000"/>
                <w:sz w:val="18"/>
                <w:szCs w:val="18"/>
              </w:rPr>
              <w:t>(8)</w:t>
            </w:r>
          </w:p>
        </w:tc>
        <w:tc>
          <w:tcPr>
            <w:tcW w:w="0" w:type="auto"/>
            <w:shd w:val="clear" w:color="auto" w:fill="CCEEFF"/>
            <w:tcMar>
              <w:top w:w="40" w:type="dxa"/>
              <w:left w:w="0" w:type="dxa"/>
              <w:bottom w:w="40" w:type="dxa"/>
              <w:right w:w="20" w:type="dxa"/>
            </w:tcMar>
            <w:vAlign w:val="bottom"/>
          </w:tcPr>
          <w:p w14:paraId="7DCFDA85"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8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A87"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A88" w14:textId="77777777" w:rsidR="00C1563E" w:rsidRDefault="000B648B">
            <w:pPr>
              <w:jc w:val="right"/>
              <w:textAlignment w:val="bottom"/>
            </w:pPr>
            <w:r>
              <w:rPr>
                <w:rFonts w:ascii="Times New Roman" w:eastAsia="宋体" w:hAnsi="Times New Roman"/>
                <w:color w:val="000000"/>
                <w:sz w:val="18"/>
                <w:szCs w:val="18"/>
              </w:rPr>
              <w:t>26,311 </w:t>
            </w:r>
          </w:p>
        </w:tc>
        <w:tc>
          <w:tcPr>
            <w:tcW w:w="0" w:type="auto"/>
            <w:shd w:val="clear" w:color="auto" w:fill="CCEEFF"/>
            <w:tcMar>
              <w:top w:w="40" w:type="dxa"/>
              <w:left w:w="0" w:type="dxa"/>
              <w:bottom w:w="40" w:type="dxa"/>
              <w:right w:w="20" w:type="dxa"/>
            </w:tcMar>
            <w:vAlign w:val="bottom"/>
          </w:tcPr>
          <w:p w14:paraId="7DCFDA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8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8B" w14:textId="77777777" w:rsidR="00C1563E" w:rsidRDefault="000B648B">
            <w:pPr>
              <w:jc w:val="right"/>
              <w:textAlignment w:val="bottom"/>
            </w:pPr>
            <w:r>
              <w:rPr>
                <w:rFonts w:ascii="Times New Roman" w:eastAsia="宋体" w:hAnsi="Times New Roman"/>
                <w:color w:val="000000"/>
                <w:sz w:val="18"/>
                <w:szCs w:val="18"/>
              </w:rPr>
              <w:t>28.6 </w:t>
            </w:r>
          </w:p>
        </w:tc>
        <w:tc>
          <w:tcPr>
            <w:tcW w:w="0" w:type="auto"/>
            <w:shd w:val="clear" w:color="auto" w:fill="CCEEFF"/>
            <w:tcMar>
              <w:top w:w="40" w:type="dxa"/>
              <w:left w:w="0" w:type="dxa"/>
              <w:bottom w:w="40" w:type="dxa"/>
              <w:right w:w="20" w:type="dxa"/>
            </w:tcMar>
            <w:vAlign w:val="bottom"/>
          </w:tcPr>
          <w:p w14:paraId="7DCFDA8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A8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A8E" w14:textId="77777777" w:rsidR="00C1563E" w:rsidRDefault="000B648B">
            <w:pPr>
              <w:jc w:val="right"/>
              <w:textAlignment w:val="bottom"/>
            </w:pPr>
            <w:r>
              <w:rPr>
                <w:rFonts w:ascii="Times New Roman" w:eastAsia="宋体" w:hAnsi="Times New Roman"/>
                <w:color w:val="000000"/>
                <w:sz w:val="18"/>
                <w:szCs w:val="18"/>
              </w:rPr>
              <w:t>4 </w:t>
            </w:r>
          </w:p>
          <w:p w14:paraId="7DCFDA8F" w14:textId="77777777" w:rsidR="00C1563E" w:rsidRDefault="000B648B">
            <w:pPr>
              <w:jc w:val="right"/>
              <w:textAlignment w:val="bottom"/>
            </w:pPr>
            <w:r>
              <w:rPr>
                <w:rFonts w:ascii="Times New Roman" w:eastAsia="宋体" w:hAnsi="Times New Roman"/>
                <w:color w:val="000000"/>
                <w:sz w:val="18"/>
                <w:szCs w:val="18"/>
              </w:rPr>
              <w:t>%</w:t>
            </w:r>
          </w:p>
          <w:p w14:paraId="7DCFDA90" w14:textId="77777777" w:rsidR="00C1563E" w:rsidRDefault="000B648B">
            <w:pPr>
              <w:textAlignment w:val="bottom"/>
            </w:pPr>
            <w:r>
              <w:rPr>
                <w:rFonts w:ascii="Times New Roman" w:eastAsia="宋体" w:hAnsi="Times New Roman"/>
                <w:color w:val="000000"/>
                <w:sz w:val="18"/>
                <w:szCs w:val="18"/>
              </w:rPr>
              <w:t>$</w:t>
            </w:r>
          </w:p>
          <w:p w14:paraId="7DCFDA91" w14:textId="77777777" w:rsidR="00C1563E" w:rsidRDefault="000B648B">
            <w:pPr>
              <w:jc w:val="right"/>
              <w:textAlignment w:val="bottom"/>
            </w:pPr>
            <w:r>
              <w:rPr>
                <w:rFonts w:ascii="Times New Roman" w:eastAsia="宋体" w:hAnsi="Times New Roman"/>
                <w:color w:val="000000"/>
                <w:sz w:val="18"/>
                <w:szCs w:val="18"/>
              </w:rPr>
              <w:t>25,244 </w:t>
            </w:r>
          </w:p>
          <w:p w14:paraId="7DCFDA92" w14:textId="77777777" w:rsidR="00C1563E" w:rsidRDefault="000B648B">
            <w:pPr>
              <w:jc w:val="right"/>
              <w:textAlignment w:val="bottom"/>
            </w:pPr>
            <w:r>
              <w:rPr>
                <w:rFonts w:ascii="Times New Roman" w:eastAsia="宋体" w:hAnsi="Times New Roman"/>
                <w:color w:val="000000"/>
                <w:sz w:val="18"/>
                <w:szCs w:val="18"/>
              </w:rPr>
              <w:t>27.8 </w:t>
            </w:r>
          </w:p>
          <w:p w14:paraId="7DCFDA93"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B6" w14:textId="77777777">
        <w:trPr>
          <w:jc w:val="center"/>
        </w:trPr>
        <w:tc>
          <w:tcPr>
            <w:tcW w:w="0" w:type="auto"/>
            <w:gridSpan w:val="3"/>
            <w:shd w:val="clear" w:color="auto" w:fill="FFFFFF"/>
            <w:tcMar>
              <w:top w:w="40" w:type="dxa"/>
              <w:left w:w="20" w:type="dxa"/>
              <w:bottom w:w="40" w:type="dxa"/>
              <w:right w:w="20" w:type="dxa"/>
            </w:tcMar>
            <w:vAlign w:val="bottom"/>
          </w:tcPr>
          <w:p w14:paraId="7DCFDA95" w14:textId="77777777" w:rsidR="00C1563E" w:rsidRDefault="000B648B">
            <w:pPr>
              <w:textAlignment w:val="bottom"/>
            </w:pPr>
            <w:r>
              <w:rPr>
                <w:rFonts w:ascii="Times New Roman" w:eastAsia="宋体" w:hAnsi="Times New Roman"/>
                <w:color w:val="000000"/>
                <w:sz w:val="18"/>
                <w:szCs w:val="18"/>
              </w:rPr>
              <w:t xml:space="preserve">Operating income </w:t>
            </w:r>
            <w:r>
              <w:rPr>
                <w:rFonts w:ascii="Times New Roman" w:eastAsia="宋体" w:hAnsi="Times New Roman"/>
                <w:color w:val="000000"/>
                <w:sz w:val="18"/>
                <w:szCs w:val="18"/>
              </w:rPr>
              <w:t>(loss)</w:t>
            </w:r>
          </w:p>
        </w:tc>
        <w:tc>
          <w:tcPr>
            <w:tcW w:w="0" w:type="auto"/>
            <w:shd w:val="clear" w:color="auto" w:fill="auto"/>
          </w:tcPr>
          <w:p w14:paraId="7DCFDA96" w14:textId="77777777" w:rsidR="00C1563E" w:rsidRDefault="00C1563E">
            <w:pPr>
              <w:rPr>
                <w:rFonts w:ascii="宋体"/>
                <w:vanish/>
              </w:rPr>
            </w:pPr>
          </w:p>
        </w:tc>
        <w:tc>
          <w:tcPr>
            <w:tcW w:w="0" w:type="auto"/>
            <w:shd w:val="clear" w:color="auto" w:fill="auto"/>
          </w:tcPr>
          <w:p w14:paraId="7DCFDA97" w14:textId="77777777" w:rsidR="00C1563E" w:rsidRDefault="00C1563E">
            <w:pPr>
              <w:rPr>
                <w:rFonts w:ascii="宋体"/>
                <w:vanish/>
              </w:rPr>
            </w:pPr>
          </w:p>
        </w:tc>
        <w:tc>
          <w:tcPr>
            <w:tcW w:w="0" w:type="auto"/>
            <w:shd w:val="clear" w:color="auto" w:fill="auto"/>
          </w:tcPr>
          <w:p w14:paraId="7DCFDA98" w14:textId="77777777" w:rsidR="00C1563E" w:rsidRDefault="00C1563E">
            <w:pPr>
              <w:rPr>
                <w:rFonts w:ascii="宋体"/>
                <w:vanish/>
              </w:rPr>
            </w:pPr>
          </w:p>
        </w:tc>
        <w:tc>
          <w:tcPr>
            <w:tcW w:w="0" w:type="auto"/>
            <w:shd w:val="clear" w:color="auto" w:fill="auto"/>
          </w:tcPr>
          <w:p w14:paraId="7DCFDA99" w14:textId="77777777" w:rsidR="00C1563E" w:rsidRDefault="00C1563E">
            <w:pPr>
              <w:rPr>
                <w:rFonts w:ascii="宋体"/>
                <w:vanish/>
              </w:rPr>
            </w:pPr>
          </w:p>
        </w:tc>
        <w:tc>
          <w:tcPr>
            <w:tcW w:w="0" w:type="auto"/>
            <w:shd w:val="clear" w:color="auto" w:fill="auto"/>
          </w:tcPr>
          <w:p w14:paraId="7DCFDA9A" w14:textId="77777777" w:rsidR="00C1563E" w:rsidRDefault="00C1563E">
            <w:pPr>
              <w:rPr>
                <w:rFonts w:ascii="宋体"/>
                <w:vanish/>
              </w:rPr>
            </w:pPr>
          </w:p>
        </w:tc>
        <w:tc>
          <w:tcPr>
            <w:tcW w:w="0" w:type="auto"/>
            <w:shd w:val="clear" w:color="auto" w:fill="auto"/>
          </w:tcPr>
          <w:p w14:paraId="7DCFDA9B" w14:textId="77777777" w:rsidR="00C1563E" w:rsidRDefault="00C1563E">
            <w:pPr>
              <w:rPr>
                <w:rFonts w:ascii="宋体"/>
                <w:vanish/>
              </w:rPr>
            </w:pPr>
          </w:p>
        </w:tc>
        <w:tc>
          <w:tcPr>
            <w:tcW w:w="0" w:type="auto"/>
            <w:shd w:val="clear" w:color="auto" w:fill="auto"/>
          </w:tcPr>
          <w:p w14:paraId="7DCFDA9C" w14:textId="77777777" w:rsidR="00C1563E" w:rsidRDefault="00C1563E">
            <w:pPr>
              <w:rPr>
                <w:rFonts w:ascii="宋体"/>
                <w:vanish/>
              </w:rPr>
            </w:pPr>
          </w:p>
        </w:tc>
        <w:tc>
          <w:tcPr>
            <w:tcW w:w="0" w:type="auto"/>
            <w:shd w:val="clear" w:color="auto" w:fill="auto"/>
          </w:tcPr>
          <w:p w14:paraId="7DCFDA9D" w14:textId="77777777" w:rsidR="00C1563E" w:rsidRDefault="00C1563E">
            <w:pPr>
              <w:rPr>
                <w:rFonts w:ascii="宋体"/>
                <w:vanish/>
              </w:rPr>
            </w:pPr>
          </w:p>
        </w:tc>
        <w:tc>
          <w:tcPr>
            <w:tcW w:w="0" w:type="auto"/>
            <w:shd w:val="clear" w:color="auto" w:fill="auto"/>
          </w:tcPr>
          <w:p w14:paraId="7DCFDA9E" w14:textId="77777777" w:rsidR="00C1563E" w:rsidRDefault="00C1563E">
            <w:pPr>
              <w:rPr>
                <w:rFonts w:ascii="宋体"/>
                <w:vanish/>
              </w:rPr>
            </w:pPr>
          </w:p>
        </w:tc>
        <w:tc>
          <w:tcPr>
            <w:tcW w:w="0" w:type="auto"/>
            <w:shd w:val="clear" w:color="auto" w:fill="auto"/>
          </w:tcPr>
          <w:p w14:paraId="7DCFDA9F"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AA0"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A1" w14:textId="77777777" w:rsidR="00C1563E" w:rsidRDefault="000B648B">
            <w:pPr>
              <w:jc w:val="right"/>
              <w:textAlignment w:val="bottom"/>
            </w:pPr>
            <w:r>
              <w:rPr>
                <w:rFonts w:ascii="Times New Roman" w:eastAsia="宋体" w:hAnsi="Times New Roman"/>
                <w:color w:val="000000"/>
                <w:sz w:val="18"/>
                <w:szCs w:val="18"/>
              </w:rPr>
              <w:t>5,144 </w:t>
            </w:r>
          </w:p>
        </w:tc>
        <w:tc>
          <w:tcPr>
            <w:tcW w:w="0" w:type="auto"/>
            <w:shd w:val="clear" w:color="auto" w:fill="FFFFFF"/>
            <w:tcMar>
              <w:top w:w="40" w:type="dxa"/>
              <w:left w:w="0" w:type="dxa"/>
              <w:bottom w:w="40" w:type="dxa"/>
              <w:right w:w="20" w:type="dxa"/>
            </w:tcMar>
            <w:vAlign w:val="bottom"/>
          </w:tcPr>
          <w:p w14:paraId="7DCFDAA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A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A4" w14:textId="77777777" w:rsidR="00C1563E" w:rsidRDefault="000B648B">
            <w:pPr>
              <w:jc w:val="right"/>
              <w:textAlignment w:val="bottom"/>
            </w:pPr>
            <w:r>
              <w:rPr>
                <w:rFonts w:ascii="Times New Roman" w:eastAsia="宋体" w:hAnsi="Times New Roman"/>
                <w:color w:val="000000"/>
                <w:sz w:val="18"/>
                <w:szCs w:val="18"/>
              </w:rPr>
              <w:t>5.5 </w:t>
            </w:r>
          </w:p>
        </w:tc>
        <w:tc>
          <w:tcPr>
            <w:tcW w:w="0" w:type="auto"/>
            <w:shd w:val="clear" w:color="auto" w:fill="FFFFFF"/>
            <w:tcMar>
              <w:top w:w="40" w:type="dxa"/>
              <w:left w:w="0" w:type="dxa"/>
              <w:bottom w:w="40" w:type="dxa"/>
              <w:right w:w="20" w:type="dxa"/>
            </w:tcMar>
            <w:vAlign w:val="bottom"/>
          </w:tcPr>
          <w:p w14:paraId="7DCFDAA5"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A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A7" w14:textId="77777777" w:rsidR="00C1563E" w:rsidRDefault="000B648B">
            <w:pPr>
              <w:jc w:val="right"/>
              <w:textAlignment w:val="bottom"/>
            </w:pPr>
            <w:r>
              <w:rPr>
                <w:rFonts w:ascii="Times New Roman" w:eastAsia="宋体" w:hAnsi="Times New Roman"/>
                <w:color w:val="000000"/>
                <w:sz w:val="18"/>
                <w:szCs w:val="18"/>
              </w:rPr>
              <w:t>96 </w:t>
            </w:r>
          </w:p>
        </w:tc>
        <w:tc>
          <w:tcPr>
            <w:tcW w:w="0" w:type="auto"/>
            <w:shd w:val="clear" w:color="auto" w:fill="FFFFFF"/>
            <w:tcMar>
              <w:top w:w="40" w:type="dxa"/>
              <w:left w:w="0" w:type="dxa"/>
              <w:bottom w:w="40" w:type="dxa"/>
              <w:right w:w="20" w:type="dxa"/>
            </w:tcMar>
            <w:vAlign w:val="bottom"/>
          </w:tcPr>
          <w:p w14:paraId="7DCFDAA8"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A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AA"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AB" w14:textId="77777777" w:rsidR="00C1563E" w:rsidRDefault="000B648B">
            <w:pPr>
              <w:jc w:val="right"/>
              <w:textAlignment w:val="bottom"/>
            </w:pPr>
            <w:r>
              <w:rPr>
                <w:rFonts w:ascii="Times New Roman" w:eastAsia="宋体" w:hAnsi="Times New Roman"/>
                <w:color w:val="000000"/>
                <w:sz w:val="18"/>
                <w:szCs w:val="18"/>
              </w:rPr>
              <w:t>2,622 </w:t>
            </w:r>
          </w:p>
        </w:tc>
        <w:tc>
          <w:tcPr>
            <w:tcW w:w="0" w:type="auto"/>
            <w:shd w:val="clear" w:color="auto" w:fill="FFFFFF"/>
            <w:tcMar>
              <w:top w:w="40" w:type="dxa"/>
              <w:left w:w="0" w:type="dxa"/>
              <w:bottom w:w="40" w:type="dxa"/>
              <w:right w:w="20" w:type="dxa"/>
            </w:tcMar>
            <w:vAlign w:val="bottom"/>
          </w:tcPr>
          <w:p w14:paraId="7DCFDA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A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AE" w14:textId="77777777" w:rsidR="00C1563E" w:rsidRDefault="000B648B">
            <w:pPr>
              <w:jc w:val="right"/>
              <w:textAlignment w:val="bottom"/>
            </w:pPr>
            <w:r>
              <w:rPr>
                <w:rFonts w:ascii="Times New Roman" w:eastAsia="宋体" w:hAnsi="Times New Roman"/>
                <w:color w:val="000000"/>
                <w:sz w:val="18"/>
                <w:szCs w:val="18"/>
              </w:rPr>
              <w:t>2.8 </w:t>
            </w:r>
          </w:p>
        </w:tc>
        <w:tc>
          <w:tcPr>
            <w:tcW w:w="0" w:type="auto"/>
            <w:shd w:val="clear" w:color="auto" w:fill="FFFFFF"/>
            <w:tcMar>
              <w:top w:w="40" w:type="dxa"/>
              <w:left w:w="0" w:type="dxa"/>
              <w:bottom w:w="40" w:type="dxa"/>
              <w:right w:w="20" w:type="dxa"/>
            </w:tcMar>
            <w:vAlign w:val="bottom"/>
          </w:tcPr>
          <w:p w14:paraId="7DCFDAAF"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AB0" w14:textId="77777777" w:rsidR="00C1563E" w:rsidRDefault="00C1563E">
            <w:pPr>
              <w:rPr>
                <w:rFonts w:ascii="宋体"/>
              </w:rPr>
            </w:pPr>
          </w:p>
        </w:tc>
        <w:tc>
          <w:tcPr>
            <w:tcW w:w="0" w:type="auto"/>
            <w:shd w:val="clear" w:color="auto" w:fill="FFFFFF"/>
            <w:tcMar>
              <w:top w:w="40" w:type="dxa"/>
              <w:left w:w="20" w:type="dxa"/>
              <w:bottom w:w="40" w:type="dxa"/>
              <w:right w:w="20" w:type="dxa"/>
            </w:tcMar>
            <w:vAlign w:val="bottom"/>
          </w:tcPr>
          <w:p w14:paraId="7DCFDAB1" w14:textId="77777777" w:rsidR="00C1563E" w:rsidRDefault="000B648B">
            <w:pPr>
              <w:jc w:val="right"/>
              <w:textAlignment w:val="bottom"/>
            </w:pPr>
            <w:r>
              <w:rPr>
                <w:rFonts w:ascii="Times New Roman" w:eastAsia="宋体" w:hAnsi="Times New Roman"/>
                <w:color w:val="000000"/>
                <w:sz w:val="18"/>
                <w:szCs w:val="18"/>
              </w:rPr>
              <w:t>NM</w:t>
            </w:r>
          </w:p>
          <w:p w14:paraId="7DCFDAB2" w14:textId="77777777" w:rsidR="00C1563E" w:rsidRDefault="000B648B">
            <w:pPr>
              <w:textAlignment w:val="bottom"/>
            </w:pPr>
            <w:r>
              <w:rPr>
                <w:rFonts w:ascii="Times New Roman" w:eastAsia="宋体" w:hAnsi="Times New Roman"/>
                <w:color w:val="000000"/>
                <w:sz w:val="18"/>
                <w:szCs w:val="18"/>
              </w:rPr>
              <w:t>$</w:t>
            </w:r>
          </w:p>
          <w:p w14:paraId="7DCFDAB3" w14:textId="77777777" w:rsidR="00C1563E" w:rsidRDefault="000B648B">
            <w:pPr>
              <w:jc w:val="right"/>
              <w:textAlignment w:val="bottom"/>
            </w:pPr>
            <w:r>
              <w:rPr>
                <w:rFonts w:ascii="Times New Roman" w:eastAsia="宋体" w:hAnsi="Times New Roman"/>
                <w:color w:val="000000"/>
                <w:sz w:val="18"/>
                <w:szCs w:val="18"/>
              </w:rPr>
              <w:t>(191)</w:t>
            </w:r>
          </w:p>
          <w:p w14:paraId="7DCFDAB4" w14:textId="77777777" w:rsidR="00C1563E" w:rsidRDefault="000B648B">
            <w:pPr>
              <w:jc w:val="right"/>
              <w:textAlignment w:val="bottom"/>
            </w:pPr>
            <w:r>
              <w:rPr>
                <w:rFonts w:ascii="Times New Roman" w:eastAsia="宋体" w:hAnsi="Times New Roman"/>
                <w:color w:val="000000"/>
                <w:sz w:val="18"/>
                <w:szCs w:val="18"/>
              </w:rPr>
              <w:t>(0.2)</w:t>
            </w:r>
          </w:p>
          <w:p w14:paraId="7DCFDAB5"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D9" w14:textId="77777777">
        <w:trPr>
          <w:jc w:val="center"/>
        </w:trPr>
        <w:tc>
          <w:tcPr>
            <w:tcW w:w="0" w:type="auto"/>
            <w:gridSpan w:val="3"/>
            <w:shd w:val="clear" w:color="auto" w:fill="CCEEFF"/>
            <w:tcMar>
              <w:top w:w="40" w:type="dxa"/>
              <w:left w:w="20" w:type="dxa"/>
              <w:bottom w:w="40" w:type="dxa"/>
              <w:right w:w="20" w:type="dxa"/>
            </w:tcMar>
            <w:vAlign w:val="bottom"/>
          </w:tcPr>
          <w:p w14:paraId="7DCFDAB7" w14:textId="77777777" w:rsidR="00C1563E" w:rsidRDefault="000B648B">
            <w:pPr>
              <w:textAlignment w:val="bottom"/>
            </w:pPr>
            <w:r>
              <w:rPr>
                <w:rFonts w:ascii="Times New Roman" w:eastAsia="宋体" w:hAnsi="Times New Roman"/>
                <w:color w:val="000000"/>
                <w:sz w:val="18"/>
                <w:szCs w:val="18"/>
              </w:rPr>
              <w:t>Net income (loss)</w:t>
            </w:r>
          </w:p>
        </w:tc>
        <w:tc>
          <w:tcPr>
            <w:tcW w:w="0" w:type="auto"/>
            <w:shd w:val="clear" w:color="auto" w:fill="auto"/>
          </w:tcPr>
          <w:p w14:paraId="7DCFDAB8" w14:textId="77777777" w:rsidR="00C1563E" w:rsidRDefault="00C1563E">
            <w:pPr>
              <w:rPr>
                <w:rFonts w:ascii="宋体"/>
                <w:vanish/>
              </w:rPr>
            </w:pPr>
          </w:p>
        </w:tc>
        <w:tc>
          <w:tcPr>
            <w:tcW w:w="0" w:type="auto"/>
            <w:shd w:val="clear" w:color="auto" w:fill="auto"/>
          </w:tcPr>
          <w:p w14:paraId="7DCFDAB9" w14:textId="77777777" w:rsidR="00C1563E" w:rsidRDefault="00C1563E">
            <w:pPr>
              <w:rPr>
                <w:rFonts w:ascii="宋体"/>
                <w:vanish/>
              </w:rPr>
            </w:pPr>
          </w:p>
        </w:tc>
        <w:tc>
          <w:tcPr>
            <w:tcW w:w="0" w:type="auto"/>
            <w:shd w:val="clear" w:color="auto" w:fill="auto"/>
          </w:tcPr>
          <w:p w14:paraId="7DCFDABA" w14:textId="77777777" w:rsidR="00C1563E" w:rsidRDefault="00C1563E">
            <w:pPr>
              <w:rPr>
                <w:rFonts w:ascii="宋体"/>
                <w:vanish/>
              </w:rPr>
            </w:pPr>
          </w:p>
        </w:tc>
        <w:tc>
          <w:tcPr>
            <w:tcW w:w="0" w:type="auto"/>
            <w:shd w:val="clear" w:color="auto" w:fill="auto"/>
          </w:tcPr>
          <w:p w14:paraId="7DCFDABB" w14:textId="77777777" w:rsidR="00C1563E" w:rsidRDefault="00C1563E">
            <w:pPr>
              <w:rPr>
                <w:rFonts w:ascii="宋体"/>
                <w:vanish/>
              </w:rPr>
            </w:pPr>
          </w:p>
        </w:tc>
        <w:tc>
          <w:tcPr>
            <w:tcW w:w="0" w:type="auto"/>
            <w:shd w:val="clear" w:color="auto" w:fill="auto"/>
          </w:tcPr>
          <w:p w14:paraId="7DCFDABC" w14:textId="77777777" w:rsidR="00C1563E" w:rsidRDefault="00C1563E">
            <w:pPr>
              <w:rPr>
                <w:rFonts w:ascii="宋体"/>
                <w:vanish/>
              </w:rPr>
            </w:pPr>
          </w:p>
        </w:tc>
        <w:tc>
          <w:tcPr>
            <w:tcW w:w="0" w:type="auto"/>
            <w:shd w:val="clear" w:color="auto" w:fill="auto"/>
          </w:tcPr>
          <w:p w14:paraId="7DCFDABD" w14:textId="77777777" w:rsidR="00C1563E" w:rsidRDefault="00C1563E">
            <w:pPr>
              <w:rPr>
                <w:rFonts w:ascii="宋体"/>
                <w:vanish/>
              </w:rPr>
            </w:pPr>
          </w:p>
        </w:tc>
        <w:tc>
          <w:tcPr>
            <w:tcW w:w="0" w:type="auto"/>
            <w:shd w:val="clear" w:color="auto" w:fill="auto"/>
          </w:tcPr>
          <w:p w14:paraId="7DCFDABE" w14:textId="77777777" w:rsidR="00C1563E" w:rsidRDefault="00C1563E">
            <w:pPr>
              <w:rPr>
                <w:rFonts w:ascii="宋体"/>
                <w:vanish/>
              </w:rPr>
            </w:pPr>
          </w:p>
        </w:tc>
        <w:tc>
          <w:tcPr>
            <w:tcW w:w="0" w:type="auto"/>
            <w:shd w:val="clear" w:color="auto" w:fill="auto"/>
          </w:tcPr>
          <w:p w14:paraId="7DCFDABF" w14:textId="77777777" w:rsidR="00C1563E" w:rsidRDefault="00C1563E">
            <w:pPr>
              <w:rPr>
                <w:rFonts w:ascii="宋体"/>
                <w:vanish/>
              </w:rPr>
            </w:pPr>
          </w:p>
        </w:tc>
        <w:tc>
          <w:tcPr>
            <w:tcW w:w="0" w:type="auto"/>
            <w:shd w:val="clear" w:color="auto" w:fill="auto"/>
          </w:tcPr>
          <w:p w14:paraId="7DCFDAC0" w14:textId="77777777" w:rsidR="00C1563E" w:rsidRDefault="00C1563E">
            <w:pPr>
              <w:rPr>
                <w:rFonts w:ascii="宋体"/>
                <w:vanish/>
              </w:rPr>
            </w:pPr>
          </w:p>
        </w:tc>
        <w:tc>
          <w:tcPr>
            <w:tcW w:w="0" w:type="auto"/>
            <w:shd w:val="clear" w:color="auto" w:fill="auto"/>
          </w:tcPr>
          <w:p w14:paraId="7DCFDAC1"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AC2"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AC3" w14:textId="77777777" w:rsidR="00C1563E" w:rsidRDefault="000B648B">
            <w:pPr>
              <w:jc w:val="right"/>
              <w:textAlignment w:val="bottom"/>
            </w:pPr>
            <w:r>
              <w:rPr>
                <w:rFonts w:ascii="Times New Roman" w:eastAsia="宋体" w:hAnsi="Times New Roman"/>
                <w:color w:val="000000"/>
                <w:sz w:val="18"/>
                <w:szCs w:val="18"/>
              </w:rPr>
              <w:t>3,505 </w:t>
            </w:r>
          </w:p>
        </w:tc>
        <w:tc>
          <w:tcPr>
            <w:tcW w:w="0" w:type="auto"/>
            <w:shd w:val="clear" w:color="auto" w:fill="CCEEFF"/>
            <w:tcMar>
              <w:top w:w="40" w:type="dxa"/>
              <w:left w:w="0" w:type="dxa"/>
              <w:bottom w:w="40" w:type="dxa"/>
              <w:right w:w="20" w:type="dxa"/>
            </w:tcMar>
            <w:vAlign w:val="bottom"/>
          </w:tcPr>
          <w:p w14:paraId="7DCFDAC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C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C6" w14:textId="77777777" w:rsidR="00C1563E" w:rsidRDefault="000B648B">
            <w:pPr>
              <w:jc w:val="right"/>
              <w:textAlignment w:val="bottom"/>
            </w:pPr>
            <w:r>
              <w:rPr>
                <w:rFonts w:ascii="Times New Roman" w:eastAsia="宋体" w:hAnsi="Times New Roman"/>
                <w:color w:val="000000"/>
                <w:sz w:val="18"/>
                <w:szCs w:val="18"/>
              </w:rPr>
              <w:t>3.7 </w:t>
            </w:r>
          </w:p>
        </w:tc>
        <w:tc>
          <w:tcPr>
            <w:tcW w:w="0" w:type="auto"/>
            <w:shd w:val="clear" w:color="auto" w:fill="CCEEFF"/>
            <w:tcMar>
              <w:top w:w="40" w:type="dxa"/>
              <w:left w:w="0" w:type="dxa"/>
              <w:bottom w:w="40" w:type="dxa"/>
              <w:right w:w="20" w:type="dxa"/>
            </w:tcMar>
            <w:vAlign w:val="bottom"/>
          </w:tcPr>
          <w:p w14:paraId="7DCFDAC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C9" w14:textId="77777777" w:rsidR="00C1563E" w:rsidRDefault="000B648B">
            <w:pPr>
              <w:jc w:val="right"/>
              <w:textAlignment w:val="bottom"/>
            </w:pPr>
            <w:r>
              <w:rPr>
                <w:rFonts w:ascii="Times New Roman" w:eastAsia="宋体" w:hAnsi="Times New Roman"/>
                <w:color w:val="000000"/>
                <w:sz w:val="18"/>
                <w:szCs w:val="18"/>
              </w:rPr>
              <w:t>(37)</w:t>
            </w:r>
          </w:p>
        </w:tc>
        <w:tc>
          <w:tcPr>
            <w:tcW w:w="0" w:type="auto"/>
            <w:shd w:val="clear" w:color="auto" w:fill="CCEEFF"/>
            <w:tcMar>
              <w:top w:w="40" w:type="dxa"/>
              <w:left w:w="0" w:type="dxa"/>
              <w:bottom w:w="40" w:type="dxa"/>
              <w:right w:w="20" w:type="dxa"/>
            </w:tcMar>
            <w:vAlign w:val="bottom"/>
          </w:tcPr>
          <w:p w14:paraId="7DCFDAC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AC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ACC"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ACD" w14:textId="77777777" w:rsidR="00C1563E" w:rsidRDefault="000B648B">
            <w:pPr>
              <w:jc w:val="right"/>
              <w:textAlignment w:val="bottom"/>
            </w:pPr>
            <w:r>
              <w:rPr>
                <w:rFonts w:ascii="Times New Roman" w:eastAsia="宋体" w:hAnsi="Times New Roman"/>
                <w:color w:val="000000"/>
                <w:sz w:val="18"/>
                <w:szCs w:val="18"/>
              </w:rPr>
              <w:t>5,529 </w:t>
            </w:r>
          </w:p>
        </w:tc>
        <w:tc>
          <w:tcPr>
            <w:tcW w:w="0" w:type="auto"/>
            <w:shd w:val="clear" w:color="auto" w:fill="CCEEFF"/>
            <w:tcMar>
              <w:top w:w="40" w:type="dxa"/>
              <w:left w:w="0" w:type="dxa"/>
              <w:bottom w:w="40" w:type="dxa"/>
              <w:right w:w="20" w:type="dxa"/>
            </w:tcMar>
            <w:vAlign w:val="bottom"/>
          </w:tcPr>
          <w:p w14:paraId="7DCFDAC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AC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AD0" w14:textId="77777777" w:rsidR="00C1563E" w:rsidRDefault="000B648B">
            <w:pPr>
              <w:jc w:val="right"/>
              <w:textAlignment w:val="bottom"/>
            </w:pPr>
            <w:r>
              <w:rPr>
                <w:rFonts w:ascii="Times New Roman" w:eastAsia="宋体" w:hAnsi="Times New Roman"/>
                <w:color w:val="000000"/>
                <w:sz w:val="18"/>
                <w:szCs w:val="18"/>
              </w:rPr>
              <w:t>6.0 </w:t>
            </w:r>
          </w:p>
        </w:tc>
        <w:tc>
          <w:tcPr>
            <w:tcW w:w="0" w:type="auto"/>
            <w:shd w:val="clear" w:color="auto" w:fill="CCEEFF"/>
            <w:tcMar>
              <w:top w:w="40" w:type="dxa"/>
              <w:left w:w="0" w:type="dxa"/>
              <w:bottom w:w="40" w:type="dxa"/>
              <w:right w:w="20" w:type="dxa"/>
            </w:tcMar>
            <w:vAlign w:val="bottom"/>
          </w:tcPr>
          <w:p w14:paraId="7DCFDAD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AD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AD3" w14:textId="77777777" w:rsidR="00C1563E" w:rsidRDefault="000B648B">
            <w:pPr>
              <w:jc w:val="right"/>
              <w:textAlignment w:val="bottom"/>
            </w:pPr>
            <w:r>
              <w:rPr>
                <w:rFonts w:ascii="Times New Roman" w:eastAsia="宋体" w:hAnsi="Times New Roman"/>
                <w:color w:val="000000"/>
                <w:sz w:val="18"/>
                <w:szCs w:val="18"/>
              </w:rPr>
              <w:t>354 </w:t>
            </w:r>
          </w:p>
          <w:p w14:paraId="7DCFDAD4" w14:textId="77777777" w:rsidR="00C1563E" w:rsidRDefault="000B648B">
            <w:pPr>
              <w:jc w:val="right"/>
              <w:textAlignment w:val="bottom"/>
            </w:pPr>
            <w:r>
              <w:rPr>
                <w:rFonts w:ascii="Times New Roman" w:eastAsia="宋体" w:hAnsi="Times New Roman"/>
                <w:color w:val="000000"/>
                <w:sz w:val="18"/>
                <w:szCs w:val="18"/>
              </w:rPr>
              <w:t>%</w:t>
            </w:r>
          </w:p>
          <w:p w14:paraId="7DCFDAD5" w14:textId="77777777" w:rsidR="00C1563E" w:rsidRDefault="000B648B">
            <w:pPr>
              <w:textAlignment w:val="bottom"/>
            </w:pPr>
            <w:r>
              <w:rPr>
                <w:rFonts w:ascii="Times New Roman" w:eastAsia="宋体" w:hAnsi="Times New Roman"/>
                <w:color w:val="000000"/>
                <w:sz w:val="18"/>
                <w:szCs w:val="18"/>
              </w:rPr>
              <w:t>$</w:t>
            </w:r>
          </w:p>
          <w:p w14:paraId="7DCFDAD6" w14:textId="77777777" w:rsidR="00C1563E" w:rsidRDefault="000B648B">
            <w:pPr>
              <w:jc w:val="right"/>
              <w:textAlignment w:val="bottom"/>
            </w:pPr>
            <w:r>
              <w:rPr>
                <w:rFonts w:ascii="Times New Roman" w:eastAsia="宋体" w:hAnsi="Times New Roman"/>
                <w:color w:val="000000"/>
                <w:sz w:val="18"/>
                <w:szCs w:val="18"/>
              </w:rPr>
              <w:t>(2,181)</w:t>
            </w:r>
          </w:p>
          <w:p w14:paraId="7DCFDAD7" w14:textId="77777777" w:rsidR="00C1563E" w:rsidRDefault="000B648B">
            <w:pPr>
              <w:jc w:val="right"/>
              <w:textAlignment w:val="bottom"/>
            </w:pPr>
            <w:r>
              <w:rPr>
                <w:rFonts w:ascii="Times New Roman" w:eastAsia="宋体" w:hAnsi="Times New Roman"/>
                <w:color w:val="000000"/>
                <w:sz w:val="18"/>
                <w:szCs w:val="18"/>
              </w:rPr>
              <w:t>(2.4)</w:t>
            </w:r>
          </w:p>
          <w:p w14:paraId="7DCFDAD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AFC" w14:textId="77777777">
        <w:trPr>
          <w:jc w:val="center"/>
        </w:trPr>
        <w:tc>
          <w:tcPr>
            <w:tcW w:w="0" w:type="auto"/>
            <w:gridSpan w:val="3"/>
            <w:shd w:val="clear" w:color="auto" w:fill="FFFFFF"/>
            <w:tcMar>
              <w:top w:w="40" w:type="dxa"/>
              <w:left w:w="20" w:type="dxa"/>
              <w:bottom w:w="40" w:type="dxa"/>
              <w:right w:w="20" w:type="dxa"/>
            </w:tcMar>
            <w:vAlign w:val="bottom"/>
          </w:tcPr>
          <w:p w14:paraId="7DCFDADA" w14:textId="77777777" w:rsidR="00C1563E" w:rsidRDefault="000B648B">
            <w:pPr>
              <w:textAlignment w:val="bottom"/>
            </w:pPr>
            <w:r>
              <w:rPr>
                <w:rFonts w:ascii="Times New Roman" w:eastAsia="宋体" w:hAnsi="Times New Roman"/>
                <w:color w:val="000000"/>
                <w:sz w:val="18"/>
                <w:szCs w:val="18"/>
              </w:rPr>
              <w:t xml:space="preserve">Net income </w:t>
            </w:r>
            <w:r>
              <w:rPr>
                <w:rFonts w:ascii="Times New Roman" w:eastAsia="宋体" w:hAnsi="Times New Roman"/>
                <w:color w:val="000000"/>
                <w:sz w:val="18"/>
                <w:szCs w:val="18"/>
              </w:rPr>
              <w:t>(loss) attributable to Dell Technologies Inc.</w:t>
            </w:r>
          </w:p>
        </w:tc>
        <w:tc>
          <w:tcPr>
            <w:tcW w:w="0" w:type="auto"/>
            <w:shd w:val="clear" w:color="auto" w:fill="auto"/>
          </w:tcPr>
          <w:p w14:paraId="7DCFDADB" w14:textId="77777777" w:rsidR="00C1563E" w:rsidRDefault="00C1563E">
            <w:pPr>
              <w:rPr>
                <w:rFonts w:ascii="宋体"/>
                <w:vanish/>
              </w:rPr>
            </w:pPr>
          </w:p>
        </w:tc>
        <w:tc>
          <w:tcPr>
            <w:tcW w:w="0" w:type="auto"/>
            <w:shd w:val="clear" w:color="auto" w:fill="auto"/>
          </w:tcPr>
          <w:p w14:paraId="7DCFDADC" w14:textId="77777777" w:rsidR="00C1563E" w:rsidRDefault="00C1563E">
            <w:pPr>
              <w:rPr>
                <w:rFonts w:ascii="宋体"/>
                <w:vanish/>
              </w:rPr>
            </w:pPr>
          </w:p>
        </w:tc>
        <w:tc>
          <w:tcPr>
            <w:tcW w:w="0" w:type="auto"/>
            <w:shd w:val="clear" w:color="auto" w:fill="auto"/>
          </w:tcPr>
          <w:p w14:paraId="7DCFDADD" w14:textId="77777777" w:rsidR="00C1563E" w:rsidRDefault="00C1563E">
            <w:pPr>
              <w:rPr>
                <w:rFonts w:ascii="宋体"/>
                <w:vanish/>
              </w:rPr>
            </w:pPr>
          </w:p>
        </w:tc>
        <w:tc>
          <w:tcPr>
            <w:tcW w:w="0" w:type="auto"/>
            <w:shd w:val="clear" w:color="auto" w:fill="auto"/>
          </w:tcPr>
          <w:p w14:paraId="7DCFDADE" w14:textId="77777777" w:rsidR="00C1563E" w:rsidRDefault="00C1563E">
            <w:pPr>
              <w:rPr>
                <w:rFonts w:ascii="宋体"/>
                <w:vanish/>
              </w:rPr>
            </w:pPr>
          </w:p>
        </w:tc>
        <w:tc>
          <w:tcPr>
            <w:tcW w:w="0" w:type="auto"/>
            <w:shd w:val="clear" w:color="auto" w:fill="auto"/>
          </w:tcPr>
          <w:p w14:paraId="7DCFDADF" w14:textId="77777777" w:rsidR="00C1563E" w:rsidRDefault="00C1563E">
            <w:pPr>
              <w:rPr>
                <w:rFonts w:ascii="宋体"/>
                <w:vanish/>
              </w:rPr>
            </w:pPr>
          </w:p>
        </w:tc>
        <w:tc>
          <w:tcPr>
            <w:tcW w:w="0" w:type="auto"/>
            <w:shd w:val="clear" w:color="auto" w:fill="auto"/>
          </w:tcPr>
          <w:p w14:paraId="7DCFDAE0" w14:textId="77777777" w:rsidR="00C1563E" w:rsidRDefault="00C1563E">
            <w:pPr>
              <w:rPr>
                <w:rFonts w:ascii="宋体"/>
                <w:vanish/>
              </w:rPr>
            </w:pPr>
          </w:p>
        </w:tc>
        <w:tc>
          <w:tcPr>
            <w:tcW w:w="0" w:type="auto"/>
            <w:shd w:val="clear" w:color="auto" w:fill="auto"/>
          </w:tcPr>
          <w:p w14:paraId="7DCFDAE1" w14:textId="77777777" w:rsidR="00C1563E" w:rsidRDefault="00C1563E">
            <w:pPr>
              <w:rPr>
                <w:rFonts w:ascii="宋体"/>
                <w:vanish/>
              </w:rPr>
            </w:pPr>
          </w:p>
        </w:tc>
        <w:tc>
          <w:tcPr>
            <w:tcW w:w="0" w:type="auto"/>
            <w:shd w:val="clear" w:color="auto" w:fill="auto"/>
          </w:tcPr>
          <w:p w14:paraId="7DCFDAE2" w14:textId="77777777" w:rsidR="00C1563E" w:rsidRDefault="00C1563E">
            <w:pPr>
              <w:rPr>
                <w:rFonts w:ascii="宋体"/>
                <w:vanish/>
              </w:rPr>
            </w:pPr>
          </w:p>
        </w:tc>
        <w:tc>
          <w:tcPr>
            <w:tcW w:w="0" w:type="auto"/>
            <w:shd w:val="clear" w:color="auto" w:fill="auto"/>
          </w:tcPr>
          <w:p w14:paraId="7DCFDAE3" w14:textId="77777777" w:rsidR="00C1563E" w:rsidRDefault="00C1563E">
            <w:pPr>
              <w:rPr>
                <w:rFonts w:ascii="宋体"/>
                <w:vanish/>
              </w:rPr>
            </w:pPr>
          </w:p>
        </w:tc>
        <w:tc>
          <w:tcPr>
            <w:tcW w:w="0" w:type="auto"/>
            <w:shd w:val="clear" w:color="auto" w:fill="auto"/>
          </w:tcPr>
          <w:p w14:paraId="7DCFDAE4"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AE5"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E6" w14:textId="77777777" w:rsidR="00C1563E" w:rsidRDefault="000B648B">
            <w:pPr>
              <w:jc w:val="right"/>
              <w:textAlignment w:val="bottom"/>
            </w:pPr>
            <w:r>
              <w:rPr>
                <w:rFonts w:ascii="Times New Roman" w:eastAsia="宋体" w:hAnsi="Times New Roman"/>
                <w:color w:val="000000"/>
                <w:sz w:val="18"/>
                <w:szCs w:val="18"/>
              </w:rPr>
              <w:t>3,250 </w:t>
            </w:r>
          </w:p>
        </w:tc>
        <w:tc>
          <w:tcPr>
            <w:tcW w:w="0" w:type="auto"/>
            <w:shd w:val="clear" w:color="auto" w:fill="FFFFFF"/>
            <w:tcMar>
              <w:top w:w="40" w:type="dxa"/>
              <w:left w:w="0" w:type="dxa"/>
              <w:bottom w:w="40" w:type="dxa"/>
              <w:right w:w="20" w:type="dxa"/>
            </w:tcMar>
            <w:vAlign w:val="bottom"/>
          </w:tcPr>
          <w:p w14:paraId="7DCFDAE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E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E9" w14:textId="77777777" w:rsidR="00C1563E" w:rsidRDefault="000B648B">
            <w:pPr>
              <w:jc w:val="right"/>
              <w:textAlignment w:val="bottom"/>
            </w:pPr>
            <w:r>
              <w:rPr>
                <w:rFonts w:ascii="Times New Roman" w:eastAsia="宋体" w:hAnsi="Times New Roman"/>
                <w:color w:val="000000"/>
                <w:sz w:val="18"/>
                <w:szCs w:val="18"/>
              </w:rPr>
              <w:t>3.4 </w:t>
            </w:r>
          </w:p>
        </w:tc>
        <w:tc>
          <w:tcPr>
            <w:tcW w:w="0" w:type="auto"/>
            <w:shd w:val="clear" w:color="auto" w:fill="FFFFFF"/>
            <w:tcMar>
              <w:top w:w="40" w:type="dxa"/>
              <w:left w:w="0" w:type="dxa"/>
              <w:bottom w:w="40" w:type="dxa"/>
              <w:right w:w="20" w:type="dxa"/>
            </w:tcMar>
            <w:vAlign w:val="bottom"/>
          </w:tcPr>
          <w:p w14:paraId="7DCFDAE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E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EC" w14:textId="77777777" w:rsidR="00C1563E" w:rsidRDefault="000B648B">
            <w:pPr>
              <w:jc w:val="right"/>
              <w:textAlignment w:val="bottom"/>
            </w:pPr>
            <w:r>
              <w:rPr>
                <w:rFonts w:ascii="Times New Roman" w:eastAsia="宋体" w:hAnsi="Times New Roman"/>
                <w:color w:val="000000"/>
                <w:sz w:val="18"/>
                <w:szCs w:val="18"/>
              </w:rPr>
              <w:t>(30)</w:t>
            </w:r>
          </w:p>
        </w:tc>
        <w:tc>
          <w:tcPr>
            <w:tcW w:w="0" w:type="auto"/>
            <w:shd w:val="clear" w:color="auto" w:fill="FFFFFF"/>
            <w:tcMar>
              <w:top w:w="40" w:type="dxa"/>
              <w:left w:w="0" w:type="dxa"/>
              <w:bottom w:w="40" w:type="dxa"/>
              <w:right w:w="20" w:type="dxa"/>
            </w:tcMar>
            <w:vAlign w:val="bottom"/>
          </w:tcPr>
          <w:p w14:paraId="7DCFDAE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AE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EF"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AF0" w14:textId="77777777" w:rsidR="00C1563E" w:rsidRDefault="000B648B">
            <w:pPr>
              <w:jc w:val="right"/>
              <w:textAlignment w:val="bottom"/>
            </w:pPr>
            <w:r>
              <w:rPr>
                <w:rFonts w:ascii="Times New Roman" w:eastAsia="宋体" w:hAnsi="Times New Roman"/>
                <w:color w:val="000000"/>
                <w:sz w:val="18"/>
                <w:szCs w:val="18"/>
              </w:rPr>
              <w:t>4,616 </w:t>
            </w:r>
          </w:p>
        </w:tc>
        <w:tc>
          <w:tcPr>
            <w:tcW w:w="0" w:type="auto"/>
            <w:shd w:val="clear" w:color="auto" w:fill="FFFFFF"/>
            <w:tcMar>
              <w:top w:w="40" w:type="dxa"/>
              <w:left w:w="0" w:type="dxa"/>
              <w:bottom w:w="40" w:type="dxa"/>
              <w:right w:w="20" w:type="dxa"/>
            </w:tcMar>
            <w:vAlign w:val="bottom"/>
          </w:tcPr>
          <w:p w14:paraId="7DCFDAF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AF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AF3" w14:textId="77777777" w:rsidR="00C1563E" w:rsidRDefault="000B648B">
            <w:pPr>
              <w:jc w:val="right"/>
              <w:textAlignment w:val="bottom"/>
            </w:pPr>
            <w:r>
              <w:rPr>
                <w:rFonts w:ascii="Times New Roman" w:eastAsia="宋体" w:hAnsi="Times New Roman"/>
                <w:color w:val="000000"/>
                <w:sz w:val="18"/>
                <w:szCs w:val="18"/>
              </w:rPr>
              <w:t>5.0 </w:t>
            </w:r>
          </w:p>
        </w:tc>
        <w:tc>
          <w:tcPr>
            <w:tcW w:w="0" w:type="auto"/>
            <w:shd w:val="clear" w:color="auto" w:fill="FFFFFF"/>
            <w:tcMar>
              <w:top w:w="40" w:type="dxa"/>
              <w:left w:w="0" w:type="dxa"/>
              <w:bottom w:w="40" w:type="dxa"/>
              <w:right w:w="20" w:type="dxa"/>
            </w:tcMar>
            <w:vAlign w:val="bottom"/>
          </w:tcPr>
          <w:p w14:paraId="7DCFDAF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AF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AF6" w14:textId="77777777" w:rsidR="00C1563E" w:rsidRDefault="000B648B">
            <w:pPr>
              <w:jc w:val="right"/>
              <w:textAlignment w:val="bottom"/>
            </w:pPr>
            <w:r>
              <w:rPr>
                <w:rFonts w:ascii="Times New Roman" w:eastAsia="宋体" w:hAnsi="Times New Roman"/>
                <w:color w:val="000000"/>
                <w:sz w:val="18"/>
                <w:szCs w:val="18"/>
              </w:rPr>
              <w:t>300 </w:t>
            </w:r>
          </w:p>
          <w:p w14:paraId="7DCFDAF7" w14:textId="77777777" w:rsidR="00C1563E" w:rsidRDefault="000B648B">
            <w:pPr>
              <w:jc w:val="right"/>
              <w:textAlignment w:val="bottom"/>
            </w:pPr>
            <w:r>
              <w:rPr>
                <w:rFonts w:ascii="Times New Roman" w:eastAsia="宋体" w:hAnsi="Times New Roman"/>
                <w:color w:val="000000"/>
                <w:sz w:val="18"/>
                <w:szCs w:val="18"/>
              </w:rPr>
              <w:t>%</w:t>
            </w:r>
          </w:p>
          <w:p w14:paraId="7DCFDAF8" w14:textId="77777777" w:rsidR="00C1563E" w:rsidRDefault="000B648B">
            <w:pPr>
              <w:textAlignment w:val="bottom"/>
            </w:pPr>
            <w:r>
              <w:rPr>
                <w:rFonts w:ascii="Times New Roman" w:eastAsia="宋体" w:hAnsi="Times New Roman"/>
                <w:color w:val="000000"/>
                <w:sz w:val="18"/>
                <w:szCs w:val="18"/>
              </w:rPr>
              <w:t>$</w:t>
            </w:r>
          </w:p>
          <w:p w14:paraId="7DCFDAF9" w14:textId="77777777" w:rsidR="00C1563E" w:rsidRDefault="000B648B">
            <w:pPr>
              <w:jc w:val="right"/>
              <w:textAlignment w:val="bottom"/>
            </w:pPr>
            <w:r>
              <w:rPr>
                <w:rFonts w:ascii="Times New Roman" w:eastAsia="宋体" w:hAnsi="Times New Roman"/>
                <w:color w:val="000000"/>
                <w:sz w:val="18"/>
                <w:szCs w:val="18"/>
              </w:rPr>
              <w:t>(2,310)</w:t>
            </w:r>
          </w:p>
          <w:p w14:paraId="7DCFDAFA" w14:textId="77777777" w:rsidR="00C1563E" w:rsidRDefault="000B648B">
            <w:pPr>
              <w:jc w:val="right"/>
              <w:textAlignment w:val="bottom"/>
            </w:pPr>
            <w:r>
              <w:rPr>
                <w:rFonts w:ascii="Times New Roman" w:eastAsia="宋体" w:hAnsi="Times New Roman"/>
                <w:color w:val="000000"/>
                <w:sz w:val="18"/>
                <w:szCs w:val="18"/>
              </w:rPr>
              <w:t>(2.5)</w:t>
            </w:r>
          </w:p>
          <w:p w14:paraId="7DCFDAFB"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B13" w14:textId="77777777">
        <w:trPr>
          <w:trHeight w:val="160"/>
          <w:jc w:val="center"/>
        </w:trPr>
        <w:tc>
          <w:tcPr>
            <w:tcW w:w="0" w:type="auto"/>
            <w:gridSpan w:val="3"/>
            <w:shd w:val="clear" w:color="auto" w:fill="auto"/>
            <w:tcMar>
              <w:top w:w="0" w:type="dxa"/>
              <w:left w:w="20" w:type="dxa"/>
              <w:bottom w:w="0" w:type="dxa"/>
              <w:right w:w="20" w:type="dxa"/>
            </w:tcMar>
          </w:tcPr>
          <w:p w14:paraId="7DCFDAFD" w14:textId="77777777" w:rsidR="00C1563E" w:rsidRDefault="00C1563E">
            <w:pPr>
              <w:rPr>
                <w:rFonts w:ascii="宋体"/>
              </w:rPr>
            </w:pPr>
          </w:p>
        </w:tc>
        <w:tc>
          <w:tcPr>
            <w:tcW w:w="0" w:type="auto"/>
            <w:shd w:val="clear" w:color="auto" w:fill="auto"/>
          </w:tcPr>
          <w:p w14:paraId="7DCFDAFE" w14:textId="77777777" w:rsidR="00C1563E" w:rsidRDefault="00C1563E">
            <w:pPr>
              <w:rPr>
                <w:rFonts w:ascii="宋体"/>
                <w:vanish/>
              </w:rPr>
            </w:pPr>
          </w:p>
        </w:tc>
        <w:tc>
          <w:tcPr>
            <w:tcW w:w="0" w:type="auto"/>
            <w:shd w:val="clear" w:color="auto" w:fill="auto"/>
          </w:tcPr>
          <w:p w14:paraId="7DCFDAFF" w14:textId="77777777" w:rsidR="00C1563E" w:rsidRDefault="00C1563E">
            <w:pPr>
              <w:rPr>
                <w:rFonts w:ascii="宋体"/>
                <w:vanish/>
              </w:rPr>
            </w:pPr>
          </w:p>
        </w:tc>
        <w:tc>
          <w:tcPr>
            <w:tcW w:w="0" w:type="auto"/>
            <w:shd w:val="clear" w:color="auto" w:fill="auto"/>
          </w:tcPr>
          <w:p w14:paraId="7DCFDB00" w14:textId="77777777" w:rsidR="00C1563E" w:rsidRDefault="00C1563E">
            <w:pPr>
              <w:rPr>
                <w:rFonts w:ascii="宋体"/>
                <w:vanish/>
              </w:rPr>
            </w:pPr>
          </w:p>
        </w:tc>
        <w:tc>
          <w:tcPr>
            <w:tcW w:w="0" w:type="auto"/>
            <w:shd w:val="clear" w:color="auto" w:fill="auto"/>
          </w:tcPr>
          <w:p w14:paraId="7DCFDB01" w14:textId="77777777" w:rsidR="00C1563E" w:rsidRDefault="00C1563E">
            <w:pPr>
              <w:rPr>
                <w:rFonts w:ascii="宋体"/>
                <w:vanish/>
              </w:rPr>
            </w:pPr>
          </w:p>
        </w:tc>
        <w:tc>
          <w:tcPr>
            <w:tcW w:w="0" w:type="auto"/>
            <w:shd w:val="clear" w:color="auto" w:fill="auto"/>
          </w:tcPr>
          <w:p w14:paraId="7DCFDB02" w14:textId="77777777" w:rsidR="00C1563E" w:rsidRDefault="00C1563E">
            <w:pPr>
              <w:rPr>
                <w:rFonts w:ascii="宋体"/>
                <w:vanish/>
              </w:rPr>
            </w:pPr>
          </w:p>
        </w:tc>
        <w:tc>
          <w:tcPr>
            <w:tcW w:w="0" w:type="auto"/>
            <w:shd w:val="clear" w:color="auto" w:fill="auto"/>
          </w:tcPr>
          <w:p w14:paraId="7DCFDB03" w14:textId="77777777" w:rsidR="00C1563E" w:rsidRDefault="00C1563E">
            <w:pPr>
              <w:rPr>
                <w:rFonts w:ascii="宋体"/>
                <w:vanish/>
              </w:rPr>
            </w:pPr>
          </w:p>
        </w:tc>
        <w:tc>
          <w:tcPr>
            <w:tcW w:w="0" w:type="auto"/>
            <w:shd w:val="clear" w:color="auto" w:fill="auto"/>
          </w:tcPr>
          <w:p w14:paraId="7DCFDB04" w14:textId="77777777" w:rsidR="00C1563E" w:rsidRDefault="00C1563E">
            <w:pPr>
              <w:rPr>
                <w:rFonts w:ascii="宋体"/>
                <w:vanish/>
              </w:rPr>
            </w:pPr>
          </w:p>
        </w:tc>
        <w:tc>
          <w:tcPr>
            <w:tcW w:w="0" w:type="auto"/>
            <w:shd w:val="clear" w:color="auto" w:fill="auto"/>
          </w:tcPr>
          <w:p w14:paraId="7DCFDB05" w14:textId="77777777" w:rsidR="00C1563E" w:rsidRDefault="00C1563E">
            <w:pPr>
              <w:rPr>
                <w:rFonts w:ascii="宋体"/>
                <w:vanish/>
              </w:rPr>
            </w:pPr>
          </w:p>
        </w:tc>
        <w:tc>
          <w:tcPr>
            <w:tcW w:w="0" w:type="auto"/>
            <w:shd w:val="clear" w:color="auto" w:fill="auto"/>
          </w:tcPr>
          <w:p w14:paraId="7DCFDB06" w14:textId="77777777" w:rsidR="00C1563E" w:rsidRDefault="00C1563E">
            <w:pPr>
              <w:rPr>
                <w:rFonts w:ascii="宋体"/>
                <w:vanish/>
              </w:rPr>
            </w:pPr>
          </w:p>
        </w:tc>
        <w:tc>
          <w:tcPr>
            <w:tcW w:w="0" w:type="auto"/>
            <w:shd w:val="clear" w:color="auto" w:fill="auto"/>
          </w:tcPr>
          <w:p w14:paraId="7DCFDB07" w14:textId="77777777" w:rsidR="00C1563E" w:rsidRDefault="00C1563E">
            <w:pPr>
              <w:rPr>
                <w:rFonts w:ascii="宋体"/>
                <w:vanish/>
              </w:rPr>
            </w:pPr>
          </w:p>
        </w:tc>
        <w:tc>
          <w:tcPr>
            <w:tcW w:w="0" w:type="auto"/>
            <w:gridSpan w:val="3"/>
            <w:shd w:val="clear" w:color="auto" w:fill="auto"/>
            <w:tcMar>
              <w:top w:w="0" w:type="dxa"/>
              <w:left w:w="20" w:type="dxa"/>
              <w:bottom w:w="0" w:type="dxa"/>
              <w:right w:w="20" w:type="dxa"/>
            </w:tcMar>
          </w:tcPr>
          <w:p w14:paraId="7DCFDB0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0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10" w14:textId="77777777" w:rsidR="00C1563E" w:rsidRDefault="00C1563E">
            <w:pPr>
              <w:rPr>
                <w:rFonts w:ascii="宋体"/>
              </w:rPr>
            </w:pPr>
          </w:p>
        </w:tc>
        <w:tc>
          <w:tcPr>
            <w:tcW w:w="0" w:type="auto"/>
            <w:gridSpan w:val="2"/>
            <w:shd w:val="clear" w:color="auto" w:fill="auto"/>
            <w:tcMar>
              <w:top w:w="0" w:type="dxa"/>
              <w:left w:w="20" w:type="dxa"/>
              <w:bottom w:w="0" w:type="dxa"/>
              <w:right w:w="20" w:type="dxa"/>
            </w:tcMar>
          </w:tcPr>
          <w:p w14:paraId="7DCFDB11" w14:textId="77777777" w:rsidR="00C1563E" w:rsidRDefault="00C1563E">
            <w:pPr>
              <w:rPr>
                <w:rFonts w:ascii="宋体"/>
              </w:rPr>
            </w:pPr>
          </w:p>
        </w:tc>
        <w:tc>
          <w:tcPr>
            <w:tcW w:w="0" w:type="auto"/>
            <w:shd w:val="clear" w:color="auto" w:fill="auto"/>
            <w:tcMar>
              <w:top w:w="0" w:type="dxa"/>
              <w:left w:w="20" w:type="dxa"/>
              <w:bottom w:w="0" w:type="dxa"/>
              <w:right w:w="20" w:type="dxa"/>
            </w:tcMar>
          </w:tcPr>
          <w:p w14:paraId="7DCFDB12" w14:textId="77777777" w:rsidR="00C1563E" w:rsidRDefault="00C1563E">
            <w:pPr>
              <w:rPr>
                <w:rFonts w:ascii="宋体"/>
              </w:rPr>
            </w:pPr>
          </w:p>
        </w:tc>
      </w:tr>
      <w:tr w:rsidR="00C1563E" w14:paraId="7DCFDB2A" w14:textId="77777777">
        <w:trPr>
          <w:jc w:val="center"/>
        </w:trPr>
        <w:tc>
          <w:tcPr>
            <w:tcW w:w="0" w:type="auto"/>
            <w:gridSpan w:val="3"/>
            <w:shd w:val="clear" w:color="auto" w:fill="auto"/>
            <w:tcMar>
              <w:top w:w="40" w:type="dxa"/>
              <w:left w:w="20" w:type="dxa"/>
              <w:bottom w:w="40" w:type="dxa"/>
              <w:right w:w="20" w:type="dxa"/>
            </w:tcMar>
            <w:vAlign w:val="bottom"/>
          </w:tcPr>
          <w:p w14:paraId="7DCFDB14" w14:textId="77777777" w:rsidR="00C1563E" w:rsidRDefault="000B648B">
            <w:pPr>
              <w:textAlignment w:val="bottom"/>
            </w:pPr>
            <w:r>
              <w:rPr>
                <w:rFonts w:ascii="Times New Roman" w:eastAsia="宋体" w:hAnsi="Times New Roman"/>
                <w:b/>
                <w:bCs/>
                <w:i/>
                <w:iCs/>
                <w:color w:val="000000"/>
                <w:sz w:val="20"/>
                <w:szCs w:val="20"/>
              </w:rPr>
              <w:t>Non-GAAP Information</w:t>
            </w:r>
          </w:p>
        </w:tc>
        <w:tc>
          <w:tcPr>
            <w:tcW w:w="0" w:type="auto"/>
            <w:shd w:val="clear" w:color="auto" w:fill="auto"/>
          </w:tcPr>
          <w:p w14:paraId="7DCFDB15" w14:textId="77777777" w:rsidR="00C1563E" w:rsidRDefault="00C1563E">
            <w:pPr>
              <w:rPr>
                <w:rFonts w:ascii="宋体"/>
                <w:vanish/>
              </w:rPr>
            </w:pPr>
          </w:p>
        </w:tc>
        <w:tc>
          <w:tcPr>
            <w:tcW w:w="0" w:type="auto"/>
            <w:shd w:val="clear" w:color="auto" w:fill="auto"/>
          </w:tcPr>
          <w:p w14:paraId="7DCFDB16" w14:textId="77777777" w:rsidR="00C1563E" w:rsidRDefault="00C1563E">
            <w:pPr>
              <w:rPr>
                <w:rFonts w:ascii="宋体"/>
                <w:vanish/>
              </w:rPr>
            </w:pPr>
          </w:p>
        </w:tc>
        <w:tc>
          <w:tcPr>
            <w:tcW w:w="0" w:type="auto"/>
            <w:shd w:val="clear" w:color="auto" w:fill="auto"/>
          </w:tcPr>
          <w:p w14:paraId="7DCFDB17" w14:textId="77777777" w:rsidR="00C1563E" w:rsidRDefault="00C1563E">
            <w:pPr>
              <w:rPr>
                <w:rFonts w:ascii="宋体"/>
                <w:vanish/>
              </w:rPr>
            </w:pPr>
          </w:p>
        </w:tc>
        <w:tc>
          <w:tcPr>
            <w:tcW w:w="0" w:type="auto"/>
            <w:shd w:val="clear" w:color="auto" w:fill="auto"/>
          </w:tcPr>
          <w:p w14:paraId="7DCFDB18" w14:textId="77777777" w:rsidR="00C1563E" w:rsidRDefault="00C1563E">
            <w:pPr>
              <w:rPr>
                <w:rFonts w:ascii="宋体"/>
                <w:vanish/>
              </w:rPr>
            </w:pPr>
          </w:p>
        </w:tc>
        <w:tc>
          <w:tcPr>
            <w:tcW w:w="0" w:type="auto"/>
            <w:shd w:val="clear" w:color="auto" w:fill="auto"/>
          </w:tcPr>
          <w:p w14:paraId="7DCFDB19" w14:textId="77777777" w:rsidR="00C1563E" w:rsidRDefault="00C1563E">
            <w:pPr>
              <w:rPr>
                <w:rFonts w:ascii="宋体"/>
                <w:vanish/>
              </w:rPr>
            </w:pPr>
          </w:p>
        </w:tc>
        <w:tc>
          <w:tcPr>
            <w:tcW w:w="0" w:type="auto"/>
            <w:shd w:val="clear" w:color="auto" w:fill="auto"/>
          </w:tcPr>
          <w:p w14:paraId="7DCFDB1A" w14:textId="77777777" w:rsidR="00C1563E" w:rsidRDefault="00C1563E">
            <w:pPr>
              <w:rPr>
                <w:rFonts w:ascii="宋体"/>
                <w:vanish/>
              </w:rPr>
            </w:pPr>
          </w:p>
        </w:tc>
        <w:tc>
          <w:tcPr>
            <w:tcW w:w="0" w:type="auto"/>
            <w:shd w:val="clear" w:color="auto" w:fill="auto"/>
          </w:tcPr>
          <w:p w14:paraId="7DCFDB1B" w14:textId="77777777" w:rsidR="00C1563E" w:rsidRDefault="00C1563E">
            <w:pPr>
              <w:rPr>
                <w:rFonts w:ascii="宋体"/>
                <w:vanish/>
              </w:rPr>
            </w:pPr>
          </w:p>
        </w:tc>
        <w:tc>
          <w:tcPr>
            <w:tcW w:w="0" w:type="auto"/>
            <w:shd w:val="clear" w:color="auto" w:fill="auto"/>
          </w:tcPr>
          <w:p w14:paraId="7DCFDB1C" w14:textId="77777777" w:rsidR="00C1563E" w:rsidRDefault="00C1563E">
            <w:pPr>
              <w:rPr>
                <w:rFonts w:ascii="宋体"/>
                <w:vanish/>
              </w:rPr>
            </w:pPr>
          </w:p>
        </w:tc>
        <w:tc>
          <w:tcPr>
            <w:tcW w:w="0" w:type="auto"/>
            <w:shd w:val="clear" w:color="auto" w:fill="auto"/>
          </w:tcPr>
          <w:p w14:paraId="7DCFDB1D" w14:textId="77777777" w:rsidR="00C1563E" w:rsidRDefault="00C1563E">
            <w:pPr>
              <w:rPr>
                <w:rFonts w:ascii="宋体"/>
                <w:vanish/>
              </w:rPr>
            </w:pPr>
          </w:p>
        </w:tc>
        <w:tc>
          <w:tcPr>
            <w:tcW w:w="0" w:type="auto"/>
            <w:shd w:val="clear" w:color="auto" w:fill="auto"/>
          </w:tcPr>
          <w:p w14:paraId="7DCFDB1E" w14:textId="77777777" w:rsidR="00C1563E" w:rsidRDefault="00C1563E">
            <w:pPr>
              <w:rPr>
                <w:rFonts w:ascii="宋体"/>
                <w:vanish/>
              </w:rPr>
            </w:pPr>
          </w:p>
        </w:tc>
        <w:tc>
          <w:tcPr>
            <w:tcW w:w="0" w:type="auto"/>
            <w:gridSpan w:val="3"/>
            <w:shd w:val="clear" w:color="auto" w:fill="auto"/>
            <w:tcMar>
              <w:top w:w="0" w:type="dxa"/>
              <w:left w:w="20" w:type="dxa"/>
              <w:bottom w:w="0" w:type="dxa"/>
              <w:right w:w="20" w:type="dxa"/>
            </w:tcMar>
          </w:tcPr>
          <w:p w14:paraId="7DCFDB1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0"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B27" w14:textId="77777777" w:rsidR="00C1563E" w:rsidRDefault="00C1563E">
            <w:pPr>
              <w:rPr>
                <w:rFonts w:ascii="宋体"/>
              </w:rPr>
            </w:pPr>
          </w:p>
        </w:tc>
        <w:tc>
          <w:tcPr>
            <w:tcW w:w="0" w:type="auto"/>
            <w:gridSpan w:val="2"/>
            <w:shd w:val="clear" w:color="auto" w:fill="auto"/>
            <w:tcMar>
              <w:top w:w="0" w:type="dxa"/>
              <w:left w:w="20" w:type="dxa"/>
              <w:bottom w:w="0" w:type="dxa"/>
              <w:right w:w="20" w:type="dxa"/>
            </w:tcMar>
          </w:tcPr>
          <w:p w14:paraId="7DCFDB28" w14:textId="77777777" w:rsidR="00C1563E" w:rsidRDefault="00C1563E">
            <w:pPr>
              <w:rPr>
                <w:rFonts w:ascii="宋体"/>
              </w:rPr>
            </w:pPr>
          </w:p>
        </w:tc>
        <w:tc>
          <w:tcPr>
            <w:tcW w:w="0" w:type="auto"/>
            <w:shd w:val="clear" w:color="auto" w:fill="auto"/>
            <w:tcMar>
              <w:top w:w="0" w:type="dxa"/>
              <w:left w:w="20" w:type="dxa"/>
              <w:bottom w:w="0" w:type="dxa"/>
              <w:right w:w="20" w:type="dxa"/>
            </w:tcMar>
          </w:tcPr>
          <w:p w14:paraId="7DCFDB29" w14:textId="77777777" w:rsidR="00C1563E" w:rsidRDefault="00C1563E">
            <w:pPr>
              <w:rPr>
                <w:rFonts w:ascii="宋体"/>
              </w:rPr>
            </w:pPr>
          </w:p>
        </w:tc>
      </w:tr>
      <w:tr w:rsidR="00C1563E" w14:paraId="7DCFDB37" w14:textId="77777777">
        <w:trPr>
          <w:jc w:val="center"/>
        </w:trPr>
        <w:tc>
          <w:tcPr>
            <w:tcW w:w="0" w:type="auto"/>
            <w:gridSpan w:val="3"/>
            <w:shd w:val="clear" w:color="auto" w:fill="auto"/>
            <w:tcMar>
              <w:top w:w="0" w:type="dxa"/>
              <w:left w:w="20" w:type="dxa"/>
              <w:bottom w:w="0" w:type="dxa"/>
              <w:right w:w="20" w:type="dxa"/>
            </w:tcMar>
          </w:tcPr>
          <w:p w14:paraId="7DCFDB2B" w14:textId="77777777" w:rsidR="00C1563E" w:rsidRDefault="00C1563E">
            <w:pPr>
              <w:rPr>
                <w:rFonts w:ascii="宋体"/>
              </w:rPr>
            </w:pPr>
          </w:p>
        </w:tc>
        <w:tc>
          <w:tcPr>
            <w:tcW w:w="0" w:type="auto"/>
            <w:shd w:val="clear" w:color="auto" w:fill="auto"/>
          </w:tcPr>
          <w:p w14:paraId="7DCFDB2C" w14:textId="77777777" w:rsidR="00C1563E" w:rsidRDefault="00C1563E">
            <w:pPr>
              <w:rPr>
                <w:rFonts w:ascii="宋体"/>
                <w:vanish/>
              </w:rPr>
            </w:pPr>
          </w:p>
        </w:tc>
        <w:tc>
          <w:tcPr>
            <w:tcW w:w="0" w:type="auto"/>
            <w:shd w:val="clear" w:color="auto" w:fill="auto"/>
          </w:tcPr>
          <w:p w14:paraId="7DCFDB2D" w14:textId="77777777" w:rsidR="00C1563E" w:rsidRDefault="00C1563E">
            <w:pPr>
              <w:rPr>
                <w:rFonts w:ascii="宋体"/>
                <w:vanish/>
              </w:rPr>
            </w:pPr>
          </w:p>
        </w:tc>
        <w:tc>
          <w:tcPr>
            <w:tcW w:w="0" w:type="auto"/>
            <w:shd w:val="clear" w:color="auto" w:fill="auto"/>
          </w:tcPr>
          <w:p w14:paraId="7DCFDB2E" w14:textId="77777777" w:rsidR="00C1563E" w:rsidRDefault="00C1563E">
            <w:pPr>
              <w:rPr>
                <w:rFonts w:ascii="宋体"/>
                <w:vanish/>
              </w:rPr>
            </w:pPr>
          </w:p>
        </w:tc>
        <w:tc>
          <w:tcPr>
            <w:tcW w:w="0" w:type="auto"/>
            <w:shd w:val="clear" w:color="auto" w:fill="auto"/>
          </w:tcPr>
          <w:p w14:paraId="7DCFDB2F" w14:textId="77777777" w:rsidR="00C1563E" w:rsidRDefault="00C1563E">
            <w:pPr>
              <w:rPr>
                <w:rFonts w:ascii="宋体"/>
                <w:vanish/>
              </w:rPr>
            </w:pPr>
          </w:p>
        </w:tc>
        <w:tc>
          <w:tcPr>
            <w:tcW w:w="0" w:type="auto"/>
            <w:shd w:val="clear" w:color="auto" w:fill="auto"/>
          </w:tcPr>
          <w:p w14:paraId="7DCFDB30" w14:textId="77777777" w:rsidR="00C1563E" w:rsidRDefault="00C1563E">
            <w:pPr>
              <w:rPr>
                <w:rFonts w:ascii="宋体"/>
                <w:vanish/>
              </w:rPr>
            </w:pPr>
          </w:p>
        </w:tc>
        <w:tc>
          <w:tcPr>
            <w:tcW w:w="0" w:type="auto"/>
            <w:shd w:val="clear" w:color="auto" w:fill="auto"/>
          </w:tcPr>
          <w:p w14:paraId="7DCFDB31" w14:textId="77777777" w:rsidR="00C1563E" w:rsidRDefault="00C1563E">
            <w:pPr>
              <w:rPr>
                <w:rFonts w:ascii="宋体"/>
                <w:vanish/>
              </w:rPr>
            </w:pPr>
          </w:p>
        </w:tc>
        <w:tc>
          <w:tcPr>
            <w:tcW w:w="0" w:type="auto"/>
            <w:shd w:val="clear" w:color="auto" w:fill="auto"/>
          </w:tcPr>
          <w:p w14:paraId="7DCFDB32" w14:textId="77777777" w:rsidR="00C1563E" w:rsidRDefault="00C1563E">
            <w:pPr>
              <w:rPr>
                <w:rFonts w:ascii="宋体"/>
                <w:vanish/>
              </w:rPr>
            </w:pPr>
          </w:p>
        </w:tc>
        <w:tc>
          <w:tcPr>
            <w:tcW w:w="0" w:type="auto"/>
            <w:shd w:val="clear" w:color="auto" w:fill="auto"/>
          </w:tcPr>
          <w:p w14:paraId="7DCFDB33" w14:textId="77777777" w:rsidR="00C1563E" w:rsidRDefault="00C1563E">
            <w:pPr>
              <w:rPr>
                <w:rFonts w:ascii="宋体"/>
                <w:vanish/>
              </w:rPr>
            </w:pPr>
          </w:p>
        </w:tc>
        <w:tc>
          <w:tcPr>
            <w:tcW w:w="0" w:type="auto"/>
            <w:shd w:val="clear" w:color="auto" w:fill="auto"/>
          </w:tcPr>
          <w:p w14:paraId="7DCFDB34" w14:textId="77777777" w:rsidR="00C1563E" w:rsidRDefault="00C1563E">
            <w:pPr>
              <w:rPr>
                <w:rFonts w:ascii="宋体"/>
                <w:vanish/>
              </w:rPr>
            </w:pPr>
          </w:p>
        </w:tc>
        <w:tc>
          <w:tcPr>
            <w:tcW w:w="0" w:type="auto"/>
            <w:shd w:val="clear" w:color="auto" w:fill="auto"/>
          </w:tcPr>
          <w:p w14:paraId="7DCFDB35" w14:textId="77777777" w:rsidR="00C1563E" w:rsidRDefault="00C1563E">
            <w:pPr>
              <w:rPr>
                <w:rFonts w:ascii="宋体"/>
                <w:vanish/>
              </w:rPr>
            </w:pPr>
          </w:p>
        </w:tc>
        <w:tc>
          <w:tcPr>
            <w:tcW w:w="0" w:type="auto"/>
            <w:gridSpan w:val="30"/>
            <w:tcBorders>
              <w:bottom w:val="single" w:sz="8" w:space="0" w:color="000000"/>
            </w:tcBorders>
            <w:shd w:val="clear" w:color="auto" w:fill="auto"/>
            <w:tcMar>
              <w:top w:w="40" w:type="dxa"/>
              <w:left w:w="20" w:type="dxa"/>
              <w:bottom w:w="40" w:type="dxa"/>
              <w:right w:w="20" w:type="dxa"/>
            </w:tcMar>
            <w:vAlign w:val="bottom"/>
          </w:tcPr>
          <w:p w14:paraId="7DCFDB36" w14:textId="77777777" w:rsidR="00C1563E" w:rsidRDefault="000B648B">
            <w:pPr>
              <w:jc w:val="center"/>
              <w:textAlignment w:val="bottom"/>
            </w:pPr>
            <w:r>
              <w:rPr>
                <w:rFonts w:ascii="Times New Roman" w:eastAsia="宋体" w:hAnsi="Times New Roman"/>
                <w:b/>
                <w:bCs/>
                <w:color w:val="000000"/>
                <w:sz w:val="18"/>
                <w:szCs w:val="18"/>
              </w:rPr>
              <w:t>Fiscal Year Ended</w:t>
            </w:r>
          </w:p>
        </w:tc>
      </w:tr>
      <w:tr w:rsidR="00C1563E" w14:paraId="7DCFDB4A" w14:textId="77777777">
        <w:trPr>
          <w:jc w:val="center"/>
        </w:trPr>
        <w:tc>
          <w:tcPr>
            <w:tcW w:w="0" w:type="auto"/>
            <w:gridSpan w:val="3"/>
            <w:shd w:val="clear" w:color="auto" w:fill="auto"/>
            <w:tcMar>
              <w:top w:w="0" w:type="dxa"/>
              <w:left w:w="20" w:type="dxa"/>
              <w:bottom w:w="0" w:type="dxa"/>
              <w:right w:w="20" w:type="dxa"/>
            </w:tcMar>
          </w:tcPr>
          <w:p w14:paraId="7DCFDB38" w14:textId="77777777" w:rsidR="00C1563E" w:rsidRDefault="00C1563E">
            <w:pPr>
              <w:rPr>
                <w:rFonts w:ascii="宋体"/>
              </w:rPr>
            </w:pPr>
          </w:p>
        </w:tc>
        <w:tc>
          <w:tcPr>
            <w:tcW w:w="0" w:type="auto"/>
            <w:shd w:val="clear" w:color="auto" w:fill="auto"/>
          </w:tcPr>
          <w:p w14:paraId="7DCFDB39" w14:textId="77777777" w:rsidR="00C1563E" w:rsidRDefault="00C1563E">
            <w:pPr>
              <w:rPr>
                <w:rFonts w:ascii="宋体"/>
                <w:vanish/>
              </w:rPr>
            </w:pPr>
          </w:p>
        </w:tc>
        <w:tc>
          <w:tcPr>
            <w:tcW w:w="0" w:type="auto"/>
            <w:shd w:val="clear" w:color="auto" w:fill="auto"/>
          </w:tcPr>
          <w:p w14:paraId="7DCFDB3A" w14:textId="77777777" w:rsidR="00C1563E" w:rsidRDefault="00C1563E">
            <w:pPr>
              <w:rPr>
                <w:rFonts w:ascii="宋体"/>
                <w:vanish/>
              </w:rPr>
            </w:pPr>
          </w:p>
        </w:tc>
        <w:tc>
          <w:tcPr>
            <w:tcW w:w="0" w:type="auto"/>
            <w:shd w:val="clear" w:color="auto" w:fill="auto"/>
          </w:tcPr>
          <w:p w14:paraId="7DCFDB3B" w14:textId="77777777" w:rsidR="00C1563E" w:rsidRDefault="00C1563E">
            <w:pPr>
              <w:rPr>
                <w:rFonts w:ascii="宋体"/>
                <w:vanish/>
              </w:rPr>
            </w:pPr>
          </w:p>
        </w:tc>
        <w:tc>
          <w:tcPr>
            <w:tcW w:w="0" w:type="auto"/>
            <w:shd w:val="clear" w:color="auto" w:fill="auto"/>
          </w:tcPr>
          <w:p w14:paraId="7DCFDB3C" w14:textId="77777777" w:rsidR="00C1563E" w:rsidRDefault="00C1563E">
            <w:pPr>
              <w:rPr>
                <w:rFonts w:ascii="宋体"/>
                <w:vanish/>
              </w:rPr>
            </w:pPr>
          </w:p>
        </w:tc>
        <w:tc>
          <w:tcPr>
            <w:tcW w:w="0" w:type="auto"/>
            <w:shd w:val="clear" w:color="auto" w:fill="auto"/>
          </w:tcPr>
          <w:p w14:paraId="7DCFDB3D" w14:textId="77777777" w:rsidR="00C1563E" w:rsidRDefault="00C1563E">
            <w:pPr>
              <w:rPr>
                <w:rFonts w:ascii="宋体"/>
                <w:vanish/>
              </w:rPr>
            </w:pPr>
          </w:p>
        </w:tc>
        <w:tc>
          <w:tcPr>
            <w:tcW w:w="0" w:type="auto"/>
            <w:shd w:val="clear" w:color="auto" w:fill="auto"/>
          </w:tcPr>
          <w:p w14:paraId="7DCFDB3E" w14:textId="77777777" w:rsidR="00C1563E" w:rsidRDefault="00C1563E">
            <w:pPr>
              <w:rPr>
                <w:rFonts w:ascii="宋体"/>
                <w:vanish/>
              </w:rPr>
            </w:pPr>
          </w:p>
        </w:tc>
        <w:tc>
          <w:tcPr>
            <w:tcW w:w="0" w:type="auto"/>
            <w:shd w:val="clear" w:color="auto" w:fill="auto"/>
          </w:tcPr>
          <w:p w14:paraId="7DCFDB3F" w14:textId="77777777" w:rsidR="00C1563E" w:rsidRDefault="00C1563E">
            <w:pPr>
              <w:rPr>
                <w:rFonts w:ascii="宋体"/>
                <w:vanish/>
              </w:rPr>
            </w:pPr>
          </w:p>
        </w:tc>
        <w:tc>
          <w:tcPr>
            <w:tcW w:w="0" w:type="auto"/>
            <w:shd w:val="clear" w:color="auto" w:fill="auto"/>
          </w:tcPr>
          <w:p w14:paraId="7DCFDB40" w14:textId="77777777" w:rsidR="00C1563E" w:rsidRDefault="00C1563E">
            <w:pPr>
              <w:rPr>
                <w:rFonts w:ascii="宋体"/>
                <w:vanish/>
              </w:rPr>
            </w:pPr>
          </w:p>
        </w:tc>
        <w:tc>
          <w:tcPr>
            <w:tcW w:w="0" w:type="auto"/>
            <w:shd w:val="clear" w:color="auto" w:fill="auto"/>
          </w:tcPr>
          <w:p w14:paraId="7DCFDB41" w14:textId="77777777" w:rsidR="00C1563E" w:rsidRDefault="00C1563E">
            <w:pPr>
              <w:rPr>
                <w:rFonts w:ascii="宋体"/>
                <w:vanish/>
              </w:rPr>
            </w:pPr>
          </w:p>
        </w:tc>
        <w:tc>
          <w:tcPr>
            <w:tcW w:w="0" w:type="auto"/>
            <w:shd w:val="clear" w:color="auto" w:fill="auto"/>
          </w:tcPr>
          <w:p w14:paraId="7DCFDB42" w14:textId="77777777" w:rsidR="00C1563E" w:rsidRDefault="00C1563E">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B43" w14:textId="77777777" w:rsidR="00C1563E" w:rsidRDefault="000B648B">
            <w:pPr>
              <w:jc w:val="center"/>
              <w:textAlignment w:val="bottom"/>
            </w:pPr>
            <w:r>
              <w:rPr>
                <w:rFonts w:ascii="Times New Roman" w:eastAsia="宋体" w:hAnsi="Times New Roman"/>
                <w:b/>
                <w:bCs/>
                <w:color w:val="000000"/>
                <w:sz w:val="18"/>
                <w:szCs w:val="18"/>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DB44"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B45"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B46"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B47" w14:textId="77777777" w:rsidR="00C1563E" w:rsidRDefault="000B648B">
            <w:pPr>
              <w:jc w:val="center"/>
              <w:textAlignment w:val="bottom"/>
            </w:pPr>
            <w:r>
              <w:rPr>
                <w:rFonts w:ascii="Times New Roman" w:eastAsia="宋体" w:hAnsi="Times New Roman"/>
                <w:b/>
                <w:bCs/>
                <w:color w:val="000000"/>
                <w:sz w:val="18"/>
                <w:szCs w:val="18"/>
              </w:rPr>
              <w:t>January 31, 2020</w:t>
            </w:r>
          </w:p>
        </w:tc>
        <w:tc>
          <w:tcPr>
            <w:tcW w:w="0" w:type="auto"/>
            <w:gridSpan w:val="2"/>
            <w:tcBorders>
              <w:top w:val="single" w:sz="8" w:space="0" w:color="000000"/>
            </w:tcBorders>
            <w:shd w:val="clear" w:color="auto" w:fill="auto"/>
            <w:tcMar>
              <w:top w:w="0" w:type="dxa"/>
              <w:left w:w="20" w:type="dxa"/>
              <w:bottom w:w="0" w:type="dxa"/>
              <w:right w:w="20" w:type="dxa"/>
            </w:tcMar>
          </w:tcPr>
          <w:p w14:paraId="7DCFDB48" w14:textId="77777777" w:rsidR="00C1563E" w:rsidRDefault="00C1563E">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7DCFDB49" w14:textId="77777777" w:rsidR="00C1563E" w:rsidRDefault="000B648B">
            <w:pPr>
              <w:jc w:val="center"/>
              <w:textAlignment w:val="bottom"/>
            </w:pPr>
            <w:r>
              <w:rPr>
                <w:rFonts w:ascii="Times New Roman" w:eastAsia="宋体" w:hAnsi="Times New Roman"/>
                <w:b/>
                <w:bCs/>
                <w:color w:val="000000"/>
                <w:sz w:val="18"/>
                <w:szCs w:val="18"/>
              </w:rPr>
              <w:t>February 1, 2019</w:t>
            </w:r>
          </w:p>
        </w:tc>
      </w:tr>
      <w:tr w:rsidR="00C1563E" w14:paraId="7DCFDB62" w14:textId="77777777">
        <w:trPr>
          <w:jc w:val="center"/>
        </w:trPr>
        <w:tc>
          <w:tcPr>
            <w:tcW w:w="0" w:type="auto"/>
            <w:gridSpan w:val="3"/>
            <w:shd w:val="clear" w:color="auto" w:fill="auto"/>
            <w:tcMar>
              <w:top w:w="0" w:type="dxa"/>
              <w:left w:w="20" w:type="dxa"/>
              <w:bottom w:w="0" w:type="dxa"/>
              <w:right w:w="20" w:type="dxa"/>
            </w:tcMar>
          </w:tcPr>
          <w:p w14:paraId="7DCFDB4B" w14:textId="77777777" w:rsidR="00C1563E" w:rsidRDefault="00C1563E">
            <w:pPr>
              <w:rPr>
                <w:rFonts w:ascii="宋体"/>
              </w:rPr>
            </w:pPr>
          </w:p>
        </w:tc>
        <w:tc>
          <w:tcPr>
            <w:tcW w:w="0" w:type="auto"/>
            <w:shd w:val="clear" w:color="auto" w:fill="auto"/>
          </w:tcPr>
          <w:p w14:paraId="7DCFDB4C" w14:textId="77777777" w:rsidR="00C1563E" w:rsidRDefault="00C1563E">
            <w:pPr>
              <w:rPr>
                <w:rFonts w:ascii="宋体"/>
                <w:vanish/>
              </w:rPr>
            </w:pPr>
          </w:p>
        </w:tc>
        <w:tc>
          <w:tcPr>
            <w:tcW w:w="0" w:type="auto"/>
            <w:shd w:val="clear" w:color="auto" w:fill="auto"/>
          </w:tcPr>
          <w:p w14:paraId="7DCFDB4D" w14:textId="77777777" w:rsidR="00C1563E" w:rsidRDefault="00C1563E">
            <w:pPr>
              <w:rPr>
                <w:rFonts w:ascii="宋体"/>
                <w:vanish/>
              </w:rPr>
            </w:pPr>
          </w:p>
        </w:tc>
        <w:tc>
          <w:tcPr>
            <w:tcW w:w="0" w:type="auto"/>
            <w:shd w:val="clear" w:color="auto" w:fill="auto"/>
          </w:tcPr>
          <w:p w14:paraId="7DCFDB4E" w14:textId="77777777" w:rsidR="00C1563E" w:rsidRDefault="00C1563E">
            <w:pPr>
              <w:rPr>
                <w:rFonts w:ascii="宋体"/>
                <w:vanish/>
              </w:rPr>
            </w:pPr>
          </w:p>
        </w:tc>
        <w:tc>
          <w:tcPr>
            <w:tcW w:w="0" w:type="auto"/>
            <w:shd w:val="clear" w:color="auto" w:fill="auto"/>
          </w:tcPr>
          <w:p w14:paraId="7DCFDB4F" w14:textId="77777777" w:rsidR="00C1563E" w:rsidRDefault="00C1563E">
            <w:pPr>
              <w:rPr>
                <w:rFonts w:ascii="宋体"/>
                <w:vanish/>
              </w:rPr>
            </w:pPr>
          </w:p>
        </w:tc>
        <w:tc>
          <w:tcPr>
            <w:tcW w:w="0" w:type="auto"/>
            <w:shd w:val="clear" w:color="auto" w:fill="auto"/>
          </w:tcPr>
          <w:p w14:paraId="7DCFDB50" w14:textId="77777777" w:rsidR="00C1563E" w:rsidRDefault="00C1563E">
            <w:pPr>
              <w:rPr>
                <w:rFonts w:ascii="宋体"/>
                <w:vanish/>
              </w:rPr>
            </w:pPr>
          </w:p>
        </w:tc>
        <w:tc>
          <w:tcPr>
            <w:tcW w:w="0" w:type="auto"/>
            <w:shd w:val="clear" w:color="auto" w:fill="auto"/>
          </w:tcPr>
          <w:p w14:paraId="7DCFDB51" w14:textId="77777777" w:rsidR="00C1563E" w:rsidRDefault="00C1563E">
            <w:pPr>
              <w:rPr>
                <w:rFonts w:ascii="宋体"/>
                <w:vanish/>
              </w:rPr>
            </w:pPr>
          </w:p>
        </w:tc>
        <w:tc>
          <w:tcPr>
            <w:tcW w:w="0" w:type="auto"/>
            <w:shd w:val="clear" w:color="auto" w:fill="auto"/>
          </w:tcPr>
          <w:p w14:paraId="7DCFDB52" w14:textId="77777777" w:rsidR="00C1563E" w:rsidRDefault="00C1563E">
            <w:pPr>
              <w:rPr>
                <w:rFonts w:ascii="宋体"/>
                <w:vanish/>
              </w:rPr>
            </w:pPr>
          </w:p>
        </w:tc>
        <w:tc>
          <w:tcPr>
            <w:tcW w:w="0" w:type="auto"/>
            <w:shd w:val="clear" w:color="auto" w:fill="auto"/>
          </w:tcPr>
          <w:p w14:paraId="7DCFDB53" w14:textId="77777777" w:rsidR="00C1563E" w:rsidRDefault="00C1563E">
            <w:pPr>
              <w:rPr>
                <w:rFonts w:ascii="宋体"/>
                <w:vanish/>
              </w:rPr>
            </w:pPr>
          </w:p>
        </w:tc>
        <w:tc>
          <w:tcPr>
            <w:tcW w:w="0" w:type="auto"/>
            <w:shd w:val="clear" w:color="auto" w:fill="auto"/>
          </w:tcPr>
          <w:p w14:paraId="7DCFDB54" w14:textId="77777777" w:rsidR="00C1563E" w:rsidRDefault="00C1563E">
            <w:pPr>
              <w:rPr>
                <w:rFonts w:ascii="宋体"/>
                <w:vanish/>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DCFDB55"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B5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B57" w14:textId="77777777" w:rsidR="00C1563E" w:rsidRDefault="000B648B">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tcMar>
              <w:top w:w="0" w:type="dxa"/>
              <w:left w:w="20" w:type="dxa"/>
              <w:bottom w:w="0" w:type="dxa"/>
              <w:right w:w="20" w:type="dxa"/>
            </w:tcMar>
          </w:tcPr>
          <w:p w14:paraId="7DCFDB5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DB59"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DCFDB5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B5B"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B5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B5D" w14:textId="77777777" w:rsidR="00C1563E" w:rsidRDefault="000B648B">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tcMar>
              <w:top w:w="0" w:type="dxa"/>
              <w:left w:w="20" w:type="dxa"/>
              <w:bottom w:w="0" w:type="dxa"/>
              <w:right w:w="20" w:type="dxa"/>
            </w:tcMar>
          </w:tcPr>
          <w:p w14:paraId="7DCFDB5E" w14:textId="77777777" w:rsidR="00C1563E" w:rsidRDefault="00C1563E">
            <w:pPr>
              <w:rPr>
                <w:rFonts w:ascii="宋体"/>
              </w:rPr>
            </w:pPr>
          </w:p>
        </w:tc>
        <w:tc>
          <w:tcPr>
            <w:tcW w:w="0" w:type="auto"/>
            <w:gridSpan w:val="2"/>
            <w:tcBorders>
              <w:bottom w:val="single" w:sz="8" w:space="0" w:color="000000"/>
            </w:tcBorders>
            <w:shd w:val="clear" w:color="auto" w:fill="auto"/>
            <w:tcMar>
              <w:top w:w="40" w:type="dxa"/>
              <w:left w:w="20" w:type="dxa"/>
              <w:bottom w:w="40" w:type="dxa"/>
              <w:right w:w="20" w:type="dxa"/>
            </w:tcMar>
            <w:vAlign w:val="bottom"/>
          </w:tcPr>
          <w:p w14:paraId="7DCFDB5F"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shd w:val="clear" w:color="auto" w:fill="auto"/>
            <w:tcMar>
              <w:top w:w="0" w:type="dxa"/>
              <w:left w:w="20" w:type="dxa"/>
              <w:bottom w:w="0" w:type="dxa"/>
              <w:right w:w="20" w:type="dxa"/>
            </w:tcMar>
          </w:tcPr>
          <w:p w14:paraId="7DCFDB60" w14:textId="77777777" w:rsidR="00C1563E" w:rsidRDefault="000B648B">
            <w:pPr>
              <w:jc w:val="center"/>
              <w:textAlignment w:val="bottom"/>
            </w:pPr>
            <w:r>
              <w:rPr>
                <w:rFonts w:ascii="Times New Roman" w:eastAsia="宋体" w:hAnsi="Times New Roman"/>
                <w:b/>
                <w:bCs/>
                <w:color w:val="000000"/>
                <w:sz w:val="18"/>
                <w:szCs w:val="18"/>
              </w:rPr>
              <w:t>Dollars</w:t>
            </w:r>
          </w:p>
          <w:p w14:paraId="7DCFDB61" w14:textId="77777777" w:rsidR="00C1563E" w:rsidRDefault="000B648B">
            <w:pPr>
              <w:jc w:val="center"/>
              <w:textAlignment w:val="bottom"/>
            </w:pPr>
            <w:r>
              <w:rPr>
                <w:rFonts w:ascii="Times New Roman" w:eastAsia="宋体" w:hAnsi="Times New Roman"/>
                <w:b/>
                <w:bCs/>
                <w:color w:val="000000"/>
                <w:sz w:val="18"/>
                <w:szCs w:val="18"/>
              </w:rPr>
              <w:t>% of Non-GAAP Net Revenue</w:t>
            </w:r>
          </w:p>
        </w:tc>
      </w:tr>
      <w:tr w:rsidR="00C1563E" w14:paraId="7DCFDB6F" w14:textId="77777777">
        <w:trPr>
          <w:jc w:val="center"/>
        </w:trPr>
        <w:tc>
          <w:tcPr>
            <w:tcW w:w="0" w:type="auto"/>
            <w:gridSpan w:val="3"/>
            <w:shd w:val="clear" w:color="auto" w:fill="auto"/>
            <w:tcMar>
              <w:top w:w="0" w:type="dxa"/>
              <w:left w:w="20" w:type="dxa"/>
              <w:bottom w:w="0" w:type="dxa"/>
              <w:right w:w="20" w:type="dxa"/>
            </w:tcMar>
          </w:tcPr>
          <w:p w14:paraId="7DCFDB63" w14:textId="77777777" w:rsidR="00C1563E" w:rsidRDefault="00C1563E">
            <w:pPr>
              <w:rPr>
                <w:rFonts w:ascii="宋体"/>
              </w:rPr>
            </w:pPr>
          </w:p>
        </w:tc>
        <w:tc>
          <w:tcPr>
            <w:tcW w:w="0" w:type="auto"/>
            <w:shd w:val="clear" w:color="auto" w:fill="auto"/>
          </w:tcPr>
          <w:p w14:paraId="7DCFDB64" w14:textId="77777777" w:rsidR="00C1563E" w:rsidRDefault="00C1563E">
            <w:pPr>
              <w:rPr>
                <w:rFonts w:ascii="宋体"/>
                <w:vanish/>
              </w:rPr>
            </w:pPr>
          </w:p>
        </w:tc>
        <w:tc>
          <w:tcPr>
            <w:tcW w:w="0" w:type="auto"/>
            <w:shd w:val="clear" w:color="auto" w:fill="auto"/>
          </w:tcPr>
          <w:p w14:paraId="7DCFDB65" w14:textId="77777777" w:rsidR="00C1563E" w:rsidRDefault="00C1563E">
            <w:pPr>
              <w:rPr>
                <w:rFonts w:ascii="宋体"/>
                <w:vanish/>
              </w:rPr>
            </w:pPr>
          </w:p>
        </w:tc>
        <w:tc>
          <w:tcPr>
            <w:tcW w:w="0" w:type="auto"/>
            <w:shd w:val="clear" w:color="auto" w:fill="auto"/>
          </w:tcPr>
          <w:p w14:paraId="7DCFDB66" w14:textId="77777777" w:rsidR="00C1563E" w:rsidRDefault="00C1563E">
            <w:pPr>
              <w:rPr>
                <w:rFonts w:ascii="宋体"/>
                <w:vanish/>
              </w:rPr>
            </w:pPr>
          </w:p>
        </w:tc>
        <w:tc>
          <w:tcPr>
            <w:tcW w:w="0" w:type="auto"/>
            <w:shd w:val="clear" w:color="auto" w:fill="auto"/>
          </w:tcPr>
          <w:p w14:paraId="7DCFDB67" w14:textId="77777777" w:rsidR="00C1563E" w:rsidRDefault="00C1563E">
            <w:pPr>
              <w:rPr>
                <w:rFonts w:ascii="宋体"/>
                <w:vanish/>
              </w:rPr>
            </w:pPr>
          </w:p>
        </w:tc>
        <w:tc>
          <w:tcPr>
            <w:tcW w:w="0" w:type="auto"/>
            <w:shd w:val="clear" w:color="auto" w:fill="auto"/>
          </w:tcPr>
          <w:p w14:paraId="7DCFDB68" w14:textId="77777777" w:rsidR="00C1563E" w:rsidRDefault="00C1563E">
            <w:pPr>
              <w:rPr>
                <w:rFonts w:ascii="宋体"/>
                <w:vanish/>
              </w:rPr>
            </w:pPr>
          </w:p>
        </w:tc>
        <w:tc>
          <w:tcPr>
            <w:tcW w:w="0" w:type="auto"/>
            <w:shd w:val="clear" w:color="auto" w:fill="auto"/>
          </w:tcPr>
          <w:p w14:paraId="7DCFDB69" w14:textId="77777777" w:rsidR="00C1563E" w:rsidRDefault="00C1563E">
            <w:pPr>
              <w:rPr>
                <w:rFonts w:ascii="宋体"/>
                <w:vanish/>
              </w:rPr>
            </w:pPr>
          </w:p>
        </w:tc>
        <w:tc>
          <w:tcPr>
            <w:tcW w:w="0" w:type="auto"/>
            <w:shd w:val="clear" w:color="auto" w:fill="auto"/>
          </w:tcPr>
          <w:p w14:paraId="7DCFDB6A" w14:textId="77777777" w:rsidR="00C1563E" w:rsidRDefault="00C1563E">
            <w:pPr>
              <w:rPr>
                <w:rFonts w:ascii="宋体"/>
                <w:vanish/>
              </w:rPr>
            </w:pPr>
          </w:p>
        </w:tc>
        <w:tc>
          <w:tcPr>
            <w:tcW w:w="0" w:type="auto"/>
            <w:shd w:val="clear" w:color="auto" w:fill="auto"/>
          </w:tcPr>
          <w:p w14:paraId="7DCFDB6B" w14:textId="77777777" w:rsidR="00C1563E" w:rsidRDefault="00C1563E">
            <w:pPr>
              <w:rPr>
                <w:rFonts w:ascii="宋体"/>
                <w:vanish/>
              </w:rPr>
            </w:pPr>
          </w:p>
        </w:tc>
        <w:tc>
          <w:tcPr>
            <w:tcW w:w="0" w:type="auto"/>
            <w:shd w:val="clear" w:color="auto" w:fill="auto"/>
          </w:tcPr>
          <w:p w14:paraId="7DCFDB6C" w14:textId="77777777" w:rsidR="00C1563E" w:rsidRDefault="00C1563E">
            <w:pPr>
              <w:rPr>
                <w:rFonts w:ascii="宋体"/>
                <w:vanish/>
              </w:rPr>
            </w:pPr>
          </w:p>
        </w:tc>
        <w:tc>
          <w:tcPr>
            <w:tcW w:w="0" w:type="auto"/>
            <w:shd w:val="clear" w:color="auto" w:fill="auto"/>
          </w:tcPr>
          <w:p w14:paraId="7DCFDB6D" w14:textId="77777777" w:rsidR="00C1563E" w:rsidRDefault="00C1563E">
            <w:pPr>
              <w:rPr>
                <w:rFonts w:ascii="宋体"/>
                <w:vanish/>
              </w:rPr>
            </w:pPr>
          </w:p>
        </w:tc>
        <w:tc>
          <w:tcPr>
            <w:tcW w:w="0" w:type="auto"/>
            <w:gridSpan w:val="30"/>
            <w:tcBorders>
              <w:top w:val="single" w:sz="8" w:space="0" w:color="000000"/>
            </w:tcBorders>
            <w:shd w:val="clear" w:color="auto" w:fill="auto"/>
            <w:tcMar>
              <w:top w:w="40" w:type="dxa"/>
              <w:left w:w="20" w:type="dxa"/>
              <w:bottom w:w="40" w:type="dxa"/>
              <w:right w:w="20" w:type="dxa"/>
            </w:tcMar>
            <w:vAlign w:val="bottom"/>
          </w:tcPr>
          <w:p w14:paraId="7DCFDB6E" w14:textId="77777777" w:rsidR="00C1563E" w:rsidRDefault="000B648B">
            <w:pPr>
              <w:jc w:val="center"/>
              <w:textAlignment w:val="bottom"/>
            </w:pPr>
            <w:r>
              <w:rPr>
                <w:rFonts w:ascii="Times New Roman" w:eastAsia="宋体" w:hAnsi="Times New Roman"/>
                <w:color w:val="000000"/>
                <w:sz w:val="18"/>
                <w:szCs w:val="18"/>
              </w:rPr>
              <w:t>(in millions, except percentages)</w:t>
            </w:r>
          </w:p>
        </w:tc>
      </w:tr>
      <w:tr w:rsidR="00C1563E" w14:paraId="7DCFDB86" w14:textId="77777777">
        <w:trPr>
          <w:jc w:val="center"/>
        </w:trPr>
        <w:tc>
          <w:tcPr>
            <w:tcW w:w="0" w:type="auto"/>
            <w:gridSpan w:val="3"/>
            <w:shd w:val="clear" w:color="auto" w:fill="CCEEFF"/>
            <w:tcMar>
              <w:top w:w="40" w:type="dxa"/>
              <w:left w:w="20" w:type="dxa"/>
              <w:bottom w:w="40" w:type="dxa"/>
              <w:right w:w="20" w:type="dxa"/>
            </w:tcMar>
            <w:vAlign w:val="bottom"/>
          </w:tcPr>
          <w:p w14:paraId="7DCFDB70" w14:textId="77777777" w:rsidR="00C1563E" w:rsidRDefault="000B648B">
            <w:pPr>
              <w:textAlignment w:val="bottom"/>
            </w:pPr>
            <w:r>
              <w:rPr>
                <w:rFonts w:ascii="Times New Roman" w:eastAsia="宋体" w:hAnsi="Times New Roman"/>
                <w:i/>
                <w:iCs/>
                <w:color w:val="000000"/>
                <w:sz w:val="18"/>
                <w:szCs w:val="18"/>
              </w:rPr>
              <w:t>Non-GAAP net revenue:</w:t>
            </w:r>
          </w:p>
        </w:tc>
        <w:tc>
          <w:tcPr>
            <w:tcW w:w="0" w:type="auto"/>
            <w:shd w:val="clear" w:color="auto" w:fill="auto"/>
          </w:tcPr>
          <w:p w14:paraId="7DCFDB71" w14:textId="77777777" w:rsidR="00C1563E" w:rsidRDefault="00C1563E">
            <w:pPr>
              <w:rPr>
                <w:rFonts w:ascii="宋体"/>
                <w:vanish/>
              </w:rPr>
            </w:pPr>
          </w:p>
        </w:tc>
        <w:tc>
          <w:tcPr>
            <w:tcW w:w="0" w:type="auto"/>
            <w:shd w:val="clear" w:color="auto" w:fill="auto"/>
          </w:tcPr>
          <w:p w14:paraId="7DCFDB72" w14:textId="77777777" w:rsidR="00C1563E" w:rsidRDefault="00C1563E">
            <w:pPr>
              <w:rPr>
                <w:rFonts w:ascii="宋体"/>
                <w:vanish/>
              </w:rPr>
            </w:pPr>
          </w:p>
        </w:tc>
        <w:tc>
          <w:tcPr>
            <w:tcW w:w="0" w:type="auto"/>
            <w:shd w:val="clear" w:color="auto" w:fill="auto"/>
          </w:tcPr>
          <w:p w14:paraId="7DCFDB73" w14:textId="77777777" w:rsidR="00C1563E" w:rsidRDefault="00C1563E">
            <w:pPr>
              <w:rPr>
                <w:rFonts w:ascii="宋体"/>
                <w:vanish/>
              </w:rPr>
            </w:pPr>
          </w:p>
        </w:tc>
        <w:tc>
          <w:tcPr>
            <w:tcW w:w="0" w:type="auto"/>
            <w:shd w:val="clear" w:color="auto" w:fill="auto"/>
          </w:tcPr>
          <w:p w14:paraId="7DCFDB74" w14:textId="77777777" w:rsidR="00C1563E" w:rsidRDefault="00C1563E">
            <w:pPr>
              <w:rPr>
                <w:rFonts w:ascii="宋体"/>
                <w:vanish/>
              </w:rPr>
            </w:pPr>
          </w:p>
        </w:tc>
        <w:tc>
          <w:tcPr>
            <w:tcW w:w="0" w:type="auto"/>
            <w:shd w:val="clear" w:color="auto" w:fill="auto"/>
          </w:tcPr>
          <w:p w14:paraId="7DCFDB75" w14:textId="77777777" w:rsidR="00C1563E" w:rsidRDefault="00C1563E">
            <w:pPr>
              <w:rPr>
                <w:rFonts w:ascii="宋体"/>
                <w:vanish/>
              </w:rPr>
            </w:pPr>
          </w:p>
        </w:tc>
        <w:tc>
          <w:tcPr>
            <w:tcW w:w="0" w:type="auto"/>
            <w:shd w:val="clear" w:color="auto" w:fill="auto"/>
          </w:tcPr>
          <w:p w14:paraId="7DCFDB76" w14:textId="77777777" w:rsidR="00C1563E" w:rsidRDefault="00C1563E">
            <w:pPr>
              <w:rPr>
                <w:rFonts w:ascii="宋体"/>
                <w:vanish/>
              </w:rPr>
            </w:pPr>
          </w:p>
        </w:tc>
        <w:tc>
          <w:tcPr>
            <w:tcW w:w="0" w:type="auto"/>
            <w:shd w:val="clear" w:color="auto" w:fill="auto"/>
          </w:tcPr>
          <w:p w14:paraId="7DCFDB77" w14:textId="77777777" w:rsidR="00C1563E" w:rsidRDefault="00C1563E">
            <w:pPr>
              <w:rPr>
                <w:rFonts w:ascii="宋体"/>
                <w:vanish/>
              </w:rPr>
            </w:pPr>
          </w:p>
        </w:tc>
        <w:tc>
          <w:tcPr>
            <w:tcW w:w="0" w:type="auto"/>
            <w:shd w:val="clear" w:color="auto" w:fill="auto"/>
          </w:tcPr>
          <w:p w14:paraId="7DCFDB78" w14:textId="77777777" w:rsidR="00C1563E" w:rsidRDefault="00C1563E">
            <w:pPr>
              <w:rPr>
                <w:rFonts w:ascii="宋体"/>
                <w:vanish/>
              </w:rPr>
            </w:pPr>
          </w:p>
        </w:tc>
        <w:tc>
          <w:tcPr>
            <w:tcW w:w="0" w:type="auto"/>
            <w:shd w:val="clear" w:color="auto" w:fill="auto"/>
          </w:tcPr>
          <w:p w14:paraId="7DCFDB79" w14:textId="77777777" w:rsidR="00C1563E" w:rsidRDefault="00C1563E">
            <w:pPr>
              <w:rPr>
                <w:rFonts w:ascii="宋体"/>
                <w:vanish/>
              </w:rPr>
            </w:pPr>
          </w:p>
        </w:tc>
        <w:tc>
          <w:tcPr>
            <w:tcW w:w="0" w:type="auto"/>
            <w:shd w:val="clear" w:color="auto" w:fill="auto"/>
          </w:tcPr>
          <w:p w14:paraId="7DCFDB7A"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B7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7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7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7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7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8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8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8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83" w14:textId="77777777" w:rsidR="00C1563E" w:rsidRDefault="00C1563E">
            <w:pPr>
              <w:rPr>
                <w:rFonts w:ascii="宋体"/>
              </w:rPr>
            </w:pPr>
          </w:p>
        </w:tc>
        <w:tc>
          <w:tcPr>
            <w:tcW w:w="0" w:type="auto"/>
            <w:gridSpan w:val="2"/>
            <w:shd w:val="clear" w:color="auto" w:fill="CCEEFF"/>
            <w:tcMar>
              <w:top w:w="0" w:type="dxa"/>
              <w:left w:w="20" w:type="dxa"/>
              <w:bottom w:w="0" w:type="dxa"/>
              <w:right w:w="20" w:type="dxa"/>
            </w:tcMar>
          </w:tcPr>
          <w:p w14:paraId="7DCFDB84" w14:textId="77777777" w:rsidR="00C1563E" w:rsidRDefault="00C1563E">
            <w:pPr>
              <w:rPr>
                <w:rFonts w:ascii="宋体"/>
              </w:rPr>
            </w:pPr>
          </w:p>
        </w:tc>
        <w:tc>
          <w:tcPr>
            <w:tcW w:w="0" w:type="auto"/>
            <w:shd w:val="clear" w:color="auto" w:fill="CCEEFF"/>
            <w:tcMar>
              <w:top w:w="0" w:type="dxa"/>
              <w:left w:w="20" w:type="dxa"/>
              <w:bottom w:w="0" w:type="dxa"/>
              <w:right w:w="20" w:type="dxa"/>
            </w:tcMar>
          </w:tcPr>
          <w:p w14:paraId="7DCFDB85" w14:textId="77777777" w:rsidR="00C1563E" w:rsidRDefault="00C1563E">
            <w:pPr>
              <w:rPr>
                <w:rFonts w:ascii="宋体"/>
              </w:rPr>
            </w:pPr>
          </w:p>
        </w:tc>
      </w:tr>
      <w:tr w:rsidR="00C1563E" w14:paraId="7DCFDBA9" w14:textId="77777777">
        <w:trPr>
          <w:jc w:val="center"/>
        </w:trPr>
        <w:tc>
          <w:tcPr>
            <w:tcW w:w="0" w:type="auto"/>
            <w:gridSpan w:val="3"/>
            <w:shd w:val="clear" w:color="auto" w:fill="FFFFFF"/>
            <w:tcMar>
              <w:top w:w="40" w:type="dxa"/>
              <w:left w:w="155" w:type="dxa"/>
              <w:bottom w:w="40" w:type="dxa"/>
              <w:right w:w="20" w:type="dxa"/>
            </w:tcMar>
            <w:vAlign w:val="bottom"/>
          </w:tcPr>
          <w:p w14:paraId="7DCFDB87" w14:textId="77777777" w:rsidR="00C1563E" w:rsidRDefault="000B648B">
            <w:pPr>
              <w:textAlignment w:val="bottom"/>
            </w:pPr>
            <w:r>
              <w:rPr>
                <w:rFonts w:ascii="Times New Roman" w:eastAsia="宋体" w:hAnsi="Times New Roman"/>
                <w:color w:val="000000"/>
                <w:sz w:val="18"/>
                <w:szCs w:val="18"/>
              </w:rPr>
              <w:t>Products</w:t>
            </w:r>
          </w:p>
        </w:tc>
        <w:tc>
          <w:tcPr>
            <w:tcW w:w="0" w:type="auto"/>
            <w:shd w:val="clear" w:color="auto" w:fill="auto"/>
          </w:tcPr>
          <w:p w14:paraId="7DCFDB88" w14:textId="77777777" w:rsidR="00C1563E" w:rsidRDefault="00C1563E">
            <w:pPr>
              <w:rPr>
                <w:rFonts w:ascii="宋体"/>
                <w:vanish/>
              </w:rPr>
            </w:pPr>
          </w:p>
        </w:tc>
        <w:tc>
          <w:tcPr>
            <w:tcW w:w="0" w:type="auto"/>
            <w:shd w:val="clear" w:color="auto" w:fill="auto"/>
          </w:tcPr>
          <w:p w14:paraId="7DCFDB89" w14:textId="77777777" w:rsidR="00C1563E" w:rsidRDefault="00C1563E">
            <w:pPr>
              <w:rPr>
                <w:rFonts w:ascii="宋体"/>
                <w:vanish/>
              </w:rPr>
            </w:pPr>
          </w:p>
        </w:tc>
        <w:tc>
          <w:tcPr>
            <w:tcW w:w="0" w:type="auto"/>
            <w:shd w:val="clear" w:color="auto" w:fill="auto"/>
          </w:tcPr>
          <w:p w14:paraId="7DCFDB8A" w14:textId="77777777" w:rsidR="00C1563E" w:rsidRDefault="00C1563E">
            <w:pPr>
              <w:rPr>
                <w:rFonts w:ascii="宋体"/>
                <w:vanish/>
              </w:rPr>
            </w:pPr>
          </w:p>
        </w:tc>
        <w:tc>
          <w:tcPr>
            <w:tcW w:w="0" w:type="auto"/>
            <w:shd w:val="clear" w:color="auto" w:fill="auto"/>
          </w:tcPr>
          <w:p w14:paraId="7DCFDB8B" w14:textId="77777777" w:rsidR="00C1563E" w:rsidRDefault="00C1563E">
            <w:pPr>
              <w:rPr>
                <w:rFonts w:ascii="宋体"/>
                <w:vanish/>
              </w:rPr>
            </w:pPr>
          </w:p>
        </w:tc>
        <w:tc>
          <w:tcPr>
            <w:tcW w:w="0" w:type="auto"/>
            <w:shd w:val="clear" w:color="auto" w:fill="auto"/>
          </w:tcPr>
          <w:p w14:paraId="7DCFDB8C" w14:textId="77777777" w:rsidR="00C1563E" w:rsidRDefault="00C1563E">
            <w:pPr>
              <w:rPr>
                <w:rFonts w:ascii="宋体"/>
                <w:vanish/>
              </w:rPr>
            </w:pPr>
          </w:p>
        </w:tc>
        <w:tc>
          <w:tcPr>
            <w:tcW w:w="0" w:type="auto"/>
            <w:shd w:val="clear" w:color="auto" w:fill="auto"/>
          </w:tcPr>
          <w:p w14:paraId="7DCFDB8D" w14:textId="77777777" w:rsidR="00C1563E" w:rsidRDefault="00C1563E">
            <w:pPr>
              <w:rPr>
                <w:rFonts w:ascii="宋体"/>
                <w:vanish/>
              </w:rPr>
            </w:pPr>
          </w:p>
        </w:tc>
        <w:tc>
          <w:tcPr>
            <w:tcW w:w="0" w:type="auto"/>
            <w:shd w:val="clear" w:color="auto" w:fill="auto"/>
          </w:tcPr>
          <w:p w14:paraId="7DCFDB8E" w14:textId="77777777" w:rsidR="00C1563E" w:rsidRDefault="00C1563E">
            <w:pPr>
              <w:rPr>
                <w:rFonts w:ascii="宋体"/>
                <w:vanish/>
              </w:rPr>
            </w:pPr>
          </w:p>
        </w:tc>
        <w:tc>
          <w:tcPr>
            <w:tcW w:w="0" w:type="auto"/>
            <w:shd w:val="clear" w:color="auto" w:fill="auto"/>
          </w:tcPr>
          <w:p w14:paraId="7DCFDB8F" w14:textId="77777777" w:rsidR="00C1563E" w:rsidRDefault="00C1563E">
            <w:pPr>
              <w:rPr>
                <w:rFonts w:ascii="宋体"/>
                <w:vanish/>
              </w:rPr>
            </w:pPr>
          </w:p>
        </w:tc>
        <w:tc>
          <w:tcPr>
            <w:tcW w:w="0" w:type="auto"/>
            <w:shd w:val="clear" w:color="auto" w:fill="auto"/>
          </w:tcPr>
          <w:p w14:paraId="7DCFDB90" w14:textId="77777777" w:rsidR="00C1563E" w:rsidRDefault="00C1563E">
            <w:pPr>
              <w:rPr>
                <w:rFonts w:ascii="宋体"/>
                <w:vanish/>
              </w:rPr>
            </w:pPr>
          </w:p>
        </w:tc>
        <w:tc>
          <w:tcPr>
            <w:tcW w:w="0" w:type="auto"/>
            <w:shd w:val="clear" w:color="auto" w:fill="auto"/>
          </w:tcPr>
          <w:p w14:paraId="7DCFDB91"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B92"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B93" w14:textId="77777777" w:rsidR="00C1563E" w:rsidRDefault="000B648B">
            <w:pPr>
              <w:jc w:val="right"/>
              <w:textAlignment w:val="bottom"/>
            </w:pPr>
            <w:r>
              <w:rPr>
                <w:rFonts w:ascii="Times New Roman" w:eastAsia="宋体" w:hAnsi="Times New Roman"/>
                <w:color w:val="000000"/>
                <w:sz w:val="18"/>
                <w:szCs w:val="18"/>
              </w:rPr>
              <w:t>69,919 </w:t>
            </w:r>
          </w:p>
        </w:tc>
        <w:tc>
          <w:tcPr>
            <w:tcW w:w="0" w:type="auto"/>
            <w:shd w:val="clear" w:color="auto" w:fill="FFFFFF"/>
            <w:tcMar>
              <w:top w:w="40" w:type="dxa"/>
              <w:left w:w="0" w:type="dxa"/>
              <w:bottom w:w="40" w:type="dxa"/>
              <w:right w:w="20" w:type="dxa"/>
            </w:tcMar>
            <w:vAlign w:val="bottom"/>
          </w:tcPr>
          <w:p w14:paraId="7DCFDB9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B9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B96" w14:textId="77777777" w:rsidR="00C1563E" w:rsidRDefault="000B648B">
            <w:pPr>
              <w:jc w:val="right"/>
              <w:textAlignment w:val="bottom"/>
            </w:pPr>
            <w:r>
              <w:rPr>
                <w:rFonts w:ascii="Times New Roman" w:eastAsia="宋体" w:hAnsi="Times New Roman"/>
                <w:color w:val="000000"/>
                <w:sz w:val="18"/>
                <w:szCs w:val="18"/>
              </w:rPr>
              <w:t>74.1 </w:t>
            </w:r>
          </w:p>
        </w:tc>
        <w:tc>
          <w:tcPr>
            <w:tcW w:w="0" w:type="auto"/>
            <w:shd w:val="clear" w:color="auto" w:fill="FFFFFF"/>
            <w:tcMar>
              <w:top w:w="40" w:type="dxa"/>
              <w:left w:w="0" w:type="dxa"/>
              <w:bottom w:w="40" w:type="dxa"/>
              <w:right w:w="20" w:type="dxa"/>
            </w:tcMar>
            <w:vAlign w:val="bottom"/>
          </w:tcPr>
          <w:p w14:paraId="7DCFDB9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B9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B9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DB9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B9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B9C"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B9D" w14:textId="77777777" w:rsidR="00C1563E" w:rsidRDefault="000B648B">
            <w:pPr>
              <w:jc w:val="right"/>
              <w:textAlignment w:val="bottom"/>
            </w:pPr>
            <w:r>
              <w:rPr>
                <w:rFonts w:ascii="Times New Roman" w:eastAsia="宋体" w:hAnsi="Times New Roman"/>
                <w:color w:val="000000"/>
                <w:sz w:val="18"/>
                <w:szCs w:val="18"/>
              </w:rPr>
              <w:t>69,937 </w:t>
            </w:r>
          </w:p>
        </w:tc>
        <w:tc>
          <w:tcPr>
            <w:tcW w:w="0" w:type="auto"/>
            <w:shd w:val="clear" w:color="auto" w:fill="FFFFFF"/>
            <w:tcMar>
              <w:top w:w="40" w:type="dxa"/>
              <w:left w:w="0" w:type="dxa"/>
              <w:bottom w:w="40" w:type="dxa"/>
              <w:right w:w="20" w:type="dxa"/>
            </w:tcMar>
            <w:vAlign w:val="bottom"/>
          </w:tcPr>
          <w:p w14:paraId="7DCFDB9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B9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BA0" w14:textId="77777777" w:rsidR="00C1563E" w:rsidRDefault="000B648B">
            <w:pPr>
              <w:jc w:val="right"/>
              <w:textAlignment w:val="bottom"/>
            </w:pPr>
            <w:r>
              <w:rPr>
                <w:rFonts w:ascii="Times New Roman" w:eastAsia="宋体" w:hAnsi="Times New Roman"/>
                <w:color w:val="000000"/>
                <w:sz w:val="18"/>
                <w:szCs w:val="18"/>
              </w:rPr>
              <w:t>75.6 </w:t>
            </w:r>
          </w:p>
        </w:tc>
        <w:tc>
          <w:tcPr>
            <w:tcW w:w="0" w:type="auto"/>
            <w:shd w:val="clear" w:color="auto" w:fill="FFFFFF"/>
            <w:tcMar>
              <w:top w:w="40" w:type="dxa"/>
              <w:left w:w="0" w:type="dxa"/>
              <w:bottom w:w="40" w:type="dxa"/>
              <w:right w:w="20" w:type="dxa"/>
            </w:tcMar>
            <w:vAlign w:val="bottom"/>
          </w:tcPr>
          <w:p w14:paraId="7DCFDBA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BA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BA3" w14:textId="77777777" w:rsidR="00C1563E" w:rsidRDefault="000B648B">
            <w:pPr>
              <w:jc w:val="right"/>
              <w:textAlignment w:val="bottom"/>
            </w:pPr>
            <w:r>
              <w:rPr>
                <w:rFonts w:ascii="Times New Roman" w:eastAsia="宋体" w:hAnsi="Times New Roman"/>
                <w:color w:val="000000"/>
                <w:sz w:val="18"/>
                <w:szCs w:val="18"/>
              </w:rPr>
              <w:t>(1)</w:t>
            </w:r>
          </w:p>
          <w:p w14:paraId="7DCFDBA4" w14:textId="77777777" w:rsidR="00C1563E" w:rsidRDefault="000B648B">
            <w:pPr>
              <w:jc w:val="right"/>
              <w:textAlignment w:val="bottom"/>
            </w:pPr>
            <w:r>
              <w:rPr>
                <w:rFonts w:ascii="Times New Roman" w:eastAsia="宋体" w:hAnsi="Times New Roman"/>
                <w:color w:val="000000"/>
                <w:sz w:val="18"/>
                <w:szCs w:val="18"/>
              </w:rPr>
              <w:t>%</w:t>
            </w:r>
          </w:p>
          <w:p w14:paraId="7DCFDBA5" w14:textId="77777777" w:rsidR="00C1563E" w:rsidRDefault="000B648B">
            <w:pPr>
              <w:textAlignment w:val="bottom"/>
            </w:pPr>
            <w:r>
              <w:rPr>
                <w:rFonts w:ascii="Times New Roman" w:eastAsia="宋体" w:hAnsi="Times New Roman"/>
                <w:color w:val="000000"/>
                <w:sz w:val="18"/>
                <w:szCs w:val="18"/>
              </w:rPr>
              <w:t>$</w:t>
            </w:r>
          </w:p>
          <w:p w14:paraId="7DCFDBA6" w14:textId="77777777" w:rsidR="00C1563E" w:rsidRDefault="000B648B">
            <w:pPr>
              <w:jc w:val="right"/>
              <w:textAlignment w:val="bottom"/>
            </w:pPr>
            <w:r>
              <w:rPr>
                <w:rFonts w:ascii="Times New Roman" w:eastAsia="宋体" w:hAnsi="Times New Roman"/>
                <w:color w:val="000000"/>
                <w:sz w:val="18"/>
                <w:szCs w:val="18"/>
              </w:rPr>
              <w:t>70,768 </w:t>
            </w:r>
          </w:p>
          <w:p w14:paraId="7DCFDBA7" w14:textId="77777777" w:rsidR="00C1563E" w:rsidRDefault="000B648B">
            <w:pPr>
              <w:jc w:val="right"/>
              <w:textAlignment w:val="bottom"/>
            </w:pPr>
            <w:r>
              <w:rPr>
                <w:rFonts w:ascii="Times New Roman" w:eastAsia="宋体" w:hAnsi="Times New Roman"/>
                <w:color w:val="000000"/>
                <w:sz w:val="18"/>
                <w:szCs w:val="18"/>
              </w:rPr>
              <w:t>77.5 </w:t>
            </w:r>
          </w:p>
          <w:p w14:paraId="7DCFDBA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BC9" w14:textId="77777777">
        <w:trPr>
          <w:jc w:val="center"/>
        </w:trPr>
        <w:tc>
          <w:tcPr>
            <w:tcW w:w="0" w:type="auto"/>
            <w:gridSpan w:val="3"/>
            <w:shd w:val="clear" w:color="auto" w:fill="CCEEFF"/>
            <w:tcMar>
              <w:top w:w="40" w:type="dxa"/>
              <w:left w:w="155" w:type="dxa"/>
              <w:bottom w:w="40" w:type="dxa"/>
              <w:right w:w="20" w:type="dxa"/>
            </w:tcMar>
            <w:vAlign w:val="bottom"/>
          </w:tcPr>
          <w:p w14:paraId="7DCFDBAA" w14:textId="77777777" w:rsidR="00C1563E" w:rsidRDefault="000B648B">
            <w:pPr>
              <w:textAlignment w:val="bottom"/>
            </w:pPr>
            <w:r>
              <w:rPr>
                <w:rFonts w:ascii="Times New Roman" w:eastAsia="宋体" w:hAnsi="Times New Roman"/>
                <w:color w:val="000000"/>
                <w:sz w:val="18"/>
                <w:szCs w:val="18"/>
              </w:rPr>
              <w:t>Services</w:t>
            </w:r>
          </w:p>
        </w:tc>
        <w:tc>
          <w:tcPr>
            <w:tcW w:w="0" w:type="auto"/>
            <w:shd w:val="clear" w:color="auto" w:fill="auto"/>
          </w:tcPr>
          <w:p w14:paraId="7DCFDBAB" w14:textId="77777777" w:rsidR="00C1563E" w:rsidRDefault="00C1563E">
            <w:pPr>
              <w:rPr>
                <w:rFonts w:ascii="宋体"/>
                <w:vanish/>
              </w:rPr>
            </w:pPr>
          </w:p>
        </w:tc>
        <w:tc>
          <w:tcPr>
            <w:tcW w:w="0" w:type="auto"/>
            <w:shd w:val="clear" w:color="auto" w:fill="auto"/>
          </w:tcPr>
          <w:p w14:paraId="7DCFDBAC" w14:textId="77777777" w:rsidR="00C1563E" w:rsidRDefault="00C1563E">
            <w:pPr>
              <w:rPr>
                <w:rFonts w:ascii="宋体"/>
                <w:vanish/>
              </w:rPr>
            </w:pPr>
          </w:p>
        </w:tc>
        <w:tc>
          <w:tcPr>
            <w:tcW w:w="0" w:type="auto"/>
            <w:shd w:val="clear" w:color="auto" w:fill="auto"/>
          </w:tcPr>
          <w:p w14:paraId="7DCFDBAD" w14:textId="77777777" w:rsidR="00C1563E" w:rsidRDefault="00C1563E">
            <w:pPr>
              <w:rPr>
                <w:rFonts w:ascii="宋体"/>
                <w:vanish/>
              </w:rPr>
            </w:pPr>
          </w:p>
        </w:tc>
        <w:tc>
          <w:tcPr>
            <w:tcW w:w="0" w:type="auto"/>
            <w:shd w:val="clear" w:color="auto" w:fill="auto"/>
          </w:tcPr>
          <w:p w14:paraId="7DCFDBAE" w14:textId="77777777" w:rsidR="00C1563E" w:rsidRDefault="00C1563E">
            <w:pPr>
              <w:rPr>
                <w:rFonts w:ascii="宋体"/>
                <w:vanish/>
              </w:rPr>
            </w:pPr>
          </w:p>
        </w:tc>
        <w:tc>
          <w:tcPr>
            <w:tcW w:w="0" w:type="auto"/>
            <w:shd w:val="clear" w:color="auto" w:fill="auto"/>
          </w:tcPr>
          <w:p w14:paraId="7DCFDBAF" w14:textId="77777777" w:rsidR="00C1563E" w:rsidRDefault="00C1563E">
            <w:pPr>
              <w:rPr>
                <w:rFonts w:ascii="宋体"/>
                <w:vanish/>
              </w:rPr>
            </w:pPr>
          </w:p>
        </w:tc>
        <w:tc>
          <w:tcPr>
            <w:tcW w:w="0" w:type="auto"/>
            <w:shd w:val="clear" w:color="auto" w:fill="auto"/>
          </w:tcPr>
          <w:p w14:paraId="7DCFDBB0" w14:textId="77777777" w:rsidR="00C1563E" w:rsidRDefault="00C1563E">
            <w:pPr>
              <w:rPr>
                <w:rFonts w:ascii="宋体"/>
                <w:vanish/>
              </w:rPr>
            </w:pPr>
          </w:p>
        </w:tc>
        <w:tc>
          <w:tcPr>
            <w:tcW w:w="0" w:type="auto"/>
            <w:shd w:val="clear" w:color="auto" w:fill="auto"/>
          </w:tcPr>
          <w:p w14:paraId="7DCFDBB1" w14:textId="77777777" w:rsidR="00C1563E" w:rsidRDefault="00C1563E">
            <w:pPr>
              <w:rPr>
                <w:rFonts w:ascii="宋体"/>
                <w:vanish/>
              </w:rPr>
            </w:pPr>
          </w:p>
        </w:tc>
        <w:tc>
          <w:tcPr>
            <w:tcW w:w="0" w:type="auto"/>
            <w:shd w:val="clear" w:color="auto" w:fill="auto"/>
          </w:tcPr>
          <w:p w14:paraId="7DCFDBB2" w14:textId="77777777" w:rsidR="00C1563E" w:rsidRDefault="00C1563E">
            <w:pPr>
              <w:rPr>
                <w:rFonts w:ascii="宋体"/>
                <w:vanish/>
              </w:rPr>
            </w:pPr>
          </w:p>
        </w:tc>
        <w:tc>
          <w:tcPr>
            <w:tcW w:w="0" w:type="auto"/>
            <w:shd w:val="clear" w:color="auto" w:fill="auto"/>
          </w:tcPr>
          <w:p w14:paraId="7DCFDBB3" w14:textId="77777777" w:rsidR="00C1563E" w:rsidRDefault="00C1563E">
            <w:pPr>
              <w:rPr>
                <w:rFonts w:ascii="宋体"/>
                <w:vanish/>
              </w:rPr>
            </w:pPr>
          </w:p>
        </w:tc>
        <w:tc>
          <w:tcPr>
            <w:tcW w:w="0" w:type="auto"/>
            <w:shd w:val="clear" w:color="auto" w:fill="auto"/>
          </w:tcPr>
          <w:p w14:paraId="7DCFDBB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BB5" w14:textId="77777777" w:rsidR="00C1563E" w:rsidRDefault="000B648B">
            <w:pPr>
              <w:jc w:val="right"/>
              <w:textAlignment w:val="bottom"/>
            </w:pPr>
            <w:r>
              <w:rPr>
                <w:rFonts w:ascii="Times New Roman" w:eastAsia="宋体" w:hAnsi="Times New Roman"/>
                <w:color w:val="000000"/>
                <w:sz w:val="18"/>
                <w:szCs w:val="18"/>
              </w:rPr>
              <w:t>24,470 </w:t>
            </w:r>
          </w:p>
        </w:tc>
        <w:tc>
          <w:tcPr>
            <w:tcW w:w="0" w:type="auto"/>
            <w:shd w:val="clear" w:color="auto" w:fill="CCEEFF"/>
            <w:tcMar>
              <w:top w:w="40" w:type="dxa"/>
              <w:left w:w="0" w:type="dxa"/>
              <w:bottom w:w="40" w:type="dxa"/>
              <w:right w:w="20" w:type="dxa"/>
            </w:tcMar>
            <w:vAlign w:val="bottom"/>
          </w:tcPr>
          <w:p w14:paraId="7DCFDBB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BB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BB8" w14:textId="77777777" w:rsidR="00C1563E" w:rsidRDefault="000B648B">
            <w:pPr>
              <w:jc w:val="right"/>
              <w:textAlignment w:val="bottom"/>
            </w:pPr>
            <w:r>
              <w:rPr>
                <w:rFonts w:ascii="Times New Roman" w:eastAsia="宋体" w:hAnsi="Times New Roman"/>
                <w:color w:val="000000"/>
                <w:sz w:val="18"/>
                <w:szCs w:val="18"/>
              </w:rPr>
              <w:t>25.9 </w:t>
            </w:r>
          </w:p>
        </w:tc>
        <w:tc>
          <w:tcPr>
            <w:tcW w:w="0" w:type="auto"/>
            <w:shd w:val="clear" w:color="auto" w:fill="CCEEFF"/>
            <w:tcMar>
              <w:top w:w="40" w:type="dxa"/>
              <w:left w:w="0" w:type="dxa"/>
              <w:bottom w:w="40" w:type="dxa"/>
              <w:right w:w="20" w:type="dxa"/>
            </w:tcMar>
            <w:vAlign w:val="bottom"/>
          </w:tcPr>
          <w:p w14:paraId="7DCFDBB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BB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BBB" w14:textId="77777777" w:rsidR="00C1563E" w:rsidRDefault="000B648B">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7DCFDBB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BB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BBE" w14:textId="77777777" w:rsidR="00C1563E" w:rsidRDefault="000B648B">
            <w:pPr>
              <w:jc w:val="right"/>
              <w:textAlignment w:val="bottom"/>
            </w:pPr>
            <w:r>
              <w:rPr>
                <w:rFonts w:ascii="Times New Roman" w:eastAsia="宋体" w:hAnsi="Times New Roman"/>
                <w:color w:val="000000"/>
                <w:sz w:val="18"/>
                <w:szCs w:val="18"/>
              </w:rPr>
              <w:t>22,564 </w:t>
            </w:r>
          </w:p>
        </w:tc>
        <w:tc>
          <w:tcPr>
            <w:tcW w:w="0" w:type="auto"/>
            <w:shd w:val="clear" w:color="auto" w:fill="CCEEFF"/>
            <w:tcMar>
              <w:top w:w="40" w:type="dxa"/>
              <w:left w:w="0" w:type="dxa"/>
              <w:bottom w:w="40" w:type="dxa"/>
              <w:right w:w="20" w:type="dxa"/>
            </w:tcMar>
            <w:vAlign w:val="bottom"/>
          </w:tcPr>
          <w:p w14:paraId="7DCFDBB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BC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BC1" w14:textId="77777777" w:rsidR="00C1563E" w:rsidRDefault="000B648B">
            <w:pPr>
              <w:jc w:val="right"/>
              <w:textAlignment w:val="bottom"/>
            </w:pPr>
            <w:r>
              <w:rPr>
                <w:rFonts w:ascii="Times New Roman" w:eastAsia="宋体" w:hAnsi="Times New Roman"/>
                <w:color w:val="000000"/>
                <w:sz w:val="18"/>
                <w:szCs w:val="18"/>
              </w:rPr>
              <w:t>24.4 </w:t>
            </w:r>
          </w:p>
        </w:tc>
        <w:tc>
          <w:tcPr>
            <w:tcW w:w="0" w:type="auto"/>
            <w:shd w:val="clear" w:color="auto" w:fill="CCEEFF"/>
            <w:tcMar>
              <w:top w:w="40" w:type="dxa"/>
              <w:left w:w="0" w:type="dxa"/>
              <w:bottom w:w="40" w:type="dxa"/>
              <w:right w:w="20" w:type="dxa"/>
            </w:tcMar>
            <w:vAlign w:val="bottom"/>
          </w:tcPr>
          <w:p w14:paraId="7DCFDBC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BC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BC4" w14:textId="77777777" w:rsidR="00C1563E" w:rsidRDefault="000B648B">
            <w:pPr>
              <w:jc w:val="right"/>
              <w:textAlignment w:val="bottom"/>
            </w:pPr>
            <w:r>
              <w:rPr>
                <w:rFonts w:ascii="Times New Roman" w:eastAsia="宋体" w:hAnsi="Times New Roman"/>
                <w:color w:val="000000"/>
                <w:sz w:val="18"/>
                <w:szCs w:val="18"/>
              </w:rPr>
              <w:t>10 </w:t>
            </w:r>
          </w:p>
          <w:p w14:paraId="7DCFDBC5" w14:textId="77777777" w:rsidR="00C1563E" w:rsidRDefault="000B648B">
            <w:pPr>
              <w:jc w:val="right"/>
              <w:textAlignment w:val="bottom"/>
            </w:pPr>
            <w:r>
              <w:rPr>
                <w:rFonts w:ascii="Times New Roman" w:eastAsia="宋体" w:hAnsi="Times New Roman"/>
                <w:color w:val="000000"/>
                <w:sz w:val="18"/>
                <w:szCs w:val="18"/>
              </w:rPr>
              <w:t>%</w:t>
            </w:r>
          </w:p>
          <w:p w14:paraId="7DCFDBC6" w14:textId="77777777" w:rsidR="00C1563E" w:rsidRDefault="000B648B">
            <w:pPr>
              <w:jc w:val="right"/>
              <w:textAlignment w:val="bottom"/>
            </w:pPr>
            <w:r>
              <w:rPr>
                <w:rFonts w:ascii="Times New Roman" w:eastAsia="宋体" w:hAnsi="Times New Roman"/>
                <w:color w:val="000000"/>
                <w:sz w:val="18"/>
                <w:szCs w:val="18"/>
              </w:rPr>
              <w:t>20,556 </w:t>
            </w:r>
          </w:p>
          <w:p w14:paraId="7DCFDBC7" w14:textId="77777777" w:rsidR="00C1563E" w:rsidRDefault="000B648B">
            <w:pPr>
              <w:jc w:val="right"/>
              <w:textAlignment w:val="bottom"/>
            </w:pPr>
            <w:r>
              <w:rPr>
                <w:rFonts w:ascii="Times New Roman" w:eastAsia="宋体" w:hAnsi="Times New Roman"/>
                <w:color w:val="000000"/>
                <w:sz w:val="18"/>
                <w:szCs w:val="18"/>
              </w:rPr>
              <w:t>22.5 </w:t>
            </w:r>
          </w:p>
          <w:p w14:paraId="7DCFDBC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BEC" w14:textId="77777777">
        <w:trPr>
          <w:jc w:val="center"/>
        </w:trPr>
        <w:tc>
          <w:tcPr>
            <w:tcW w:w="0" w:type="auto"/>
            <w:gridSpan w:val="3"/>
            <w:shd w:val="clear" w:color="auto" w:fill="FFFFFF"/>
            <w:tcMar>
              <w:top w:w="40" w:type="dxa"/>
              <w:left w:w="260" w:type="dxa"/>
              <w:bottom w:w="40" w:type="dxa"/>
              <w:right w:w="20" w:type="dxa"/>
            </w:tcMar>
            <w:vAlign w:val="bottom"/>
          </w:tcPr>
          <w:p w14:paraId="7DCFDBCA" w14:textId="77777777" w:rsidR="00C1563E" w:rsidRDefault="000B648B">
            <w:pPr>
              <w:textAlignment w:val="bottom"/>
            </w:pPr>
            <w:r>
              <w:rPr>
                <w:rFonts w:ascii="Times New Roman" w:eastAsia="宋体" w:hAnsi="Times New Roman"/>
                <w:color w:val="000000"/>
                <w:sz w:val="18"/>
                <w:szCs w:val="18"/>
              </w:rPr>
              <w:t>Total non-GAAP net revenue</w:t>
            </w:r>
          </w:p>
        </w:tc>
        <w:tc>
          <w:tcPr>
            <w:tcW w:w="0" w:type="auto"/>
            <w:shd w:val="clear" w:color="auto" w:fill="auto"/>
          </w:tcPr>
          <w:p w14:paraId="7DCFDBCB" w14:textId="77777777" w:rsidR="00C1563E" w:rsidRDefault="00C1563E">
            <w:pPr>
              <w:rPr>
                <w:rFonts w:ascii="宋体"/>
                <w:vanish/>
              </w:rPr>
            </w:pPr>
          </w:p>
        </w:tc>
        <w:tc>
          <w:tcPr>
            <w:tcW w:w="0" w:type="auto"/>
            <w:shd w:val="clear" w:color="auto" w:fill="auto"/>
          </w:tcPr>
          <w:p w14:paraId="7DCFDBCC" w14:textId="77777777" w:rsidR="00C1563E" w:rsidRDefault="00C1563E">
            <w:pPr>
              <w:rPr>
                <w:rFonts w:ascii="宋体"/>
                <w:vanish/>
              </w:rPr>
            </w:pPr>
          </w:p>
        </w:tc>
        <w:tc>
          <w:tcPr>
            <w:tcW w:w="0" w:type="auto"/>
            <w:shd w:val="clear" w:color="auto" w:fill="auto"/>
          </w:tcPr>
          <w:p w14:paraId="7DCFDBCD" w14:textId="77777777" w:rsidR="00C1563E" w:rsidRDefault="00C1563E">
            <w:pPr>
              <w:rPr>
                <w:rFonts w:ascii="宋体"/>
                <w:vanish/>
              </w:rPr>
            </w:pPr>
          </w:p>
        </w:tc>
        <w:tc>
          <w:tcPr>
            <w:tcW w:w="0" w:type="auto"/>
            <w:shd w:val="clear" w:color="auto" w:fill="auto"/>
          </w:tcPr>
          <w:p w14:paraId="7DCFDBCE" w14:textId="77777777" w:rsidR="00C1563E" w:rsidRDefault="00C1563E">
            <w:pPr>
              <w:rPr>
                <w:rFonts w:ascii="宋体"/>
                <w:vanish/>
              </w:rPr>
            </w:pPr>
          </w:p>
        </w:tc>
        <w:tc>
          <w:tcPr>
            <w:tcW w:w="0" w:type="auto"/>
            <w:shd w:val="clear" w:color="auto" w:fill="auto"/>
          </w:tcPr>
          <w:p w14:paraId="7DCFDBCF" w14:textId="77777777" w:rsidR="00C1563E" w:rsidRDefault="00C1563E">
            <w:pPr>
              <w:rPr>
                <w:rFonts w:ascii="宋体"/>
                <w:vanish/>
              </w:rPr>
            </w:pPr>
          </w:p>
        </w:tc>
        <w:tc>
          <w:tcPr>
            <w:tcW w:w="0" w:type="auto"/>
            <w:shd w:val="clear" w:color="auto" w:fill="auto"/>
          </w:tcPr>
          <w:p w14:paraId="7DCFDBD0" w14:textId="77777777" w:rsidR="00C1563E" w:rsidRDefault="00C1563E">
            <w:pPr>
              <w:rPr>
                <w:rFonts w:ascii="宋体"/>
                <w:vanish/>
              </w:rPr>
            </w:pPr>
          </w:p>
        </w:tc>
        <w:tc>
          <w:tcPr>
            <w:tcW w:w="0" w:type="auto"/>
            <w:shd w:val="clear" w:color="auto" w:fill="auto"/>
          </w:tcPr>
          <w:p w14:paraId="7DCFDBD1" w14:textId="77777777" w:rsidR="00C1563E" w:rsidRDefault="00C1563E">
            <w:pPr>
              <w:rPr>
                <w:rFonts w:ascii="宋体"/>
                <w:vanish/>
              </w:rPr>
            </w:pPr>
          </w:p>
        </w:tc>
        <w:tc>
          <w:tcPr>
            <w:tcW w:w="0" w:type="auto"/>
            <w:shd w:val="clear" w:color="auto" w:fill="auto"/>
          </w:tcPr>
          <w:p w14:paraId="7DCFDBD2" w14:textId="77777777" w:rsidR="00C1563E" w:rsidRDefault="00C1563E">
            <w:pPr>
              <w:rPr>
                <w:rFonts w:ascii="宋体"/>
                <w:vanish/>
              </w:rPr>
            </w:pPr>
          </w:p>
        </w:tc>
        <w:tc>
          <w:tcPr>
            <w:tcW w:w="0" w:type="auto"/>
            <w:shd w:val="clear" w:color="auto" w:fill="auto"/>
          </w:tcPr>
          <w:p w14:paraId="7DCFDBD3" w14:textId="77777777" w:rsidR="00C1563E" w:rsidRDefault="00C1563E">
            <w:pPr>
              <w:rPr>
                <w:rFonts w:ascii="宋体"/>
                <w:vanish/>
              </w:rPr>
            </w:pPr>
          </w:p>
        </w:tc>
        <w:tc>
          <w:tcPr>
            <w:tcW w:w="0" w:type="auto"/>
            <w:shd w:val="clear" w:color="auto" w:fill="auto"/>
          </w:tcPr>
          <w:p w14:paraId="7DCFDBD4"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BD5"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BD6" w14:textId="77777777" w:rsidR="00C1563E" w:rsidRDefault="000B648B">
            <w:pPr>
              <w:jc w:val="right"/>
              <w:textAlignment w:val="bottom"/>
            </w:pPr>
            <w:r>
              <w:rPr>
                <w:rFonts w:ascii="Times New Roman" w:eastAsia="宋体" w:hAnsi="Times New Roman"/>
                <w:color w:val="000000"/>
                <w:sz w:val="18"/>
                <w:szCs w:val="18"/>
              </w:rPr>
              <w:t>94,389 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BD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BD8"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DBD9" w14:textId="77777777" w:rsidR="00C1563E" w:rsidRDefault="000B648B">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BD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BD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BDC" w14:textId="77777777" w:rsidR="00C1563E" w:rsidRDefault="000B648B">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7DCFDBD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BD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BD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BE0" w14:textId="77777777" w:rsidR="00C1563E" w:rsidRDefault="000B648B">
            <w:pPr>
              <w:jc w:val="right"/>
              <w:textAlignment w:val="bottom"/>
            </w:pPr>
            <w:r>
              <w:rPr>
                <w:rFonts w:ascii="Times New Roman" w:eastAsia="宋体" w:hAnsi="Times New Roman"/>
                <w:color w:val="000000"/>
                <w:sz w:val="18"/>
                <w:szCs w:val="18"/>
              </w:rPr>
              <w:t>92,501 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BE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BE2"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DBE3" w14:textId="77777777" w:rsidR="00C1563E" w:rsidRDefault="000B648B">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BE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BE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BE6" w14:textId="77777777" w:rsidR="00C1563E" w:rsidRDefault="000B648B">
            <w:pPr>
              <w:jc w:val="right"/>
              <w:textAlignment w:val="bottom"/>
            </w:pPr>
            <w:r>
              <w:rPr>
                <w:rFonts w:ascii="Times New Roman" w:eastAsia="宋体" w:hAnsi="Times New Roman"/>
                <w:color w:val="000000"/>
                <w:sz w:val="18"/>
                <w:szCs w:val="18"/>
              </w:rPr>
              <w:t>1 </w:t>
            </w:r>
          </w:p>
          <w:p w14:paraId="7DCFDBE7" w14:textId="77777777" w:rsidR="00C1563E" w:rsidRDefault="000B648B">
            <w:pPr>
              <w:jc w:val="right"/>
              <w:textAlignment w:val="bottom"/>
            </w:pPr>
            <w:r>
              <w:rPr>
                <w:rFonts w:ascii="Times New Roman" w:eastAsia="宋体" w:hAnsi="Times New Roman"/>
                <w:color w:val="000000"/>
                <w:sz w:val="18"/>
                <w:szCs w:val="18"/>
              </w:rPr>
              <w:t>%</w:t>
            </w:r>
          </w:p>
          <w:p w14:paraId="7DCFDBE8" w14:textId="77777777" w:rsidR="00C1563E" w:rsidRDefault="000B648B">
            <w:pPr>
              <w:textAlignment w:val="bottom"/>
            </w:pPr>
            <w:r>
              <w:rPr>
                <w:rFonts w:ascii="Times New Roman" w:eastAsia="宋体" w:hAnsi="Times New Roman"/>
                <w:color w:val="000000"/>
                <w:sz w:val="18"/>
                <w:szCs w:val="18"/>
              </w:rPr>
              <w:t>$</w:t>
            </w:r>
          </w:p>
          <w:p w14:paraId="7DCFDBE9" w14:textId="77777777" w:rsidR="00C1563E" w:rsidRDefault="000B648B">
            <w:pPr>
              <w:jc w:val="right"/>
              <w:textAlignment w:val="bottom"/>
            </w:pPr>
            <w:r>
              <w:rPr>
                <w:rFonts w:ascii="Times New Roman" w:eastAsia="宋体" w:hAnsi="Times New Roman"/>
                <w:color w:val="000000"/>
                <w:sz w:val="18"/>
                <w:szCs w:val="18"/>
              </w:rPr>
              <w:t>91,324 </w:t>
            </w:r>
          </w:p>
          <w:p w14:paraId="7DCFDBEA" w14:textId="77777777" w:rsidR="00C1563E" w:rsidRDefault="000B648B">
            <w:pPr>
              <w:jc w:val="right"/>
              <w:textAlignment w:val="bottom"/>
            </w:pPr>
            <w:r>
              <w:rPr>
                <w:rFonts w:ascii="Times New Roman" w:eastAsia="宋体" w:hAnsi="Times New Roman"/>
                <w:color w:val="000000"/>
                <w:sz w:val="18"/>
                <w:szCs w:val="18"/>
              </w:rPr>
              <w:t>100.0 </w:t>
            </w:r>
          </w:p>
          <w:p w14:paraId="7DCFDBEB"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03" w14:textId="77777777">
        <w:trPr>
          <w:jc w:val="center"/>
        </w:trPr>
        <w:tc>
          <w:tcPr>
            <w:tcW w:w="0" w:type="auto"/>
            <w:gridSpan w:val="3"/>
            <w:shd w:val="clear" w:color="auto" w:fill="CCEEFF"/>
            <w:tcMar>
              <w:top w:w="40" w:type="dxa"/>
              <w:left w:w="20" w:type="dxa"/>
              <w:bottom w:w="40" w:type="dxa"/>
              <w:right w:w="20" w:type="dxa"/>
            </w:tcMar>
            <w:vAlign w:val="bottom"/>
          </w:tcPr>
          <w:p w14:paraId="7DCFDBED" w14:textId="77777777" w:rsidR="00C1563E" w:rsidRDefault="000B648B">
            <w:pPr>
              <w:textAlignment w:val="bottom"/>
            </w:pPr>
            <w:r>
              <w:rPr>
                <w:rFonts w:ascii="Times New Roman" w:eastAsia="宋体" w:hAnsi="Times New Roman"/>
                <w:i/>
                <w:iCs/>
                <w:color w:val="000000"/>
                <w:sz w:val="18"/>
                <w:szCs w:val="18"/>
              </w:rPr>
              <w:t>Non-GAAP gross margin:</w:t>
            </w:r>
          </w:p>
        </w:tc>
        <w:tc>
          <w:tcPr>
            <w:tcW w:w="0" w:type="auto"/>
            <w:shd w:val="clear" w:color="auto" w:fill="auto"/>
          </w:tcPr>
          <w:p w14:paraId="7DCFDBEE" w14:textId="77777777" w:rsidR="00C1563E" w:rsidRDefault="00C1563E">
            <w:pPr>
              <w:rPr>
                <w:rFonts w:ascii="宋体"/>
                <w:vanish/>
              </w:rPr>
            </w:pPr>
          </w:p>
        </w:tc>
        <w:tc>
          <w:tcPr>
            <w:tcW w:w="0" w:type="auto"/>
            <w:shd w:val="clear" w:color="auto" w:fill="auto"/>
          </w:tcPr>
          <w:p w14:paraId="7DCFDBEF" w14:textId="77777777" w:rsidR="00C1563E" w:rsidRDefault="00C1563E">
            <w:pPr>
              <w:rPr>
                <w:rFonts w:ascii="宋体"/>
                <w:vanish/>
              </w:rPr>
            </w:pPr>
          </w:p>
        </w:tc>
        <w:tc>
          <w:tcPr>
            <w:tcW w:w="0" w:type="auto"/>
            <w:shd w:val="clear" w:color="auto" w:fill="auto"/>
          </w:tcPr>
          <w:p w14:paraId="7DCFDBF0" w14:textId="77777777" w:rsidR="00C1563E" w:rsidRDefault="00C1563E">
            <w:pPr>
              <w:rPr>
                <w:rFonts w:ascii="宋体"/>
                <w:vanish/>
              </w:rPr>
            </w:pPr>
          </w:p>
        </w:tc>
        <w:tc>
          <w:tcPr>
            <w:tcW w:w="0" w:type="auto"/>
            <w:shd w:val="clear" w:color="auto" w:fill="auto"/>
          </w:tcPr>
          <w:p w14:paraId="7DCFDBF1" w14:textId="77777777" w:rsidR="00C1563E" w:rsidRDefault="00C1563E">
            <w:pPr>
              <w:rPr>
                <w:rFonts w:ascii="宋体"/>
                <w:vanish/>
              </w:rPr>
            </w:pPr>
          </w:p>
        </w:tc>
        <w:tc>
          <w:tcPr>
            <w:tcW w:w="0" w:type="auto"/>
            <w:shd w:val="clear" w:color="auto" w:fill="auto"/>
          </w:tcPr>
          <w:p w14:paraId="7DCFDBF2" w14:textId="77777777" w:rsidR="00C1563E" w:rsidRDefault="00C1563E">
            <w:pPr>
              <w:rPr>
                <w:rFonts w:ascii="宋体"/>
                <w:vanish/>
              </w:rPr>
            </w:pPr>
          </w:p>
        </w:tc>
        <w:tc>
          <w:tcPr>
            <w:tcW w:w="0" w:type="auto"/>
            <w:shd w:val="clear" w:color="auto" w:fill="auto"/>
          </w:tcPr>
          <w:p w14:paraId="7DCFDBF3" w14:textId="77777777" w:rsidR="00C1563E" w:rsidRDefault="00C1563E">
            <w:pPr>
              <w:rPr>
                <w:rFonts w:ascii="宋体"/>
                <w:vanish/>
              </w:rPr>
            </w:pPr>
          </w:p>
        </w:tc>
        <w:tc>
          <w:tcPr>
            <w:tcW w:w="0" w:type="auto"/>
            <w:shd w:val="clear" w:color="auto" w:fill="auto"/>
          </w:tcPr>
          <w:p w14:paraId="7DCFDBF4" w14:textId="77777777" w:rsidR="00C1563E" w:rsidRDefault="00C1563E">
            <w:pPr>
              <w:rPr>
                <w:rFonts w:ascii="宋体"/>
                <w:vanish/>
              </w:rPr>
            </w:pPr>
          </w:p>
        </w:tc>
        <w:tc>
          <w:tcPr>
            <w:tcW w:w="0" w:type="auto"/>
            <w:shd w:val="clear" w:color="auto" w:fill="auto"/>
          </w:tcPr>
          <w:p w14:paraId="7DCFDBF5" w14:textId="77777777" w:rsidR="00C1563E" w:rsidRDefault="00C1563E">
            <w:pPr>
              <w:rPr>
                <w:rFonts w:ascii="宋体"/>
                <w:vanish/>
              </w:rPr>
            </w:pPr>
          </w:p>
        </w:tc>
        <w:tc>
          <w:tcPr>
            <w:tcW w:w="0" w:type="auto"/>
            <w:shd w:val="clear" w:color="auto" w:fill="auto"/>
          </w:tcPr>
          <w:p w14:paraId="7DCFDBF6" w14:textId="77777777" w:rsidR="00C1563E" w:rsidRDefault="00C1563E">
            <w:pPr>
              <w:rPr>
                <w:rFonts w:ascii="宋体"/>
                <w:vanish/>
              </w:rPr>
            </w:pPr>
          </w:p>
        </w:tc>
        <w:tc>
          <w:tcPr>
            <w:tcW w:w="0" w:type="auto"/>
            <w:shd w:val="clear" w:color="auto" w:fill="auto"/>
          </w:tcPr>
          <w:p w14:paraId="7DCFDBF7"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BF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BF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C00" w14:textId="77777777" w:rsidR="00C1563E" w:rsidRDefault="00C1563E">
            <w:pPr>
              <w:rPr>
                <w:rFonts w:ascii="宋体"/>
              </w:rPr>
            </w:pPr>
          </w:p>
        </w:tc>
        <w:tc>
          <w:tcPr>
            <w:tcW w:w="0" w:type="auto"/>
            <w:gridSpan w:val="2"/>
            <w:shd w:val="clear" w:color="auto" w:fill="CCEEFF"/>
            <w:tcMar>
              <w:top w:w="0" w:type="dxa"/>
              <w:left w:w="20" w:type="dxa"/>
              <w:bottom w:w="0" w:type="dxa"/>
              <w:right w:w="20" w:type="dxa"/>
            </w:tcMar>
          </w:tcPr>
          <w:p w14:paraId="7DCFDC01" w14:textId="77777777" w:rsidR="00C1563E" w:rsidRDefault="00C1563E">
            <w:pPr>
              <w:rPr>
                <w:rFonts w:ascii="宋体"/>
              </w:rPr>
            </w:pPr>
          </w:p>
        </w:tc>
        <w:tc>
          <w:tcPr>
            <w:tcW w:w="0" w:type="auto"/>
            <w:shd w:val="clear" w:color="auto" w:fill="CCEEFF"/>
            <w:tcMar>
              <w:top w:w="0" w:type="dxa"/>
              <w:left w:w="20" w:type="dxa"/>
              <w:bottom w:w="0" w:type="dxa"/>
              <w:right w:w="20" w:type="dxa"/>
            </w:tcMar>
          </w:tcPr>
          <w:p w14:paraId="7DCFDC02" w14:textId="77777777" w:rsidR="00C1563E" w:rsidRDefault="00C1563E">
            <w:pPr>
              <w:rPr>
                <w:rFonts w:ascii="宋体"/>
              </w:rPr>
            </w:pPr>
          </w:p>
        </w:tc>
      </w:tr>
      <w:tr w:rsidR="00C1563E" w14:paraId="7DCFDC26" w14:textId="77777777">
        <w:trPr>
          <w:jc w:val="center"/>
        </w:trPr>
        <w:tc>
          <w:tcPr>
            <w:tcW w:w="0" w:type="auto"/>
            <w:gridSpan w:val="3"/>
            <w:shd w:val="clear" w:color="auto" w:fill="FFFFFF"/>
            <w:tcMar>
              <w:top w:w="40" w:type="dxa"/>
              <w:left w:w="155" w:type="dxa"/>
              <w:bottom w:w="40" w:type="dxa"/>
              <w:right w:w="20" w:type="dxa"/>
            </w:tcMar>
            <w:vAlign w:val="bottom"/>
          </w:tcPr>
          <w:p w14:paraId="7DCFDC04" w14:textId="77777777" w:rsidR="00C1563E" w:rsidRDefault="000B648B">
            <w:pPr>
              <w:textAlignment w:val="bottom"/>
            </w:pPr>
            <w:r>
              <w:rPr>
                <w:rFonts w:ascii="Times New Roman" w:eastAsia="宋体" w:hAnsi="Times New Roman"/>
                <w:color w:val="000000"/>
                <w:sz w:val="18"/>
                <w:szCs w:val="18"/>
              </w:rPr>
              <w:t>Products (a)</w:t>
            </w:r>
          </w:p>
        </w:tc>
        <w:tc>
          <w:tcPr>
            <w:tcW w:w="0" w:type="auto"/>
            <w:shd w:val="clear" w:color="auto" w:fill="auto"/>
          </w:tcPr>
          <w:p w14:paraId="7DCFDC05" w14:textId="77777777" w:rsidR="00C1563E" w:rsidRDefault="00C1563E">
            <w:pPr>
              <w:rPr>
                <w:rFonts w:ascii="宋体"/>
                <w:vanish/>
              </w:rPr>
            </w:pPr>
          </w:p>
        </w:tc>
        <w:tc>
          <w:tcPr>
            <w:tcW w:w="0" w:type="auto"/>
            <w:shd w:val="clear" w:color="auto" w:fill="auto"/>
          </w:tcPr>
          <w:p w14:paraId="7DCFDC06" w14:textId="77777777" w:rsidR="00C1563E" w:rsidRDefault="00C1563E">
            <w:pPr>
              <w:rPr>
                <w:rFonts w:ascii="宋体"/>
                <w:vanish/>
              </w:rPr>
            </w:pPr>
          </w:p>
        </w:tc>
        <w:tc>
          <w:tcPr>
            <w:tcW w:w="0" w:type="auto"/>
            <w:shd w:val="clear" w:color="auto" w:fill="auto"/>
          </w:tcPr>
          <w:p w14:paraId="7DCFDC07" w14:textId="77777777" w:rsidR="00C1563E" w:rsidRDefault="00C1563E">
            <w:pPr>
              <w:rPr>
                <w:rFonts w:ascii="宋体"/>
                <w:vanish/>
              </w:rPr>
            </w:pPr>
          </w:p>
        </w:tc>
        <w:tc>
          <w:tcPr>
            <w:tcW w:w="0" w:type="auto"/>
            <w:shd w:val="clear" w:color="auto" w:fill="auto"/>
          </w:tcPr>
          <w:p w14:paraId="7DCFDC08" w14:textId="77777777" w:rsidR="00C1563E" w:rsidRDefault="00C1563E">
            <w:pPr>
              <w:rPr>
                <w:rFonts w:ascii="宋体"/>
                <w:vanish/>
              </w:rPr>
            </w:pPr>
          </w:p>
        </w:tc>
        <w:tc>
          <w:tcPr>
            <w:tcW w:w="0" w:type="auto"/>
            <w:shd w:val="clear" w:color="auto" w:fill="auto"/>
          </w:tcPr>
          <w:p w14:paraId="7DCFDC09" w14:textId="77777777" w:rsidR="00C1563E" w:rsidRDefault="00C1563E">
            <w:pPr>
              <w:rPr>
                <w:rFonts w:ascii="宋体"/>
                <w:vanish/>
              </w:rPr>
            </w:pPr>
          </w:p>
        </w:tc>
        <w:tc>
          <w:tcPr>
            <w:tcW w:w="0" w:type="auto"/>
            <w:shd w:val="clear" w:color="auto" w:fill="auto"/>
          </w:tcPr>
          <w:p w14:paraId="7DCFDC0A" w14:textId="77777777" w:rsidR="00C1563E" w:rsidRDefault="00C1563E">
            <w:pPr>
              <w:rPr>
                <w:rFonts w:ascii="宋体"/>
                <w:vanish/>
              </w:rPr>
            </w:pPr>
          </w:p>
        </w:tc>
        <w:tc>
          <w:tcPr>
            <w:tcW w:w="0" w:type="auto"/>
            <w:shd w:val="clear" w:color="auto" w:fill="auto"/>
          </w:tcPr>
          <w:p w14:paraId="7DCFDC0B" w14:textId="77777777" w:rsidR="00C1563E" w:rsidRDefault="00C1563E">
            <w:pPr>
              <w:rPr>
                <w:rFonts w:ascii="宋体"/>
                <w:vanish/>
              </w:rPr>
            </w:pPr>
          </w:p>
        </w:tc>
        <w:tc>
          <w:tcPr>
            <w:tcW w:w="0" w:type="auto"/>
            <w:shd w:val="clear" w:color="auto" w:fill="auto"/>
          </w:tcPr>
          <w:p w14:paraId="7DCFDC0C" w14:textId="77777777" w:rsidR="00C1563E" w:rsidRDefault="00C1563E">
            <w:pPr>
              <w:rPr>
                <w:rFonts w:ascii="宋体"/>
                <w:vanish/>
              </w:rPr>
            </w:pPr>
          </w:p>
        </w:tc>
        <w:tc>
          <w:tcPr>
            <w:tcW w:w="0" w:type="auto"/>
            <w:shd w:val="clear" w:color="auto" w:fill="auto"/>
          </w:tcPr>
          <w:p w14:paraId="7DCFDC0D" w14:textId="77777777" w:rsidR="00C1563E" w:rsidRDefault="00C1563E">
            <w:pPr>
              <w:rPr>
                <w:rFonts w:ascii="宋体"/>
                <w:vanish/>
              </w:rPr>
            </w:pPr>
          </w:p>
        </w:tc>
        <w:tc>
          <w:tcPr>
            <w:tcW w:w="0" w:type="auto"/>
            <w:shd w:val="clear" w:color="auto" w:fill="auto"/>
          </w:tcPr>
          <w:p w14:paraId="7DCFDC0E"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C0F"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10" w14:textId="77777777" w:rsidR="00C1563E" w:rsidRDefault="000B648B">
            <w:pPr>
              <w:jc w:val="right"/>
              <w:textAlignment w:val="bottom"/>
            </w:pPr>
            <w:r>
              <w:rPr>
                <w:rFonts w:ascii="Times New Roman" w:eastAsia="宋体" w:hAnsi="Times New Roman"/>
                <w:color w:val="000000"/>
                <w:sz w:val="18"/>
                <w:szCs w:val="18"/>
              </w:rPr>
              <w:t>16,122 </w:t>
            </w:r>
          </w:p>
        </w:tc>
        <w:tc>
          <w:tcPr>
            <w:tcW w:w="0" w:type="auto"/>
            <w:shd w:val="clear" w:color="auto" w:fill="FFFFFF"/>
            <w:tcMar>
              <w:top w:w="40" w:type="dxa"/>
              <w:left w:w="0" w:type="dxa"/>
              <w:bottom w:w="40" w:type="dxa"/>
              <w:right w:w="20" w:type="dxa"/>
            </w:tcMar>
            <w:vAlign w:val="bottom"/>
          </w:tcPr>
          <w:p w14:paraId="7DCFDC1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1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13" w14:textId="77777777" w:rsidR="00C1563E" w:rsidRDefault="000B648B">
            <w:pPr>
              <w:jc w:val="right"/>
              <w:textAlignment w:val="bottom"/>
            </w:pPr>
            <w:r>
              <w:rPr>
                <w:rFonts w:ascii="Times New Roman" w:eastAsia="宋体" w:hAnsi="Times New Roman"/>
                <w:color w:val="000000"/>
                <w:sz w:val="18"/>
                <w:szCs w:val="18"/>
              </w:rPr>
              <w:t>23.1 </w:t>
            </w:r>
          </w:p>
        </w:tc>
        <w:tc>
          <w:tcPr>
            <w:tcW w:w="0" w:type="auto"/>
            <w:shd w:val="clear" w:color="auto" w:fill="FFFFFF"/>
            <w:tcMar>
              <w:top w:w="40" w:type="dxa"/>
              <w:left w:w="0" w:type="dxa"/>
              <w:bottom w:w="40" w:type="dxa"/>
              <w:right w:w="20" w:type="dxa"/>
            </w:tcMar>
            <w:vAlign w:val="bottom"/>
          </w:tcPr>
          <w:p w14:paraId="7DCFDC1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1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16" w14:textId="77777777" w:rsidR="00C1563E" w:rsidRDefault="000B648B">
            <w:pPr>
              <w:jc w:val="right"/>
              <w:textAlignment w:val="bottom"/>
            </w:pPr>
            <w:r>
              <w:rPr>
                <w:rFonts w:ascii="Times New Roman" w:eastAsia="宋体" w:hAnsi="Times New Roman"/>
                <w:color w:val="000000"/>
                <w:sz w:val="18"/>
                <w:szCs w:val="18"/>
              </w:rPr>
              <w:t>(8)</w:t>
            </w:r>
          </w:p>
        </w:tc>
        <w:tc>
          <w:tcPr>
            <w:tcW w:w="0" w:type="auto"/>
            <w:shd w:val="clear" w:color="auto" w:fill="FFFFFF"/>
            <w:tcMar>
              <w:top w:w="40" w:type="dxa"/>
              <w:left w:w="0" w:type="dxa"/>
              <w:bottom w:w="40" w:type="dxa"/>
              <w:right w:w="20" w:type="dxa"/>
            </w:tcMar>
            <w:vAlign w:val="bottom"/>
          </w:tcPr>
          <w:p w14:paraId="7DCFDC1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1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19"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1A" w14:textId="77777777" w:rsidR="00C1563E" w:rsidRDefault="000B648B">
            <w:pPr>
              <w:jc w:val="right"/>
              <w:textAlignment w:val="bottom"/>
            </w:pPr>
            <w:r>
              <w:rPr>
                <w:rFonts w:ascii="Times New Roman" w:eastAsia="宋体" w:hAnsi="Times New Roman"/>
                <w:color w:val="000000"/>
                <w:sz w:val="18"/>
                <w:szCs w:val="18"/>
              </w:rPr>
              <w:t>17,523 </w:t>
            </w:r>
          </w:p>
        </w:tc>
        <w:tc>
          <w:tcPr>
            <w:tcW w:w="0" w:type="auto"/>
            <w:shd w:val="clear" w:color="auto" w:fill="FFFFFF"/>
            <w:tcMar>
              <w:top w:w="40" w:type="dxa"/>
              <w:left w:w="0" w:type="dxa"/>
              <w:bottom w:w="40" w:type="dxa"/>
              <w:right w:w="20" w:type="dxa"/>
            </w:tcMar>
            <w:vAlign w:val="bottom"/>
          </w:tcPr>
          <w:p w14:paraId="7DCFDC1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1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1D" w14:textId="77777777" w:rsidR="00C1563E" w:rsidRDefault="000B648B">
            <w:pPr>
              <w:jc w:val="right"/>
              <w:textAlignment w:val="bottom"/>
            </w:pPr>
            <w:r>
              <w:rPr>
                <w:rFonts w:ascii="Times New Roman" w:eastAsia="宋体" w:hAnsi="Times New Roman"/>
                <w:color w:val="000000"/>
                <w:sz w:val="18"/>
                <w:szCs w:val="18"/>
              </w:rPr>
              <w:t>25.1 </w:t>
            </w:r>
          </w:p>
        </w:tc>
        <w:tc>
          <w:tcPr>
            <w:tcW w:w="0" w:type="auto"/>
            <w:shd w:val="clear" w:color="auto" w:fill="FFFFFF"/>
            <w:tcMar>
              <w:top w:w="40" w:type="dxa"/>
              <w:left w:w="0" w:type="dxa"/>
              <w:bottom w:w="40" w:type="dxa"/>
              <w:right w:w="20" w:type="dxa"/>
            </w:tcMar>
            <w:vAlign w:val="bottom"/>
          </w:tcPr>
          <w:p w14:paraId="7DCFDC1E"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C1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20" w14:textId="77777777" w:rsidR="00C1563E" w:rsidRDefault="000B648B">
            <w:pPr>
              <w:jc w:val="right"/>
              <w:textAlignment w:val="bottom"/>
            </w:pPr>
            <w:r>
              <w:rPr>
                <w:rFonts w:ascii="Times New Roman" w:eastAsia="宋体" w:hAnsi="Times New Roman"/>
                <w:color w:val="000000"/>
                <w:sz w:val="18"/>
                <w:szCs w:val="18"/>
              </w:rPr>
              <w:t>9 </w:t>
            </w:r>
          </w:p>
          <w:p w14:paraId="7DCFDC21" w14:textId="77777777" w:rsidR="00C1563E" w:rsidRDefault="000B648B">
            <w:pPr>
              <w:jc w:val="right"/>
              <w:textAlignment w:val="bottom"/>
            </w:pPr>
            <w:r>
              <w:rPr>
                <w:rFonts w:ascii="Times New Roman" w:eastAsia="宋体" w:hAnsi="Times New Roman"/>
                <w:color w:val="000000"/>
                <w:sz w:val="18"/>
                <w:szCs w:val="18"/>
              </w:rPr>
              <w:t>%</w:t>
            </w:r>
          </w:p>
          <w:p w14:paraId="7DCFDC22" w14:textId="77777777" w:rsidR="00C1563E" w:rsidRDefault="000B648B">
            <w:pPr>
              <w:textAlignment w:val="bottom"/>
            </w:pPr>
            <w:r>
              <w:rPr>
                <w:rFonts w:ascii="Times New Roman" w:eastAsia="宋体" w:hAnsi="Times New Roman"/>
                <w:color w:val="000000"/>
                <w:sz w:val="18"/>
                <w:szCs w:val="18"/>
              </w:rPr>
              <w:t>$</w:t>
            </w:r>
          </w:p>
          <w:p w14:paraId="7DCFDC23" w14:textId="77777777" w:rsidR="00C1563E" w:rsidRDefault="000B648B">
            <w:pPr>
              <w:jc w:val="right"/>
              <w:textAlignment w:val="bottom"/>
            </w:pPr>
            <w:r>
              <w:rPr>
                <w:rFonts w:ascii="Times New Roman" w:eastAsia="宋体" w:hAnsi="Times New Roman"/>
                <w:color w:val="000000"/>
                <w:sz w:val="18"/>
                <w:szCs w:val="18"/>
              </w:rPr>
              <w:t>16,021 </w:t>
            </w:r>
          </w:p>
          <w:p w14:paraId="7DCFDC24" w14:textId="77777777" w:rsidR="00C1563E" w:rsidRDefault="000B648B">
            <w:pPr>
              <w:jc w:val="right"/>
              <w:textAlignment w:val="bottom"/>
            </w:pPr>
            <w:r>
              <w:rPr>
                <w:rFonts w:ascii="Times New Roman" w:eastAsia="宋体" w:hAnsi="Times New Roman"/>
                <w:color w:val="000000"/>
                <w:sz w:val="18"/>
                <w:szCs w:val="18"/>
              </w:rPr>
              <w:t>22.6 </w:t>
            </w:r>
          </w:p>
          <w:p w14:paraId="7DCFDC25"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46" w14:textId="77777777">
        <w:trPr>
          <w:jc w:val="center"/>
        </w:trPr>
        <w:tc>
          <w:tcPr>
            <w:tcW w:w="0" w:type="auto"/>
            <w:gridSpan w:val="3"/>
            <w:shd w:val="clear" w:color="auto" w:fill="CCEEFF"/>
            <w:tcMar>
              <w:top w:w="40" w:type="dxa"/>
              <w:left w:w="155" w:type="dxa"/>
              <w:bottom w:w="40" w:type="dxa"/>
              <w:right w:w="20" w:type="dxa"/>
            </w:tcMar>
            <w:vAlign w:val="bottom"/>
          </w:tcPr>
          <w:p w14:paraId="7DCFDC27" w14:textId="77777777" w:rsidR="00C1563E" w:rsidRDefault="000B648B">
            <w:pPr>
              <w:textAlignment w:val="bottom"/>
            </w:pPr>
            <w:r>
              <w:rPr>
                <w:rFonts w:ascii="Times New Roman" w:eastAsia="宋体" w:hAnsi="Times New Roman"/>
                <w:color w:val="000000"/>
                <w:sz w:val="18"/>
                <w:szCs w:val="18"/>
              </w:rPr>
              <w:t>Services (b)</w:t>
            </w:r>
          </w:p>
        </w:tc>
        <w:tc>
          <w:tcPr>
            <w:tcW w:w="0" w:type="auto"/>
            <w:shd w:val="clear" w:color="auto" w:fill="auto"/>
          </w:tcPr>
          <w:p w14:paraId="7DCFDC28" w14:textId="77777777" w:rsidR="00C1563E" w:rsidRDefault="00C1563E">
            <w:pPr>
              <w:rPr>
                <w:rFonts w:ascii="宋体"/>
                <w:vanish/>
              </w:rPr>
            </w:pPr>
          </w:p>
        </w:tc>
        <w:tc>
          <w:tcPr>
            <w:tcW w:w="0" w:type="auto"/>
            <w:shd w:val="clear" w:color="auto" w:fill="auto"/>
          </w:tcPr>
          <w:p w14:paraId="7DCFDC29" w14:textId="77777777" w:rsidR="00C1563E" w:rsidRDefault="00C1563E">
            <w:pPr>
              <w:rPr>
                <w:rFonts w:ascii="宋体"/>
                <w:vanish/>
              </w:rPr>
            </w:pPr>
          </w:p>
        </w:tc>
        <w:tc>
          <w:tcPr>
            <w:tcW w:w="0" w:type="auto"/>
            <w:shd w:val="clear" w:color="auto" w:fill="auto"/>
          </w:tcPr>
          <w:p w14:paraId="7DCFDC2A" w14:textId="77777777" w:rsidR="00C1563E" w:rsidRDefault="00C1563E">
            <w:pPr>
              <w:rPr>
                <w:rFonts w:ascii="宋体"/>
                <w:vanish/>
              </w:rPr>
            </w:pPr>
          </w:p>
        </w:tc>
        <w:tc>
          <w:tcPr>
            <w:tcW w:w="0" w:type="auto"/>
            <w:shd w:val="clear" w:color="auto" w:fill="auto"/>
          </w:tcPr>
          <w:p w14:paraId="7DCFDC2B" w14:textId="77777777" w:rsidR="00C1563E" w:rsidRDefault="00C1563E">
            <w:pPr>
              <w:rPr>
                <w:rFonts w:ascii="宋体"/>
                <w:vanish/>
              </w:rPr>
            </w:pPr>
          </w:p>
        </w:tc>
        <w:tc>
          <w:tcPr>
            <w:tcW w:w="0" w:type="auto"/>
            <w:shd w:val="clear" w:color="auto" w:fill="auto"/>
          </w:tcPr>
          <w:p w14:paraId="7DCFDC2C" w14:textId="77777777" w:rsidR="00C1563E" w:rsidRDefault="00C1563E">
            <w:pPr>
              <w:rPr>
                <w:rFonts w:ascii="宋体"/>
                <w:vanish/>
              </w:rPr>
            </w:pPr>
          </w:p>
        </w:tc>
        <w:tc>
          <w:tcPr>
            <w:tcW w:w="0" w:type="auto"/>
            <w:shd w:val="clear" w:color="auto" w:fill="auto"/>
          </w:tcPr>
          <w:p w14:paraId="7DCFDC2D" w14:textId="77777777" w:rsidR="00C1563E" w:rsidRDefault="00C1563E">
            <w:pPr>
              <w:rPr>
                <w:rFonts w:ascii="宋体"/>
                <w:vanish/>
              </w:rPr>
            </w:pPr>
          </w:p>
        </w:tc>
        <w:tc>
          <w:tcPr>
            <w:tcW w:w="0" w:type="auto"/>
            <w:shd w:val="clear" w:color="auto" w:fill="auto"/>
          </w:tcPr>
          <w:p w14:paraId="7DCFDC2E" w14:textId="77777777" w:rsidR="00C1563E" w:rsidRDefault="00C1563E">
            <w:pPr>
              <w:rPr>
                <w:rFonts w:ascii="宋体"/>
                <w:vanish/>
              </w:rPr>
            </w:pPr>
          </w:p>
        </w:tc>
        <w:tc>
          <w:tcPr>
            <w:tcW w:w="0" w:type="auto"/>
            <w:shd w:val="clear" w:color="auto" w:fill="auto"/>
          </w:tcPr>
          <w:p w14:paraId="7DCFDC2F" w14:textId="77777777" w:rsidR="00C1563E" w:rsidRDefault="00C1563E">
            <w:pPr>
              <w:rPr>
                <w:rFonts w:ascii="宋体"/>
                <w:vanish/>
              </w:rPr>
            </w:pPr>
          </w:p>
        </w:tc>
        <w:tc>
          <w:tcPr>
            <w:tcW w:w="0" w:type="auto"/>
            <w:shd w:val="clear" w:color="auto" w:fill="auto"/>
          </w:tcPr>
          <w:p w14:paraId="7DCFDC30" w14:textId="77777777" w:rsidR="00C1563E" w:rsidRDefault="00C1563E">
            <w:pPr>
              <w:rPr>
                <w:rFonts w:ascii="宋体"/>
                <w:vanish/>
              </w:rPr>
            </w:pPr>
          </w:p>
        </w:tc>
        <w:tc>
          <w:tcPr>
            <w:tcW w:w="0" w:type="auto"/>
            <w:shd w:val="clear" w:color="auto" w:fill="auto"/>
          </w:tcPr>
          <w:p w14:paraId="7DCFDC31"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C32" w14:textId="77777777" w:rsidR="00C1563E" w:rsidRDefault="000B648B">
            <w:pPr>
              <w:jc w:val="right"/>
              <w:textAlignment w:val="bottom"/>
            </w:pPr>
            <w:r>
              <w:rPr>
                <w:rFonts w:ascii="Times New Roman" w:eastAsia="宋体" w:hAnsi="Times New Roman"/>
                <w:color w:val="000000"/>
                <w:sz w:val="18"/>
                <w:szCs w:val="18"/>
              </w:rPr>
              <w:t>15,224 </w:t>
            </w:r>
          </w:p>
        </w:tc>
        <w:tc>
          <w:tcPr>
            <w:tcW w:w="0" w:type="auto"/>
            <w:shd w:val="clear" w:color="auto" w:fill="CCEEFF"/>
            <w:tcMar>
              <w:top w:w="40" w:type="dxa"/>
              <w:left w:w="0" w:type="dxa"/>
              <w:bottom w:w="40" w:type="dxa"/>
              <w:right w:w="20" w:type="dxa"/>
            </w:tcMar>
            <w:vAlign w:val="bottom"/>
          </w:tcPr>
          <w:p w14:paraId="7DCFDC3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3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35" w14:textId="77777777" w:rsidR="00C1563E" w:rsidRDefault="000B648B">
            <w:pPr>
              <w:jc w:val="right"/>
              <w:textAlignment w:val="bottom"/>
            </w:pPr>
            <w:r>
              <w:rPr>
                <w:rFonts w:ascii="Times New Roman" w:eastAsia="宋体" w:hAnsi="Times New Roman"/>
                <w:color w:val="000000"/>
                <w:sz w:val="18"/>
                <w:szCs w:val="18"/>
              </w:rPr>
              <w:t>62.2 </w:t>
            </w:r>
          </w:p>
        </w:tc>
        <w:tc>
          <w:tcPr>
            <w:tcW w:w="0" w:type="auto"/>
            <w:shd w:val="clear" w:color="auto" w:fill="CCEEFF"/>
            <w:tcMar>
              <w:top w:w="40" w:type="dxa"/>
              <w:left w:w="0" w:type="dxa"/>
              <w:bottom w:w="40" w:type="dxa"/>
              <w:right w:w="20" w:type="dxa"/>
            </w:tcMar>
            <w:vAlign w:val="bottom"/>
          </w:tcPr>
          <w:p w14:paraId="7DCFDC36"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3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38" w14:textId="77777777" w:rsidR="00C1563E" w:rsidRDefault="000B648B">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7DCFDC3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3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3B" w14:textId="77777777" w:rsidR="00C1563E" w:rsidRDefault="000B648B">
            <w:pPr>
              <w:jc w:val="right"/>
              <w:textAlignment w:val="bottom"/>
            </w:pPr>
            <w:r>
              <w:rPr>
                <w:rFonts w:ascii="Times New Roman" w:eastAsia="宋体" w:hAnsi="Times New Roman"/>
                <w:color w:val="000000"/>
                <w:sz w:val="18"/>
                <w:szCs w:val="18"/>
              </w:rPr>
              <w:t>14,040 </w:t>
            </w:r>
          </w:p>
        </w:tc>
        <w:tc>
          <w:tcPr>
            <w:tcW w:w="0" w:type="auto"/>
            <w:shd w:val="clear" w:color="auto" w:fill="CCEEFF"/>
            <w:tcMar>
              <w:top w:w="40" w:type="dxa"/>
              <w:left w:w="0" w:type="dxa"/>
              <w:bottom w:w="40" w:type="dxa"/>
              <w:right w:w="20" w:type="dxa"/>
            </w:tcMar>
            <w:vAlign w:val="bottom"/>
          </w:tcPr>
          <w:p w14:paraId="7DCFDC3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3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3E" w14:textId="77777777" w:rsidR="00C1563E" w:rsidRDefault="000B648B">
            <w:pPr>
              <w:jc w:val="right"/>
              <w:textAlignment w:val="bottom"/>
            </w:pPr>
            <w:r>
              <w:rPr>
                <w:rFonts w:ascii="Times New Roman" w:eastAsia="宋体" w:hAnsi="Times New Roman"/>
                <w:color w:val="000000"/>
                <w:sz w:val="18"/>
                <w:szCs w:val="18"/>
              </w:rPr>
              <w:t>62.2 </w:t>
            </w:r>
          </w:p>
        </w:tc>
        <w:tc>
          <w:tcPr>
            <w:tcW w:w="0" w:type="auto"/>
            <w:shd w:val="clear" w:color="auto" w:fill="CCEEFF"/>
            <w:tcMar>
              <w:top w:w="40" w:type="dxa"/>
              <w:left w:w="0" w:type="dxa"/>
              <w:bottom w:w="40" w:type="dxa"/>
              <w:right w:w="20" w:type="dxa"/>
            </w:tcMar>
            <w:vAlign w:val="bottom"/>
          </w:tcPr>
          <w:p w14:paraId="7DCFDC3F"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C4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C41" w14:textId="77777777" w:rsidR="00C1563E" w:rsidRDefault="000B648B">
            <w:pPr>
              <w:jc w:val="right"/>
              <w:textAlignment w:val="bottom"/>
            </w:pPr>
            <w:r>
              <w:rPr>
                <w:rFonts w:ascii="Times New Roman" w:eastAsia="宋体" w:hAnsi="Times New Roman"/>
                <w:color w:val="000000"/>
                <w:sz w:val="18"/>
                <w:szCs w:val="18"/>
              </w:rPr>
              <w:t>8 </w:t>
            </w:r>
          </w:p>
          <w:p w14:paraId="7DCFDC42" w14:textId="77777777" w:rsidR="00C1563E" w:rsidRDefault="000B648B">
            <w:pPr>
              <w:jc w:val="right"/>
              <w:textAlignment w:val="bottom"/>
            </w:pPr>
            <w:r>
              <w:rPr>
                <w:rFonts w:ascii="Times New Roman" w:eastAsia="宋体" w:hAnsi="Times New Roman"/>
                <w:color w:val="000000"/>
                <w:sz w:val="18"/>
                <w:szCs w:val="18"/>
              </w:rPr>
              <w:t>%</w:t>
            </w:r>
          </w:p>
          <w:p w14:paraId="7DCFDC43" w14:textId="77777777" w:rsidR="00C1563E" w:rsidRDefault="000B648B">
            <w:pPr>
              <w:jc w:val="right"/>
              <w:textAlignment w:val="bottom"/>
            </w:pPr>
            <w:r>
              <w:rPr>
                <w:rFonts w:ascii="Times New Roman" w:eastAsia="宋体" w:hAnsi="Times New Roman"/>
                <w:color w:val="000000"/>
                <w:sz w:val="18"/>
                <w:szCs w:val="18"/>
              </w:rPr>
              <w:t>13,001 </w:t>
            </w:r>
          </w:p>
          <w:p w14:paraId="7DCFDC44" w14:textId="77777777" w:rsidR="00C1563E" w:rsidRDefault="000B648B">
            <w:pPr>
              <w:jc w:val="right"/>
              <w:textAlignment w:val="bottom"/>
            </w:pPr>
            <w:r>
              <w:rPr>
                <w:rFonts w:ascii="Times New Roman" w:eastAsia="宋体" w:hAnsi="Times New Roman"/>
                <w:color w:val="000000"/>
                <w:sz w:val="18"/>
                <w:szCs w:val="18"/>
              </w:rPr>
              <w:t>63.2 </w:t>
            </w:r>
          </w:p>
          <w:p w14:paraId="7DCFDC45"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69" w14:textId="77777777">
        <w:trPr>
          <w:jc w:val="center"/>
        </w:trPr>
        <w:tc>
          <w:tcPr>
            <w:tcW w:w="0" w:type="auto"/>
            <w:gridSpan w:val="3"/>
            <w:shd w:val="clear" w:color="auto" w:fill="FFFFFF"/>
            <w:tcMar>
              <w:top w:w="40" w:type="dxa"/>
              <w:left w:w="260" w:type="dxa"/>
              <w:bottom w:w="40" w:type="dxa"/>
              <w:right w:w="20" w:type="dxa"/>
            </w:tcMar>
            <w:vAlign w:val="bottom"/>
          </w:tcPr>
          <w:p w14:paraId="7DCFDC47" w14:textId="77777777" w:rsidR="00C1563E" w:rsidRDefault="000B648B">
            <w:pPr>
              <w:textAlignment w:val="bottom"/>
            </w:pPr>
            <w:r>
              <w:rPr>
                <w:rFonts w:ascii="Times New Roman" w:eastAsia="宋体" w:hAnsi="Times New Roman"/>
                <w:color w:val="000000"/>
                <w:sz w:val="18"/>
                <w:szCs w:val="18"/>
              </w:rPr>
              <w:t>Total non-GAAP gross margin</w:t>
            </w:r>
          </w:p>
        </w:tc>
        <w:tc>
          <w:tcPr>
            <w:tcW w:w="0" w:type="auto"/>
            <w:shd w:val="clear" w:color="auto" w:fill="auto"/>
          </w:tcPr>
          <w:p w14:paraId="7DCFDC48" w14:textId="77777777" w:rsidR="00C1563E" w:rsidRDefault="00C1563E">
            <w:pPr>
              <w:rPr>
                <w:rFonts w:ascii="宋体"/>
                <w:vanish/>
              </w:rPr>
            </w:pPr>
          </w:p>
        </w:tc>
        <w:tc>
          <w:tcPr>
            <w:tcW w:w="0" w:type="auto"/>
            <w:shd w:val="clear" w:color="auto" w:fill="auto"/>
          </w:tcPr>
          <w:p w14:paraId="7DCFDC49" w14:textId="77777777" w:rsidR="00C1563E" w:rsidRDefault="00C1563E">
            <w:pPr>
              <w:rPr>
                <w:rFonts w:ascii="宋体"/>
                <w:vanish/>
              </w:rPr>
            </w:pPr>
          </w:p>
        </w:tc>
        <w:tc>
          <w:tcPr>
            <w:tcW w:w="0" w:type="auto"/>
            <w:shd w:val="clear" w:color="auto" w:fill="auto"/>
          </w:tcPr>
          <w:p w14:paraId="7DCFDC4A" w14:textId="77777777" w:rsidR="00C1563E" w:rsidRDefault="00C1563E">
            <w:pPr>
              <w:rPr>
                <w:rFonts w:ascii="宋体"/>
                <w:vanish/>
              </w:rPr>
            </w:pPr>
          </w:p>
        </w:tc>
        <w:tc>
          <w:tcPr>
            <w:tcW w:w="0" w:type="auto"/>
            <w:shd w:val="clear" w:color="auto" w:fill="auto"/>
          </w:tcPr>
          <w:p w14:paraId="7DCFDC4B" w14:textId="77777777" w:rsidR="00C1563E" w:rsidRDefault="00C1563E">
            <w:pPr>
              <w:rPr>
                <w:rFonts w:ascii="宋体"/>
                <w:vanish/>
              </w:rPr>
            </w:pPr>
          </w:p>
        </w:tc>
        <w:tc>
          <w:tcPr>
            <w:tcW w:w="0" w:type="auto"/>
            <w:shd w:val="clear" w:color="auto" w:fill="auto"/>
          </w:tcPr>
          <w:p w14:paraId="7DCFDC4C" w14:textId="77777777" w:rsidR="00C1563E" w:rsidRDefault="00C1563E">
            <w:pPr>
              <w:rPr>
                <w:rFonts w:ascii="宋体"/>
                <w:vanish/>
              </w:rPr>
            </w:pPr>
          </w:p>
        </w:tc>
        <w:tc>
          <w:tcPr>
            <w:tcW w:w="0" w:type="auto"/>
            <w:shd w:val="clear" w:color="auto" w:fill="auto"/>
          </w:tcPr>
          <w:p w14:paraId="7DCFDC4D" w14:textId="77777777" w:rsidR="00C1563E" w:rsidRDefault="00C1563E">
            <w:pPr>
              <w:rPr>
                <w:rFonts w:ascii="宋体"/>
                <w:vanish/>
              </w:rPr>
            </w:pPr>
          </w:p>
        </w:tc>
        <w:tc>
          <w:tcPr>
            <w:tcW w:w="0" w:type="auto"/>
            <w:shd w:val="clear" w:color="auto" w:fill="auto"/>
          </w:tcPr>
          <w:p w14:paraId="7DCFDC4E" w14:textId="77777777" w:rsidR="00C1563E" w:rsidRDefault="00C1563E">
            <w:pPr>
              <w:rPr>
                <w:rFonts w:ascii="宋体"/>
                <w:vanish/>
              </w:rPr>
            </w:pPr>
          </w:p>
        </w:tc>
        <w:tc>
          <w:tcPr>
            <w:tcW w:w="0" w:type="auto"/>
            <w:shd w:val="clear" w:color="auto" w:fill="auto"/>
          </w:tcPr>
          <w:p w14:paraId="7DCFDC4F" w14:textId="77777777" w:rsidR="00C1563E" w:rsidRDefault="00C1563E">
            <w:pPr>
              <w:rPr>
                <w:rFonts w:ascii="宋体"/>
                <w:vanish/>
              </w:rPr>
            </w:pPr>
          </w:p>
        </w:tc>
        <w:tc>
          <w:tcPr>
            <w:tcW w:w="0" w:type="auto"/>
            <w:shd w:val="clear" w:color="auto" w:fill="auto"/>
          </w:tcPr>
          <w:p w14:paraId="7DCFDC50" w14:textId="77777777" w:rsidR="00C1563E" w:rsidRDefault="00C1563E">
            <w:pPr>
              <w:rPr>
                <w:rFonts w:ascii="宋体"/>
                <w:vanish/>
              </w:rPr>
            </w:pPr>
          </w:p>
        </w:tc>
        <w:tc>
          <w:tcPr>
            <w:tcW w:w="0" w:type="auto"/>
            <w:shd w:val="clear" w:color="auto" w:fill="auto"/>
          </w:tcPr>
          <w:p w14:paraId="7DCFDC51"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C52"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C53" w14:textId="77777777" w:rsidR="00C1563E" w:rsidRDefault="000B648B">
            <w:pPr>
              <w:jc w:val="right"/>
              <w:textAlignment w:val="bottom"/>
            </w:pPr>
            <w:r>
              <w:rPr>
                <w:rFonts w:ascii="Times New Roman" w:eastAsia="宋体" w:hAnsi="Times New Roman"/>
                <w:color w:val="000000"/>
                <w:sz w:val="18"/>
                <w:szCs w:val="18"/>
              </w:rPr>
              <w:t>31,346 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C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56" w14:textId="77777777" w:rsidR="00C1563E" w:rsidRDefault="000B648B">
            <w:pPr>
              <w:jc w:val="right"/>
              <w:textAlignment w:val="bottom"/>
            </w:pPr>
            <w:r>
              <w:rPr>
                <w:rFonts w:ascii="Times New Roman" w:eastAsia="宋体" w:hAnsi="Times New Roman"/>
                <w:color w:val="000000"/>
                <w:sz w:val="18"/>
                <w:szCs w:val="18"/>
              </w:rPr>
              <w:t>33.2 </w:t>
            </w:r>
          </w:p>
        </w:tc>
        <w:tc>
          <w:tcPr>
            <w:tcW w:w="0" w:type="auto"/>
            <w:shd w:val="clear" w:color="auto" w:fill="FFFFFF"/>
            <w:tcMar>
              <w:top w:w="40" w:type="dxa"/>
              <w:left w:w="0" w:type="dxa"/>
              <w:bottom w:w="40" w:type="dxa"/>
              <w:right w:w="20" w:type="dxa"/>
            </w:tcMar>
            <w:vAlign w:val="bottom"/>
          </w:tcPr>
          <w:p w14:paraId="7DCFDC5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59" w14:textId="77777777" w:rsidR="00C1563E" w:rsidRDefault="000B648B">
            <w:pPr>
              <w:jc w:val="right"/>
              <w:textAlignment w:val="bottom"/>
            </w:pPr>
            <w:r>
              <w:rPr>
                <w:rFonts w:ascii="Times New Roman" w:eastAsia="宋体" w:hAnsi="Times New Roman"/>
                <w:color w:val="000000"/>
                <w:sz w:val="18"/>
                <w:szCs w:val="18"/>
              </w:rPr>
              <w:t>(1)</w:t>
            </w:r>
          </w:p>
        </w:tc>
        <w:tc>
          <w:tcPr>
            <w:tcW w:w="0" w:type="auto"/>
            <w:shd w:val="clear" w:color="auto" w:fill="FFFFFF"/>
            <w:tcMar>
              <w:top w:w="40" w:type="dxa"/>
              <w:left w:w="0" w:type="dxa"/>
              <w:bottom w:w="40" w:type="dxa"/>
              <w:right w:w="20" w:type="dxa"/>
            </w:tcMar>
            <w:vAlign w:val="bottom"/>
          </w:tcPr>
          <w:p w14:paraId="7DCFDC5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5B"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C5C"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C5D" w14:textId="77777777" w:rsidR="00C1563E" w:rsidRDefault="000B648B">
            <w:pPr>
              <w:jc w:val="right"/>
              <w:textAlignment w:val="bottom"/>
            </w:pPr>
            <w:r>
              <w:rPr>
                <w:rFonts w:ascii="Times New Roman" w:eastAsia="宋体" w:hAnsi="Times New Roman"/>
                <w:color w:val="000000"/>
                <w:sz w:val="18"/>
                <w:szCs w:val="18"/>
              </w:rPr>
              <w:t>31,563 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C5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5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60" w14:textId="77777777" w:rsidR="00C1563E" w:rsidRDefault="000B648B">
            <w:pPr>
              <w:jc w:val="right"/>
              <w:textAlignment w:val="bottom"/>
            </w:pPr>
            <w:r>
              <w:rPr>
                <w:rFonts w:ascii="Times New Roman" w:eastAsia="宋体" w:hAnsi="Times New Roman"/>
                <w:color w:val="000000"/>
                <w:sz w:val="18"/>
                <w:szCs w:val="18"/>
              </w:rPr>
              <w:t>34.1 </w:t>
            </w:r>
          </w:p>
        </w:tc>
        <w:tc>
          <w:tcPr>
            <w:tcW w:w="0" w:type="auto"/>
            <w:shd w:val="clear" w:color="auto" w:fill="FFFFFF"/>
            <w:tcMar>
              <w:top w:w="40" w:type="dxa"/>
              <w:left w:w="0" w:type="dxa"/>
              <w:bottom w:w="40" w:type="dxa"/>
              <w:right w:w="20" w:type="dxa"/>
            </w:tcMar>
            <w:vAlign w:val="bottom"/>
          </w:tcPr>
          <w:p w14:paraId="7DCFDC6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C6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63" w14:textId="77777777" w:rsidR="00C1563E" w:rsidRDefault="000B648B">
            <w:pPr>
              <w:jc w:val="right"/>
              <w:textAlignment w:val="bottom"/>
            </w:pPr>
            <w:r>
              <w:rPr>
                <w:rFonts w:ascii="Times New Roman" w:eastAsia="宋体" w:hAnsi="Times New Roman"/>
                <w:color w:val="000000"/>
                <w:sz w:val="18"/>
                <w:szCs w:val="18"/>
              </w:rPr>
              <w:t>9 </w:t>
            </w:r>
          </w:p>
          <w:p w14:paraId="7DCFDC64" w14:textId="77777777" w:rsidR="00C1563E" w:rsidRDefault="000B648B">
            <w:pPr>
              <w:jc w:val="right"/>
              <w:textAlignment w:val="bottom"/>
            </w:pPr>
            <w:r>
              <w:rPr>
                <w:rFonts w:ascii="Times New Roman" w:eastAsia="宋体" w:hAnsi="Times New Roman"/>
                <w:color w:val="000000"/>
                <w:sz w:val="18"/>
                <w:szCs w:val="18"/>
              </w:rPr>
              <w:t>%</w:t>
            </w:r>
          </w:p>
          <w:p w14:paraId="7DCFDC65" w14:textId="77777777" w:rsidR="00C1563E" w:rsidRDefault="000B648B">
            <w:pPr>
              <w:textAlignment w:val="bottom"/>
            </w:pPr>
            <w:r>
              <w:rPr>
                <w:rFonts w:ascii="Times New Roman" w:eastAsia="宋体" w:hAnsi="Times New Roman"/>
                <w:color w:val="000000"/>
                <w:sz w:val="18"/>
                <w:szCs w:val="18"/>
              </w:rPr>
              <w:t>$</w:t>
            </w:r>
          </w:p>
          <w:p w14:paraId="7DCFDC66" w14:textId="77777777" w:rsidR="00C1563E" w:rsidRDefault="000B648B">
            <w:pPr>
              <w:jc w:val="right"/>
              <w:textAlignment w:val="bottom"/>
            </w:pPr>
            <w:r>
              <w:rPr>
                <w:rFonts w:ascii="Times New Roman" w:eastAsia="宋体" w:hAnsi="Times New Roman"/>
                <w:color w:val="000000"/>
                <w:sz w:val="18"/>
                <w:szCs w:val="18"/>
              </w:rPr>
              <w:t>29,022 </w:t>
            </w:r>
          </w:p>
          <w:p w14:paraId="7DCFDC67" w14:textId="77777777" w:rsidR="00C1563E" w:rsidRDefault="000B648B">
            <w:pPr>
              <w:jc w:val="right"/>
              <w:textAlignment w:val="bottom"/>
            </w:pPr>
            <w:r>
              <w:rPr>
                <w:rFonts w:ascii="Times New Roman" w:eastAsia="宋体" w:hAnsi="Times New Roman"/>
                <w:color w:val="000000"/>
                <w:sz w:val="18"/>
                <w:szCs w:val="18"/>
              </w:rPr>
              <w:t>31.8 </w:t>
            </w:r>
          </w:p>
          <w:p w14:paraId="7DCFDC6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8C" w14:textId="77777777">
        <w:trPr>
          <w:jc w:val="center"/>
        </w:trPr>
        <w:tc>
          <w:tcPr>
            <w:tcW w:w="0" w:type="auto"/>
            <w:gridSpan w:val="3"/>
            <w:shd w:val="clear" w:color="auto" w:fill="CCEEFF"/>
            <w:tcMar>
              <w:top w:w="40" w:type="dxa"/>
              <w:left w:w="20" w:type="dxa"/>
              <w:bottom w:w="40" w:type="dxa"/>
              <w:right w:w="20" w:type="dxa"/>
            </w:tcMar>
            <w:vAlign w:val="bottom"/>
          </w:tcPr>
          <w:p w14:paraId="7DCFDC6A" w14:textId="77777777" w:rsidR="00C1563E" w:rsidRDefault="000B648B">
            <w:pPr>
              <w:textAlignment w:val="bottom"/>
            </w:pPr>
            <w:r>
              <w:rPr>
                <w:rFonts w:ascii="Times New Roman" w:eastAsia="宋体" w:hAnsi="Times New Roman"/>
                <w:color w:val="000000"/>
                <w:sz w:val="18"/>
                <w:szCs w:val="18"/>
              </w:rPr>
              <w:t>Non</w:t>
            </w:r>
            <w:r>
              <w:rPr>
                <w:rFonts w:ascii="Times New Roman" w:eastAsia="宋体" w:hAnsi="Times New Roman"/>
                <w:color w:val="000000"/>
                <w:sz w:val="18"/>
                <w:szCs w:val="18"/>
              </w:rPr>
              <w:t>-GAAP operating expenses</w:t>
            </w:r>
          </w:p>
        </w:tc>
        <w:tc>
          <w:tcPr>
            <w:tcW w:w="0" w:type="auto"/>
            <w:shd w:val="clear" w:color="auto" w:fill="auto"/>
          </w:tcPr>
          <w:p w14:paraId="7DCFDC6B" w14:textId="77777777" w:rsidR="00C1563E" w:rsidRDefault="00C1563E">
            <w:pPr>
              <w:rPr>
                <w:rFonts w:ascii="宋体"/>
                <w:vanish/>
              </w:rPr>
            </w:pPr>
          </w:p>
        </w:tc>
        <w:tc>
          <w:tcPr>
            <w:tcW w:w="0" w:type="auto"/>
            <w:shd w:val="clear" w:color="auto" w:fill="auto"/>
          </w:tcPr>
          <w:p w14:paraId="7DCFDC6C" w14:textId="77777777" w:rsidR="00C1563E" w:rsidRDefault="00C1563E">
            <w:pPr>
              <w:rPr>
                <w:rFonts w:ascii="宋体"/>
                <w:vanish/>
              </w:rPr>
            </w:pPr>
          </w:p>
        </w:tc>
        <w:tc>
          <w:tcPr>
            <w:tcW w:w="0" w:type="auto"/>
            <w:shd w:val="clear" w:color="auto" w:fill="auto"/>
          </w:tcPr>
          <w:p w14:paraId="7DCFDC6D" w14:textId="77777777" w:rsidR="00C1563E" w:rsidRDefault="00C1563E">
            <w:pPr>
              <w:rPr>
                <w:rFonts w:ascii="宋体"/>
                <w:vanish/>
              </w:rPr>
            </w:pPr>
          </w:p>
        </w:tc>
        <w:tc>
          <w:tcPr>
            <w:tcW w:w="0" w:type="auto"/>
            <w:shd w:val="clear" w:color="auto" w:fill="auto"/>
          </w:tcPr>
          <w:p w14:paraId="7DCFDC6E" w14:textId="77777777" w:rsidR="00C1563E" w:rsidRDefault="00C1563E">
            <w:pPr>
              <w:rPr>
                <w:rFonts w:ascii="宋体"/>
                <w:vanish/>
              </w:rPr>
            </w:pPr>
          </w:p>
        </w:tc>
        <w:tc>
          <w:tcPr>
            <w:tcW w:w="0" w:type="auto"/>
            <w:shd w:val="clear" w:color="auto" w:fill="auto"/>
          </w:tcPr>
          <w:p w14:paraId="7DCFDC6F" w14:textId="77777777" w:rsidR="00C1563E" w:rsidRDefault="00C1563E">
            <w:pPr>
              <w:rPr>
                <w:rFonts w:ascii="宋体"/>
                <w:vanish/>
              </w:rPr>
            </w:pPr>
          </w:p>
        </w:tc>
        <w:tc>
          <w:tcPr>
            <w:tcW w:w="0" w:type="auto"/>
            <w:shd w:val="clear" w:color="auto" w:fill="auto"/>
          </w:tcPr>
          <w:p w14:paraId="7DCFDC70" w14:textId="77777777" w:rsidR="00C1563E" w:rsidRDefault="00C1563E">
            <w:pPr>
              <w:rPr>
                <w:rFonts w:ascii="宋体"/>
                <w:vanish/>
              </w:rPr>
            </w:pPr>
          </w:p>
        </w:tc>
        <w:tc>
          <w:tcPr>
            <w:tcW w:w="0" w:type="auto"/>
            <w:shd w:val="clear" w:color="auto" w:fill="auto"/>
          </w:tcPr>
          <w:p w14:paraId="7DCFDC71" w14:textId="77777777" w:rsidR="00C1563E" w:rsidRDefault="00C1563E">
            <w:pPr>
              <w:rPr>
                <w:rFonts w:ascii="宋体"/>
                <w:vanish/>
              </w:rPr>
            </w:pPr>
          </w:p>
        </w:tc>
        <w:tc>
          <w:tcPr>
            <w:tcW w:w="0" w:type="auto"/>
            <w:shd w:val="clear" w:color="auto" w:fill="auto"/>
          </w:tcPr>
          <w:p w14:paraId="7DCFDC72" w14:textId="77777777" w:rsidR="00C1563E" w:rsidRDefault="00C1563E">
            <w:pPr>
              <w:rPr>
                <w:rFonts w:ascii="宋体"/>
                <w:vanish/>
              </w:rPr>
            </w:pPr>
          </w:p>
        </w:tc>
        <w:tc>
          <w:tcPr>
            <w:tcW w:w="0" w:type="auto"/>
            <w:shd w:val="clear" w:color="auto" w:fill="auto"/>
          </w:tcPr>
          <w:p w14:paraId="7DCFDC73" w14:textId="77777777" w:rsidR="00C1563E" w:rsidRDefault="00C1563E">
            <w:pPr>
              <w:rPr>
                <w:rFonts w:ascii="宋体"/>
                <w:vanish/>
              </w:rPr>
            </w:pPr>
          </w:p>
        </w:tc>
        <w:tc>
          <w:tcPr>
            <w:tcW w:w="0" w:type="auto"/>
            <w:shd w:val="clear" w:color="auto" w:fill="auto"/>
          </w:tcPr>
          <w:p w14:paraId="7DCFDC74"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C75"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C76" w14:textId="77777777" w:rsidR="00C1563E" w:rsidRDefault="000B648B">
            <w:pPr>
              <w:jc w:val="right"/>
              <w:textAlignment w:val="bottom"/>
            </w:pPr>
            <w:r>
              <w:rPr>
                <w:rFonts w:ascii="Times New Roman" w:eastAsia="宋体" w:hAnsi="Times New Roman"/>
                <w:color w:val="000000"/>
                <w:sz w:val="18"/>
                <w:szCs w:val="18"/>
              </w:rPr>
              <w:t>20,548 </w:t>
            </w:r>
          </w:p>
        </w:tc>
        <w:tc>
          <w:tcPr>
            <w:tcW w:w="0" w:type="auto"/>
            <w:shd w:val="clear" w:color="auto" w:fill="CCEEFF"/>
            <w:tcMar>
              <w:top w:w="40" w:type="dxa"/>
              <w:left w:w="0" w:type="dxa"/>
              <w:bottom w:w="40" w:type="dxa"/>
              <w:right w:w="20" w:type="dxa"/>
            </w:tcMar>
            <w:vAlign w:val="bottom"/>
          </w:tcPr>
          <w:p w14:paraId="7DCFDC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7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79" w14:textId="77777777" w:rsidR="00C1563E" w:rsidRDefault="000B648B">
            <w:pPr>
              <w:jc w:val="right"/>
              <w:textAlignment w:val="bottom"/>
            </w:pPr>
            <w:r>
              <w:rPr>
                <w:rFonts w:ascii="Times New Roman" w:eastAsia="宋体" w:hAnsi="Times New Roman"/>
                <w:color w:val="000000"/>
                <w:sz w:val="18"/>
                <w:szCs w:val="18"/>
              </w:rPr>
              <w:t>21.8 </w:t>
            </w:r>
          </w:p>
        </w:tc>
        <w:tc>
          <w:tcPr>
            <w:tcW w:w="0" w:type="auto"/>
            <w:shd w:val="clear" w:color="auto" w:fill="CCEEFF"/>
            <w:tcMar>
              <w:top w:w="40" w:type="dxa"/>
              <w:left w:w="0" w:type="dxa"/>
              <w:bottom w:w="40" w:type="dxa"/>
              <w:right w:w="20" w:type="dxa"/>
            </w:tcMar>
            <w:vAlign w:val="bottom"/>
          </w:tcPr>
          <w:p w14:paraId="7DCFDC7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7C" w14:textId="77777777" w:rsidR="00C1563E" w:rsidRDefault="000B648B">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7DCFDC7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7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C7F"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C80" w14:textId="77777777" w:rsidR="00C1563E" w:rsidRDefault="000B648B">
            <w:pPr>
              <w:jc w:val="right"/>
              <w:textAlignment w:val="bottom"/>
            </w:pPr>
            <w:r>
              <w:rPr>
                <w:rFonts w:ascii="Times New Roman" w:eastAsia="宋体" w:hAnsi="Times New Roman"/>
                <w:color w:val="000000"/>
                <w:sz w:val="18"/>
                <w:szCs w:val="18"/>
              </w:rPr>
              <w:t>21,415 </w:t>
            </w:r>
          </w:p>
        </w:tc>
        <w:tc>
          <w:tcPr>
            <w:tcW w:w="0" w:type="auto"/>
            <w:shd w:val="clear" w:color="auto" w:fill="CCEEFF"/>
            <w:tcMar>
              <w:top w:w="40" w:type="dxa"/>
              <w:left w:w="0" w:type="dxa"/>
              <w:bottom w:w="40" w:type="dxa"/>
              <w:right w:w="20" w:type="dxa"/>
            </w:tcMar>
            <w:vAlign w:val="bottom"/>
          </w:tcPr>
          <w:p w14:paraId="7DCFDC8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8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83" w14:textId="77777777" w:rsidR="00C1563E" w:rsidRDefault="000B648B">
            <w:pPr>
              <w:jc w:val="right"/>
              <w:textAlignment w:val="bottom"/>
            </w:pPr>
            <w:r>
              <w:rPr>
                <w:rFonts w:ascii="Times New Roman" w:eastAsia="宋体" w:hAnsi="Times New Roman"/>
                <w:color w:val="000000"/>
                <w:sz w:val="18"/>
                <w:szCs w:val="18"/>
              </w:rPr>
              <w:t>23.2 </w:t>
            </w:r>
          </w:p>
        </w:tc>
        <w:tc>
          <w:tcPr>
            <w:tcW w:w="0" w:type="auto"/>
            <w:shd w:val="clear" w:color="auto" w:fill="CCEEFF"/>
            <w:tcMar>
              <w:top w:w="40" w:type="dxa"/>
              <w:left w:w="0" w:type="dxa"/>
              <w:bottom w:w="40" w:type="dxa"/>
              <w:right w:w="20" w:type="dxa"/>
            </w:tcMar>
            <w:vAlign w:val="bottom"/>
          </w:tcPr>
          <w:p w14:paraId="7DCFDC8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C8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C86" w14:textId="77777777" w:rsidR="00C1563E" w:rsidRDefault="000B648B">
            <w:pPr>
              <w:jc w:val="right"/>
              <w:textAlignment w:val="bottom"/>
            </w:pPr>
            <w:r>
              <w:rPr>
                <w:rFonts w:ascii="Times New Roman" w:eastAsia="宋体" w:hAnsi="Times New Roman"/>
                <w:color w:val="000000"/>
                <w:sz w:val="18"/>
                <w:szCs w:val="18"/>
              </w:rPr>
              <w:t>6 </w:t>
            </w:r>
          </w:p>
          <w:p w14:paraId="7DCFDC87" w14:textId="77777777" w:rsidR="00C1563E" w:rsidRDefault="000B648B">
            <w:pPr>
              <w:jc w:val="right"/>
              <w:textAlignment w:val="bottom"/>
            </w:pPr>
            <w:r>
              <w:rPr>
                <w:rFonts w:ascii="Times New Roman" w:eastAsia="宋体" w:hAnsi="Times New Roman"/>
                <w:color w:val="000000"/>
                <w:sz w:val="18"/>
                <w:szCs w:val="18"/>
              </w:rPr>
              <w:t>%</w:t>
            </w:r>
          </w:p>
          <w:p w14:paraId="7DCFDC88" w14:textId="77777777" w:rsidR="00C1563E" w:rsidRDefault="000B648B">
            <w:pPr>
              <w:textAlignment w:val="bottom"/>
            </w:pPr>
            <w:r>
              <w:rPr>
                <w:rFonts w:ascii="Times New Roman" w:eastAsia="宋体" w:hAnsi="Times New Roman"/>
                <w:color w:val="000000"/>
                <w:sz w:val="18"/>
                <w:szCs w:val="18"/>
              </w:rPr>
              <w:t>$</w:t>
            </w:r>
          </w:p>
          <w:p w14:paraId="7DCFDC89" w14:textId="77777777" w:rsidR="00C1563E" w:rsidRDefault="000B648B">
            <w:pPr>
              <w:jc w:val="right"/>
              <w:textAlignment w:val="bottom"/>
            </w:pPr>
            <w:r>
              <w:rPr>
                <w:rFonts w:ascii="Times New Roman" w:eastAsia="宋体" w:hAnsi="Times New Roman"/>
                <w:color w:val="000000"/>
                <w:sz w:val="18"/>
                <w:szCs w:val="18"/>
              </w:rPr>
              <w:t>20,168 </w:t>
            </w:r>
          </w:p>
          <w:p w14:paraId="7DCFDC8A" w14:textId="77777777" w:rsidR="00C1563E" w:rsidRDefault="000B648B">
            <w:pPr>
              <w:jc w:val="right"/>
              <w:textAlignment w:val="bottom"/>
            </w:pPr>
            <w:r>
              <w:rPr>
                <w:rFonts w:ascii="Times New Roman" w:eastAsia="宋体" w:hAnsi="Times New Roman"/>
                <w:color w:val="000000"/>
                <w:sz w:val="18"/>
                <w:szCs w:val="18"/>
              </w:rPr>
              <w:t>22.1 </w:t>
            </w:r>
          </w:p>
          <w:p w14:paraId="7DCFDC8B"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AF" w14:textId="77777777">
        <w:trPr>
          <w:jc w:val="center"/>
        </w:trPr>
        <w:tc>
          <w:tcPr>
            <w:tcW w:w="0" w:type="auto"/>
            <w:gridSpan w:val="3"/>
            <w:shd w:val="clear" w:color="auto" w:fill="FFFFFF"/>
            <w:tcMar>
              <w:top w:w="40" w:type="dxa"/>
              <w:left w:w="20" w:type="dxa"/>
              <w:bottom w:w="40" w:type="dxa"/>
              <w:right w:w="20" w:type="dxa"/>
            </w:tcMar>
            <w:vAlign w:val="bottom"/>
          </w:tcPr>
          <w:p w14:paraId="7DCFDC8D" w14:textId="77777777" w:rsidR="00C1563E" w:rsidRDefault="000B648B">
            <w:pPr>
              <w:textAlignment w:val="bottom"/>
            </w:pPr>
            <w:r>
              <w:rPr>
                <w:rFonts w:ascii="Times New Roman" w:eastAsia="宋体" w:hAnsi="Times New Roman"/>
                <w:color w:val="000000"/>
                <w:sz w:val="18"/>
                <w:szCs w:val="18"/>
              </w:rPr>
              <w:t xml:space="preserve">Non-GAAP </w:t>
            </w:r>
            <w:r>
              <w:rPr>
                <w:rFonts w:ascii="Times New Roman" w:eastAsia="宋体" w:hAnsi="Times New Roman"/>
                <w:color w:val="000000"/>
                <w:sz w:val="18"/>
                <w:szCs w:val="18"/>
              </w:rPr>
              <w:t>operating income</w:t>
            </w:r>
          </w:p>
        </w:tc>
        <w:tc>
          <w:tcPr>
            <w:tcW w:w="0" w:type="auto"/>
            <w:shd w:val="clear" w:color="auto" w:fill="auto"/>
          </w:tcPr>
          <w:p w14:paraId="7DCFDC8E" w14:textId="77777777" w:rsidR="00C1563E" w:rsidRDefault="00C1563E">
            <w:pPr>
              <w:rPr>
                <w:rFonts w:ascii="宋体"/>
                <w:vanish/>
              </w:rPr>
            </w:pPr>
          </w:p>
        </w:tc>
        <w:tc>
          <w:tcPr>
            <w:tcW w:w="0" w:type="auto"/>
            <w:shd w:val="clear" w:color="auto" w:fill="auto"/>
          </w:tcPr>
          <w:p w14:paraId="7DCFDC8F" w14:textId="77777777" w:rsidR="00C1563E" w:rsidRDefault="00C1563E">
            <w:pPr>
              <w:rPr>
                <w:rFonts w:ascii="宋体"/>
                <w:vanish/>
              </w:rPr>
            </w:pPr>
          </w:p>
        </w:tc>
        <w:tc>
          <w:tcPr>
            <w:tcW w:w="0" w:type="auto"/>
            <w:shd w:val="clear" w:color="auto" w:fill="auto"/>
          </w:tcPr>
          <w:p w14:paraId="7DCFDC90" w14:textId="77777777" w:rsidR="00C1563E" w:rsidRDefault="00C1563E">
            <w:pPr>
              <w:rPr>
                <w:rFonts w:ascii="宋体"/>
                <w:vanish/>
              </w:rPr>
            </w:pPr>
          </w:p>
        </w:tc>
        <w:tc>
          <w:tcPr>
            <w:tcW w:w="0" w:type="auto"/>
            <w:shd w:val="clear" w:color="auto" w:fill="auto"/>
          </w:tcPr>
          <w:p w14:paraId="7DCFDC91" w14:textId="77777777" w:rsidR="00C1563E" w:rsidRDefault="00C1563E">
            <w:pPr>
              <w:rPr>
                <w:rFonts w:ascii="宋体"/>
                <w:vanish/>
              </w:rPr>
            </w:pPr>
          </w:p>
        </w:tc>
        <w:tc>
          <w:tcPr>
            <w:tcW w:w="0" w:type="auto"/>
            <w:shd w:val="clear" w:color="auto" w:fill="auto"/>
          </w:tcPr>
          <w:p w14:paraId="7DCFDC92" w14:textId="77777777" w:rsidR="00C1563E" w:rsidRDefault="00C1563E">
            <w:pPr>
              <w:rPr>
                <w:rFonts w:ascii="宋体"/>
                <w:vanish/>
              </w:rPr>
            </w:pPr>
          </w:p>
        </w:tc>
        <w:tc>
          <w:tcPr>
            <w:tcW w:w="0" w:type="auto"/>
            <w:shd w:val="clear" w:color="auto" w:fill="auto"/>
          </w:tcPr>
          <w:p w14:paraId="7DCFDC93" w14:textId="77777777" w:rsidR="00C1563E" w:rsidRDefault="00C1563E">
            <w:pPr>
              <w:rPr>
                <w:rFonts w:ascii="宋体"/>
                <w:vanish/>
              </w:rPr>
            </w:pPr>
          </w:p>
        </w:tc>
        <w:tc>
          <w:tcPr>
            <w:tcW w:w="0" w:type="auto"/>
            <w:shd w:val="clear" w:color="auto" w:fill="auto"/>
          </w:tcPr>
          <w:p w14:paraId="7DCFDC94" w14:textId="77777777" w:rsidR="00C1563E" w:rsidRDefault="00C1563E">
            <w:pPr>
              <w:rPr>
                <w:rFonts w:ascii="宋体"/>
                <w:vanish/>
              </w:rPr>
            </w:pPr>
          </w:p>
        </w:tc>
        <w:tc>
          <w:tcPr>
            <w:tcW w:w="0" w:type="auto"/>
            <w:shd w:val="clear" w:color="auto" w:fill="auto"/>
          </w:tcPr>
          <w:p w14:paraId="7DCFDC95" w14:textId="77777777" w:rsidR="00C1563E" w:rsidRDefault="00C1563E">
            <w:pPr>
              <w:rPr>
                <w:rFonts w:ascii="宋体"/>
                <w:vanish/>
              </w:rPr>
            </w:pPr>
          </w:p>
        </w:tc>
        <w:tc>
          <w:tcPr>
            <w:tcW w:w="0" w:type="auto"/>
            <w:shd w:val="clear" w:color="auto" w:fill="auto"/>
          </w:tcPr>
          <w:p w14:paraId="7DCFDC96" w14:textId="77777777" w:rsidR="00C1563E" w:rsidRDefault="00C1563E">
            <w:pPr>
              <w:rPr>
                <w:rFonts w:ascii="宋体"/>
                <w:vanish/>
              </w:rPr>
            </w:pPr>
          </w:p>
        </w:tc>
        <w:tc>
          <w:tcPr>
            <w:tcW w:w="0" w:type="auto"/>
            <w:shd w:val="clear" w:color="auto" w:fill="auto"/>
          </w:tcPr>
          <w:p w14:paraId="7DCFDC97"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C98"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99" w14:textId="77777777" w:rsidR="00C1563E" w:rsidRDefault="000B648B">
            <w:pPr>
              <w:jc w:val="right"/>
              <w:textAlignment w:val="bottom"/>
            </w:pPr>
            <w:r>
              <w:rPr>
                <w:rFonts w:ascii="Times New Roman" w:eastAsia="宋体" w:hAnsi="Times New Roman"/>
                <w:color w:val="000000"/>
                <w:sz w:val="18"/>
                <w:szCs w:val="18"/>
              </w:rPr>
              <w:t>10,798 </w:t>
            </w:r>
          </w:p>
        </w:tc>
        <w:tc>
          <w:tcPr>
            <w:tcW w:w="0" w:type="auto"/>
            <w:shd w:val="clear" w:color="auto" w:fill="FFFFFF"/>
            <w:tcMar>
              <w:top w:w="40" w:type="dxa"/>
              <w:left w:w="0" w:type="dxa"/>
              <w:bottom w:w="40" w:type="dxa"/>
              <w:right w:w="20" w:type="dxa"/>
            </w:tcMar>
            <w:vAlign w:val="bottom"/>
          </w:tcPr>
          <w:p w14:paraId="7DCFDC9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9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9C" w14:textId="77777777" w:rsidR="00C1563E" w:rsidRDefault="000B648B">
            <w:pPr>
              <w:jc w:val="right"/>
              <w:textAlignment w:val="bottom"/>
            </w:pPr>
            <w:r>
              <w:rPr>
                <w:rFonts w:ascii="Times New Roman" w:eastAsia="宋体" w:hAnsi="Times New Roman"/>
                <w:color w:val="000000"/>
                <w:sz w:val="18"/>
                <w:szCs w:val="18"/>
              </w:rPr>
              <w:t>11.4 </w:t>
            </w:r>
          </w:p>
        </w:tc>
        <w:tc>
          <w:tcPr>
            <w:tcW w:w="0" w:type="auto"/>
            <w:shd w:val="clear" w:color="auto" w:fill="FFFFFF"/>
            <w:tcMar>
              <w:top w:w="40" w:type="dxa"/>
              <w:left w:w="0" w:type="dxa"/>
              <w:bottom w:w="40" w:type="dxa"/>
              <w:right w:w="20" w:type="dxa"/>
            </w:tcMar>
            <w:vAlign w:val="bottom"/>
          </w:tcPr>
          <w:p w14:paraId="7DCFDC9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9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9F" w14:textId="77777777" w:rsidR="00C1563E" w:rsidRDefault="000B648B">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7DCFDCA0"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A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A2"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A3" w14:textId="77777777" w:rsidR="00C1563E" w:rsidRDefault="000B648B">
            <w:pPr>
              <w:jc w:val="right"/>
              <w:textAlignment w:val="bottom"/>
            </w:pPr>
            <w:r>
              <w:rPr>
                <w:rFonts w:ascii="Times New Roman" w:eastAsia="宋体" w:hAnsi="Times New Roman"/>
                <w:color w:val="000000"/>
                <w:sz w:val="18"/>
                <w:szCs w:val="18"/>
              </w:rPr>
              <w:t>10,148 </w:t>
            </w:r>
          </w:p>
        </w:tc>
        <w:tc>
          <w:tcPr>
            <w:tcW w:w="0" w:type="auto"/>
            <w:shd w:val="clear" w:color="auto" w:fill="FFFFFF"/>
            <w:tcMar>
              <w:top w:w="40" w:type="dxa"/>
              <w:left w:w="0" w:type="dxa"/>
              <w:bottom w:w="40" w:type="dxa"/>
              <w:right w:w="20" w:type="dxa"/>
            </w:tcMar>
            <w:vAlign w:val="bottom"/>
          </w:tcPr>
          <w:p w14:paraId="7DCFDCA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A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A6" w14:textId="77777777" w:rsidR="00C1563E" w:rsidRDefault="000B648B">
            <w:pPr>
              <w:jc w:val="right"/>
              <w:textAlignment w:val="bottom"/>
            </w:pPr>
            <w:r>
              <w:rPr>
                <w:rFonts w:ascii="Times New Roman" w:eastAsia="宋体" w:hAnsi="Times New Roman"/>
                <w:color w:val="000000"/>
                <w:sz w:val="18"/>
                <w:szCs w:val="18"/>
              </w:rPr>
              <w:t>11.0 </w:t>
            </w:r>
          </w:p>
        </w:tc>
        <w:tc>
          <w:tcPr>
            <w:tcW w:w="0" w:type="auto"/>
            <w:shd w:val="clear" w:color="auto" w:fill="FFFFFF"/>
            <w:tcMar>
              <w:top w:w="40" w:type="dxa"/>
              <w:left w:w="0" w:type="dxa"/>
              <w:bottom w:w="40" w:type="dxa"/>
              <w:right w:w="20" w:type="dxa"/>
            </w:tcMar>
            <w:vAlign w:val="bottom"/>
          </w:tcPr>
          <w:p w14:paraId="7DCFDCA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CA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A9" w14:textId="77777777" w:rsidR="00C1563E" w:rsidRDefault="000B648B">
            <w:pPr>
              <w:jc w:val="right"/>
              <w:textAlignment w:val="bottom"/>
            </w:pPr>
            <w:r>
              <w:rPr>
                <w:rFonts w:ascii="Times New Roman" w:eastAsia="宋体" w:hAnsi="Times New Roman"/>
                <w:color w:val="000000"/>
                <w:sz w:val="18"/>
                <w:szCs w:val="18"/>
              </w:rPr>
              <w:t>15 </w:t>
            </w:r>
          </w:p>
          <w:p w14:paraId="7DCFDCAA" w14:textId="77777777" w:rsidR="00C1563E" w:rsidRDefault="000B648B">
            <w:pPr>
              <w:jc w:val="right"/>
              <w:textAlignment w:val="bottom"/>
            </w:pPr>
            <w:r>
              <w:rPr>
                <w:rFonts w:ascii="Times New Roman" w:eastAsia="宋体" w:hAnsi="Times New Roman"/>
                <w:color w:val="000000"/>
                <w:sz w:val="18"/>
                <w:szCs w:val="18"/>
              </w:rPr>
              <w:t>%</w:t>
            </w:r>
          </w:p>
          <w:p w14:paraId="7DCFDCAB" w14:textId="77777777" w:rsidR="00C1563E" w:rsidRDefault="000B648B">
            <w:pPr>
              <w:textAlignment w:val="bottom"/>
            </w:pPr>
            <w:r>
              <w:rPr>
                <w:rFonts w:ascii="Times New Roman" w:eastAsia="宋体" w:hAnsi="Times New Roman"/>
                <w:color w:val="000000"/>
                <w:sz w:val="18"/>
                <w:szCs w:val="18"/>
              </w:rPr>
              <w:t>$</w:t>
            </w:r>
          </w:p>
          <w:p w14:paraId="7DCFDCAC" w14:textId="77777777" w:rsidR="00C1563E" w:rsidRDefault="000B648B">
            <w:pPr>
              <w:jc w:val="right"/>
              <w:textAlignment w:val="bottom"/>
            </w:pPr>
            <w:r>
              <w:rPr>
                <w:rFonts w:ascii="Times New Roman" w:eastAsia="宋体" w:hAnsi="Times New Roman"/>
                <w:color w:val="000000"/>
                <w:sz w:val="18"/>
                <w:szCs w:val="18"/>
              </w:rPr>
              <w:t>8,854 </w:t>
            </w:r>
          </w:p>
          <w:p w14:paraId="7DCFDCAD" w14:textId="77777777" w:rsidR="00C1563E" w:rsidRDefault="000B648B">
            <w:pPr>
              <w:jc w:val="right"/>
              <w:textAlignment w:val="bottom"/>
            </w:pPr>
            <w:r>
              <w:rPr>
                <w:rFonts w:ascii="Times New Roman" w:eastAsia="宋体" w:hAnsi="Times New Roman"/>
                <w:color w:val="000000"/>
                <w:sz w:val="18"/>
                <w:szCs w:val="18"/>
              </w:rPr>
              <w:t>9.7 </w:t>
            </w:r>
          </w:p>
          <w:p w14:paraId="7DCFDCAE"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D2" w14:textId="77777777">
        <w:trPr>
          <w:jc w:val="center"/>
        </w:trPr>
        <w:tc>
          <w:tcPr>
            <w:tcW w:w="0" w:type="auto"/>
            <w:gridSpan w:val="3"/>
            <w:shd w:val="clear" w:color="auto" w:fill="CCEEFF"/>
            <w:tcMar>
              <w:top w:w="40" w:type="dxa"/>
              <w:left w:w="20" w:type="dxa"/>
              <w:bottom w:w="40" w:type="dxa"/>
              <w:right w:w="20" w:type="dxa"/>
            </w:tcMar>
            <w:vAlign w:val="bottom"/>
          </w:tcPr>
          <w:p w14:paraId="7DCFDCB0" w14:textId="77777777" w:rsidR="00C1563E" w:rsidRDefault="000B648B">
            <w:pPr>
              <w:textAlignment w:val="bottom"/>
            </w:pPr>
            <w:r>
              <w:rPr>
                <w:rFonts w:ascii="Times New Roman" w:eastAsia="宋体" w:hAnsi="Times New Roman"/>
                <w:color w:val="000000"/>
                <w:sz w:val="18"/>
                <w:szCs w:val="18"/>
              </w:rPr>
              <w:t>Non-GAAP net income</w:t>
            </w:r>
          </w:p>
        </w:tc>
        <w:tc>
          <w:tcPr>
            <w:tcW w:w="0" w:type="auto"/>
            <w:shd w:val="clear" w:color="auto" w:fill="auto"/>
          </w:tcPr>
          <w:p w14:paraId="7DCFDCB1" w14:textId="77777777" w:rsidR="00C1563E" w:rsidRDefault="00C1563E">
            <w:pPr>
              <w:rPr>
                <w:rFonts w:ascii="宋体"/>
                <w:vanish/>
              </w:rPr>
            </w:pPr>
          </w:p>
        </w:tc>
        <w:tc>
          <w:tcPr>
            <w:tcW w:w="0" w:type="auto"/>
            <w:shd w:val="clear" w:color="auto" w:fill="auto"/>
          </w:tcPr>
          <w:p w14:paraId="7DCFDCB2" w14:textId="77777777" w:rsidR="00C1563E" w:rsidRDefault="00C1563E">
            <w:pPr>
              <w:rPr>
                <w:rFonts w:ascii="宋体"/>
                <w:vanish/>
              </w:rPr>
            </w:pPr>
          </w:p>
        </w:tc>
        <w:tc>
          <w:tcPr>
            <w:tcW w:w="0" w:type="auto"/>
            <w:shd w:val="clear" w:color="auto" w:fill="auto"/>
          </w:tcPr>
          <w:p w14:paraId="7DCFDCB3" w14:textId="77777777" w:rsidR="00C1563E" w:rsidRDefault="00C1563E">
            <w:pPr>
              <w:rPr>
                <w:rFonts w:ascii="宋体"/>
                <w:vanish/>
              </w:rPr>
            </w:pPr>
          </w:p>
        </w:tc>
        <w:tc>
          <w:tcPr>
            <w:tcW w:w="0" w:type="auto"/>
            <w:shd w:val="clear" w:color="auto" w:fill="auto"/>
          </w:tcPr>
          <w:p w14:paraId="7DCFDCB4" w14:textId="77777777" w:rsidR="00C1563E" w:rsidRDefault="00C1563E">
            <w:pPr>
              <w:rPr>
                <w:rFonts w:ascii="宋体"/>
                <w:vanish/>
              </w:rPr>
            </w:pPr>
          </w:p>
        </w:tc>
        <w:tc>
          <w:tcPr>
            <w:tcW w:w="0" w:type="auto"/>
            <w:shd w:val="clear" w:color="auto" w:fill="auto"/>
          </w:tcPr>
          <w:p w14:paraId="7DCFDCB5" w14:textId="77777777" w:rsidR="00C1563E" w:rsidRDefault="00C1563E">
            <w:pPr>
              <w:rPr>
                <w:rFonts w:ascii="宋体"/>
                <w:vanish/>
              </w:rPr>
            </w:pPr>
          </w:p>
        </w:tc>
        <w:tc>
          <w:tcPr>
            <w:tcW w:w="0" w:type="auto"/>
            <w:shd w:val="clear" w:color="auto" w:fill="auto"/>
          </w:tcPr>
          <w:p w14:paraId="7DCFDCB6" w14:textId="77777777" w:rsidR="00C1563E" w:rsidRDefault="00C1563E">
            <w:pPr>
              <w:rPr>
                <w:rFonts w:ascii="宋体"/>
                <w:vanish/>
              </w:rPr>
            </w:pPr>
          </w:p>
        </w:tc>
        <w:tc>
          <w:tcPr>
            <w:tcW w:w="0" w:type="auto"/>
            <w:shd w:val="clear" w:color="auto" w:fill="auto"/>
          </w:tcPr>
          <w:p w14:paraId="7DCFDCB7" w14:textId="77777777" w:rsidR="00C1563E" w:rsidRDefault="00C1563E">
            <w:pPr>
              <w:rPr>
                <w:rFonts w:ascii="宋体"/>
                <w:vanish/>
              </w:rPr>
            </w:pPr>
          </w:p>
        </w:tc>
        <w:tc>
          <w:tcPr>
            <w:tcW w:w="0" w:type="auto"/>
            <w:shd w:val="clear" w:color="auto" w:fill="auto"/>
          </w:tcPr>
          <w:p w14:paraId="7DCFDCB8" w14:textId="77777777" w:rsidR="00C1563E" w:rsidRDefault="00C1563E">
            <w:pPr>
              <w:rPr>
                <w:rFonts w:ascii="宋体"/>
                <w:vanish/>
              </w:rPr>
            </w:pPr>
          </w:p>
        </w:tc>
        <w:tc>
          <w:tcPr>
            <w:tcW w:w="0" w:type="auto"/>
            <w:shd w:val="clear" w:color="auto" w:fill="auto"/>
          </w:tcPr>
          <w:p w14:paraId="7DCFDCB9" w14:textId="77777777" w:rsidR="00C1563E" w:rsidRDefault="00C1563E">
            <w:pPr>
              <w:rPr>
                <w:rFonts w:ascii="宋体"/>
                <w:vanish/>
              </w:rPr>
            </w:pPr>
          </w:p>
        </w:tc>
        <w:tc>
          <w:tcPr>
            <w:tcW w:w="0" w:type="auto"/>
            <w:shd w:val="clear" w:color="auto" w:fill="auto"/>
          </w:tcPr>
          <w:p w14:paraId="7DCFDCBA"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CBB"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CBC" w14:textId="77777777" w:rsidR="00C1563E" w:rsidRDefault="000B648B">
            <w:pPr>
              <w:jc w:val="right"/>
              <w:textAlignment w:val="bottom"/>
            </w:pPr>
            <w:r>
              <w:rPr>
                <w:rFonts w:ascii="Times New Roman" w:eastAsia="宋体" w:hAnsi="Times New Roman"/>
                <w:color w:val="000000"/>
                <w:sz w:val="18"/>
                <w:szCs w:val="18"/>
              </w:rPr>
              <w:t>6,763 </w:t>
            </w:r>
          </w:p>
        </w:tc>
        <w:tc>
          <w:tcPr>
            <w:tcW w:w="0" w:type="auto"/>
            <w:shd w:val="clear" w:color="auto" w:fill="CCEEFF"/>
            <w:tcMar>
              <w:top w:w="40" w:type="dxa"/>
              <w:left w:w="0" w:type="dxa"/>
              <w:bottom w:w="40" w:type="dxa"/>
              <w:right w:w="20" w:type="dxa"/>
            </w:tcMar>
            <w:vAlign w:val="bottom"/>
          </w:tcPr>
          <w:p w14:paraId="7DCFDCB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B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BF" w14:textId="77777777" w:rsidR="00C1563E" w:rsidRDefault="000B648B">
            <w:pPr>
              <w:jc w:val="right"/>
              <w:textAlignment w:val="bottom"/>
            </w:pPr>
            <w:r>
              <w:rPr>
                <w:rFonts w:ascii="Times New Roman" w:eastAsia="宋体" w:hAnsi="Times New Roman"/>
                <w:color w:val="000000"/>
                <w:sz w:val="18"/>
                <w:szCs w:val="18"/>
              </w:rPr>
              <w:t>7.2 </w:t>
            </w:r>
          </w:p>
        </w:tc>
        <w:tc>
          <w:tcPr>
            <w:tcW w:w="0" w:type="auto"/>
            <w:shd w:val="clear" w:color="auto" w:fill="CCEEFF"/>
            <w:tcMar>
              <w:top w:w="40" w:type="dxa"/>
              <w:left w:w="0" w:type="dxa"/>
              <w:bottom w:w="40" w:type="dxa"/>
              <w:right w:w="20" w:type="dxa"/>
            </w:tcMar>
            <w:vAlign w:val="bottom"/>
          </w:tcPr>
          <w:p w14:paraId="7DCFDCC0"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C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C2" w14:textId="77777777" w:rsidR="00C1563E" w:rsidRDefault="000B648B">
            <w:pPr>
              <w:jc w:val="right"/>
              <w:textAlignment w:val="bottom"/>
            </w:pPr>
            <w:r>
              <w:rPr>
                <w:rFonts w:ascii="Times New Roman" w:eastAsia="宋体" w:hAnsi="Times New Roman"/>
                <w:color w:val="000000"/>
                <w:sz w:val="18"/>
                <w:szCs w:val="18"/>
              </w:rPr>
              <w:t>11 </w:t>
            </w:r>
          </w:p>
        </w:tc>
        <w:tc>
          <w:tcPr>
            <w:tcW w:w="0" w:type="auto"/>
            <w:shd w:val="clear" w:color="auto" w:fill="CCEEFF"/>
            <w:tcMar>
              <w:top w:w="40" w:type="dxa"/>
              <w:left w:w="0" w:type="dxa"/>
              <w:bottom w:w="40" w:type="dxa"/>
              <w:right w:w="20" w:type="dxa"/>
            </w:tcMar>
            <w:vAlign w:val="bottom"/>
          </w:tcPr>
          <w:p w14:paraId="7DCFDCC3"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CC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CC5"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CC6" w14:textId="77777777" w:rsidR="00C1563E" w:rsidRDefault="000B648B">
            <w:pPr>
              <w:jc w:val="right"/>
              <w:textAlignment w:val="bottom"/>
            </w:pPr>
            <w:r>
              <w:rPr>
                <w:rFonts w:ascii="Times New Roman" w:eastAsia="宋体" w:hAnsi="Times New Roman"/>
                <w:color w:val="000000"/>
                <w:sz w:val="18"/>
                <w:szCs w:val="18"/>
              </w:rPr>
              <w:t>6,089 </w:t>
            </w:r>
          </w:p>
        </w:tc>
        <w:tc>
          <w:tcPr>
            <w:tcW w:w="0" w:type="auto"/>
            <w:shd w:val="clear" w:color="auto" w:fill="CCEEFF"/>
            <w:tcMar>
              <w:top w:w="40" w:type="dxa"/>
              <w:left w:w="0" w:type="dxa"/>
              <w:bottom w:w="40" w:type="dxa"/>
              <w:right w:w="20" w:type="dxa"/>
            </w:tcMar>
            <w:vAlign w:val="bottom"/>
          </w:tcPr>
          <w:p w14:paraId="7DCFDC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C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CC9" w14:textId="77777777" w:rsidR="00C1563E" w:rsidRDefault="000B648B">
            <w:pPr>
              <w:jc w:val="right"/>
              <w:textAlignment w:val="bottom"/>
            </w:pPr>
            <w:r>
              <w:rPr>
                <w:rFonts w:ascii="Times New Roman" w:eastAsia="宋体" w:hAnsi="Times New Roman"/>
                <w:color w:val="000000"/>
                <w:sz w:val="18"/>
                <w:szCs w:val="18"/>
              </w:rPr>
              <w:t>6.6 </w:t>
            </w:r>
          </w:p>
        </w:tc>
        <w:tc>
          <w:tcPr>
            <w:tcW w:w="0" w:type="auto"/>
            <w:shd w:val="clear" w:color="auto" w:fill="CCEEFF"/>
            <w:tcMar>
              <w:top w:w="40" w:type="dxa"/>
              <w:left w:w="0" w:type="dxa"/>
              <w:bottom w:w="40" w:type="dxa"/>
              <w:right w:w="20" w:type="dxa"/>
            </w:tcMar>
            <w:vAlign w:val="bottom"/>
          </w:tcPr>
          <w:p w14:paraId="7DCFDCC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CC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CCC" w14:textId="77777777" w:rsidR="00C1563E" w:rsidRDefault="000B648B">
            <w:pPr>
              <w:jc w:val="right"/>
              <w:textAlignment w:val="bottom"/>
            </w:pPr>
            <w:r>
              <w:rPr>
                <w:rFonts w:ascii="Times New Roman" w:eastAsia="宋体" w:hAnsi="Times New Roman"/>
                <w:color w:val="000000"/>
                <w:sz w:val="18"/>
                <w:szCs w:val="18"/>
              </w:rPr>
              <w:t>16 </w:t>
            </w:r>
          </w:p>
          <w:p w14:paraId="7DCFDCCD" w14:textId="77777777" w:rsidR="00C1563E" w:rsidRDefault="000B648B">
            <w:pPr>
              <w:jc w:val="right"/>
              <w:textAlignment w:val="bottom"/>
            </w:pPr>
            <w:r>
              <w:rPr>
                <w:rFonts w:ascii="Times New Roman" w:eastAsia="宋体" w:hAnsi="Times New Roman"/>
                <w:color w:val="000000"/>
                <w:sz w:val="18"/>
                <w:szCs w:val="18"/>
              </w:rPr>
              <w:t>%</w:t>
            </w:r>
          </w:p>
          <w:p w14:paraId="7DCFDCCE" w14:textId="77777777" w:rsidR="00C1563E" w:rsidRDefault="000B648B">
            <w:pPr>
              <w:textAlignment w:val="bottom"/>
            </w:pPr>
            <w:r>
              <w:rPr>
                <w:rFonts w:ascii="Times New Roman" w:eastAsia="宋体" w:hAnsi="Times New Roman"/>
                <w:color w:val="000000"/>
                <w:sz w:val="18"/>
                <w:szCs w:val="18"/>
              </w:rPr>
              <w:t>$</w:t>
            </w:r>
          </w:p>
          <w:p w14:paraId="7DCFDCCF" w14:textId="77777777" w:rsidR="00C1563E" w:rsidRDefault="000B648B">
            <w:pPr>
              <w:jc w:val="right"/>
              <w:textAlignment w:val="bottom"/>
            </w:pPr>
            <w:r>
              <w:rPr>
                <w:rFonts w:ascii="Times New Roman" w:eastAsia="宋体" w:hAnsi="Times New Roman"/>
                <w:color w:val="000000"/>
                <w:sz w:val="18"/>
                <w:szCs w:val="18"/>
              </w:rPr>
              <w:t>5,227 </w:t>
            </w:r>
          </w:p>
          <w:p w14:paraId="7DCFDCD0" w14:textId="77777777" w:rsidR="00C1563E" w:rsidRDefault="000B648B">
            <w:pPr>
              <w:jc w:val="right"/>
              <w:textAlignment w:val="bottom"/>
            </w:pPr>
            <w:r>
              <w:rPr>
                <w:rFonts w:ascii="Times New Roman" w:eastAsia="宋体" w:hAnsi="Times New Roman"/>
                <w:color w:val="000000"/>
                <w:sz w:val="18"/>
                <w:szCs w:val="18"/>
              </w:rPr>
              <w:t>5.7 </w:t>
            </w:r>
          </w:p>
          <w:p w14:paraId="7DCFDCD1"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CF5" w14:textId="77777777">
        <w:trPr>
          <w:jc w:val="center"/>
        </w:trPr>
        <w:tc>
          <w:tcPr>
            <w:tcW w:w="0" w:type="auto"/>
            <w:gridSpan w:val="3"/>
            <w:shd w:val="clear" w:color="auto" w:fill="FFFFFF"/>
            <w:tcMar>
              <w:top w:w="40" w:type="dxa"/>
              <w:left w:w="20" w:type="dxa"/>
              <w:bottom w:w="40" w:type="dxa"/>
              <w:right w:w="20" w:type="dxa"/>
            </w:tcMar>
            <w:vAlign w:val="bottom"/>
          </w:tcPr>
          <w:p w14:paraId="7DCFDCD3" w14:textId="77777777" w:rsidR="00C1563E" w:rsidRDefault="000B648B">
            <w:pPr>
              <w:textAlignment w:val="bottom"/>
            </w:pPr>
            <w:r>
              <w:rPr>
                <w:rFonts w:ascii="Times New Roman" w:eastAsia="宋体" w:hAnsi="Times New Roman"/>
                <w:color w:val="000000"/>
                <w:sz w:val="18"/>
                <w:szCs w:val="18"/>
              </w:rPr>
              <w:t>EBITDA</w:t>
            </w:r>
          </w:p>
        </w:tc>
        <w:tc>
          <w:tcPr>
            <w:tcW w:w="0" w:type="auto"/>
            <w:shd w:val="clear" w:color="auto" w:fill="auto"/>
          </w:tcPr>
          <w:p w14:paraId="7DCFDCD4" w14:textId="77777777" w:rsidR="00C1563E" w:rsidRDefault="00C1563E">
            <w:pPr>
              <w:rPr>
                <w:rFonts w:ascii="宋体"/>
                <w:vanish/>
              </w:rPr>
            </w:pPr>
          </w:p>
        </w:tc>
        <w:tc>
          <w:tcPr>
            <w:tcW w:w="0" w:type="auto"/>
            <w:shd w:val="clear" w:color="auto" w:fill="auto"/>
          </w:tcPr>
          <w:p w14:paraId="7DCFDCD5" w14:textId="77777777" w:rsidR="00C1563E" w:rsidRDefault="00C1563E">
            <w:pPr>
              <w:rPr>
                <w:rFonts w:ascii="宋体"/>
                <w:vanish/>
              </w:rPr>
            </w:pPr>
          </w:p>
        </w:tc>
        <w:tc>
          <w:tcPr>
            <w:tcW w:w="0" w:type="auto"/>
            <w:shd w:val="clear" w:color="auto" w:fill="auto"/>
          </w:tcPr>
          <w:p w14:paraId="7DCFDCD6" w14:textId="77777777" w:rsidR="00C1563E" w:rsidRDefault="00C1563E">
            <w:pPr>
              <w:rPr>
                <w:rFonts w:ascii="宋体"/>
                <w:vanish/>
              </w:rPr>
            </w:pPr>
          </w:p>
        </w:tc>
        <w:tc>
          <w:tcPr>
            <w:tcW w:w="0" w:type="auto"/>
            <w:shd w:val="clear" w:color="auto" w:fill="auto"/>
          </w:tcPr>
          <w:p w14:paraId="7DCFDCD7" w14:textId="77777777" w:rsidR="00C1563E" w:rsidRDefault="00C1563E">
            <w:pPr>
              <w:rPr>
                <w:rFonts w:ascii="宋体"/>
                <w:vanish/>
              </w:rPr>
            </w:pPr>
          </w:p>
        </w:tc>
        <w:tc>
          <w:tcPr>
            <w:tcW w:w="0" w:type="auto"/>
            <w:shd w:val="clear" w:color="auto" w:fill="auto"/>
          </w:tcPr>
          <w:p w14:paraId="7DCFDCD8" w14:textId="77777777" w:rsidR="00C1563E" w:rsidRDefault="00C1563E">
            <w:pPr>
              <w:rPr>
                <w:rFonts w:ascii="宋体"/>
                <w:vanish/>
              </w:rPr>
            </w:pPr>
          </w:p>
        </w:tc>
        <w:tc>
          <w:tcPr>
            <w:tcW w:w="0" w:type="auto"/>
            <w:shd w:val="clear" w:color="auto" w:fill="auto"/>
          </w:tcPr>
          <w:p w14:paraId="7DCFDCD9" w14:textId="77777777" w:rsidR="00C1563E" w:rsidRDefault="00C1563E">
            <w:pPr>
              <w:rPr>
                <w:rFonts w:ascii="宋体"/>
                <w:vanish/>
              </w:rPr>
            </w:pPr>
          </w:p>
        </w:tc>
        <w:tc>
          <w:tcPr>
            <w:tcW w:w="0" w:type="auto"/>
            <w:shd w:val="clear" w:color="auto" w:fill="auto"/>
          </w:tcPr>
          <w:p w14:paraId="7DCFDCDA" w14:textId="77777777" w:rsidR="00C1563E" w:rsidRDefault="00C1563E">
            <w:pPr>
              <w:rPr>
                <w:rFonts w:ascii="宋体"/>
                <w:vanish/>
              </w:rPr>
            </w:pPr>
          </w:p>
        </w:tc>
        <w:tc>
          <w:tcPr>
            <w:tcW w:w="0" w:type="auto"/>
            <w:shd w:val="clear" w:color="auto" w:fill="auto"/>
          </w:tcPr>
          <w:p w14:paraId="7DCFDCDB" w14:textId="77777777" w:rsidR="00C1563E" w:rsidRDefault="00C1563E">
            <w:pPr>
              <w:rPr>
                <w:rFonts w:ascii="宋体"/>
                <w:vanish/>
              </w:rPr>
            </w:pPr>
          </w:p>
        </w:tc>
        <w:tc>
          <w:tcPr>
            <w:tcW w:w="0" w:type="auto"/>
            <w:shd w:val="clear" w:color="auto" w:fill="auto"/>
          </w:tcPr>
          <w:p w14:paraId="7DCFDCDC" w14:textId="77777777" w:rsidR="00C1563E" w:rsidRDefault="00C1563E">
            <w:pPr>
              <w:rPr>
                <w:rFonts w:ascii="宋体"/>
                <w:vanish/>
              </w:rPr>
            </w:pPr>
          </w:p>
        </w:tc>
        <w:tc>
          <w:tcPr>
            <w:tcW w:w="0" w:type="auto"/>
            <w:shd w:val="clear" w:color="auto" w:fill="auto"/>
          </w:tcPr>
          <w:p w14:paraId="7DCFDCDD"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CDE"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DF" w14:textId="77777777" w:rsidR="00C1563E" w:rsidRDefault="000B648B">
            <w:pPr>
              <w:jc w:val="right"/>
              <w:textAlignment w:val="bottom"/>
            </w:pPr>
            <w:r>
              <w:rPr>
                <w:rFonts w:ascii="Times New Roman" w:eastAsia="宋体" w:hAnsi="Times New Roman"/>
                <w:color w:val="000000"/>
                <w:sz w:val="18"/>
                <w:szCs w:val="18"/>
              </w:rPr>
              <w:t>10,</w:t>
            </w:r>
            <w:r>
              <w:rPr>
                <w:rFonts w:ascii="Times New Roman" w:eastAsia="宋体" w:hAnsi="Times New Roman"/>
                <w:color w:val="000000"/>
                <w:sz w:val="18"/>
                <w:szCs w:val="18"/>
              </w:rPr>
              <w:t>534 </w:t>
            </w:r>
          </w:p>
        </w:tc>
        <w:tc>
          <w:tcPr>
            <w:tcW w:w="0" w:type="auto"/>
            <w:shd w:val="clear" w:color="auto" w:fill="FFFFFF"/>
            <w:tcMar>
              <w:top w:w="40" w:type="dxa"/>
              <w:left w:w="0" w:type="dxa"/>
              <w:bottom w:w="40" w:type="dxa"/>
              <w:right w:w="20" w:type="dxa"/>
            </w:tcMar>
            <w:vAlign w:val="bottom"/>
          </w:tcPr>
          <w:p w14:paraId="7DCFDCE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E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E2" w14:textId="77777777" w:rsidR="00C1563E" w:rsidRDefault="000B648B">
            <w:pPr>
              <w:jc w:val="right"/>
              <w:textAlignment w:val="bottom"/>
            </w:pPr>
            <w:r>
              <w:rPr>
                <w:rFonts w:ascii="Times New Roman" w:eastAsia="宋体" w:hAnsi="Times New Roman"/>
                <w:color w:val="000000"/>
                <w:sz w:val="18"/>
                <w:szCs w:val="18"/>
              </w:rPr>
              <w:t>11.2 </w:t>
            </w:r>
          </w:p>
        </w:tc>
        <w:tc>
          <w:tcPr>
            <w:tcW w:w="0" w:type="auto"/>
            <w:shd w:val="clear" w:color="auto" w:fill="FFFFFF"/>
            <w:tcMar>
              <w:top w:w="40" w:type="dxa"/>
              <w:left w:w="0" w:type="dxa"/>
              <w:bottom w:w="40" w:type="dxa"/>
              <w:right w:w="20" w:type="dxa"/>
            </w:tcMar>
            <w:vAlign w:val="bottom"/>
          </w:tcPr>
          <w:p w14:paraId="7DCFDCE3"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E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E5" w14:textId="77777777" w:rsidR="00C1563E" w:rsidRDefault="000B648B">
            <w:pPr>
              <w:jc w:val="right"/>
              <w:textAlignment w:val="bottom"/>
            </w:pPr>
            <w:r>
              <w:rPr>
                <w:rFonts w:ascii="Times New Roman" w:eastAsia="宋体" w:hAnsi="Times New Roman"/>
                <w:color w:val="000000"/>
                <w:sz w:val="18"/>
                <w:szCs w:val="18"/>
              </w:rPr>
              <w:t>20 </w:t>
            </w:r>
          </w:p>
        </w:tc>
        <w:tc>
          <w:tcPr>
            <w:tcW w:w="0" w:type="auto"/>
            <w:shd w:val="clear" w:color="auto" w:fill="FFFFFF"/>
            <w:tcMar>
              <w:top w:w="40" w:type="dxa"/>
              <w:left w:w="0" w:type="dxa"/>
              <w:bottom w:w="40" w:type="dxa"/>
              <w:right w:w="20" w:type="dxa"/>
            </w:tcMar>
            <w:vAlign w:val="bottom"/>
          </w:tcPr>
          <w:p w14:paraId="7DCFDCE6"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CE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E8"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CE9" w14:textId="77777777" w:rsidR="00C1563E" w:rsidRDefault="000B648B">
            <w:pPr>
              <w:jc w:val="right"/>
              <w:textAlignment w:val="bottom"/>
            </w:pPr>
            <w:r>
              <w:rPr>
                <w:rFonts w:ascii="Times New Roman" w:eastAsia="宋体" w:hAnsi="Times New Roman"/>
                <w:color w:val="000000"/>
                <w:sz w:val="18"/>
                <w:szCs w:val="18"/>
              </w:rPr>
              <w:t>8,765 </w:t>
            </w:r>
          </w:p>
        </w:tc>
        <w:tc>
          <w:tcPr>
            <w:tcW w:w="0" w:type="auto"/>
            <w:shd w:val="clear" w:color="auto" w:fill="FFFFFF"/>
            <w:tcMar>
              <w:top w:w="40" w:type="dxa"/>
              <w:left w:w="0" w:type="dxa"/>
              <w:bottom w:w="40" w:type="dxa"/>
              <w:right w:w="20" w:type="dxa"/>
            </w:tcMar>
            <w:vAlign w:val="bottom"/>
          </w:tcPr>
          <w:p w14:paraId="7DCFDCE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CE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CEC" w14:textId="77777777" w:rsidR="00C1563E" w:rsidRDefault="000B648B">
            <w:pPr>
              <w:jc w:val="right"/>
              <w:textAlignment w:val="bottom"/>
            </w:pPr>
            <w:r>
              <w:rPr>
                <w:rFonts w:ascii="Times New Roman" w:eastAsia="宋体" w:hAnsi="Times New Roman"/>
                <w:color w:val="000000"/>
                <w:sz w:val="18"/>
                <w:szCs w:val="18"/>
              </w:rPr>
              <w:t>9.5 </w:t>
            </w:r>
          </w:p>
        </w:tc>
        <w:tc>
          <w:tcPr>
            <w:tcW w:w="0" w:type="auto"/>
            <w:shd w:val="clear" w:color="auto" w:fill="FFFFFF"/>
            <w:tcMar>
              <w:top w:w="40" w:type="dxa"/>
              <w:left w:w="0" w:type="dxa"/>
              <w:bottom w:w="40" w:type="dxa"/>
              <w:right w:w="20" w:type="dxa"/>
            </w:tcMar>
            <w:vAlign w:val="bottom"/>
          </w:tcPr>
          <w:p w14:paraId="7DCFDCE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CE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CEF" w14:textId="77777777" w:rsidR="00C1563E" w:rsidRDefault="000B648B">
            <w:pPr>
              <w:jc w:val="right"/>
              <w:textAlignment w:val="bottom"/>
            </w:pPr>
            <w:r>
              <w:rPr>
                <w:rFonts w:ascii="Times New Roman" w:eastAsia="宋体" w:hAnsi="Times New Roman"/>
                <w:color w:val="000000"/>
                <w:sz w:val="18"/>
                <w:szCs w:val="18"/>
              </w:rPr>
              <w:t>16 </w:t>
            </w:r>
          </w:p>
          <w:p w14:paraId="7DCFDCF0" w14:textId="77777777" w:rsidR="00C1563E" w:rsidRDefault="000B648B">
            <w:pPr>
              <w:jc w:val="right"/>
              <w:textAlignment w:val="bottom"/>
            </w:pPr>
            <w:r>
              <w:rPr>
                <w:rFonts w:ascii="Times New Roman" w:eastAsia="宋体" w:hAnsi="Times New Roman"/>
                <w:color w:val="000000"/>
                <w:sz w:val="18"/>
                <w:szCs w:val="18"/>
              </w:rPr>
              <w:t>%</w:t>
            </w:r>
          </w:p>
          <w:p w14:paraId="7DCFDCF1" w14:textId="77777777" w:rsidR="00C1563E" w:rsidRDefault="000B648B">
            <w:pPr>
              <w:textAlignment w:val="bottom"/>
            </w:pPr>
            <w:r>
              <w:rPr>
                <w:rFonts w:ascii="Times New Roman" w:eastAsia="宋体" w:hAnsi="Times New Roman"/>
                <w:color w:val="000000"/>
                <w:sz w:val="18"/>
                <w:szCs w:val="18"/>
              </w:rPr>
              <w:t>$</w:t>
            </w:r>
          </w:p>
          <w:p w14:paraId="7DCFDCF2" w14:textId="77777777" w:rsidR="00C1563E" w:rsidRDefault="000B648B">
            <w:pPr>
              <w:jc w:val="right"/>
              <w:textAlignment w:val="bottom"/>
            </w:pPr>
            <w:r>
              <w:rPr>
                <w:rFonts w:ascii="Times New Roman" w:eastAsia="宋体" w:hAnsi="Times New Roman"/>
                <w:color w:val="000000"/>
                <w:sz w:val="18"/>
                <w:szCs w:val="18"/>
              </w:rPr>
              <w:t>7,555 </w:t>
            </w:r>
          </w:p>
          <w:p w14:paraId="7DCFDCF3" w14:textId="77777777" w:rsidR="00C1563E" w:rsidRDefault="000B648B">
            <w:pPr>
              <w:jc w:val="right"/>
              <w:textAlignment w:val="bottom"/>
            </w:pPr>
            <w:r>
              <w:rPr>
                <w:rFonts w:ascii="Times New Roman" w:eastAsia="宋体" w:hAnsi="Times New Roman"/>
                <w:color w:val="000000"/>
                <w:sz w:val="18"/>
                <w:szCs w:val="18"/>
              </w:rPr>
              <w:t>8.3 </w:t>
            </w:r>
          </w:p>
          <w:p w14:paraId="7DCFDCF4"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D18" w14:textId="77777777">
        <w:trPr>
          <w:jc w:val="center"/>
        </w:trPr>
        <w:tc>
          <w:tcPr>
            <w:tcW w:w="0" w:type="auto"/>
            <w:gridSpan w:val="3"/>
            <w:shd w:val="clear" w:color="auto" w:fill="CCEEFF"/>
            <w:tcMar>
              <w:top w:w="40" w:type="dxa"/>
              <w:left w:w="20" w:type="dxa"/>
              <w:bottom w:w="40" w:type="dxa"/>
              <w:right w:w="20" w:type="dxa"/>
            </w:tcMar>
            <w:vAlign w:val="bottom"/>
          </w:tcPr>
          <w:p w14:paraId="7DCFDCF6" w14:textId="77777777" w:rsidR="00C1563E" w:rsidRDefault="000B648B">
            <w:pPr>
              <w:textAlignment w:val="bottom"/>
            </w:pPr>
            <w:r>
              <w:rPr>
                <w:rFonts w:ascii="Times New Roman" w:eastAsia="宋体" w:hAnsi="Times New Roman"/>
                <w:color w:val="000000"/>
                <w:sz w:val="18"/>
                <w:szCs w:val="18"/>
              </w:rPr>
              <w:t>Adjusted EBITDA</w:t>
            </w:r>
          </w:p>
        </w:tc>
        <w:tc>
          <w:tcPr>
            <w:tcW w:w="0" w:type="auto"/>
            <w:shd w:val="clear" w:color="auto" w:fill="auto"/>
          </w:tcPr>
          <w:p w14:paraId="7DCFDCF7" w14:textId="77777777" w:rsidR="00C1563E" w:rsidRDefault="00C1563E">
            <w:pPr>
              <w:rPr>
                <w:rFonts w:ascii="宋体"/>
                <w:vanish/>
              </w:rPr>
            </w:pPr>
          </w:p>
        </w:tc>
        <w:tc>
          <w:tcPr>
            <w:tcW w:w="0" w:type="auto"/>
            <w:shd w:val="clear" w:color="auto" w:fill="auto"/>
          </w:tcPr>
          <w:p w14:paraId="7DCFDCF8" w14:textId="77777777" w:rsidR="00C1563E" w:rsidRDefault="00C1563E">
            <w:pPr>
              <w:rPr>
                <w:rFonts w:ascii="宋体"/>
                <w:vanish/>
              </w:rPr>
            </w:pPr>
          </w:p>
        </w:tc>
        <w:tc>
          <w:tcPr>
            <w:tcW w:w="0" w:type="auto"/>
            <w:shd w:val="clear" w:color="auto" w:fill="auto"/>
          </w:tcPr>
          <w:p w14:paraId="7DCFDCF9" w14:textId="77777777" w:rsidR="00C1563E" w:rsidRDefault="00C1563E">
            <w:pPr>
              <w:rPr>
                <w:rFonts w:ascii="宋体"/>
                <w:vanish/>
              </w:rPr>
            </w:pPr>
          </w:p>
        </w:tc>
        <w:tc>
          <w:tcPr>
            <w:tcW w:w="0" w:type="auto"/>
            <w:shd w:val="clear" w:color="auto" w:fill="auto"/>
          </w:tcPr>
          <w:p w14:paraId="7DCFDCFA" w14:textId="77777777" w:rsidR="00C1563E" w:rsidRDefault="00C1563E">
            <w:pPr>
              <w:rPr>
                <w:rFonts w:ascii="宋体"/>
                <w:vanish/>
              </w:rPr>
            </w:pPr>
          </w:p>
        </w:tc>
        <w:tc>
          <w:tcPr>
            <w:tcW w:w="0" w:type="auto"/>
            <w:shd w:val="clear" w:color="auto" w:fill="auto"/>
          </w:tcPr>
          <w:p w14:paraId="7DCFDCFB" w14:textId="77777777" w:rsidR="00C1563E" w:rsidRDefault="00C1563E">
            <w:pPr>
              <w:rPr>
                <w:rFonts w:ascii="宋体"/>
                <w:vanish/>
              </w:rPr>
            </w:pPr>
          </w:p>
        </w:tc>
        <w:tc>
          <w:tcPr>
            <w:tcW w:w="0" w:type="auto"/>
            <w:shd w:val="clear" w:color="auto" w:fill="auto"/>
          </w:tcPr>
          <w:p w14:paraId="7DCFDCFC" w14:textId="77777777" w:rsidR="00C1563E" w:rsidRDefault="00C1563E">
            <w:pPr>
              <w:rPr>
                <w:rFonts w:ascii="宋体"/>
                <w:vanish/>
              </w:rPr>
            </w:pPr>
          </w:p>
        </w:tc>
        <w:tc>
          <w:tcPr>
            <w:tcW w:w="0" w:type="auto"/>
            <w:shd w:val="clear" w:color="auto" w:fill="auto"/>
          </w:tcPr>
          <w:p w14:paraId="7DCFDCFD" w14:textId="77777777" w:rsidR="00C1563E" w:rsidRDefault="00C1563E">
            <w:pPr>
              <w:rPr>
                <w:rFonts w:ascii="宋体"/>
                <w:vanish/>
              </w:rPr>
            </w:pPr>
          </w:p>
        </w:tc>
        <w:tc>
          <w:tcPr>
            <w:tcW w:w="0" w:type="auto"/>
            <w:shd w:val="clear" w:color="auto" w:fill="auto"/>
          </w:tcPr>
          <w:p w14:paraId="7DCFDCFE" w14:textId="77777777" w:rsidR="00C1563E" w:rsidRDefault="00C1563E">
            <w:pPr>
              <w:rPr>
                <w:rFonts w:ascii="宋体"/>
                <w:vanish/>
              </w:rPr>
            </w:pPr>
          </w:p>
        </w:tc>
        <w:tc>
          <w:tcPr>
            <w:tcW w:w="0" w:type="auto"/>
            <w:shd w:val="clear" w:color="auto" w:fill="auto"/>
          </w:tcPr>
          <w:p w14:paraId="7DCFDCFF" w14:textId="77777777" w:rsidR="00C1563E" w:rsidRDefault="00C1563E">
            <w:pPr>
              <w:rPr>
                <w:rFonts w:ascii="宋体"/>
                <w:vanish/>
              </w:rPr>
            </w:pPr>
          </w:p>
        </w:tc>
        <w:tc>
          <w:tcPr>
            <w:tcW w:w="0" w:type="auto"/>
            <w:shd w:val="clear" w:color="auto" w:fill="auto"/>
          </w:tcPr>
          <w:p w14:paraId="7DCFDD00"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D01"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D02" w14:textId="77777777" w:rsidR="00C1563E" w:rsidRDefault="000B648B">
            <w:pPr>
              <w:jc w:val="right"/>
              <w:textAlignment w:val="bottom"/>
            </w:pPr>
            <w:r>
              <w:rPr>
                <w:rFonts w:ascii="Times New Roman" w:eastAsia="宋体" w:hAnsi="Times New Roman"/>
                <w:color w:val="000000"/>
                <w:sz w:val="18"/>
                <w:szCs w:val="18"/>
              </w:rPr>
              <w:t>12,747 </w:t>
            </w:r>
          </w:p>
        </w:tc>
        <w:tc>
          <w:tcPr>
            <w:tcW w:w="0" w:type="auto"/>
            <w:shd w:val="clear" w:color="auto" w:fill="CCEEFF"/>
            <w:tcMar>
              <w:top w:w="40" w:type="dxa"/>
              <w:left w:w="0" w:type="dxa"/>
              <w:bottom w:w="40" w:type="dxa"/>
              <w:right w:w="20" w:type="dxa"/>
            </w:tcMar>
            <w:vAlign w:val="bottom"/>
          </w:tcPr>
          <w:p w14:paraId="7DCFDD0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D0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D05" w14:textId="77777777" w:rsidR="00C1563E" w:rsidRDefault="000B648B">
            <w:pPr>
              <w:jc w:val="right"/>
              <w:textAlignment w:val="bottom"/>
            </w:pPr>
            <w:r>
              <w:rPr>
                <w:rFonts w:ascii="Times New Roman" w:eastAsia="宋体" w:hAnsi="Times New Roman"/>
                <w:color w:val="000000"/>
                <w:sz w:val="18"/>
                <w:szCs w:val="18"/>
              </w:rPr>
              <w:t>13.5 </w:t>
            </w:r>
          </w:p>
        </w:tc>
        <w:tc>
          <w:tcPr>
            <w:tcW w:w="0" w:type="auto"/>
            <w:shd w:val="clear" w:color="auto" w:fill="CCEEFF"/>
            <w:tcMar>
              <w:top w:w="40" w:type="dxa"/>
              <w:left w:w="0" w:type="dxa"/>
              <w:bottom w:w="40" w:type="dxa"/>
              <w:right w:w="20" w:type="dxa"/>
            </w:tcMar>
            <w:vAlign w:val="bottom"/>
          </w:tcPr>
          <w:p w14:paraId="7DCFDD06"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D0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D08" w14:textId="77777777" w:rsidR="00C1563E" w:rsidRDefault="000B648B">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7DCFDD0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D0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D0B"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D0C" w14:textId="77777777" w:rsidR="00C1563E" w:rsidRDefault="000B648B">
            <w:pPr>
              <w:jc w:val="right"/>
              <w:textAlignment w:val="bottom"/>
            </w:pPr>
            <w:r>
              <w:rPr>
                <w:rFonts w:ascii="Times New Roman" w:eastAsia="宋体" w:hAnsi="Times New Roman"/>
                <w:color w:val="000000"/>
                <w:sz w:val="18"/>
                <w:szCs w:val="18"/>
              </w:rPr>
              <w:t>11,787 </w:t>
            </w:r>
          </w:p>
        </w:tc>
        <w:tc>
          <w:tcPr>
            <w:tcW w:w="0" w:type="auto"/>
            <w:shd w:val="clear" w:color="auto" w:fill="CCEEFF"/>
            <w:tcMar>
              <w:top w:w="40" w:type="dxa"/>
              <w:left w:w="0" w:type="dxa"/>
              <w:bottom w:w="40" w:type="dxa"/>
              <w:right w:w="20" w:type="dxa"/>
            </w:tcMar>
            <w:vAlign w:val="bottom"/>
          </w:tcPr>
          <w:p w14:paraId="7DCFDD0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D0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D0F" w14:textId="77777777" w:rsidR="00C1563E" w:rsidRDefault="000B648B">
            <w:pPr>
              <w:jc w:val="right"/>
              <w:textAlignment w:val="bottom"/>
            </w:pPr>
            <w:r>
              <w:rPr>
                <w:rFonts w:ascii="Times New Roman" w:eastAsia="宋体" w:hAnsi="Times New Roman"/>
                <w:color w:val="000000"/>
                <w:sz w:val="18"/>
                <w:szCs w:val="18"/>
              </w:rPr>
              <w:t>12.7 </w:t>
            </w:r>
          </w:p>
        </w:tc>
        <w:tc>
          <w:tcPr>
            <w:tcW w:w="0" w:type="auto"/>
            <w:shd w:val="clear" w:color="auto" w:fill="CCEEFF"/>
            <w:tcMar>
              <w:top w:w="40" w:type="dxa"/>
              <w:left w:w="0" w:type="dxa"/>
              <w:bottom w:w="40" w:type="dxa"/>
              <w:right w:w="20" w:type="dxa"/>
            </w:tcMar>
            <w:vAlign w:val="bottom"/>
          </w:tcPr>
          <w:p w14:paraId="7DCFDD10"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D1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D12" w14:textId="77777777" w:rsidR="00C1563E" w:rsidRDefault="000B648B">
            <w:pPr>
              <w:jc w:val="right"/>
              <w:textAlignment w:val="bottom"/>
            </w:pPr>
            <w:r>
              <w:rPr>
                <w:rFonts w:ascii="Times New Roman" w:eastAsia="宋体" w:hAnsi="Times New Roman"/>
                <w:color w:val="000000"/>
                <w:sz w:val="18"/>
                <w:szCs w:val="18"/>
              </w:rPr>
              <w:t>14 </w:t>
            </w:r>
          </w:p>
          <w:p w14:paraId="7DCFDD13" w14:textId="77777777" w:rsidR="00C1563E" w:rsidRDefault="000B648B">
            <w:pPr>
              <w:jc w:val="right"/>
              <w:textAlignment w:val="bottom"/>
            </w:pPr>
            <w:r>
              <w:rPr>
                <w:rFonts w:ascii="Times New Roman" w:eastAsia="宋体" w:hAnsi="Times New Roman"/>
                <w:color w:val="000000"/>
                <w:sz w:val="18"/>
                <w:szCs w:val="18"/>
              </w:rPr>
              <w:t>%</w:t>
            </w:r>
          </w:p>
          <w:p w14:paraId="7DCFDD14" w14:textId="77777777" w:rsidR="00C1563E" w:rsidRDefault="000B648B">
            <w:pPr>
              <w:textAlignment w:val="bottom"/>
            </w:pPr>
            <w:r>
              <w:rPr>
                <w:rFonts w:ascii="Times New Roman" w:eastAsia="宋体" w:hAnsi="Times New Roman"/>
                <w:color w:val="000000"/>
                <w:sz w:val="18"/>
                <w:szCs w:val="18"/>
              </w:rPr>
              <w:t>$</w:t>
            </w:r>
          </w:p>
          <w:p w14:paraId="7DCFDD15" w14:textId="77777777" w:rsidR="00C1563E" w:rsidRDefault="000B648B">
            <w:pPr>
              <w:jc w:val="right"/>
              <w:textAlignment w:val="bottom"/>
            </w:pPr>
            <w:r>
              <w:rPr>
                <w:rFonts w:ascii="Times New Roman" w:eastAsia="宋体" w:hAnsi="Times New Roman"/>
                <w:color w:val="000000"/>
                <w:sz w:val="18"/>
                <w:szCs w:val="18"/>
              </w:rPr>
              <w:t>10,296 </w:t>
            </w:r>
          </w:p>
          <w:p w14:paraId="7DCFDD16" w14:textId="77777777" w:rsidR="00C1563E" w:rsidRDefault="000B648B">
            <w:pPr>
              <w:jc w:val="right"/>
              <w:textAlignment w:val="bottom"/>
            </w:pPr>
            <w:r>
              <w:rPr>
                <w:rFonts w:ascii="Times New Roman" w:eastAsia="宋体" w:hAnsi="Times New Roman"/>
                <w:color w:val="000000"/>
                <w:sz w:val="18"/>
                <w:szCs w:val="18"/>
              </w:rPr>
              <w:t>11.3 </w:t>
            </w:r>
          </w:p>
          <w:p w14:paraId="7DCFDD17" w14:textId="77777777" w:rsidR="00C1563E" w:rsidRDefault="000B648B">
            <w:pPr>
              <w:jc w:val="right"/>
              <w:textAlignment w:val="bottom"/>
            </w:pPr>
            <w:r>
              <w:rPr>
                <w:rFonts w:ascii="Times New Roman" w:eastAsia="宋体" w:hAnsi="Times New Roman"/>
                <w:color w:val="000000"/>
                <w:sz w:val="18"/>
                <w:szCs w:val="18"/>
              </w:rPr>
              <w:t>%</w:t>
            </w:r>
          </w:p>
        </w:tc>
      </w:tr>
    </w:tbl>
    <w:p w14:paraId="7DCFDD19" w14:textId="77777777" w:rsidR="00C1563E" w:rsidRDefault="000B648B">
      <w:r>
        <w:rPr>
          <w:rFonts w:ascii="Times New Roman" w:eastAsia="宋体" w:hAnsi="Times New Roman"/>
          <w:color w:val="000000"/>
          <w:sz w:val="20"/>
          <w:szCs w:val="20"/>
        </w:rPr>
        <w:t>____________________</w:t>
      </w:r>
    </w:p>
    <w:p w14:paraId="7DCFDD1A"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a)Product gross margin percentages represent product gross margin as a percentage of product net revenue, and non-GAAP product gross margin percentages represent non-GAAP product gross margin as a percentage of non-GAAP product net revenue.</w:t>
      </w:r>
    </w:p>
    <w:p w14:paraId="7DCFDD1B" w14:textId="77777777" w:rsidR="00C1563E" w:rsidRDefault="000B648B">
      <w:pPr>
        <w:ind w:hanging="360"/>
      </w:pPr>
      <w:r>
        <w:rPr>
          <w:rFonts w:ascii="Times New Roman" w:eastAsia="宋体" w:hAnsi="Times New Roman"/>
          <w:color w:val="000000"/>
          <w:sz w:val="20"/>
          <w:szCs w:val="20"/>
        </w:rPr>
        <w:t>(b)Services gro</w:t>
      </w:r>
      <w:r>
        <w:rPr>
          <w:rFonts w:ascii="Times New Roman" w:eastAsia="宋体" w:hAnsi="Times New Roman"/>
          <w:color w:val="000000"/>
          <w:sz w:val="20"/>
          <w:szCs w:val="20"/>
        </w:rPr>
        <w:t>ss margin percentages represent services gross margin as a percentage of services net revenue, and non-GAAP services gross margin percentages represent non-GAAP services gross margin as a percentage of non-GAAP services net revenue.</w:t>
      </w:r>
    </w:p>
    <w:p w14:paraId="7DCFDD1C" w14:textId="77777777" w:rsidR="00C1563E" w:rsidRDefault="000B648B">
      <w:r>
        <w:rPr>
          <w:rFonts w:ascii="Times New Roman" w:eastAsia="宋体" w:hAnsi="Times New Roman"/>
          <w:color w:val="000000"/>
          <w:sz w:val="20"/>
          <w:szCs w:val="20"/>
        </w:rPr>
        <w:t>NM Not meaningful</w:t>
      </w:r>
    </w:p>
    <w:p w14:paraId="7DCFDD1D" w14:textId="77777777" w:rsidR="00C1563E" w:rsidRDefault="00C1563E">
      <w:pPr>
        <w:jc w:val="center"/>
      </w:pPr>
    </w:p>
    <w:p w14:paraId="7DCFDD1E" w14:textId="77777777" w:rsidR="00C1563E" w:rsidRDefault="000B648B">
      <w:pPr>
        <w:jc w:val="center"/>
      </w:pPr>
      <w:r>
        <w:rPr>
          <w:rFonts w:ascii="Times New Roman" w:eastAsia="宋体" w:hAnsi="Times New Roman"/>
          <w:color w:val="000000"/>
          <w:sz w:val="20"/>
          <w:szCs w:val="20"/>
        </w:rPr>
        <w:t>48</w:t>
      </w:r>
    </w:p>
    <w:p w14:paraId="7DCFDD1F" w14:textId="77777777" w:rsidR="00C1563E" w:rsidRDefault="00C1563E">
      <w:pPr>
        <w:jc w:val="center"/>
      </w:pPr>
    </w:p>
    <w:p w14:paraId="7DCFDD20" w14:textId="77777777" w:rsidR="00C1563E" w:rsidRDefault="000B648B">
      <w:r>
        <w:pict w14:anchorId="7DD0259A">
          <v:rect id="_x0000_i1072" style="width:415.3pt;height:1.5pt" o:hralign="center" o:hrstd="t" o:hr="t" fillcolor="#a0a0a0" stroked="f"/>
        </w:pict>
      </w:r>
    </w:p>
    <w:p w14:paraId="7DCFDD21" w14:textId="77777777" w:rsidR="00C1563E" w:rsidRDefault="000B648B">
      <w:hyperlink r:id="rId124" w:anchor="i418e32e4a35149ffbf7d3a25d66881b8_10" w:history="1">
        <w:r>
          <w:rPr>
            <w:rStyle w:val="a5"/>
            <w:rFonts w:ascii="Times New Roman" w:eastAsia="宋体" w:hAnsi="Times New Roman"/>
            <w:sz w:val="20"/>
            <w:szCs w:val="20"/>
          </w:rPr>
          <w:t>Table of Contents</w:t>
        </w:r>
      </w:hyperlink>
    </w:p>
    <w:p w14:paraId="7DCFDD22" w14:textId="77777777" w:rsidR="00C1563E" w:rsidRDefault="000B648B">
      <w:r>
        <w:rPr>
          <w:rFonts w:ascii="Times New Roman" w:eastAsia="宋体" w:hAnsi="Times New Roman"/>
          <w:color w:val="000000"/>
          <w:sz w:val="20"/>
          <w:szCs w:val="20"/>
        </w:rPr>
        <w:t xml:space="preserve">Non-GAAP product net revenue, non-GAAP services net revenue, non-GAAP net </w:t>
      </w:r>
      <w:r>
        <w:rPr>
          <w:rFonts w:ascii="Times New Roman" w:eastAsia="宋体" w:hAnsi="Times New Roman"/>
          <w:color w:val="000000"/>
          <w:sz w:val="20"/>
          <w:szCs w:val="20"/>
        </w:rPr>
        <w:t>revenue, non-GAAP product gross margin, non-GAAP services gross margin, non-GAAP gross margin, non-GAAP operating expenses, non-GAAP operating income, non-GAAP net income, EBITDA, and adjusted EBITDA are not measurements of financial performance prepared i</w:t>
      </w:r>
      <w:r>
        <w:rPr>
          <w:rFonts w:ascii="Times New Roman" w:eastAsia="宋体" w:hAnsi="Times New Roman"/>
          <w:color w:val="000000"/>
          <w:sz w:val="20"/>
          <w:szCs w:val="20"/>
        </w:rPr>
        <w:t>n accordance with GAAP. Non-GAAP financial measures as a percentage of revenue are calculated based on non-GAAP net revenue. See “Non</w:t>
      </w:r>
      <w:r>
        <w:rPr>
          <w:rFonts w:ascii="Times New Roman" w:eastAsia="宋体" w:hAnsi="Times New Roman"/>
          <w:color w:val="000000"/>
          <w:sz w:val="20"/>
          <w:szCs w:val="20"/>
        </w:rPr>
        <w:noBreakHyphen/>
        <w:t>GAAP Financial Measures” for additional information about these non-GAAP financial measures, including our reasons for inc</w:t>
      </w:r>
      <w:r>
        <w:rPr>
          <w:rFonts w:ascii="Times New Roman" w:eastAsia="宋体" w:hAnsi="Times New Roman"/>
          <w:color w:val="000000"/>
          <w:sz w:val="20"/>
          <w:szCs w:val="20"/>
        </w:rPr>
        <w:t>luding these measures, material limitations with respect to the usefulness of the measures, and a reconciliation of each non-GAAP financial measure to the most directly comparable GAAP financial measure.</w:t>
      </w:r>
    </w:p>
    <w:p w14:paraId="7DCFDD23" w14:textId="77777777" w:rsidR="00C1563E" w:rsidRDefault="00C1563E"/>
    <w:p w14:paraId="7DCFDD24" w14:textId="77777777" w:rsidR="00C1563E" w:rsidRDefault="000B648B">
      <w:r>
        <w:rPr>
          <w:rFonts w:ascii="Times New Roman" w:eastAsia="宋体" w:hAnsi="Times New Roman"/>
          <w:b/>
          <w:bCs/>
          <w:color w:val="000000"/>
          <w:sz w:val="20"/>
          <w:szCs w:val="20"/>
        </w:rPr>
        <w:t>Overview</w:t>
      </w:r>
    </w:p>
    <w:p w14:paraId="7DCFDD25" w14:textId="77777777" w:rsidR="00C1563E" w:rsidRDefault="00C1563E"/>
    <w:p w14:paraId="7DCFDD26" w14:textId="77777777" w:rsidR="00C1563E" w:rsidRDefault="000B648B">
      <w:r>
        <w:rPr>
          <w:rFonts w:ascii="Times New Roman" w:eastAsia="宋体" w:hAnsi="Times New Roman"/>
          <w:color w:val="000000"/>
          <w:sz w:val="20"/>
          <w:szCs w:val="20"/>
        </w:rPr>
        <w:t>During Fiscal 2021, our net revenue and n</w:t>
      </w:r>
      <w:r>
        <w:rPr>
          <w:rFonts w:ascii="Times New Roman" w:eastAsia="宋体" w:hAnsi="Times New Roman"/>
          <w:color w:val="000000"/>
          <w:sz w:val="20"/>
          <w:szCs w:val="20"/>
        </w:rPr>
        <w:t>on-GAAP net revenue both increased 2% as we benefited from the strength of our broad technology solutions portfolio, which helped us navigate market volatility and competitive pressures, particularly due to the COVID-19 environment. The increases in net re</w:t>
      </w:r>
      <w:r>
        <w:rPr>
          <w:rFonts w:ascii="Times New Roman" w:eastAsia="宋体" w:hAnsi="Times New Roman"/>
          <w:color w:val="000000"/>
          <w:sz w:val="20"/>
          <w:szCs w:val="20"/>
        </w:rPr>
        <w:t>venue and non-GAAP net revenue were attributable to increases in net revenue in CSG and VMware, which were partially offset by declines in ISG net revenue. The increase in CSG net revenue was primarily driven by growth in consumer solutions and continued s</w:t>
      </w:r>
      <w:r>
        <w:rPr>
          <w:rFonts w:ascii="Times New Roman" w:eastAsia="宋体" w:hAnsi="Times New Roman"/>
          <w:color w:val="000000"/>
          <w:sz w:val="20"/>
          <w:szCs w:val="20"/>
        </w:rPr>
        <w:t>trong demand for commercial notebooks, partially offset by lower demand for commercial desktops. VMware net revenue increased due to growth in sales of subscriptions and software-as-a-service offerings and software maintenance. ISG net revenue decreased pr</w:t>
      </w:r>
      <w:r>
        <w:rPr>
          <w:rFonts w:ascii="Times New Roman" w:eastAsia="宋体" w:hAnsi="Times New Roman"/>
          <w:color w:val="000000"/>
          <w:sz w:val="20"/>
          <w:szCs w:val="20"/>
        </w:rPr>
        <w:t>imarily due to a weaker demand environment as customers continued to direct their investments towards remote work and business continuity solutions. Although we continue to experience some uncertainty as a result of the ongoing COVID-19 pandemic, we see op</w:t>
      </w:r>
      <w:r>
        <w:rPr>
          <w:rFonts w:ascii="Times New Roman" w:eastAsia="宋体" w:hAnsi="Times New Roman"/>
          <w:color w:val="000000"/>
          <w:sz w:val="20"/>
          <w:szCs w:val="20"/>
        </w:rPr>
        <w:t xml:space="preserve">portunities to create value and grow in Fiscal 2022 in the midst of resilient demand for our IT solutions driven by a technology-enabled world. We have demonstrated our ability to adjust as needed to changing market conditions with complementary solutions </w:t>
      </w:r>
      <w:r>
        <w:rPr>
          <w:rFonts w:ascii="Times New Roman" w:eastAsia="宋体" w:hAnsi="Times New Roman"/>
          <w:color w:val="000000"/>
          <w:sz w:val="20"/>
          <w:szCs w:val="20"/>
        </w:rPr>
        <w:t>across all segments of our business, an agile workforce, and the strength of our global supply chain. As we continue to innovate and modernize our core offerings, we believe Dell Technologies is well-positioned for long-term profitable growth.</w:t>
      </w:r>
    </w:p>
    <w:p w14:paraId="7DCFDD27" w14:textId="77777777" w:rsidR="00C1563E" w:rsidRDefault="00C1563E"/>
    <w:p w14:paraId="7DCFDD28" w14:textId="77777777" w:rsidR="00C1563E" w:rsidRDefault="000B648B">
      <w:r>
        <w:rPr>
          <w:rFonts w:ascii="Times New Roman" w:eastAsia="宋体" w:hAnsi="Times New Roman"/>
          <w:color w:val="000000"/>
          <w:sz w:val="20"/>
          <w:szCs w:val="20"/>
        </w:rPr>
        <w:t>During Fisc</w:t>
      </w:r>
      <w:r>
        <w:rPr>
          <w:rFonts w:ascii="Times New Roman" w:eastAsia="宋体" w:hAnsi="Times New Roman"/>
          <w:color w:val="000000"/>
          <w:sz w:val="20"/>
          <w:szCs w:val="20"/>
        </w:rPr>
        <w:t>al 2021, our operating income increased 96% to $5.1 billion, primarily due to increases in net revenue and operating income for CSG and VMware. Operating income during Fiscal 2021 also benefited from lower selling, general, and administrative expenses as w</w:t>
      </w:r>
      <w:r>
        <w:rPr>
          <w:rFonts w:ascii="Times New Roman" w:eastAsia="宋体" w:hAnsi="Times New Roman"/>
          <w:color w:val="000000"/>
          <w:sz w:val="20"/>
          <w:szCs w:val="20"/>
        </w:rPr>
        <w:t>e realized the benefit of cost reduction initiatives. We also realized a decrease in amortization of intangible assets and other corporate expenses, most notably resulting from the absence of Virtustream impairment charges of $619 million recognized in Fis</w:t>
      </w:r>
      <w:r>
        <w:rPr>
          <w:rFonts w:ascii="Times New Roman" w:eastAsia="宋体" w:hAnsi="Times New Roman"/>
          <w:color w:val="000000"/>
          <w:sz w:val="20"/>
          <w:szCs w:val="20"/>
        </w:rPr>
        <w:t>cal 2020 and the derecognition of a VMware, Inc. patent litigation accrual in Fiscal 2021 of $237 million, which was initially recognized in Fiscal 2020. These benefits were partially offset by a decrease in operating income for ISG.</w:t>
      </w:r>
    </w:p>
    <w:p w14:paraId="7DCFDD29" w14:textId="77777777" w:rsidR="00C1563E" w:rsidRDefault="00C1563E"/>
    <w:p w14:paraId="7DCFDD2A" w14:textId="77777777" w:rsidR="00C1563E" w:rsidRDefault="000B648B">
      <w:r>
        <w:rPr>
          <w:rFonts w:ascii="Times New Roman" w:eastAsia="宋体" w:hAnsi="Times New Roman"/>
          <w:color w:val="000000"/>
          <w:sz w:val="20"/>
          <w:szCs w:val="20"/>
        </w:rPr>
        <w:t>Amortization of intan</w:t>
      </w:r>
      <w:r>
        <w:rPr>
          <w:rFonts w:ascii="Times New Roman" w:eastAsia="宋体" w:hAnsi="Times New Roman"/>
          <w:color w:val="000000"/>
          <w:sz w:val="20"/>
          <w:szCs w:val="20"/>
        </w:rPr>
        <w:t>gible assets, stock-based compensation expense, and other corporate expenses that impacted operating income totaled $5.2 billion and $6.8 billion for Fiscal 2021 and Fiscal 2020, respectively. Excluding these adjustments, and the impact of purchase account</w:t>
      </w:r>
      <w:r>
        <w:rPr>
          <w:rFonts w:ascii="Times New Roman" w:eastAsia="宋体" w:hAnsi="Times New Roman"/>
          <w:color w:val="000000"/>
          <w:sz w:val="20"/>
          <w:szCs w:val="20"/>
        </w:rPr>
        <w:t>ing and transaction-related expenses, our non-GAAP operating income increased 6% to $10.8 billion during Fiscal 2021. The increase in non-GAAP operating income for Fiscal 2021 was due to increases in net revenue and operating income for CSG and VMware, whi</w:t>
      </w:r>
      <w:r>
        <w:rPr>
          <w:rFonts w:ascii="Times New Roman" w:eastAsia="宋体" w:hAnsi="Times New Roman"/>
          <w:color w:val="000000"/>
          <w:sz w:val="20"/>
          <w:szCs w:val="20"/>
        </w:rPr>
        <w:t xml:space="preserve">ch were partially offset by a decrease in operating income for ISG. </w:t>
      </w:r>
    </w:p>
    <w:p w14:paraId="7DCFDD2B" w14:textId="77777777" w:rsidR="00C1563E" w:rsidRDefault="00C1563E"/>
    <w:p w14:paraId="7DCFDD2C" w14:textId="77777777" w:rsidR="00C1563E" w:rsidRDefault="000B648B">
      <w:r>
        <w:rPr>
          <w:rFonts w:ascii="Times New Roman" w:eastAsia="宋体" w:hAnsi="Times New Roman"/>
          <w:color w:val="000000"/>
          <w:sz w:val="20"/>
          <w:szCs w:val="20"/>
        </w:rPr>
        <w:t xml:space="preserve">Cash provided by operating activities was $11.4 billion and $9.3 billion during Fiscal 2021 and Fiscal 2020, respectively. Our record cash flow from operations in Fiscal 2021 was due </w:t>
      </w:r>
      <w:r>
        <w:rPr>
          <w:rFonts w:ascii="Times New Roman" w:eastAsia="宋体" w:hAnsi="Times New Roman"/>
          <w:color w:val="000000"/>
          <w:sz w:val="20"/>
          <w:szCs w:val="20"/>
        </w:rPr>
        <w:t>to strong profitability, revenue growth, and working capital dynamics. COVID-19 impacts to working capital normalized by the end of Fiscal 2021. See “Market Conditions, Liquidity, Capital Commitments, and Contractual Cash Obligations” for further informati</w:t>
      </w:r>
      <w:r>
        <w:rPr>
          <w:rFonts w:ascii="Times New Roman" w:eastAsia="宋体" w:hAnsi="Times New Roman"/>
          <w:color w:val="000000"/>
          <w:sz w:val="20"/>
          <w:szCs w:val="20"/>
        </w:rPr>
        <w:t>on on our cash flow metrics.</w:t>
      </w:r>
    </w:p>
    <w:p w14:paraId="7DCFDD2D" w14:textId="77777777" w:rsidR="00C1563E" w:rsidRDefault="00C1563E"/>
    <w:p w14:paraId="7DCFDD2E" w14:textId="77777777" w:rsidR="00C1563E" w:rsidRDefault="000B648B">
      <w:r>
        <w:rPr>
          <w:rFonts w:ascii="Times New Roman" w:eastAsia="宋体" w:hAnsi="Times New Roman"/>
          <w:b/>
          <w:bCs/>
          <w:color w:val="000000"/>
          <w:sz w:val="20"/>
          <w:szCs w:val="20"/>
        </w:rPr>
        <w:t>Net Revenue</w:t>
      </w:r>
    </w:p>
    <w:p w14:paraId="7DCFDD2F" w14:textId="77777777" w:rsidR="00C1563E" w:rsidRDefault="00C1563E"/>
    <w:p w14:paraId="7DCFDD30" w14:textId="77777777" w:rsidR="00C1563E" w:rsidRDefault="000B648B">
      <w:r>
        <w:rPr>
          <w:rFonts w:ascii="Times New Roman" w:eastAsia="宋体" w:hAnsi="Times New Roman"/>
          <w:color w:val="000000"/>
          <w:sz w:val="20"/>
          <w:szCs w:val="20"/>
        </w:rPr>
        <w:t>During Fiscal 2021, our net revenue and non-GAAP net revenue both increased 2%. The increases in net revenue and non-GAAP net revenue were primarily attributable to increases in net revenue for CSG and VMware, whi</w:t>
      </w:r>
      <w:r>
        <w:rPr>
          <w:rFonts w:ascii="Times New Roman" w:eastAsia="宋体" w:hAnsi="Times New Roman"/>
          <w:color w:val="000000"/>
          <w:sz w:val="20"/>
          <w:szCs w:val="20"/>
        </w:rPr>
        <w:t>ch were partially offset by declines in ISG net revenue. See “Business Unit Results” for further information.</w:t>
      </w:r>
    </w:p>
    <w:p w14:paraId="7DCFDD31" w14:textId="77777777" w:rsidR="00C1563E" w:rsidRDefault="00C1563E"/>
    <w:p w14:paraId="7DCFDD32"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Fiscal 2021, both pr</w:t>
      </w:r>
      <w:r>
        <w:rPr>
          <w:rFonts w:ascii="Times New Roman" w:eastAsia="宋体" w:hAnsi="Times New Roman"/>
          <w:color w:val="000000"/>
          <w:sz w:val="20"/>
          <w:szCs w:val="20"/>
        </w:rPr>
        <w:t>oduct net revenue and non-GAAP product net revenue remained flat, primarily due to a decrease in product net revenue for ISG, which was offset by an increase in product net revenue for CSG.</w:t>
      </w:r>
    </w:p>
    <w:p w14:paraId="7DCFDD33" w14:textId="77777777" w:rsidR="00C1563E" w:rsidRDefault="00C1563E"/>
    <w:p w14:paraId="7DCFDD34"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w:t>
      </w:r>
      <w:r>
        <w:rPr>
          <w:rFonts w:ascii="Times New Roman" w:eastAsia="宋体" w:hAnsi="Times New Roman"/>
          <w:color w:val="000000"/>
          <w:sz w:val="20"/>
          <w:szCs w:val="20"/>
        </w:rPr>
        <w:t>m our services offerings and support services related to hardware products and software licenses. During Fiscal 2021, services net revenue and non-GAAP services net revenue increased 9% and 8%, respectively. These increases were primarily attributable to i</w:t>
      </w:r>
      <w:r>
        <w:rPr>
          <w:rFonts w:ascii="Times New Roman" w:eastAsia="宋体" w:hAnsi="Times New Roman"/>
          <w:color w:val="000000"/>
          <w:sz w:val="20"/>
          <w:szCs w:val="20"/>
        </w:rPr>
        <w:t xml:space="preserve">ncreases in services net revenue for CSG third-party software and maintenance and VMware software, in particular, increases in subscription-based licenses. A </w:t>
      </w:r>
    </w:p>
    <w:p w14:paraId="7DCFDD35" w14:textId="77777777" w:rsidR="00C1563E" w:rsidRDefault="00C1563E">
      <w:pPr>
        <w:jc w:val="center"/>
      </w:pPr>
    </w:p>
    <w:p w14:paraId="7DCFDD36" w14:textId="77777777" w:rsidR="00C1563E" w:rsidRDefault="000B648B">
      <w:pPr>
        <w:jc w:val="center"/>
      </w:pPr>
      <w:r>
        <w:rPr>
          <w:rFonts w:ascii="Times New Roman" w:eastAsia="宋体" w:hAnsi="Times New Roman"/>
          <w:color w:val="000000"/>
          <w:sz w:val="20"/>
          <w:szCs w:val="20"/>
        </w:rPr>
        <w:t>49</w:t>
      </w:r>
    </w:p>
    <w:p w14:paraId="7DCFDD37" w14:textId="77777777" w:rsidR="00C1563E" w:rsidRDefault="00C1563E">
      <w:pPr>
        <w:jc w:val="center"/>
      </w:pPr>
    </w:p>
    <w:p w14:paraId="7DCFDD38" w14:textId="77777777" w:rsidR="00C1563E" w:rsidRDefault="000B648B">
      <w:r>
        <w:pict w14:anchorId="7DD0259B">
          <v:rect id="_x0000_i1073" style="width:415.3pt;height:1.5pt" o:hralign="center" o:hrstd="t" o:hr="t" fillcolor="#a0a0a0" stroked="f"/>
        </w:pict>
      </w:r>
    </w:p>
    <w:p w14:paraId="7DCFDD39" w14:textId="77777777" w:rsidR="00C1563E" w:rsidRDefault="000B648B">
      <w:hyperlink r:id="rId125" w:anchor="i418e32e4a35149ffbf7d3a25d66881b8_10" w:history="1">
        <w:r>
          <w:rPr>
            <w:rStyle w:val="a5"/>
            <w:rFonts w:ascii="Times New Roman" w:eastAsia="宋体" w:hAnsi="Times New Roman"/>
            <w:sz w:val="20"/>
            <w:szCs w:val="20"/>
          </w:rPr>
          <w:t>Table of Contents</w:t>
        </w:r>
      </w:hyperlink>
    </w:p>
    <w:p w14:paraId="7DCFDD3A" w14:textId="77777777" w:rsidR="00C1563E" w:rsidRDefault="000B648B">
      <w:r>
        <w:rPr>
          <w:rFonts w:ascii="Times New Roman" w:eastAsia="宋体" w:hAnsi="Times New Roman"/>
          <w:color w:val="000000"/>
          <w:sz w:val="20"/>
          <w:szCs w:val="20"/>
        </w:rPr>
        <w:t xml:space="preserve">substantial portion of services net revenue is derived from offerings that have been deferred over a period of time, and, as a result, reported services net revenue growth rates will be different than reported product net revenue growth rates. </w:t>
      </w:r>
    </w:p>
    <w:p w14:paraId="7DCFDD3B" w14:textId="77777777" w:rsidR="00C1563E" w:rsidRDefault="00C1563E"/>
    <w:p w14:paraId="7DCFDD3C" w14:textId="77777777" w:rsidR="00C1563E" w:rsidRDefault="000B648B">
      <w:r>
        <w:rPr>
          <w:rFonts w:ascii="Times New Roman" w:eastAsia="宋体" w:hAnsi="Times New Roman"/>
          <w:color w:val="000000"/>
          <w:sz w:val="20"/>
          <w:szCs w:val="20"/>
        </w:rPr>
        <w:t>From a geo</w:t>
      </w:r>
      <w:r>
        <w:rPr>
          <w:rFonts w:ascii="Times New Roman" w:eastAsia="宋体" w:hAnsi="Times New Roman"/>
          <w:color w:val="000000"/>
          <w:sz w:val="20"/>
          <w:szCs w:val="20"/>
        </w:rPr>
        <w:t>graphical perspective, net revenue generated by sales to customers in the Americas and EMEA both increased during Fiscal 2021 due to strong CSG performance. These increases were partially offset by declines in net revenue generated by sales to customers in</w:t>
      </w:r>
      <w:r>
        <w:rPr>
          <w:rFonts w:ascii="Times New Roman" w:eastAsia="宋体" w:hAnsi="Times New Roman"/>
          <w:color w:val="000000"/>
          <w:sz w:val="20"/>
          <w:szCs w:val="20"/>
        </w:rPr>
        <w:t xml:space="preserve"> APJ as a result of a weaker demand environment. </w:t>
      </w:r>
    </w:p>
    <w:p w14:paraId="7DCFDD3D" w14:textId="77777777" w:rsidR="00C1563E" w:rsidRDefault="00C1563E"/>
    <w:p w14:paraId="7DCFDD3E" w14:textId="77777777" w:rsidR="00C1563E" w:rsidRDefault="000B648B">
      <w:r>
        <w:rPr>
          <w:rFonts w:ascii="Times New Roman" w:eastAsia="宋体" w:hAnsi="Times New Roman"/>
          <w:b/>
          <w:bCs/>
          <w:color w:val="000000"/>
          <w:sz w:val="20"/>
          <w:szCs w:val="20"/>
        </w:rPr>
        <w:t>Gross Margin</w:t>
      </w:r>
    </w:p>
    <w:p w14:paraId="7DCFDD3F" w14:textId="77777777" w:rsidR="00C1563E" w:rsidRDefault="00C1563E"/>
    <w:p w14:paraId="7DCFDD40" w14:textId="77777777" w:rsidR="00C1563E" w:rsidRDefault="000B648B">
      <w:r>
        <w:rPr>
          <w:rFonts w:ascii="Times New Roman" w:eastAsia="宋体" w:hAnsi="Times New Roman"/>
          <w:color w:val="000000"/>
          <w:sz w:val="20"/>
          <w:szCs w:val="20"/>
        </w:rPr>
        <w:t>During Fiscal 2021, our gross margin increased 2% to $29.4 billion, as the favorable impact of a gross margin increase for VMware and a decrease in amortization of intangible assets were part</w:t>
      </w:r>
      <w:r>
        <w:rPr>
          <w:rFonts w:ascii="Times New Roman" w:eastAsia="宋体" w:hAnsi="Times New Roman"/>
          <w:color w:val="000000"/>
          <w:sz w:val="20"/>
          <w:szCs w:val="20"/>
        </w:rPr>
        <w:t>ially offset by gross margin decreases for ISG and other businesses. The decline in gross margin of other businesses was driven by the divestiture of RSA Security on September 1, 2020.</w:t>
      </w:r>
    </w:p>
    <w:p w14:paraId="7DCFDD41" w14:textId="77777777" w:rsidR="00C1563E" w:rsidRDefault="00C1563E"/>
    <w:p w14:paraId="7DCFDD42" w14:textId="77777777" w:rsidR="00C1563E" w:rsidRDefault="000B648B">
      <w:r>
        <w:rPr>
          <w:rFonts w:ascii="Times New Roman" w:eastAsia="宋体" w:hAnsi="Times New Roman"/>
          <w:color w:val="000000"/>
          <w:sz w:val="20"/>
          <w:szCs w:val="20"/>
        </w:rPr>
        <w:t>During Fiscal 2021, our gross margin percentage decreased 20 basis poi</w:t>
      </w:r>
      <w:r>
        <w:rPr>
          <w:rFonts w:ascii="Times New Roman" w:eastAsia="宋体" w:hAnsi="Times New Roman"/>
          <w:color w:val="000000"/>
          <w:sz w:val="20"/>
          <w:szCs w:val="20"/>
        </w:rPr>
        <w:t>nts to 31.2%, as a result of a shift in product mix due to strong CSG sales, as well as decreases in gross margin percentages for ISG and CSG. The decline was partially offset by a decrease in amortization of intangible assets.</w:t>
      </w:r>
    </w:p>
    <w:p w14:paraId="7DCFDD43" w14:textId="77777777" w:rsidR="00C1563E" w:rsidRDefault="00C1563E"/>
    <w:p w14:paraId="7DCFDD44" w14:textId="77777777" w:rsidR="00C1563E" w:rsidRDefault="000B648B">
      <w:r>
        <w:rPr>
          <w:rFonts w:ascii="Times New Roman" w:eastAsia="宋体" w:hAnsi="Times New Roman"/>
          <w:color w:val="000000"/>
          <w:sz w:val="20"/>
          <w:szCs w:val="20"/>
        </w:rPr>
        <w:t>Our gross margin for Fiscal</w:t>
      </w:r>
      <w:r>
        <w:rPr>
          <w:rFonts w:ascii="Times New Roman" w:eastAsia="宋体" w:hAnsi="Times New Roman"/>
          <w:color w:val="000000"/>
          <w:sz w:val="20"/>
          <w:szCs w:val="20"/>
        </w:rPr>
        <w:t xml:space="preserve"> 2021 and Fiscal 2020 included the impact of amortization of intangibles and purchase accounting adjustments of $1.7 billion and $2.4 billion, respectively. Excluding these costs, and transaction-related expenses, stock-based compensation expense, and othe</w:t>
      </w:r>
      <w:r>
        <w:rPr>
          <w:rFonts w:ascii="Times New Roman" w:eastAsia="宋体" w:hAnsi="Times New Roman"/>
          <w:color w:val="000000"/>
          <w:sz w:val="20"/>
          <w:szCs w:val="20"/>
        </w:rPr>
        <w:t xml:space="preserve">r corporate expenses, non-GAAP gross margin for Fiscal 2021 decreased 1% to $31.3 billion. The decrease in our non-GAAP gross margin due to gross margin decreases for ISG and other businesses was partially offset by a gross margin increase for VMware. The </w:t>
      </w:r>
      <w:r>
        <w:rPr>
          <w:rFonts w:ascii="Times New Roman" w:eastAsia="宋体" w:hAnsi="Times New Roman"/>
          <w:color w:val="000000"/>
          <w:sz w:val="20"/>
          <w:szCs w:val="20"/>
        </w:rPr>
        <w:t>decline in gross margin of other businesses was driven by the divestiture of RSA Security.</w:t>
      </w:r>
    </w:p>
    <w:p w14:paraId="7DCFDD45" w14:textId="77777777" w:rsidR="00C1563E" w:rsidRDefault="00C1563E"/>
    <w:p w14:paraId="7DCFDD46" w14:textId="77777777" w:rsidR="00C1563E" w:rsidRDefault="000B648B">
      <w:r>
        <w:rPr>
          <w:rFonts w:ascii="Times New Roman" w:eastAsia="宋体" w:hAnsi="Times New Roman"/>
          <w:color w:val="000000"/>
          <w:sz w:val="20"/>
          <w:szCs w:val="20"/>
        </w:rPr>
        <w:t>Non-GAAP gross margin percentage decreased 90 basis points to 33.2%. The decrease in our non-GAAP gross margin percentage was attributable to a shift in product mix</w:t>
      </w:r>
      <w:r>
        <w:rPr>
          <w:rFonts w:ascii="Times New Roman" w:eastAsia="宋体" w:hAnsi="Times New Roman"/>
          <w:color w:val="000000"/>
          <w:sz w:val="20"/>
          <w:szCs w:val="20"/>
        </w:rPr>
        <w:t xml:space="preserve"> due to strong CSG sales, as well as decreases in gross margin percentages for ISG and CSG. </w:t>
      </w:r>
    </w:p>
    <w:p w14:paraId="7DCFDD47" w14:textId="77777777" w:rsidR="00C1563E" w:rsidRDefault="00C1563E"/>
    <w:p w14:paraId="7DCFDD48" w14:textId="77777777" w:rsidR="00C1563E" w:rsidRDefault="000B648B">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Products</w:t>
      </w:r>
      <w:r>
        <w:rPr>
          <w:rFonts w:ascii="Times New Roman" w:eastAsia="宋体" w:hAnsi="Times New Roman"/>
          <w:color w:val="000000"/>
          <w:sz w:val="20"/>
          <w:szCs w:val="20"/>
        </w:rPr>
        <w:t> — During Fiscal 2021, product gross margin decreased 5% to $14.6 billion and non-GAAP product gross margin decreased 8% to $16.1 billion. The decreases in product gross margin and non-GAAP product gross margin were primarily driven by a shift in product m</w:t>
      </w:r>
      <w:r>
        <w:rPr>
          <w:rFonts w:ascii="Times New Roman" w:eastAsia="宋体" w:hAnsi="Times New Roman"/>
          <w:color w:val="000000"/>
          <w:sz w:val="20"/>
          <w:szCs w:val="20"/>
        </w:rPr>
        <w:t xml:space="preserve">ix due to strong CSG sales, as well as a decrease in ISG product net revenue. These unfavorable impacts to product net revenue were partially offset by a decrease in amortization of intangibles. </w:t>
      </w:r>
    </w:p>
    <w:p w14:paraId="7DCFDD49" w14:textId="77777777" w:rsidR="00C1563E" w:rsidRDefault="00C1563E"/>
    <w:p w14:paraId="7DCFDD4A" w14:textId="77777777" w:rsidR="00C1563E" w:rsidRDefault="000B648B">
      <w:r>
        <w:rPr>
          <w:rFonts w:ascii="Times New Roman" w:eastAsia="宋体" w:hAnsi="Times New Roman"/>
          <w:color w:val="000000"/>
          <w:sz w:val="20"/>
          <w:szCs w:val="20"/>
        </w:rPr>
        <w:t>During Fiscal 2021, product gross margin percentage decreas</w:t>
      </w:r>
      <w:r>
        <w:rPr>
          <w:rFonts w:ascii="Times New Roman" w:eastAsia="宋体" w:hAnsi="Times New Roman"/>
          <w:color w:val="000000"/>
          <w:sz w:val="20"/>
          <w:szCs w:val="20"/>
        </w:rPr>
        <w:t xml:space="preserve">ed 120 basis points to 20.8% and non-GAAP product gross margin percentage decreased 200 basis points to 23.1%. The decreases in product gross margin percentage and non-GAAP product gross margin percentage were attributable to a shift in product mix due to </w:t>
      </w:r>
      <w:r>
        <w:rPr>
          <w:rFonts w:ascii="Times New Roman" w:eastAsia="宋体" w:hAnsi="Times New Roman"/>
          <w:color w:val="000000"/>
          <w:sz w:val="20"/>
          <w:szCs w:val="20"/>
        </w:rPr>
        <w:t xml:space="preserve">strong CSG sales, as well as decreases in product gross margin percentages for ISG and CSG. </w:t>
      </w:r>
    </w:p>
    <w:p w14:paraId="7DCFDD4B" w14:textId="77777777" w:rsidR="00C1563E" w:rsidRDefault="00C1563E"/>
    <w:p w14:paraId="7DCFDD4C"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w:t>
      </w:r>
      <w:r>
        <w:rPr>
          <w:rFonts w:ascii="Times New Roman" w:eastAsia="宋体" w:hAnsi="Times New Roman"/>
          <w:color w:val="000000"/>
          <w:sz w:val="20"/>
          <w:szCs w:val="20"/>
        </w:rPr>
        <w:t> — During Fiscal 2021, services gross margin increased 10% to $14.9 billion primarily due to growth in VMware software maintenance. Services gross margin</w:t>
      </w:r>
      <w:r>
        <w:rPr>
          <w:rFonts w:ascii="Times New Roman" w:eastAsia="宋体" w:hAnsi="Times New Roman"/>
          <w:color w:val="000000"/>
          <w:sz w:val="20"/>
          <w:szCs w:val="20"/>
        </w:rPr>
        <w:t xml:space="preserve"> also benefited from growth in CSG third-party software and maintenance, in particular, from an increase in subscription-based licenses, as well as from a decrease in purchase accounting adjustments. Excluding purchase accounting adjustments, transaction-r</w:t>
      </w:r>
      <w:r>
        <w:rPr>
          <w:rFonts w:ascii="Times New Roman" w:eastAsia="宋体" w:hAnsi="Times New Roman"/>
          <w:color w:val="000000"/>
          <w:sz w:val="20"/>
          <w:szCs w:val="20"/>
        </w:rPr>
        <w:t>elated expenses, stock-based compensation expense, and other corporate expenses, non-GAAP services gross margin increased 8% to $15.2 billion as a result of the same CSG and VMware growth drivers discussed above.</w:t>
      </w:r>
    </w:p>
    <w:p w14:paraId="7DCFDD4D" w14:textId="77777777" w:rsidR="00C1563E" w:rsidRDefault="00C1563E"/>
    <w:p w14:paraId="7DCFDD4E" w14:textId="77777777" w:rsidR="00C1563E" w:rsidRDefault="000B648B">
      <w:r>
        <w:rPr>
          <w:rFonts w:ascii="Times New Roman" w:eastAsia="宋体" w:hAnsi="Times New Roman"/>
          <w:color w:val="000000"/>
          <w:sz w:val="20"/>
          <w:szCs w:val="20"/>
        </w:rPr>
        <w:t>Services gross margin percentage increased</w:t>
      </w:r>
      <w:r>
        <w:rPr>
          <w:rFonts w:ascii="Times New Roman" w:eastAsia="宋体" w:hAnsi="Times New Roman"/>
          <w:color w:val="000000"/>
          <w:sz w:val="20"/>
          <w:szCs w:val="20"/>
        </w:rPr>
        <w:t xml:space="preserve"> 20 basis points to 61.1% primarily due to the favorable impact of a decrease in purchase accounting and an increase in VMware services gross margin percentage. These favorable impacts were partially offset by a decrease in CSG services gross margin percen</w:t>
      </w:r>
      <w:r>
        <w:rPr>
          <w:rFonts w:ascii="Times New Roman" w:eastAsia="宋体" w:hAnsi="Times New Roman"/>
          <w:color w:val="000000"/>
          <w:sz w:val="20"/>
          <w:szCs w:val="20"/>
        </w:rPr>
        <w:t>tage due to a product mix shift within CSG to entry-level commercial notebooks. Non-GAAP services gross margin percentage remained flat at 62.2% primarily due to an increase in VMware services gross margin percentage, offset by a decrease in CSG services g</w:t>
      </w:r>
      <w:r>
        <w:rPr>
          <w:rFonts w:ascii="Times New Roman" w:eastAsia="宋体" w:hAnsi="Times New Roman"/>
          <w:color w:val="000000"/>
          <w:sz w:val="20"/>
          <w:szCs w:val="20"/>
        </w:rPr>
        <w:t>ross margin percentage.</w:t>
      </w:r>
    </w:p>
    <w:p w14:paraId="7DCFDD4F" w14:textId="77777777" w:rsidR="00C1563E" w:rsidRDefault="00C1563E"/>
    <w:p w14:paraId="7DCFDD50" w14:textId="77777777" w:rsidR="00C1563E" w:rsidRDefault="00C1563E"/>
    <w:p w14:paraId="7DCFDD51" w14:textId="77777777" w:rsidR="00C1563E" w:rsidRDefault="00C1563E">
      <w:pPr>
        <w:jc w:val="center"/>
      </w:pPr>
    </w:p>
    <w:p w14:paraId="7DCFDD52" w14:textId="77777777" w:rsidR="00C1563E" w:rsidRDefault="000B648B">
      <w:pPr>
        <w:jc w:val="center"/>
      </w:pPr>
      <w:r>
        <w:rPr>
          <w:rFonts w:ascii="Times New Roman" w:eastAsia="宋体" w:hAnsi="Times New Roman"/>
          <w:color w:val="000000"/>
          <w:sz w:val="20"/>
          <w:szCs w:val="20"/>
        </w:rPr>
        <w:t>50</w:t>
      </w:r>
    </w:p>
    <w:p w14:paraId="7DCFDD53" w14:textId="77777777" w:rsidR="00C1563E" w:rsidRDefault="00C1563E">
      <w:pPr>
        <w:jc w:val="center"/>
      </w:pPr>
    </w:p>
    <w:p w14:paraId="7DCFDD54" w14:textId="77777777" w:rsidR="00C1563E" w:rsidRDefault="000B648B">
      <w:r>
        <w:pict w14:anchorId="7DD0259C">
          <v:rect id="_x0000_i1074" style="width:415.3pt;height:1.5pt" o:hralign="center" o:hrstd="t" o:hr="t" fillcolor="#a0a0a0" stroked="f"/>
        </w:pict>
      </w:r>
    </w:p>
    <w:p w14:paraId="7DCFDD55" w14:textId="77777777" w:rsidR="00C1563E" w:rsidRDefault="000B648B">
      <w:hyperlink r:id="rId126" w:anchor="i418e32e4a35149ffbf7d3a25d66881b8_10" w:history="1">
        <w:r>
          <w:rPr>
            <w:rStyle w:val="a5"/>
            <w:rFonts w:ascii="Times New Roman" w:eastAsia="宋体" w:hAnsi="Times New Roman"/>
            <w:sz w:val="20"/>
            <w:szCs w:val="20"/>
          </w:rPr>
          <w:t>Table of Contents</w:t>
        </w:r>
      </w:hyperlink>
    </w:p>
    <w:p w14:paraId="7DCFDD56" w14:textId="77777777" w:rsidR="00C1563E" w:rsidRDefault="000B648B">
      <w:r>
        <w:rPr>
          <w:rFonts w:ascii="Times New Roman" w:eastAsia="宋体" w:hAnsi="Times New Roman"/>
          <w:i/>
          <w:iCs/>
          <w:color w:val="000000"/>
          <w:sz w:val="20"/>
          <w:szCs w:val="20"/>
          <w:u w:val="single"/>
        </w:rPr>
        <w:t>Vendor Programs and Settlements</w:t>
      </w:r>
    </w:p>
    <w:p w14:paraId="7DCFDD57" w14:textId="77777777" w:rsidR="00C1563E" w:rsidRDefault="00C1563E"/>
    <w:p w14:paraId="7DCFDD58" w14:textId="77777777" w:rsidR="00C1563E" w:rsidRDefault="000B648B">
      <w:r>
        <w:rPr>
          <w:rFonts w:ascii="Times New Roman" w:eastAsia="宋体" w:hAnsi="Times New Roman"/>
          <w:color w:val="000000"/>
          <w:sz w:val="20"/>
          <w:szCs w:val="20"/>
        </w:rPr>
        <w:t xml:space="preserve">Our gross </w:t>
      </w:r>
      <w:r>
        <w:rPr>
          <w:rFonts w:ascii="Times New Roman" w:eastAsia="宋体" w:hAnsi="Times New Roman"/>
          <w:color w:val="000000"/>
          <w:sz w:val="20"/>
          <w:szCs w:val="20"/>
        </w:rPr>
        <w:t>margin is affected by our ability to achieve competitive pricing with our vendors and contract manufacturers, including through our negotiation of a variety of vendor rebate programs to achieve lower net costs for the various components we include in our p</w:t>
      </w:r>
      <w:r>
        <w:rPr>
          <w:rFonts w:ascii="Times New Roman" w:eastAsia="宋体" w:hAnsi="Times New Roman"/>
          <w:color w:val="000000"/>
          <w:sz w:val="20"/>
          <w:szCs w:val="20"/>
        </w:rPr>
        <w:t>roducts. Under these programs, vendors provide us with rebates or other discounts from the list prices for the components, which are generally elements of their pricing strategy. We account for vendor rebates and other discounts as a reduction in cost of n</w:t>
      </w:r>
      <w:r>
        <w:rPr>
          <w:rFonts w:ascii="Times New Roman" w:eastAsia="宋体" w:hAnsi="Times New Roman"/>
          <w:color w:val="000000"/>
          <w:sz w:val="20"/>
          <w:szCs w:val="20"/>
        </w:rPr>
        <w:t>et revenue. We manage our costs on a total net cost basis, which includes supplier list prices reduced by vendor rebates and other discounts.</w:t>
      </w:r>
    </w:p>
    <w:p w14:paraId="7DCFDD59" w14:textId="77777777" w:rsidR="00C1563E" w:rsidRDefault="00C1563E"/>
    <w:p w14:paraId="7DCFDD5A" w14:textId="77777777" w:rsidR="00C1563E" w:rsidRDefault="000B648B">
      <w:r>
        <w:rPr>
          <w:rFonts w:ascii="Times New Roman" w:eastAsia="宋体" w:hAnsi="Times New Roman"/>
          <w:color w:val="000000"/>
          <w:sz w:val="20"/>
          <w:szCs w:val="20"/>
        </w:rPr>
        <w:t>The terms and conditions of our vendor rebate programs are largely based on product volumes and are generally neg</w:t>
      </w:r>
      <w:r>
        <w:rPr>
          <w:rFonts w:ascii="Times New Roman" w:eastAsia="宋体" w:hAnsi="Times New Roman"/>
          <w:color w:val="000000"/>
          <w:sz w:val="20"/>
          <w:szCs w:val="20"/>
        </w:rPr>
        <w:t>otiated either at the beginning of the annual or quarterly period, depending on the program. The timing and amount of vendor rebates and other discounts we receive under the programs may vary from period to period, reflecting changes in the competitive env</w:t>
      </w:r>
      <w:r>
        <w:rPr>
          <w:rFonts w:ascii="Times New Roman" w:eastAsia="宋体" w:hAnsi="Times New Roman"/>
          <w:color w:val="000000"/>
          <w:sz w:val="20"/>
          <w:szCs w:val="20"/>
        </w:rPr>
        <w:t xml:space="preserve">ironment. We monitor our component costs and seek to address the effects of any changes to terms that might arise under our vendor rebate programs. Our gross margins for Fiscal 2021, Fiscal 2020, and Fiscal 2019 were not materially affected by any changes </w:t>
      </w:r>
      <w:r>
        <w:rPr>
          <w:rFonts w:ascii="Times New Roman" w:eastAsia="宋体" w:hAnsi="Times New Roman"/>
          <w:color w:val="000000"/>
          <w:sz w:val="20"/>
          <w:szCs w:val="20"/>
        </w:rPr>
        <w:t>to the terms of our vendor rebate programs, as the amounts we received under these programs were generally stable relative to our total net cost. We are not aware of any significant changes to vendor pricing or rebate programs that may impact our results i</w:t>
      </w:r>
      <w:r>
        <w:rPr>
          <w:rFonts w:ascii="Times New Roman" w:eastAsia="宋体" w:hAnsi="Times New Roman"/>
          <w:color w:val="000000"/>
          <w:sz w:val="20"/>
          <w:szCs w:val="20"/>
        </w:rPr>
        <w:t>n the near term.</w:t>
      </w:r>
    </w:p>
    <w:p w14:paraId="7DCFDD5B" w14:textId="77777777" w:rsidR="00C1563E" w:rsidRDefault="00C1563E"/>
    <w:p w14:paraId="7DCFDD5C" w14:textId="77777777" w:rsidR="00C1563E" w:rsidRDefault="000B648B">
      <w:r>
        <w:rPr>
          <w:rFonts w:ascii="Times New Roman" w:eastAsia="宋体" w:hAnsi="Times New Roman"/>
          <w:b/>
          <w:bCs/>
          <w:color w:val="000000"/>
          <w:sz w:val="20"/>
          <w:szCs w:val="20"/>
        </w:rPr>
        <w:t>Operating Expenses</w:t>
      </w:r>
    </w:p>
    <w:p w14:paraId="7DCFDD5D" w14:textId="77777777" w:rsidR="00C1563E" w:rsidRDefault="00C1563E"/>
    <w:p w14:paraId="7DCFDD5E" w14:textId="77777777" w:rsidR="00C1563E" w:rsidRDefault="000B648B">
      <w:pPr>
        <w:spacing w:after="120"/>
      </w:pPr>
      <w:r>
        <w:rPr>
          <w:rFonts w:ascii="Times New Roman" w:eastAsia="宋体" w:hAnsi="Times New Roman"/>
          <w:color w:val="000000"/>
          <w:sz w:val="20"/>
          <w:szCs w:val="20"/>
          <w:shd w:val="clear" w:color="auto" w:fill="FFFFFF"/>
        </w:rPr>
        <w:t>The following table presents information regarding our operating expenses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525"/>
        <w:gridCol w:w="37"/>
        <w:gridCol w:w="36"/>
        <w:gridCol w:w="36"/>
        <w:gridCol w:w="36"/>
        <w:gridCol w:w="36"/>
        <w:gridCol w:w="36"/>
        <w:gridCol w:w="36"/>
        <w:gridCol w:w="227"/>
        <w:gridCol w:w="227"/>
        <w:gridCol w:w="227"/>
        <w:gridCol w:w="46"/>
        <w:gridCol w:w="110"/>
        <w:gridCol w:w="540"/>
        <w:gridCol w:w="36"/>
        <w:gridCol w:w="36"/>
        <w:gridCol w:w="36"/>
        <w:gridCol w:w="36"/>
        <w:gridCol w:w="99"/>
        <w:gridCol w:w="820"/>
        <w:gridCol w:w="173"/>
        <w:gridCol w:w="37"/>
        <w:gridCol w:w="37"/>
        <w:gridCol w:w="37"/>
        <w:gridCol w:w="82"/>
        <w:gridCol w:w="541"/>
        <w:gridCol w:w="170"/>
        <w:gridCol w:w="36"/>
        <w:gridCol w:w="36"/>
        <w:gridCol w:w="36"/>
        <w:gridCol w:w="110"/>
        <w:gridCol w:w="540"/>
        <w:gridCol w:w="36"/>
        <w:gridCol w:w="36"/>
        <w:gridCol w:w="36"/>
        <w:gridCol w:w="36"/>
        <w:gridCol w:w="99"/>
        <w:gridCol w:w="820"/>
        <w:gridCol w:w="172"/>
        <w:gridCol w:w="36"/>
        <w:gridCol w:w="36"/>
        <w:gridCol w:w="930"/>
      </w:tblGrid>
      <w:tr w:rsidR="00C1563E" w14:paraId="7DCFDD8A" w14:textId="77777777">
        <w:trPr>
          <w:jc w:val="center"/>
        </w:trPr>
        <w:tc>
          <w:tcPr>
            <w:tcW w:w="50" w:type="pct"/>
            <w:shd w:val="clear" w:color="auto" w:fill="auto"/>
          </w:tcPr>
          <w:p w14:paraId="7DCFDD5F" w14:textId="77777777" w:rsidR="00C1563E" w:rsidRDefault="00C1563E">
            <w:pPr>
              <w:rPr>
                <w:rFonts w:ascii="宋体"/>
              </w:rPr>
            </w:pPr>
          </w:p>
        </w:tc>
        <w:tc>
          <w:tcPr>
            <w:tcW w:w="1268" w:type="pct"/>
            <w:shd w:val="clear" w:color="auto" w:fill="auto"/>
          </w:tcPr>
          <w:p w14:paraId="7DCFDD60" w14:textId="77777777" w:rsidR="00C1563E" w:rsidRDefault="00C1563E">
            <w:pPr>
              <w:rPr>
                <w:rFonts w:ascii="宋体"/>
              </w:rPr>
            </w:pPr>
          </w:p>
        </w:tc>
        <w:tc>
          <w:tcPr>
            <w:tcW w:w="5" w:type="pct"/>
            <w:shd w:val="clear" w:color="auto" w:fill="auto"/>
          </w:tcPr>
          <w:p w14:paraId="7DCFDD61" w14:textId="77777777" w:rsidR="00C1563E" w:rsidRDefault="00C1563E">
            <w:pPr>
              <w:rPr>
                <w:rFonts w:ascii="宋体"/>
              </w:rPr>
            </w:pPr>
          </w:p>
        </w:tc>
        <w:tc>
          <w:tcPr>
            <w:tcW w:w="0" w:type="auto"/>
            <w:shd w:val="clear" w:color="auto" w:fill="auto"/>
          </w:tcPr>
          <w:p w14:paraId="7DCFDD62" w14:textId="77777777" w:rsidR="00C1563E" w:rsidRDefault="00C1563E">
            <w:pPr>
              <w:rPr>
                <w:rFonts w:ascii="宋体"/>
                <w:vanish/>
              </w:rPr>
            </w:pPr>
          </w:p>
        </w:tc>
        <w:tc>
          <w:tcPr>
            <w:tcW w:w="0" w:type="auto"/>
            <w:shd w:val="clear" w:color="auto" w:fill="auto"/>
          </w:tcPr>
          <w:p w14:paraId="7DCFDD63" w14:textId="77777777" w:rsidR="00C1563E" w:rsidRDefault="00C1563E">
            <w:pPr>
              <w:rPr>
                <w:rFonts w:ascii="宋体"/>
                <w:vanish/>
              </w:rPr>
            </w:pPr>
          </w:p>
        </w:tc>
        <w:tc>
          <w:tcPr>
            <w:tcW w:w="0" w:type="auto"/>
            <w:shd w:val="clear" w:color="auto" w:fill="auto"/>
          </w:tcPr>
          <w:p w14:paraId="7DCFDD64" w14:textId="77777777" w:rsidR="00C1563E" w:rsidRDefault="00C1563E">
            <w:pPr>
              <w:rPr>
                <w:rFonts w:ascii="宋体"/>
                <w:vanish/>
              </w:rPr>
            </w:pPr>
          </w:p>
        </w:tc>
        <w:tc>
          <w:tcPr>
            <w:tcW w:w="0" w:type="auto"/>
            <w:shd w:val="clear" w:color="auto" w:fill="auto"/>
          </w:tcPr>
          <w:p w14:paraId="7DCFDD65" w14:textId="77777777" w:rsidR="00C1563E" w:rsidRDefault="00C1563E">
            <w:pPr>
              <w:rPr>
                <w:rFonts w:ascii="宋体"/>
                <w:vanish/>
              </w:rPr>
            </w:pPr>
          </w:p>
        </w:tc>
        <w:tc>
          <w:tcPr>
            <w:tcW w:w="0" w:type="auto"/>
            <w:shd w:val="clear" w:color="auto" w:fill="auto"/>
          </w:tcPr>
          <w:p w14:paraId="7DCFDD66" w14:textId="77777777" w:rsidR="00C1563E" w:rsidRDefault="00C1563E">
            <w:pPr>
              <w:rPr>
                <w:rFonts w:ascii="宋体"/>
                <w:vanish/>
              </w:rPr>
            </w:pPr>
          </w:p>
        </w:tc>
        <w:tc>
          <w:tcPr>
            <w:tcW w:w="0" w:type="auto"/>
            <w:shd w:val="clear" w:color="auto" w:fill="auto"/>
          </w:tcPr>
          <w:p w14:paraId="7DCFDD67" w14:textId="77777777" w:rsidR="00C1563E" w:rsidRDefault="00C1563E">
            <w:pPr>
              <w:rPr>
                <w:rFonts w:ascii="宋体"/>
                <w:vanish/>
              </w:rPr>
            </w:pPr>
          </w:p>
        </w:tc>
        <w:tc>
          <w:tcPr>
            <w:tcW w:w="0" w:type="auto"/>
            <w:shd w:val="clear" w:color="auto" w:fill="auto"/>
          </w:tcPr>
          <w:p w14:paraId="7DCFDD68" w14:textId="77777777" w:rsidR="00C1563E" w:rsidRDefault="00C1563E">
            <w:pPr>
              <w:rPr>
                <w:rFonts w:ascii="宋体"/>
                <w:vanish/>
              </w:rPr>
            </w:pPr>
          </w:p>
        </w:tc>
        <w:tc>
          <w:tcPr>
            <w:tcW w:w="0" w:type="auto"/>
            <w:shd w:val="clear" w:color="auto" w:fill="auto"/>
          </w:tcPr>
          <w:p w14:paraId="7DCFDD69" w14:textId="77777777" w:rsidR="00C1563E" w:rsidRDefault="00C1563E">
            <w:pPr>
              <w:rPr>
                <w:rFonts w:ascii="宋体"/>
                <w:vanish/>
              </w:rPr>
            </w:pPr>
          </w:p>
        </w:tc>
        <w:tc>
          <w:tcPr>
            <w:tcW w:w="0" w:type="auto"/>
            <w:shd w:val="clear" w:color="auto" w:fill="auto"/>
          </w:tcPr>
          <w:p w14:paraId="7DCFDD6A" w14:textId="77777777" w:rsidR="00C1563E" w:rsidRDefault="00C1563E">
            <w:pPr>
              <w:rPr>
                <w:rFonts w:ascii="宋体"/>
                <w:vanish/>
              </w:rPr>
            </w:pPr>
          </w:p>
        </w:tc>
        <w:tc>
          <w:tcPr>
            <w:tcW w:w="0" w:type="auto"/>
            <w:shd w:val="clear" w:color="auto" w:fill="auto"/>
          </w:tcPr>
          <w:p w14:paraId="7DCFDD6B" w14:textId="77777777" w:rsidR="00C1563E" w:rsidRDefault="00C1563E">
            <w:pPr>
              <w:rPr>
                <w:rFonts w:ascii="宋体"/>
                <w:vanish/>
              </w:rPr>
            </w:pPr>
          </w:p>
        </w:tc>
        <w:tc>
          <w:tcPr>
            <w:tcW w:w="50" w:type="pct"/>
            <w:shd w:val="clear" w:color="auto" w:fill="auto"/>
          </w:tcPr>
          <w:p w14:paraId="7DCFDD6C" w14:textId="77777777" w:rsidR="00C1563E" w:rsidRDefault="00C1563E">
            <w:pPr>
              <w:rPr>
                <w:rFonts w:ascii="宋体"/>
              </w:rPr>
            </w:pPr>
          </w:p>
        </w:tc>
        <w:tc>
          <w:tcPr>
            <w:tcW w:w="376" w:type="pct"/>
            <w:shd w:val="clear" w:color="auto" w:fill="auto"/>
          </w:tcPr>
          <w:p w14:paraId="7DCFDD6D" w14:textId="77777777" w:rsidR="00C1563E" w:rsidRDefault="00C1563E">
            <w:pPr>
              <w:rPr>
                <w:rFonts w:ascii="宋体"/>
              </w:rPr>
            </w:pPr>
          </w:p>
        </w:tc>
        <w:tc>
          <w:tcPr>
            <w:tcW w:w="5" w:type="pct"/>
            <w:shd w:val="clear" w:color="auto" w:fill="auto"/>
          </w:tcPr>
          <w:p w14:paraId="7DCFDD6E" w14:textId="77777777" w:rsidR="00C1563E" w:rsidRDefault="00C1563E">
            <w:pPr>
              <w:rPr>
                <w:rFonts w:ascii="宋体"/>
              </w:rPr>
            </w:pPr>
          </w:p>
        </w:tc>
        <w:tc>
          <w:tcPr>
            <w:tcW w:w="5" w:type="pct"/>
            <w:shd w:val="clear" w:color="auto" w:fill="auto"/>
          </w:tcPr>
          <w:p w14:paraId="7DCFDD6F" w14:textId="77777777" w:rsidR="00C1563E" w:rsidRDefault="00C1563E">
            <w:pPr>
              <w:rPr>
                <w:rFonts w:ascii="宋体"/>
              </w:rPr>
            </w:pPr>
          </w:p>
        </w:tc>
        <w:tc>
          <w:tcPr>
            <w:tcW w:w="19" w:type="pct"/>
            <w:shd w:val="clear" w:color="auto" w:fill="auto"/>
          </w:tcPr>
          <w:p w14:paraId="7DCFDD70" w14:textId="77777777" w:rsidR="00C1563E" w:rsidRDefault="00C1563E">
            <w:pPr>
              <w:rPr>
                <w:rFonts w:ascii="宋体"/>
              </w:rPr>
            </w:pPr>
          </w:p>
        </w:tc>
        <w:tc>
          <w:tcPr>
            <w:tcW w:w="5" w:type="pct"/>
            <w:shd w:val="clear" w:color="auto" w:fill="auto"/>
          </w:tcPr>
          <w:p w14:paraId="7DCFDD71" w14:textId="77777777" w:rsidR="00C1563E" w:rsidRDefault="00C1563E">
            <w:pPr>
              <w:rPr>
                <w:rFonts w:ascii="宋体"/>
              </w:rPr>
            </w:pPr>
          </w:p>
        </w:tc>
        <w:tc>
          <w:tcPr>
            <w:tcW w:w="50" w:type="pct"/>
            <w:shd w:val="clear" w:color="auto" w:fill="auto"/>
          </w:tcPr>
          <w:p w14:paraId="7DCFDD72" w14:textId="77777777" w:rsidR="00C1563E" w:rsidRDefault="00C1563E">
            <w:pPr>
              <w:rPr>
                <w:rFonts w:ascii="宋体"/>
              </w:rPr>
            </w:pPr>
          </w:p>
        </w:tc>
        <w:tc>
          <w:tcPr>
            <w:tcW w:w="412" w:type="pct"/>
            <w:shd w:val="clear" w:color="auto" w:fill="auto"/>
          </w:tcPr>
          <w:p w14:paraId="7DCFDD73" w14:textId="77777777" w:rsidR="00C1563E" w:rsidRDefault="00C1563E">
            <w:pPr>
              <w:rPr>
                <w:rFonts w:ascii="宋体"/>
              </w:rPr>
            </w:pPr>
          </w:p>
        </w:tc>
        <w:tc>
          <w:tcPr>
            <w:tcW w:w="5" w:type="pct"/>
            <w:shd w:val="clear" w:color="auto" w:fill="auto"/>
          </w:tcPr>
          <w:p w14:paraId="7DCFDD74" w14:textId="77777777" w:rsidR="00C1563E" w:rsidRDefault="00C1563E">
            <w:pPr>
              <w:rPr>
                <w:rFonts w:ascii="宋体"/>
              </w:rPr>
            </w:pPr>
          </w:p>
        </w:tc>
        <w:tc>
          <w:tcPr>
            <w:tcW w:w="5" w:type="pct"/>
            <w:shd w:val="clear" w:color="auto" w:fill="auto"/>
          </w:tcPr>
          <w:p w14:paraId="7DCFDD75" w14:textId="77777777" w:rsidR="00C1563E" w:rsidRDefault="00C1563E">
            <w:pPr>
              <w:rPr>
                <w:rFonts w:ascii="宋体"/>
              </w:rPr>
            </w:pPr>
          </w:p>
        </w:tc>
        <w:tc>
          <w:tcPr>
            <w:tcW w:w="19" w:type="pct"/>
            <w:shd w:val="clear" w:color="auto" w:fill="auto"/>
          </w:tcPr>
          <w:p w14:paraId="7DCFDD76" w14:textId="77777777" w:rsidR="00C1563E" w:rsidRDefault="00C1563E">
            <w:pPr>
              <w:rPr>
                <w:rFonts w:ascii="宋体"/>
              </w:rPr>
            </w:pPr>
          </w:p>
        </w:tc>
        <w:tc>
          <w:tcPr>
            <w:tcW w:w="5" w:type="pct"/>
            <w:shd w:val="clear" w:color="auto" w:fill="auto"/>
          </w:tcPr>
          <w:p w14:paraId="7DCFDD77" w14:textId="77777777" w:rsidR="00C1563E" w:rsidRDefault="00C1563E">
            <w:pPr>
              <w:rPr>
                <w:rFonts w:ascii="宋体"/>
              </w:rPr>
            </w:pPr>
          </w:p>
        </w:tc>
        <w:tc>
          <w:tcPr>
            <w:tcW w:w="50" w:type="pct"/>
            <w:shd w:val="clear" w:color="auto" w:fill="auto"/>
          </w:tcPr>
          <w:p w14:paraId="7DCFDD78" w14:textId="77777777" w:rsidR="00C1563E" w:rsidRDefault="00C1563E">
            <w:pPr>
              <w:rPr>
                <w:rFonts w:ascii="宋体"/>
              </w:rPr>
            </w:pPr>
          </w:p>
        </w:tc>
        <w:tc>
          <w:tcPr>
            <w:tcW w:w="332" w:type="pct"/>
            <w:shd w:val="clear" w:color="auto" w:fill="auto"/>
          </w:tcPr>
          <w:p w14:paraId="7DCFDD79" w14:textId="77777777" w:rsidR="00C1563E" w:rsidRDefault="00C1563E">
            <w:pPr>
              <w:rPr>
                <w:rFonts w:ascii="宋体"/>
              </w:rPr>
            </w:pPr>
          </w:p>
        </w:tc>
        <w:tc>
          <w:tcPr>
            <w:tcW w:w="5" w:type="pct"/>
            <w:shd w:val="clear" w:color="auto" w:fill="auto"/>
          </w:tcPr>
          <w:p w14:paraId="7DCFDD7A" w14:textId="77777777" w:rsidR="00C1563E" w:rsidRDefault="00C1563E">
            <w:pPr>
              <w:rPr>
                <w:rFonts w:ascii="宋体"/>
              </w:rPr>
            </w:pPr>
          </w:p>
        </w:tc>
        <w:tc>
          <w:tcPr>
            <w:tcW w:w="5" w:type="pct"/>
            <w:shd w:val="clear" w:color="auto" w:fill="auto"/>
          </w:tcPr>
          <w:p w14:paraId="7DCFDD7B" w14:textId="77777777" w:rsidR="00C1563E" w:rsidRDefault="00C1563E">
            <w:pPr>
              <w:rPr>
                <w:rFonts w:ascii="宋体"/>
              </w:rPr>
            </w:pPr>
          </w:p>
        </w:tc>
        <w:tc>
          <w:tcPr>
            <w:tcW w:w="19" w:type="pct"/>
            <w:shd w:val="clear" w:color="auto" w:fill="auto"/>
          </w:tcPr>
          <w:p w14:paraId="7DCFDD7C" w14:textId="77777777" w:rsidR="00C1563E" w:rsidRDefault="00C1563E">
            <w:pPr>
              <w:rPr>
                <w:rFonts w:ascii="宋体"/>
              </w:rPr>
            </w:pPr>
          </w:p>
        </w:tc>
        <w:tc>
          <w:tcPr>
            <w:tcW w:w="5" w:type="pct"/>
            <w:shd w:val="clear" w:color="auto" w:fill="auto"/>
          </w:tcPr>
          <w:p w14:paraId="7DCFDD7D" w14:textId="77777777" w:rsidR="00C1563E" w:rsidRDefault="00C1563E">
            <w:pPr>
              <w:rPr>
                <w:rFonts w:ascii="宋体"/>
              </w:rPr>
            </w:pPr>
          </w:p>
        </w:tc>
        <w:tc>
          <w:tcPr>
            <w:tcW w:w="50" w:type="pct"/>
            <w:shd w:val="clear" w:color="auto" w:fill="auto"/>
          </w:tcPr>
          <w:p w14:paraId="7DCFDD7E" w14:textId="77777777" w:rsidR="00C1563E" w:rsidRDefault="00C1563E">
            <w:pPr>
              <w:rPr>
                <w:rFonts w:ascii="宋体"/>
              </w:rPr>
            </w:pPr>
          </w:p>
        </w:tc>
        <w:tc>
          <w:tcPr>
            <w:tcW w:w="376" w:type="pct"/>
            <w:shd w:val="clear" w:color="auto" w:fill="auto"/>
          </w:tcPr>
          <w:p w14:paraId="7DCFDD7F" w14:textId="77777777" w:rsidR="00C1563E" w:rsidRDefault="00C1563E">
            <w:pPr>
              <w:rPr>
                <w:rFonts w:ascii="宋体"/>
              </w:rPr>
            </w:pPr>
          </w:p>
        </w:tc>
        <w:tc>
          <w:tcPr>
            <w:tcW w:w="5" w:type="pct"/>
            <w:shd w:val="clear" w:color="auto" w:fill="auto"/>
          </w:tcPr>
          <w:p w14:paraId="7DCFDD80" w14:textId="77777777" w:rsidR="00C1563E" w:rsidRDefault="00C1563E">
            <w:pPr>
              <w:rPr>
                <w:rFonts w:ascii="宋体"/>
              </w:rPr>
            </w:pPr>
          </w:p>
        </w:tc>
        <w:tc>
          <w:tcPr>
            <w:tcW w:w="5" w:type="pct"/>
            <w:shd w:val="clear" w:color="auto" w:fill="auto"/>
          </w:tcPr>
          <w:p w14:paraId="7DCFDD81" w14:textId="77777777" w:rsidR="00C1563E" w:rsidRDefault="00C1563E">
            <w:pPr>
              <w:rPr>
                <w:rFonts w:ascii="宋体"/>
              </w:rPr>
            </w:pPr>
          </w:p>
        </w:tc>
        <w:tc>
          <w:tcPr>
            <w:tcW w:w="19" w:type="pct"/>
            <w:shd w:val="clear" w:color="auto" w:fill="auto"/>
          </w:tcPr>
          <w:p w14:paraId="7DCFDD82" w14:textId="77777777" w:rsidR="00C1563E" w:rsidRDefault="00C1563E">
            <w:pPr>
              <w:rPr>
                <w:rFonts w:ascii="宋体"/>
              </w:rPr>
            </w:pPr>
          </w:p>
        </w:tc>
        <w:tc>
          <w:tcPr>
            <w:tcW w:w="5" w:type="pct"/>
            <w:shd w:val="clear" w:color="auto" w:fill="auto"/>
          </w:tcPr>
          <w:p w14:paraId="7DCFDD83" w14:textId="77777777" w:rsidR="00C1563E" w:rsidRDefault="00C1563E">
            <w:pPr>
              <w:rPr>
                <w:rFonts w:ascii="宋体"/>
              </w:rPr>
            </w:pPr>
          </w:p>
        </w:tc>
        <w:tc>
          <w:tcPr>
            <w:tcW w:w="50" w:type="pct"/>
            <w:shd w:val="clear" w:color="auto" w:fill="auto"/>
          </w:tcPr>
          <w:p w14:paraId="7DCFDD84" w14:textId="77777777" w:rsidR="00C1563E" w:rsidRDefault="00C1563E">
            <w:pPr>
              <w:rPr>
                <w:rFonts w:ascii="宋体"/>
              </w:rPr>
            </w:pPr>
          </w:p>
        </w:tc>
        <w:tc>
          <w:tcPr>
            <w:tcW w:w="412" w:type="pct"/>
            <w:shd w:val="clear" w:color="auto" w:fill="auto"/>
          </w:tcPr>
          <w:p w14:paraId="7DCFDD85" w14:textId="77777777" w:rsidR="00C1563E" w:rsidRDefault="00C1563E">
            <w:pPr>
              <w:rPr>
                <w:rFonts w:ascii="宋体"/>
              </w:rPr>
            </w:pPr>
          </w:p>
        </w:tc>
        <w:tc>
          <w:tcPr>
            <w:tcW w:w="5" w:type="pct"/>
            <w:shd w:val="clear" w:color="auto" w:fill="auto"/>
          </w:tcPr>
          <w:p w14:paraId="7DCFDD86" w14:textId="77777777" w:rsidR="00C1563E" w:rsidRDefault="00C1563E">
            <w:pPr>
              <w:rPr>
                <w:rFonts w:ascii="宋体"/>
              </w:rPr>
            </w:pPr>
          </w:p>
        </w:tc>
        <w:tc>
          <w:tcPr>
            <w:tcW w:w="5" w:type="pct"/>
            <w:shd w:val="clear" w:color="auto" w:fill="auto"/>
          </w:tcPr>
          <w:p w14:paraId="7DCFDD87" w14:textId="77777777" w:rsidR="00C1563E" w:rsidRDefault="00C1563E">
            <w:pPr>
              <w:rPr>
                <w:rFonts w:ascii="宋体"/>
              </w:rPr>
            </w:pPr>
          </w:p>
        </w:tc>
        <w:tc>
          <w:tcPr>
            <w:tcW w:w="19" w:type="pct"/>
            <w:shd w:val="clear" w:color="auto" w:fill="auto"/>
          </w:tcPr>
          <w:p w14:paraId="7DCFDD88" w14:textId="77777777" w:rsidR="00C1563E" w:rsidRDefault="00C1563E">
            <w:pPr>
              <w:rPr>
                <w:rFonts w:ascii="宋体"/>
              </w:rPr>
            </w:pPr>
          </w:p>
        </w:tc>
        <w:tc>
          <w:tcPr>
            <w:tcW w:w="5" w:type="pct"/>
            <w:shd w:val="clear" w:color="auto" w:fill="auto"/>
          </w:tcPr>
          <w:p w14:paraId="7DCFDD89" w14:textId="77777777" w:rsidR="00C1563E" w:rsidRDefault="00C1563E">
            <w:pPr>
              <w:rPr>
                <w:rFonts w:ascii="宋体"/>
              </w:rPr>
            </w:pPr>
          </w:p>
        </w:tc>
      </w:tr>
      <w:tr w:rsidR="00C1563E" w14:paraId="7DCFDD98" w14:textId="77777777">
        <w:trPr>
          <w:jc w:val="center"/>
        </w:trPr>
        <w:tc>
          <w:tcPr>
            <w:tcW w:w="0" w:type="auto"/>
            <w:gridSpan w:val="3"/>
            <w:shd w:val="clear" w:color="auto" w:fill="auto"/>
            <w:tcMar>
              <w:top w:w="0" w:type="dxa"/>
              <w:left w:w="20" w:type="dxa"/>
              <w:bottom w:w="0" w:type="dxa"/>
              <w:right w:w="20" w:type="dxa"/>
            </w:tcMar>
          </w:tcPr>
          <w:p w14:paraId="7DCFDD8B" w14:textId="77777777" w:rsidR="00C1563E" w:rsidRDefault="00C1563E">
            <w:pPr>
              <w:rPr>
                <w:rFonts w:ascii="宋体"/>
              </w:rPr>
            </w:pPr>
          </w:p>
        </w:tc>
        <w:tc>
          <w:tcPr>
            <w:tcW w:w="0" w:type="auto"/>
            <w:shd w:val="clear" w:color="auto" w:fill="auto"/>
          </w:tcPr>
          <w:p w14:paraId="7DCFDD8C" w14:textId="77777777" w:rsidR="00C1563E" w:rsidRDefault="00C1563E">
            <w:pPr>
              <w:rPr>
                <w:rFonts w:ascii="宋体"/>
                <w:vanish/>
              </w:rPr>
            </w:pPr>
          </w:p>
        </w:tc>
        <w:tc>
          <w:tcPr>
            <w:tcW w:w="0" w:type="auto"/>
            <w:shd w:val="clear" w:color="auto" w:fill="auto"/>
          </w:tcPr>
          <w:p w14:paraId="7DCFDD8D" w14:textId="77777777" w:rsidR="00C1563E" w:rsidRDefault="00C1563E">
            <w:pPr>
              <w:rPr>
                <w:rFonts w:ascii="宋体"/>
                <w:vanish/>
              </w:rPr>
            </w:pPr>
          </w:p>
        </w:tc>
        <w:tc>
          <w:tcPr>
            <w:tcW w:w="0" w:type="auto"/>
            <w:gridSpan w:val="29"/>
            <w:tcBorders>
              <w:bottom w:val="single" w:sz="8" w:space="0" w:color="000000"/>
            </w:tcBorders>
            <w:shd w:val="clear" w:color="auto" w:fill="auto"/>
            <w:tcMar>
              <w:top w:w="40" w:type="dxa"/>
              <w:left w:w="20" w:type="dxa"/>
              <w:bottom w:w="40" w:type="dxa"/>
              <w:right w:w="20" w:type="dxa"/>
            </w:tcMar>
            <w:vAlign w:val="bottom"/>
          </w:tcPr>
          <w:p w14:paraId="7DCFDD8E" w14:textId="77777777" w:rsidR="00C1563E" w:rsidRDefault="000B648B">
            <w:pPr>
              <w:jc w:val="center"/>
              <w:textAlignment w:val="bottom"/>
            </w:pPr>
            <w:r>
              <w:rPr>
                <w:rFonts w:ascii="Times New Roman" w:eastAsia="宋体" w:hAnsi="Times New Roman"/>
                <w:b/>
                <w:bCs/>
                <w:color w:val="000000"/>
                <w:sz w:val="18"/>
                <w:szCs w:val="18"/>
              </w:rPr>
              <w:t>Fiscal Year Ended</w:t>
            </w:r>
          </w:p>
        </w:tc>
        <w:tc>
          <w:tcPr>
            <w:tcW w:w="0" w:type="auto"/>
            <w:shd w:val="clear" w:color="auto" w:fill="auto"/>
          </w:tcPr>
          <w:p w14:paraId="7DCFDD8F" w14:textId="77777777" w:rsidR="00C1563E" w:rsidRDefault="00C1563E">
            <w:pPr>
              <w:rPr>
                <w:rFonts w:ascii="宋体"/>
              </w:rPr>
            </w:pPr>
          </w:p>
        </w:tc>
        <w:tc>
          <w:tcPr>
            <w:tcW w:w="0" w:type="auto"/>
            <w:shd w:val="clear" w:color="auto" w:fill="auto"/>
          </w:tcPr>
          <w:p w14:paraId="7DCFDD90" w14:textId="77777777" w:rsidR="00C1563E" w:rsidRDefault="00C1563E">
            <w:pPr>
              <w:rPr>
                <w:rFonts w:ascii="宋体"/>
              </w:rPr>
            </w:pPr>
          </w:p>
        </w:tc>
        <w:tc>
          <w:tcPr>
            <w:tcW w:w="0" w:type="auto"/>
            <w:shd w:val="clear" w:color="auto" w:fill="auto"/>
          </w:tcPr>
          <w:p w14:paraId="7DCFDD91" w14:textId="77777777" w:rsidR="00C1563E" w:rsidRDefault="00C1563E">
            <w:pPr>
              <w:rPr>
                <w:rFonts w:ascii="宋体"/>
              </w:rPr>
            </w:pPr>
          </w:p>
        </w:tc>
        <w:tc>
          <w:tcPr>
            <w:tcW w:w="0" w:type="auto"/>
            <w:shd w:val="clear" w:color="auto" w:fill="auto"/>
          </w:tcPr>
          <w:p w14:paraId="7DCFDD92" w14:textId="77777777" w:rsidR="00C1563E" w:rsidRDefault="00C1563E">
            <w:pPr>
              <w:rPr>
                <w:rFonts w:ascii="宋体"/>
              </w:rPr>
            </w:pPr>
          </w:p>
        </w:tc>
        <w:tc>
          <w:tcPr>
            <w:tcW w:w="0" w:type="auto"/>
            <w:shd w:val="clear" w:color="auto" w:fill="auto"/>
          </w:tcPr>
          <w:p w14:paraId="7DCFDD93" w14:textId="77777777" w:rsidR="00C1563E" w:rsidRDefault="00C1563E">
            <w:pPr>
              <w:rPr>
                <w:rFonts w:ascii="宋体"/>
              </w:rPr>
            </w:pPr>
          </w:p>
        </w:tc>
        <w:tc>
          <w:tcPr>
            <w:tcW w:w="0" w:type="auto"/>
            <w:shd w:val="clear" w:color="auto" w:fill="auto"/>
          </w:tcPr>
          <w:p w14:paraId="7DCFDD94" w14:textId="77777777" w:rsidR="00C1563E" w:rsidRDefault="00C1563E">
            <w:pPr>
              <w:rPr>
                <w:rFonts w:ascii="宋体"/>
              </w:rPr>
            </w:pPr>
          </w:p>
        </w:tc>
        <w:tc>
          <w:tcPr>
            <w:tcW w:w="0" w:type="auto"/>
            <w:shd w:val="clear" w:color="auto" w:fill="auto"/>
          </w:tcPr>
          <w:p w14:paraId="7DCFDD95" w14:textId="77777777" w:rsidR="00C1563E" w:rsidRDefault="00C1563E">
            <w:pPr>
              <w:rPr>
                <w:rFonts w:ascii="宋体"/>
              </w:rPr>
            </w:pPr>
          </w:p>
        </w:tc>
        <w:tc>
          <w:tcPr>
            <w:tcW w:w="0" w:type="auto"/>
            <w:shd w:val="clear" w:color="auto" w:fill="auto"/>
          </w:tcPr>
          <w:p w14:paraId="7DCFDD96" w14:textId="77777777" w:rsidR="00C1563E" w:rsidRDefault="00C1563E">
            <w:pPr>
              <w:rPr>
                <w:rFonts w:ascii="宋体"/>
              </w:rPr>
            </w:pPr>
          </w:p>
        </w:tc>
        <w:tc>
          <w:tcPr>
            <w:tcW w:w="0" w:type="auto"/>
            <w:shd w:val="clear" w:color="auto" w:fill="auto"/>
          </w:tcPr>
          <w:p w14:paraId="7DCFDD97" w14:textId="77777777" w:rsidR="00C1563E" w:rsidRDefault="00C1563E">
            <w:pPr>
              <w:rPr>
                <w:rFonts w:ascii="宋体"/>
              </w:rPr>
            </w:pPr>
          </w:p>
        </w:tc>
      </w:tr>
      <w:tr w:rsidR="00C1563E" w14:paraId="7DCFDDA9" w14:textId="77777777">
        <w:trPr>
          <w:jc w:val="center"/>
        </w:trPr>
        <w:tc>
          <w:tcPr>
            <w:tcW w:w="0" w:type="auto"/>
            <w:gridSpan w:val="3"/>
            <w:shd w:val="clear" w:color="auto" w:fill="auto"/>
            <w:tcMar>
              <w:top w:w="0" w:type="dxa"/>
              <w:left w:w="20" w:type="dxa"/>
              <w:bottom w:w="0" w:type="dxa"/>
              <w:right w:w="20" w:type="dxa"/>
            </w:tcMar>
          </w:tcPr>
          <w:p w14:paraId="7DCFDD99" w14:textId="77777777" w:rsidR="00C1563E" w:rsidRDefault="00C1563E">
            <w:pPr>
              <w:rPr>
                <w:rFonts w:ascii="宋体"/>
              </w:rPr>
            </w:pPr>
          </w:p>
        </w:tc>
        <w:tc>
          <w:tcPr>
            <w:tcW w:w="0" w:type="auto"/>
            <w:shd w:val="clear" w:color="auto" w:fill="auto"/>
          </w:tcPr>
          <w:p w14:paraId="7DCFDD9A" w14:textId="77777777" w:rsidR="00C1563E" w:rsidRDefault="00C1563E">
            <w:pPr>
              <w:rPr>
                <w:rFonts w:ascii="宋体"/>
                <w:vanish/>
              </w:rPr>
            </w:pPr>
          </w:p>
        </w:tc>
        <w:tc>
          <w:tcPr>
            <w:tcW w:w="0" w:type="auto"/>
            <w:shd w:val="clear" w:color="auto" w:fill="auto"/>
          </w:tcPr>
          <w:p w14:paraId="7DCFDD9B" w14:textId="77777777" w:rsidR="00C1563E" w:rsidRDefault="00C1563E">
            <w:pPr>
              <w:rPr>
                <w:rFonts w:ascii="宋体"/>
                <w:vanish/>
              </w:rPr>
            </w:pPr>
          </w:p>
        </w:tc>
        <w:tc>
          <w:tcPr>
            <w:tcW w:w="0" w:type="auto"/>
            <w:shd w:val="clear" w:color="auto" w:fill="auto"/>
          </w:tcPr>
          <w:p w14:paraId="7DCFDD9C" w14:textId="77777777" w:rsidR="00C1563E" w:rsidRDefault="00C1563E">
            <w:pPr>
              <w:rPr>
                <w:rFonts w:ascii="宋体"/>
                <w:vanish/>
              </w:rPr>
            </w:pPr>
          </w:p>
        </w:tc>
        <w:tc>
          <w:tcPr>
            <w:tcW w:w="0" w:type="auto"/>
            <w:shd w:val="clear" w:color="auto" w:fill="auto"/>
          </w:tcPr>
          <w:p w14:paraId="7DCFDD9D" w14:textId="77777777" w:rsidR="00C1563E" w:rsidRDefault="00C1563E">
            <w:pPr>
              <w:rPr>
                <w:rFonts w:ascii="宋体"/>
                <w:vanish/>
              </w:rPr>
            </w:pPr>
          </w:p>
        </w:tc>
        <w:tc>
          <w:tcPr>
            <w:tcW w:w="0" w:type="auto"/>
            <w:shd w:val="clear" w:color="auto" w:fill="auto"/>
          </w:tcPr>
          <w:p w14:paraId="7DCFDD9E" w14:textId="77777777" w:rsidR="00C1563E" w:rsidRDefault="00C1563E">
            <w:pPr>
              <w:rPr>
                <w:rFonts w:ascii="宋体"/>
                <w:vanish/>
              </w:rPr>
            </w:pPr>
          </w:p>
        </w:tc>
        <w:tc>
          <w:tcPr>
            <w:tcW w:w="0" w:type="auto"/>
            <w:shd w:val="clear" w:color="auto" w:fill="auto"/>
          </w:tcPr>
          <w:p w14:paraId="7DCFDD9F"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DA0" w14:textId="77777777" w:rsidR="00C1563E" w:rsidRDefault="000B648B">
            <w:pPr>
              <w:jc w:val="center"/>
              <w:textAlignment w:val="bottom"/>
            </w:pPr>
            <w:r>
              <w:rPr>
                <w:rFonts w:ascii="Times New Roman" w:eastAsia="宋体" w:hAnsi="Times New Roman"/>
                <w:b/>
                <w:bCs/>
                <w:color w:val="000000"/>
                <w:sz w:val="18"/>
                <w:szCs w:val="18"/>
              </w:rPr>
              <w:t>January 29, 2021</w:t>
            </w:r>
          </w:p>
        </w:tc>
        <w:tc>
          <w:tcPr>
            <w:tcW w:w="0" w:type="auto"/>
            <w:tcBorders>
              <w:top w:val="single" w:sz="8" w:space="0" w:color="000000"/>
            </w:tcBorders>
            <w:shd w:val="clear" w:color="auto" w:fill="auto"/>
            <w:tcMar>
              <w:top w:w="0" w:type="dxa"/>
              <w:left w:w="20" w:type="dxa"/>
              <w:bottom w:w="0" w:type="dxa"/>
              <w:right w:w="20" w:type="dxa"/>
            </w:tcMar>
          </w:tcPr>
          <w:p w14:paraId="7DCFDDA1"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DA2"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DA3"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DA4" w14:textId="77777777" w:rsidR="00C1563E" w:rsidRDefault="000B648B">
            <w:pPr>
              <w:jc w:val="center"/>
              <w:textAlignment w:val="bottom"/>
            </w:pPr>
            <w:r>
              <w:rPr>
                <w:rFonts w:ascii="Times New Roman" w:eastAsia="宋体" w:hAnsi="Times New Roman"/>
                <w:b/>
                <w:bCs/>
                <w:color w:val="000000"/>
                <w:sz w:val="18"/>
                <w:szCs w:val="18"/>
              </w:rPr>
              <w:t xml:space="preserve">January 31, </w:t>
            </w:r>
            <w:r>
              <w:rPr>
                <w:rFonts w:ascii="Times New Roman" w:eastAsia="宋体" w:hAnsi="Times New Roman"/>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DCFDDA5"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DA6"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DA7" w14:textId="77777777" w:rsidR="00C1563E" w:rsidRDefault="00C1563E">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DCFDDA8" w14:textId="77777777" w:rsidR="00C1563E" w:rsidRDefault="000B648B">
            <w:pPr>
              <w:jc w:val="center"/>
              <w:textAlignment w:val="bottom"/>
            </w:pPr>
            <w:r>
              <w:rPr>
                <w:rFonts w:ascii="Times New Roman" w:eastAsia="宋体" w:hAnsi="Times New Roman"/>
                <w:b/>
                <w:bCs/>
                <w:color w:val="000000"/>
                <w:sz w:val="18"/>
                <w:szCs w:val="18"/>
              </w:rPr>
              <w:t>February 1, 2019</w:t>
            </w:r>
          </w:p>
        </w:tc>
      </w:tr>
      <w:tr w:rsidR="00C1563E" w14:paraId="7DCFDDC2" w14:textId="77777777">
        <w:trPr>
          <w:jc w:val="center"/>
        </w:trPr>
        <w:tc>
          <w:tcPr>
            <w:tcW w:w="0" w:type="auto"/>
            <w:gridSpan w:val="3"/>
            <w:shd w:val="clear" w:color="auto" w:fill="auto"/>
            <w:tcMar>
              <w:top w:w="0" w:type="dxa"/>
              <w:left w:w="20" w:type="dxa"/>
              <w:bottom w:w="0" w:type="dxa"/>
              <w:right w:w="20" w:type="dxa"/>
            </w:tcMar>
          </w:tcPr>
          <w:p w14:paraId="7DCFDDAA" w14:textId="77777777" w:rsidR="00C1563E" w:rsidRDefault="00C1563E">
            <w:pPr>
              <w:rPr>
                <w:rFonts w:ascii="宋体"/>
              </w:rPr>
            </w:pPr>
          </w:p>
        </w:tc>
        <w:tc>
          <w:tcPr>
            <w:tcW w:w="0" w:type="auto"/>
            <w:shd w:val="clear" w:color="auto" w:fill="auto"/>
          </w:tcPr>
          <w:p w14:paraId="7DCFDDAB" w14:textId="77777777" w:rsidR="00C1563E" w:rsidRDefault="00C1563E">
            <w:pPr>
              <w:rPr>
                <w:rFonts w:ascii="宋体"/>
                <w:vanish/>
              </w:rPr>
            </w:pPr>
          </w:p>
        </w:tc>
        <w:tc>
          <w:tcPr>
            <w:tcW w:w="0" w:type="auto"/>
            <w:shd w:val="clear" w:color="auto" w:fill="auto"/>
          </w:tcPr>
          <w:p w14:paraId="7DCFDDAC" w14:textId="77777777" w:rsidR="00C1563E" w:rsidRDefault="00C1563E">
            <w:pPr>
              <w:rPr>
                <w:rFonts w:ascii="宋体"/>
                <w:vanish/>
              </w:rPr>
            </w:pPr>
          </w:p>
        </w:tc>
        <w:tc>
          <w:tcPr>
            <w:tcW w:w="0" w:type="auto"/>
            <w:shd w:val="clear" w:color="auto" w:fill="auto"/>
          </w:tcPr>
          <w:p w14:paraId="7DCFDDAD" w14:textId="77777777" w:rsidR="00C1563E" w:rsidRDefault="00C1563E">
            <w:pPr>
              <w:rPr>
                <w:rFonts w:ascii="宋体"/>
                <w:vanish/>
              </w:rPr>
            </w:pPr>
          </w:p>
        </w:tc>
        <w:tc>
          <w:tcPr>
            <w:tcW w:w="0" w:type="auto"/>
            <w:shd w:val="clear" w:color="auto" w:fill="auto"/>
          </w:tcPr>
          <w:p w14:paraId="7DCFDDAE" w14:textId="77777777" w:rsidR="00C1563E" w:rsidRDefault="00C1563E">
            <w:pPr>
              <w:rPr>
                <w:rFonts w:ascii="宋体"/>
                <w:vanish/>
              </w:rPr>
            </w:pPr>
          </w:p>
        </w:tc>
        <w:tc>
          <w:tcPr>
            <w:tcW w:w="0" w:type="auto"/>
            <w:shd w:val="clear" w:color="auto" w:fill="auto"/>
          </w:tcPr>
          <w:p w14:paraId="7DCFDDAF" w14:textId="77777777" w:rsidR="00C1563E" w:rsidRDefault="00C1563E">
            <w:pPr>
              <w:rPr>
                <w:rFonts w:ascii="宋体"/>
                <w:vanish/>
              </w:rPr>
            </w:pPr>
          </w:p>
        </w:tc>
        <w:tc>
          <w:tcPr>
            <w:tcW w:w="0" w:type="auto"/>
            <w:shd w:val="clear" w:color="auto" w:fill="auto"/>
          </w:tcPr>
          <w:p w14:paraId="7DCFDDB0" w14:textId="77777777" w:rsidR="00C1563E" w:rsidRDefault="00C1563E">
            <w:pPr>
              <w:rPr>
                <w:rFonts w:ascii="宋体"/>
                <w:vanish/>
              </w:rPr>
            </w:pPr>
          </w:p>
        </w:tc>
        <w:tc>
          <w:tcPr>
            <w:tcW w:w="0" w:type="auto"/>
            <w:shd w:val="clear" w:color="auto" w:fill="auto"/>
          </w:tcPr>
          <w:p w14:paraId="7DCFDDB1" w14:textId="77777777" w:rsidR="00C1563E" w:rsidRDefault="00C1563E">
            <w:pPr>
              <w:rPr>
                <w:rFonts w:ascii="宋体"/>
                <w:vanish/>
              </w:rPr>
            </w:pPr>
          </w:p>
        </w:tc>
        <w:tc>
          <w:tcPr>
            <w:tcW w:w="0" w:type="auto"/>
            <w:shd w:val="clear" w:color="auto" w:fill="auto"/>
          </w:tcPr>
          <w:p w14:paraId="7DCFDDB2" w14:textId="77777777" w:rsidR="00C1563E" w:rsidRDefault="00C1563E">
            <w:pPr>
              <w:rPr>
                <w:rFonts w:ascii="宋体"/>
                <w:vanish/>
              </w:rPr>
            </w:pPr>
          </w:p>
        </w:tc>
        <w:tc>
          <w:tcPr>
            <w:tcW w:w="0" w:type="auto"/>
            <w:shd w:val="clear" w:color="auto" w:fill="auto"/>
          </w:tcPr>
          <w:p w14:paraId="7DCFDDB3" w14:textId="77777777" w:rsidR="00C1563E" w:rsidRDefault="00C1563E">
            <w:pPr>
              <w:rPr>
                <w:rFonts w:ascii="宋体"/>
                <w:vanish/>
              </w:rPr>
            </w:pPr>
          </w:p>
        </w:tc>
        <w:tc>
          <w:tcPr>
            <w:tcW w:w="0" w:type="auto"/>
            <w:shd w:val="clear" w:color="auto" w:fill="auto"/>
          </w:tcPr>
          <w:p w14:paraId="7DCFDDB4"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DB5"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DB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DB7"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tcPr>
          <w:p w14:paraId="7DCFDDB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DDB9"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DCFDDB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DBB"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DB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DBD"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2"/>
            <w:shd w:val="clear" w:color="auto" w:fill="auto"/>
            <w:tcMar>
              <w:top w:w="0" w:type="dxa"/>
              <w:left w:w="20" w:type="dxa"/>
              <w:bottom w:w="0" w:type="dxa"/>
              <w:right w:w="20" w:type="dxa"/>
            </w:tcMar>
          </w:tcPr>
          <w:p w14:paraId="7DCFDDBE" w14:textId="77777777" w:rsidR="00C1563E" w:rsidRDefault="00C1563E">
            <w:pPr>
              <w:rPr>
                <w:rFonts w:ascii="宋体"/>
              </w:rPr>
            </w:pPr>
          </w:p>
        </w:tc>
        <w:tc>
          <w:tcPr>
            <w:tcW w:w="0" w:type="auto"/>
            <w:tcBorders>
              <w:bottom w:val="single" w:sz="8" w:space="0" w:color="000000"/>
            </w:tcBorders>
            <w:shd w:val="clear" w:color="auto" w:fill="auto"/>
            <w:tcMar>
              <w:top w:w="40" w:type="dxa"/>
              <w:left w:w="20" w:type="dxa"/>
              <w:bottom w:w="40" w:type="dxa"/>
              <w:right w:w="20" w:type="dxa"/>
            </w:tcMar>
            <w:vAlign w:val="bottom"/>
          </w:tcPr>
          <w:p w14:paraId="7DCFDDBF"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p w14:paraId="7DCFDDC0" w14:textId="77777777" w:rsidR="00C1563E" w:rsidRDefault="000B648B">
            <w:pPr>
              <w:jc w:val="center"/>
              <w:textAlignment w:val="bottom"/>
            </w:pPr>
            <w:r>
              <w:rPr>
                <w:rFonts w:ascii="Times New Roman" w:eastAsia="宋体" w:hAnsi="Times New Roman"/>
                <w:b/>
                <w:bCs/>
                <w:color w:val="000000"/>
                <w:sz w:val="18"/>
                <w:szCs w:val="18"/>
              </w:rPr>
              <w:t>Dollars</w:t>
            </w:r>
          </w:p>
          <w:p w14:paraId="7DCFDDC1" w14:textId="77777777" w:rsidR="00C1563E" w:rsidRDefault="000B648B">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C1563E" w14:paraId="7DCFDDCF" w14:textId="77777777">
        <w:trPr>
          <w:jc w:val="center"/>
        </w:trPr>
        <w:tc>
          <w:tcPr>
            <w:tcW w:w="0" w:type="auto"/>
            <w:gridSpan w:val="3"/>
            <w:shd w:val="clear" w:color="auto" w:fill="auto"/>
            <w:tcMar>
              <w:top w:w="0" w:type="dxa"/>
              <w:left w:w="20" w:type="dxa"/>
              <w:bottom w:w="0" w:type="dxa"/>
              <w:right w:w="20" w:type="dxa"/>
            </w:tcMar>
          </w:tcPr>
          <w:p w14:paraId="7DCFDDC3" w14:textId="77777777" w:rsidR="00C1563E" w:rsidRDefault="00C1563E">
            <w:pPr>
              <w:rPr>
                <w:rFonts w:ascii="宋体"/>
              </w:rPr>
            </w:pPr>
          </w:p>
        </w:tc>
        <w:tc>
          <w:tcPr>
            <w:tcW w:w="0" w:type="auto"/>
            <w:shd w:val="clear" w:color="auto" w:fill="auto"/>
          </w:tcPr>
          <w:p w14:paraId="7DCFDDC4" w14:textId="77777777" w:rsidR="00C1563E" w:rsidRDefault="00C1563E">
            <w:pPr>
              <w:rPr>
                <w:rFonts w:ascii="宋体"/>
                <w:vanish/>
              </w:rPr>
            </w:pPr>
          </w:p>
        </w:tc>
        <w:tc>
          <w:tcPr>
            <w:tcW w:w="0" w:type="auto"/>
            <w:shd w:val="clear" w:color="auto" w:fill="auto"/>
          </w:tcPr>
          <w:p w14:paraId="7DCFDDC5" w14:textId="77777777" w:rsidR="00C1563E" w:rsidRDefault="00C1563E">
            <w:pPr>
              <w:rPr>
                <w:rFonts w:ascii="宋体"/>
                <w:vanish/>
              </w:rPr>
            </w:pPr>
          </w:p>
        </w:tc>
        <w:tc>
          <w:tcPr>
            <w:tcW w:w="0" w:type="auto"/>
            <w:shd w:val="clear" w:color="auto" w:fill="auto"/>
          </w:tcPr>
          <w:p w14:paraId="7DCFDDC6" w14:textId="77777777" w:rsidR="00C1563E" w:rsidRDefault="00C1563E">
            <w:pPr>
              <w:rPr>
                <w:rFonts w:ascii="宋体"/>
                <w:vanish/>
              </w:rPr>
            </w:pPr>
          </w:p>
        </w:tc>
        <w:tc>
          <w:tcPr>
            <w:tcW w:w="0" w:type="auto"/>
            <w:shd w:val="clear" w:color="auto" w:fill="auto"/>
          </w:tcPr>
          <w:p w14:paraId="7DCFDDC7" w14:textId="77777777" w:rsidR="00C1563E" w:rsidRDefault="00C1563E">
            <w:pPr>
              <w:rPr>
                <w:rFonts w:ascii="宋体"/>
                <w:vanish/>
              </w:rPr>
            </w:pPr>
          </w:p>
        </w:tc>
        <w:tc>
          <w:tcPr>
            <w:tcW w:w="0" w:type="auto"/>
            <w:shd w:val="clear" w:color="auto" w:fill="auto"/>
          </w:tcPr>
          <w:p w14:paraId="7DCFDDC8" w14:textId="77777777" w:rsidR="00C1563E" w:rsidRDefault="00C1563E">
            <w:pPr>
              <w:rPr>
                <w:rFonts w:ascii="宋体"/>
                <w:vanish/>
              </w:rPr>
            </w:pPr>
          </w:p>
        </w:tc>
        <w:tc>
          <w:tcPr>
            <w:tcW w:w="0" w:type="auto"/>
            <w:shd w:val="clear" w:color="auto" w:fill="auto"/>
          </w:tcPr>
          <w:p w14:paraId="7DCFDDC9" w14:textId="77777777" w:rsidR="00C1563E" w:rsidRDefault="00C1563E">
            <w:pPr>
              <w:rPr>
                <w:rFonts w:ascii="宋体"/>
                <w:vanish/>
              </w:rPr>
            </w:pPr>
          </w:p>
        </w:tc>
        <w:tc>
          <w:tcPr>
            <w:tcW w:w="0" w:type="auto"/>
            <w:shd w:val="clear" w:color="auto" w:fill="auto"/>
          </w:tcPr>
          <w:p w14:paraId="7DCFDDCA" w14:textId="77777777" w:rsidR="00C1563E" w:rsidRDefault="00C1563E">
            <w:pPr>
              <w:rPr>
                <w:rFonts w:ascii="宋体"/>
                <w:vanish/>
              </w:rPr>
            </w:pPr>
          </w:p>
        </w:tc>
        <w:tc>
          <w:tcPr>
            <w:tcW w:w="0" w:type="auto"/>
            <w:shd w:val="clear" w:color="auto" w:fill="auto"/>
          </w:tcPr>
          <w:p w14:paraId="7DCFDDCB" w14:textId="77777777" w:rsidR="00C1563E" w:rsidRDefault="00C1563E">
            <w:pPr>
              <w:rPr>
                <w:rFonts w:ascii="宋体"/>
                <w:vanish/>
              </w:rPr>
            </w:pPr>
          </w:p>
        </w:tc>
        <w:tc>
          <w:tcPr>
            <w:tcW w:w="0" w:type="auto"/>
            <w:shd w:val="clear" w:color="auto" w:fill="auto"/>
          </w:tcPr>
          <w:p w14:paraId="7DCFDDCC" w14:textId="77777777" w:rsidR="00C1563E" w:rsidRDefault="00C1563E">
            <w:pPr>
              <w:rPr>
                <w:rFonts w:ascii="宋体"/>
                <w:vanish/>
              </w:rPr>
            </w:pPr>
          </w:p>
        </w:tc>
        <w:tc>
          <w:tcPr>
            <w:tcW w:w="0" w:type="auto"/>
            <w:shd w:val="clear" w:color="auto" w:fill="auto"/>
          </w:tcPr>
          <w:p w14:paraId="7DCFDDCD" w14:textId="77777777" w:rsidR="00C1563E" w:rsidRDefault="00C1563E">
            <w:pPr>
              <w:rPr>
                <w:rFonts w:ascii="宋体"/>
                <w:vanish/>
              </w:rPr>
            </w:pPr>
          </w:p>
        </w:tc>
        <w:tc>
          <w:tcPr>
            <w:tcW w:w="0" w:type="auto"/>
            <w:gridSpan w:val="30"/>
            <w:tcBorders>
              <w:top w:val="single" w:sz="8" w:space="0" w:color="000000"/>
            </w:tcBorders>
            <w:shd w:val="clear" w:color="auto" w:fill="auto"/>
            <w:tcMar>
              <w:top w:w="40" w:type="dxa"/>
              <w:left w:w="20" w:type="dxa"/>
              <w:bottom w:w="40" w:type="dxa"/>
              <w:right w:w="20" w:type="dxa"/>
            </w:tcMar>
            <w:vAlign w:val="bottom"/>
          </w:tcPr>
          <w:p w14:paraId="7DCFDDCE" w14:textId="77777777" w:rsidR="00C1563E" w:rsidRDefault="000B648B">
            <w:pPr>
              <w:jc w:val="center"/>
              <w:textAlignment w:val="bottom"/>
            </w:pPr>
            <w:r>
              <w:rPr>
                <w:rFonts w:ascii="Times New Roman" w:eastAsia="宋体" w:hAnsi="Times New Roman"/>
                <w:color w:val="000000"/>
                <w:sz w:val="18"/>
                <w:szCs w:val="18"/>
              </w:rPr>
              <w:t>(in millions, except percentages)</w:t>
            </w:r>
          </w:p>
        </w:tc>
      </w:tr>
      <w:tr w:rsidR="00C1563E" w14:paraId="7DCFDDE6" w14:textId="77777777">
        <w:trPr>
          <w:jc w:val="center"/>
        </w:trPr>
        <w:tc>
          <w:tcPr>
            <w:tcW w:w="0" w:type="auto"/>
            <w:gridSpan w:val="3"/>
            <w:shd w:val="clear" w:color="auto" w:fill="CCEEFF"/>
            <w:tcMar>
              <w:top w:w="40" w:type="dxa"/>
              <w:left w:w="20" w:type="dxa"/>
              <w:bottom w:w="40" w:type="dxa"/>
              <w:right w:w="20" w:type="dxa"/>
            </w:tcMar>
            <w:vAlign w:val="bottom"/>
          </w:tcPr>
          <w:p w14:paraId="7DCFDDD0" w14:textId="77777777" w:rsidR="00C1563E" w:rsidRDefault="000B648B">
            <w:pPr>
              <w:textAlignment w:val="bottom"/>
            </w:pPr>
            <w:r>
              <w:rPr>
                <w:rFonts w:ascii="Times New Roman" w:eastAsia="宋体" w:hAnsi="Times New Roman"/>
                <w:i/>
                <w:iCs/>
                <w:color w:val="000000"/>
                <w:sz w:val="18"/>
                <w:szCs w:val="18"/>
              </w:rPr>
              <w:t>Operating expenses:</w:t>
            </w:r>
          </w:p>
        </w:tc>
        <w:tc>
          <w:tcPr>
            <w:tcW w:w="0" w:type="auto"/>
            <w:shd w:val="clear" w:color="auto" w:fill="auto"/>
          </w:tcPr>
          <w:p w14:paraId="7DCFDDD1" w14:textId="77777777" w:rsidR="00C1563E" w:rsidRDefault="00C1563E">
            <w:pPr>
              <w:rPr>
                <w:rFonts w:ascii="宋体"/>
                <w:vanish/>
              </w:rPr>
            </w:pPr>
          </w:p>
        </w:tc>
        <w:tc>
          <w:tcPr>
            <w:tcW w:w="0" w:type="auto"/>
            <w:shd w:val="clear" w:color="auto" w:fill="auto"/>
          </w:tcPr>
          <w:p w14:paraId="7DCFDDD2" w14:textId="77777777" w:rsidR="00C1563E" w:rsidRDefault="00C1563E">
            <w:pPr>
              <w:rPr>
                <w:rFonts w:ascii="宋体"/>
                <w:vanish/>
              </w:rPr>
            </w:pPr>
          </w:p>
        </w:tc>
        <w:tc>
          <w:tcPr>
            <w:tcW w:w="0" w:type="auto"/>
            <w:shd w:val="clear" w:color="auto" w:fill="auto"/>
          </w:tcPr>
          <w:p w14:paraId="7DCFDDD3" w14:textId="77777777" w:rsidR="00C1563E" w:rsidRDefault="00C1563E">
            <w:pPr>
              <w:rPr>
                <w:rFonts w:ascii="宋体"/>
                <w:vanish/>
              </w:rPr>
            </w:pPr>
          </w:p>
        </w:tc>
        <w:tc>
          <w:tcPr>
            <w:tcW w:w="0" w:type="auto"/>
            <w:shd w:val="clear" w:color="auto" w:fill="auto"/>
          </w:tcPr>
          <w:p w14:paraId="7DCFDDD4" w14:textId="77777777" w:rsidR="00C1563E" w:rsidRDefault="00C1563E">
            <w:pPr>
              <w:rPr>
                <w:rFonts w:ascii="宋体"/>
                <w:vanish/>
              </w:rPr>
            </w:pPr>
          </w:p>
        </w:tc>
        <w:tc>
          <w:tcPr>
            <w:tcW w:w="0" w:type="auto"/>
            <w:shd w:val="clear" w:color="auto" w:fill="auto"/>
          </w:tcPr>
          <w:p w14:paraId="7DCFDDD5" w14:textId="77777777" w:rsidR="00C1563E" w:rsidRDefault="00C1563E">
            <w:pPr>
              <w:rPr>
                <w:rFonts w:ascii="宋体"/>
                <w:vanish/>
              </w:rPr>
            </w:pPr>
          </w:p>
        </w:tc>
        <w:tc>
          <w:tcPr>
            <w:tcW w:w="0" w:type="auto"/>
            <w:shd w:val="clear" w:color="auto" w:fill="auto"/>
          </w:tcPr>
          <w:p w14:paraId="7DCFDDD6" w14:textId="77777777" w:rsidR="00C1563E" w:rsidRDefault="00C1563E">
            <w:pPr>
              <w:rPr>
                <w:rFonts w:ascii="宋体"/>
                <w:vanish/>
              </w:rPr>
            </w:pPr>
          </w:p>
        </w:tc>
        <w:tc>
          <w:tcPr>
            <w:tcW w:w="0" w:type="auto"/>
            <w:shd w:val="clear" w:color="auto" w:fill="auto"/>
          </w:tcPr>
          <w:p w14:paraId="7DCFDDD7" w14:textId="77777777" w:rsidR="00C1563E" w:rsidRDefault="00C1563E">
            <w:pPr>
              <w:rPr>
                <w:rFonts w:ascii="宋体"/>
                <w:vanish/>
              </w:rPr>
            </w:pPr>
          </w:p>
        </w:tc>
        <w:tc>
          <w:tcPr>
            <w:tcW w:w="0" w:type="auto"/>
            <w:shd w:val="clear" w:color="auto" w:fill="auto"/>
          </w:tcPr>
          <w:p w14:paraId="7DCFDDD8" w14:textId="77777777" w:rsidR="00C1563E" w:rsidRDefault="00C1563E">
            <w:pPr>
              <w:rPr>
                <w:rFonts w:ascii="宋体"/>
                <w:vanish/>
              </w:rPr>
            </w:pPr>
          </w:p>
        </w:tc>
        <w:tc>
          <w:tcPr>
            <w:tcW w:w="0" w:type="auto"/>
            <w:shd w:val="clear" w:color="auto" w:fill="auto"/>
          </w:tcPr>
          <w:p w14:paraId="7DCFDDD9" w14:textId="77777777" w:rsidR="00C1563E" w:rsidRDefault="00C1563E">
            <w:pPr>
              <w:rPr>
                <w:rFonts w:ascii="宋体"/>
                <w:vanish/>
              </w:rPr>
            </w:pPr>
          </w:p>
        </w:tc>
        <w:tc>
          <w:tcPr>
            <w:tcW w:w="0" w:type="auto"/>
            <w:shd w:val="clear" w:color="auto" w:fill="auto"/>
          </w:tcPr>
          <w:p w14:paraId="7DCFDDDA"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DDD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D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D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D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D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E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E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E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DE3" w14:textId="77777777" w:rsidR="00C1563E" w:rsidRDefault="00C1563E">
            <w:pPr>
              <w:rPr>
                <w:rFonts w:ascii="宋体"/>
              </w:rPr>
            </w:pPr>
          </w:p>
        </w:tc>
        <w:tc>
          <w:tcPr>
            <w:tcW w:w="0" w:type="auto"/>
            <w:gridSpan w:val="2"/>
            <w:shd w:val="clear" w:color="auto" w:fill="CCEEFF"/>
            <w:tcMar>
              <w:top w:w="0" w:type="dxa"/>
              <w:left w:w="20" w:type="dxa"/>
              <w:bottom w:w="0" w:type="dxa"/>
              <w:right w:w="20" w:type="dxa"/>
            </w:tcMar>
          </w:tcPr>
          <w:p w14:paraId="7DCFDDE4" w14:textId="77777777" w:rsidR="00C1563E" w:rsidRDefault="00C1563E">
            <w:pPr>
              <w:rPr>
                <w:rFonts w:ascii="宋体"/>
              </w:rPr>
            </w:pPr>
          </w:p>
        </w:tc>
        <w:tc>
          <w:tcPr>
            <w:tcW w:w="0" w:type="auto"/>
            <w:shd w:val="clear" w:color="auto" w:fill="CCEEFF"/>
            <w:tcMar>
              <w:top w:w="0" w:type="dxa"/>
              <w:left w:w="20" w:type="dxa"/>
              <w:bottom w:w="0" w:type="dxa"/>
              <w:right w:w="20" w:type="dxa"/>
            </w:tcMar>
          </w:tcPr>
          <w:p w14:paraId="7DCFDDE5" w14:textId="77777777" w:rsidR="00C1563E" w:rsidRDefault="00C1563E">
            <w:pPr>
              <w:rPr>
                <w:rFonts w:ascii="宋体"/>
              </w:rPr>
            </w:pPr>
          </w:p>
        </w:tc>
      </w:tr>
      <w:tr w:rsidR="00C1563E" w14:paraId="7DCFDE09" w14:textId="77777777">
        <w:trPr>
          <w:jc w:val="center"/>
        </w:trPr>
        <w:tc>
          <w:tcPr>
            <w:tcW w:w="0" w:type="auto"/>
            <w:gridSpan w:val="3"/>
            <w:shd w:val="clear" w:color="auto" w:fill="FFFFFF"/>
            <w:tcMar>
              <w:top w:w="40" w:type="dxa"/>
              <w:left w:w="155" w:type="dxa"/>
              <w:bottom w:w="40" w:type="dxa"/>
              <w:right w:w="20" w:type="dxa"/>
            </w:tcMar>
            <w:vAlign w:val="bottom"/>
          </w:tcPr>
          <w:p w14:paraId="7DCFDDE7" w14:textId="77777777" w:rsidR="00C1563E" w:rsidRDefault="000B648B">
            <w:pPr>
              <w:textAlignment w:val="bottom"/>
            </w:pPr>
            <w:r>
              <w:rPr>
                <w:rFonts w:ascii="Times New Roman" w:eastAsia="宋体" w:hAnsi="Times New Roman"/>
                <w:color w:val="000000"/>
                <w:sz w:val="18"/>
                <w:szCs w:val="18"/>
              </w:rPr>
              <w:t>Selling, general, and administrative</w:t>
            </w:r>
          </w:p>
        </w:tc>
        <w:tc>
          <w:tcPr>
            <w:tcW w:w="0" w:type="auto"/>
            <w:shd w:val="clear" w:color="auto" w:fill="auto"/>
          </w:tcPr>
          <w:p w14:paraId="7DCFDDE8" w14:textId="77777777" w:rsidR="00C1563E" w:rsidRDefault="00C1563E">
            <w:pPr>
              <w:rPr>
                <w:rFonts w:ascii="宋体"/>
                <w:vanish/>
              </w:rPr>
            </w:pPr>
          </w:p>
        </w:tc>
        <w:tc>
          <w:tcPr>
            <w:tcW w:w="0" w:type="auto"/>
            <w:shd w:val="clear" w:color="auto" w:fill="auto"/>
          </w:tcPr>
          <w:p w14:paraId="7DCFDDE9" w14:textId="77777777" w:rsidR="00C1563E" w:rsidRDefault="00C1563E">
            <w:pPr>
              <w:rPr>
                <w:rFonts w:ascii="宋体"/>
                <w:vanish/>
              </w:rPr>
            </w:pPr>
          </w:p>
        </w:tc>
        <w:tc>
          <w:tcPr>
            <w:tcW w:w="0" w:type="auto"/>
            <w:shd w:val="clear" w:color="auto" w:fill="auto"/>
          </w:tcPr>
          <w:p w14:paraId="7DCFDDEA" w14:textId="77777777" w:rsidR="00C1563E" w:rsidRDefault="00C1563E">
            <w:pPr>
              <w:rPr>
                <w:rFonts w:ascii="宋体"/>
                <w:vanish/>
              </w:rPr>
            </w:pPr>
          </w:p>
        </w:tc>
        <w:tc>
          <w:tcPr>
            <w:tcW w:w="0" w:type="auto"/>
            <w:shd w:val="clear" w:color="auto" w:fill="auto"/>
          </w:tcPr>
          <w:p w14:paraId="7DCFDDEB" w14:textId="77777777" w:rsidR="00C1563E" w:rsidRDefault="00C1563E">
            <w:pPr>
              <w:rPr>
                <w:rFonts w:ascii="宋体"/>
                <w:vanish/>
              </w:rPr>
            </w:pPr>
          </w:p>
        </w:tc>
        <w:tc>
          <w:tcPr>
            <w:tcW w:w="0" w:type="auto"/>
            <w:shd w:val="clear" w:color="auto" w:fill="auto"/>
          </w:tcPr>
          <w:p w14:paraId="7DCFDDEC" w14:textId="77777777" w:rsidR="00C1563E" w:rsidRDefault="00C1563E">
            <w:pPr>
              <w:rPr>
                <w:rFonts w:ascii="宋体"/>
                <w:vanish/>
              </w:rPr>
            </w:pPr>
          </w:p>
        </w:tc>
        <w:tc>
          <w:tcPr>
            <w:tcW w:w="0" w:type="auto"/>
            <w:shd w:val="clear" w:color="auto" w:fill="auto"/>
          </w:tcPr>
          <w:p w14:paraId="7DCFDDED" w14:textId="77777777" w:rsidR="00C1563E" w:rsidRDefault="00C1563E">
            <w:pPr>
              <w:rPr>
                <w:rFonts w:ascii="宋体"/>
                <w:vanish/>
              </w:rPr>
            </w:pPr>
          </w:p>
        </w:tc>
        <w:tc>
          <w:tcPr>
            <w:tcW w:w="0" w:type="auto"/>
            <w:shd w:val="clear" w:color="auto" w:fill="auto"/>
          </w:tcPr>
          <w:p w14:paraId="7DCFDDEE" w14:textId="77777777" w:rsidR="00C1563E" w:rsidRDefault="00C1563E">
            <w:pPr>
              <w:rPr>
                <w:rFonts w:ascii="宋体"/>
                <w:vanish/>
              </w:rPr>
            </w:pPr>
          </w:p>
        </w:tc>
        <w:tc>
          <w:tcPr>
            <w:tcW w:w="0" w:type="auto"/>
            <w:shd w:val="clear" w:color="auto" w:fill="auto"/>
          </w:tcPr>
          <w:p w14:paraId="7DCFDDEF" w14:textId="77777777" w:rsidR="00C1563E" w:rsidRDefault="00C1563E">
            <w:pPr>
              <w:rPr>
                <w:rFonts w:ascii="宋体"/>
                <w:vanish/>
              </w:rPr>
            </w:pPr>
          </w:p>
        </w:tc>
        <w:tc>
          <w:tcPr>
            <w:tcW w:w="0" w:type="auto"/>
            <w:shd w:val="clear" w:color="auto" w:fill="auto"/>
          </w:tcPr>
          <w:p w14:paraId="7DCFDDF0" w14:textId="77777777" w:rsidR="00C1563E" w:rsidRDefault="00C1563E">
            <w:pPr>
              <w:rPr>
                <w:rFonts w:ascii="宋体"/>
                <w:vanish/>
              </w:rPr>
            </w:pPr>
          </w:p>
        </w:tc>
        <w:tc>
          <w:tcPr>
            <w:tcW w:w="0" w:type="auto"/>
            <w:shd w:val="clear" w:color="auto" w:fill="auto"/>
          </w:tcPr>
          <w:p w14:paraId="7DCFDDF1"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DF2"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DF3" w14:textId="77777777" w:rsidR="00C1563E" w:rsidRDefault="000B648B">
            <w:pPr>
              <w:jc w:val="right"/>
              <w:textAlignment w:val="bottom"/>
            </w:pPr>
            <w:r>
              <w:rPr>
                <w:rFonts w:ascii="Times New Roman" w:eastAsia="宋体" w:hAnsi="Times New Roman"/>
                <w:color w:val="000000"/>
                <w:sz w:val="18"/>
                <w:szCs w:val="18"/>
              </w:rPr>
              <w:t>18,998 </w:t>
            </w:r>
          </w:p>
        </w:tc>
        <w:tc>
          <w:tcPr>
            <w:tcW w:w="0" w:type="auto"/>
            <w:shd w:val="clear" w:color="auto" w:fill="FFFFFF"/>
            <w:tcMar>
              <w:top w:w="40" w:type="dxa"/>
              <w:left w:w="0" w:type="dxa"/>
              <w:bottom w:w="40" w:type="dxa"/>
              <w:right w:w="20" w:type="dxa"/>
            </w:tcMar>
            <w:vAlign w:val="bottom"/>
          </w:tcPr>
          <w:p w14:paraId="7DCFDDF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DF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DF6" w14:textId="77777777" w:rsidR="00C1563E" w:rsidRDefault="000B648B">
            <w:pPr>
              <w:jc w:val="right"/>
              <w:textAlignment w:val="bottom"/>
            </w:pPr>
            <w:r>
              <w:rPr>
                <w:rFonts w:ascii="Times New Roman" w:eastAsia="宋体" w:hAnsi="Times New Roman"/>
                <w:color w:val="000000"/>
                <w:sz w:val="18"/>
                <w:szCs w:val="18"/>
              </w:rPr>
              <w:t>20.1 </w:t>
            </w:r>
          </w:p>
        </w:tc>
        <w:tc>
          <w:tcPr>
            <w:tcW w:w="0" w:type="auto"/>
            <w:shd w:val="clear" w:color="auto" w:fill="FFFFFF"/>
            <w:tcMar>
              <w:top w:w="40" w:type="dxa"/>
              <w:left w:w="0" w:type="dxa"/>
              <w:bottom w:w="40" w:type="dxa"/>
              <w:right w:w="20" w:type="dxa"/>
            </w:tcMar>
            <w:vAlign w:val="bottom"/>
          </w:tcPr>
          <w:p w14:paraId="7DCFDDF7"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DF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DF9" w14:textId="77777777" w:rsidR="00C1563E" w:rsidRDefault="000B648B">
            <w:pPr>
              <w:jc w:val="right"/>
              <w:textAlignment w:val="bottom"/>
            </w:pPr>
            <w:r>
              <w:rPr>
                <w:rFonts w:ascii="Times New Roman" w:eastAsia="宋体" w:hAnsi="Times New Roman"/>
                <w:color w:val="000000"/>
                <w:sz w:val="18"/>
                <w:szCs w:val="18"/>
              </w:rPr>
              <w:t>(11)</w:t>
            </w:r>
          </w:p>
        </w:tc>
        <w:tc>
          <w:tcPr>
            <w:tcW w:w="0" w:type="auto"/>
            <w:shd w:val="clear" w:color="auto" w:fill="FFFFFF"/>
            <w:tcMar>
              <w:top w:w="40" w:type="dxa"/>
              <w:left w:w="0" w:type="dxa"/>
              <w:bottom w:w="40" w:type="dxa"/>
              <w:right w:w="20" w:type="dxa"/>
            </w:tcMar>
            <w:vAlign w:val="bottom"/>
          </w:tcPr>
          <w:p w14:paraId="7DCFDDF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DF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DFC"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DCFDDFD" w14:textId="77777777" w:rsidR="00C1563E" w:rsidRDefault="000B648B">
            <w:pPr>
              <w:jc w:val="right"/>
              <w:textAlignment w:val="bottom"/>
            </w:pPr>
            <w:r>
              <w:rPr>
                <w:rFonts w:ascii="Times New Roman" w:eastAsia="宋体" w:hAnsi="Times New Roman"/>
                <w:color w:val="000000"/>
                <w:sz w:val="18"/>
                <w:szCs w:val="18"/>
              </w:rPr>
              <w:t>21,319 </w:t>
            </w:r>
          </w:p>
        </w:tc>
        <w:tc>
          <w:tcPr>
            <w:tcW w:w="0" w:type="auto"/>
            <w:shd w:val="clear" w:color="auto" w:fill="FFFFFF"/>
            <w:tcMar>
              <w:top w:w="40" w:type="dxa"/>
              <w:left w:w="0" w:type="dxa"/>
              <w:bottom w:w="40" w:type="dxa"/>
              <w:right w:w="20" w:type="dxa"/>
            </w:tcMar>
            <w:vAlign w:val="bottom"/>
          </w:tcPr>
          <w:p w14:paraId="7DCFDDF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DF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E00" w14:textId="77777777" w:rsidR="00C1563E" w:rsidRDefault="000B648B">
            <w:pPr>
              <w:jc w:val="right"/>
              <w:textAlignment w:val="bottom"/>
            </w:pPr>
            <w:r>
              <w:rPr>
                <w:rFonts w:ascii="Times New Roman" w:eastAsia="宋体" w:hAnsi="Times New Roman"/>
                <w:color w:val="000000"/>
                <w:sz w:val="18"/>
                <w:szCs w:val="18"/>
              </w:rPr>
              <w:t>23.2 </w:t>
            </w:r>
          </w:p>
        </w:tc>
        <w:tc>
          <w:tcPr>
            <w:tcW w:w="0" w:type="auto"/>
            <w:shd w:val="clear" w:color="auto" w:fill="FFFFFF"/>
            <w:tcMar>
              <w:top w:w="40" w:type="dxa"/>
              <w:left w:w="0" w:type="dxa"/>
              <w:bottom w:w="40" w:type="dxa"/>
              <w:right w:w="20" w:type="dxa"/>
            </w:tcMar>
            <w:vAlign w:val="bottom"/>
          </w:tcPr>
          <w:p w14:paraId="7DCFDE01"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E0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E03" w14:textId="77777777" w:rsidR="00C1563E" w:rsidRDefault="000B648B">
            <w:pPr>
              <w:jc w:val="right"/>
              <w:textAlignment w:val="bottom"/>
            </w:pPr>
            <w:r>
              <w:rPr>
                <w:rFonts w:ascii="Times New Roman" w:eastAsia="宋体" w:hAnsi="Times New Roman"/>
                <w:color w:val="000000"/>
                <w:sz w:val="18"/>
                <w:szCs w:val="18"/>
              </w:rPr>
              <w:t>3 </w:t>
            </w:r>
          </w:p>
          <w:p w14:paraId="7DCFDE04" w14:textId="77777777" w:rsidR="00C1563E" w:rsidRDefault="000B648B">
            <w:pPr>
              <w:jc w:val="right"/>
              <w:textAlignment w:val="bottom"/>
            </w:pPr>
            <w:r>
              <w:rPr>
                <w:rFonts w:ascii="Times New Roman" w:eastAsia="宋体" w:hAnsi="Times New Roman"/>
                <w:color w:val="000000"/>
                <w:sz w:val="18"/>
                <w:szCs w:val="18"/>
              </w:rPr>
              <w:t>%</w:t>
            </w:r>
          </w:p>
          <w:p w14:paraId="7DCFDE05" w14:textId="77777777" w:rsidR="00C1563E" w:rsidRDefault="000B648B">
            <w:pPr>
              <w:textAlignment w:val="bottom"/>
            </w:pPr>
            <w:r>
              <w:rPr>
                <w:rFonts w:ascii="Times New Roman" w:eastAsia="宋体" w:hAnsi="Times New Roman"/>
                <w:color w:val="000000"/>
                <w:sz w:val="18"/>
                <w:szCs w:val="18"/>
              </w:rPr>
              <w:t>$</w:t>
            </w:r>
          </w:p>
          <w:p w14:paraId="7DCFDE06" w14:textId="77777777" w:rsidR="00C1563E" w:rsidRDefault="000B648B">
            <w:pPr>
              <w:jc w:val="right"/>
              <w:textAlignment w:val="bottom"/>
            </w:pPr>
            <w:r>
              <w:rPr>
                <w:rFonts w:ascii="Times New Roman" w:eastAsia="宋体" w:hAnsi="Times New Roman"/>
                <w:color w:val="000000"/>
                <w:sz w:val="18"/>
                <w:szCs w:val="18"/>
              </w:rPr>
              <w:t>20,640 </w:t>
            </w:r>
          </w:p>
          <w:p w14:paraId="7DCFDE07" w14:textId="77777777" w:rsidR="00C1563E" w:rsidRDefault="000B648B">
            <w:pPr>
              <w:jc w:val="right"/>
              <w:textAlignment w:val="bottom"/>
            </w:pPr>
            <w:r>
              <w:rPr>
                <w:rFonts w:ascii="Times New Roman" w:eastAsia="宋体" w:hAnsi="Times New Roman"/>
                <w:color w:val="000000"/>
                <w:sz w:val="18"/>
                <w:szCs w:val="18"/>
              </w:rPr>
              <w:t>22.7 </w:t>
            </w:r>
          </w:p>
          <w:p w14:paraId="7DCFDE0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E29" w14:textId="77777777">
        <w:trPr>
          <w:jc w:val="center"/>
        </w:trPr>
        <w:tc>
          <w:tcPr>
            <w:tcW w:w="0" w:type="auto"/>
            <w:gridSpan w:val="3"/>
            <w:shd w:val="clear" w:color="auto" w:fill="CCEEFF"/>
            <w:tcMar>
              <w:top w:w="40" w:type="dxa"/>
              <w:left w:w="155" w:type="dxa"/>
              <w:bottom w:w="40" w:type="dxa"/>
              <w:right w:w="20" w:type="dxa"/>
            </w:tcMar>
            <w:vAlign w:val="bottom"/>
          </w:tcPr>
          <w:p w14:paraId="7DCFDE0A" w14:textId="77777777" w:rsidR="00C1563E" w:rsidRDefault="000B648B">
            <w:pPr>
              <w:textAlignment w:val="bottom"/>
            </w:pPr>
            <w:r>
              <w:rPr>
                <w:rFonts w:ascii="Times New Roman" w:eastAsia="宋体" w:hAnsi="Times New Roman"/>
                <w:color w:val="000000"/>
                <w:sz w:val="18"/>
                <w:szCs w:val="18"/>
              </w:rPr>
              <w:t>Research and deve</w:t>
            </w:r>
            <w:r>
              <w:rPr>
                <w:rFonts w:ascii="Times New Roman" w:eastAsia="宋体" w:hAnsi="Times New Roman"/>
                <w:color w:val="000000"/>
                <w:sz w:val="18"/>
                <w:szCs w:val="18"/>
              </w:rPr>
              <w:t>lopment</w:t>
            </w:r>
          </w:p>
        </w:tc>
        <w:tc>
          <w:tcPr>
            <w:tcW w:w="0" w:type="auto"/>
            <w:shd w:val="clear" w:color="auto" w:fill="auto"/>
          </w:tcPr>
          <w:p w14:paraId="7DCFDE0B" w14:textId="77777777" w:rsidR="00C1563E" w:rsidRDefault="00C1563E">
            <w:pPr>
              <w:rPr>
                <w:rFonts w:ascii="宋体"/>
                <w:vanish/>
              </w:rPr>
            </w:pPr>
          </w:p>
        </w:tc>
        <w:tc>
          <w:tcPr>
            <w:tcW w:w="0" w:type="auto"/>
            <w:shd w:val="clear" w:color="auto" w:fill="auto"/>
          </w:tcPr>
          <w:p w14:paraId="7DCFDE0C" w14:textId="77777777" w:rsidR="00C1563E" w:rsidRDefault="00C1563E">
            <w:pPr>
              <w:rPr>
                <w:rFonts w:ascii="宋体"/>
                <w:vanish/>
              </w:rPr>
            </w:pPr>
          </w:p>
        </w:tc>
        <w:tc>
          <w:tcPr>
            <w:tcW w:w="0" w:type="auto"/>
            <w:shd w:val="clear" w:color="auto" w:fill="auto"/>
          </w:tcPr>
          <w:p w14:paraId="7DCFDE0D" w14:textId="77777777" w:rsidR="00C1563E" w:rsidRDefault="00C1563E">
            <w:pPr>
              <w:rPr>
                <w:rFonts w:ascii="宋体"/>
                <w:vanish/>
              </w:rPr>
            </w:pPr>
          </w:p>
        </w:tc>
        <w:tc>
          <w:tcPr>
            <w:tcW w:w="0" w:type="auto"/>
            <w:shd w:val="clear" w:color="auto" w:fill="auto"/>
          </w:tcPr>
          <w:p w14:paraId="7DCFDE0E" w14:textId="77777777" w:rsidR="00C1563E" w:rsidRDefault="00C1563E">
            <w:pPr>
              <w:rPr>
                <w:rFonts w:ascii="宋体"/>
                <w:vanish/>
              </w:rPr>
            </w:pPr>
          </w:p>
        </w:tc>
        <w:tc>
          <w:tcPr>
            <w:tcW w:w="0" w:type="auto"/>
            <w:shd w:val="clear" w:color="auto" w:fill="auto"/>
          </w:tcPr>
          <w:p w14:paraId="7DCFDE0F" w14:textId="77777777" w:rsidR="00C1563E" w:rsidRDefault="00C1563E">
            <w:pPr>
              <w:rPr>
                <w:rFonts w:ascii="宋体"/>
                <w:vanish/>
              </w:rPr>
            </w:pPr>
          </w:p>
        </w:tc>
        <w:tc>
          <w:tcPr>
            <w:tcW w:w="0" w:type="auto"/>
            <w:shd w:val="clear" w:color="auto" w:fill="auto"/>
          </w:tcPr>
          <w:p w14:paraId="7DCFDE10" w14:textId="77777777" w:rsidR="00C1563E" w:rsidRDefault="00C1563E">
            <w:pPr>
              <w:rPr>
                <w:rFonts w:ascii="宋体"/>
                <w:vanish/>
              </w:rPr>
            </w:pPr>
          </w:p>
        </w:tc>
        <w:tc>
          <w:tcPr>
            <w:tcW w:w="0" w:type="auto"/>
            <w:shd w:val="clear" w:color="auto" w:fill="auto"/>
          </w:tcPr>
          <w:p w14:paraId="7DCFDE11" w14:textId="77777777" w:rsidR="00C1563E" w:rsidRDefault="00C1563E">
            <w:pPr>
              <w:rPr>
                <w:rFonts w:ascii="宋体"/>
                <w:vanish/>
              </w:rPr>
            </w:pPr>
          </w:p>
        </w:tc>
        <w:tc>
          <w:tcPr>
            <w:tcW w:w="0" w:type="auto"/>
            <w:shd w:val="clear" w:color="auto" w:fill="auto"/>
          </w:tcPr>
          <w:p w14:paraId="7DCFDE12" w14:textId="77777777" w:rsidR="00C1563E" w:rsidRDefault="00C1563E">
            <w:pPr>
              <w:rPr>
                <w:rFonts w:ascii="宋体"/>
                <w:vanish/>
              </w:rPr>
            </w:pPr>
          </w:p>
        </w:tc>
        <w:tc>
          <w:tcPr>
            <w:tcW w:w="0" w:type="auto"/>
            <w:shd w:val="clear" w:color="auto" w:fill="auto"/>
          </w:tcPr>
          <w:p w14:paraId="7DCFDE13" w14:textId="77777777" w:rsidR="00C1563E" w:rsidRDefault="00C1563E">
            <w:pPr>
              <w:rPr>
                <w:rFonts w:ascii="宋体"/>
                <w:vanish/>
              </w:rPr>
            </w:pPr>
          </w:p>
        </w:tc>
        <w:tc>
          <w:tcPr>
            <w:tcW w:w="0" w:type="auto"/>
            <w:shd w:val="clear" w:color="auto" w:fill="auto"/>
          </w:tcPr>
          <w:p w14:paraId="7DCFDE1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E15" w14:textId="77777777" w:rsidR="00C1563E" w:rsidRDefault="000B648B">
            <w:pPr>
              <w:jc w:val="right"/>
              <w:textAlignment w:val="bottom"/>
            </w:pPr>
            <w:r>
              <w:rPr>
                <w:rFonts w:ascii="Times New Roman" w:eastAsia="宋体" w:hAnsi="Times New Roman"/>
                <w:color w:val="000000"/>
                <w:sz w:val="18"/>
                <w:szCs w:val="18"/>
              </w:rPr>
              <w:t>5,275 </w:t>
            </w:r>
          </w:p>
        </w:tc>
        <w:tc>
          <w:tcPr>
            <w:tcW w:w="0" w:type="auto"/>
            <w:shd w:val="clear" w:color="auto" w:fill="CCEEFF"/>
            <w:tcMar>
              <w:top w:w="40" w:type="dxa"/>
              <w:left w:w="0" w:type="dxa"/>
              <w:bottom w:w="40" w:type="dxa"/>
              <w:right w:w="20" w:type="dxa"/>
            </w:tcMar>
            <w:vAlign w:val="bottom"/>
          </w:tcPr>
          <w:p w14:paraId="7DCFDE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E1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18" w14:textId="77777777" w:rsidR="00C1563E" w:rsidRDefault="000B648B">
            <w:pPr>
              <w:jc w:val="right"/>
              <w:textAlignment w:val="bottom"/>
            </w:pPr>
            <w:r>
              <w:rPr>
                <w:rFonts w:ascii="Times New Roman" w:eastAsia="宋体" w:hAnsi="Times New Roman"/>
                <w:color w:val="000000"/>
                <w:sz w:val="18"/>
                <w:szCs w:val="18"/>
              </w:rPr>
              <w:t>5.6 </w:t>
            </w:r>
          </w:p>
        </w:tc>
        <w:tc>
          <w:tcPr>
            <w:tcW w:w="0" w:type="auto"/>
            <w:shd w:val="clear" w:color="auto" w:fill="CCEEFF"/>
            <w:tcMar>
              <w:top w:w="40" w:type="dxa"/>
              <w:left w:w="0" w:type="dxa"/>
              <w:bottom w:w="40" w:type="dxa"/>
              <w:right w:w="20" w:type="dxa"/>
            </w:tcMar>
            <w:vAlign w:val="bottom"/>
          </w:tcPr>
          <w:p w14:paraId="7DCFDE1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E1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1B" w14:textId="77777777" w:rsidR="00C1563E" w:rsidRDefault="000B648B">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7DCFDE1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E1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1E" w14:textId="77777777" w:rsidR="00C1563E" w:rsidRDefault="000B648B">
            <w:pPr>
              <w:jc w:val="right"/>
              <w:textAlignment w:val="bottom"/>
            </w:pPr>
            <w:r>
              <w:rPr>
                <w:rFonts w:ascii="Times New Roman" w:eastAsia="宋体" w:hAnsi="Times New Roman"/>
                <w:color w:val="000000"/>
                <w:sz w:val="18"/>
                <w:szCs w:val="18"/>
              </w:rPr>
              <w:t>4,992 </w:t>
            </w:r>
          </w:p>
        </w:tc>
        <w:tc>
          <w:tcPr>
            <w:tcW w:w="0" w:type="auto"/>
            <w:shd w:val="clear" w:color="auto" w:fill="CCEEFF"/>
            <w:tcMar>
              <w:top w:w="40" w:type="dxa"/>
              <w:left w:w="0" w:type="dxa"/>
              <w:bottom w:w="40" w:type="dxa"/>
              <w:right w:w="20" w:type="dxa"/>
            </w:tcMar>
            <w:vAlign w:val="bottom"/>
          </w:tcPr>
          <w:p w14:paraId="7DCFDE1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E2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21" w14:textId="77777777" w:rsidR="00C1563E" w:rsidRDefault="000B648B">
            <w:pPr>
              <w:jc w:val="right"/>
              <w:textAlignment w:val="bottom"/>
            </w:pPr>
            <w:r>
              <w:rPr>
                <w:rFonts w:ascii="Times New Roman" w:eastAsia="宋体" w:hAnsi="Times New Roman"/>
                <w:color w:val="000000"/>
                <w:sz w:val="18"/>
                <w:szCs w:val="18"/>
              </w:rPr>
              <w:t>5.4 </w:t>
            </w:r>
          </w:p>
        </w:tc>
        <w:tc>
          <w:tcPr>
            <w:tcW w:w="0" w:type="auto"/>
            <w:shd w:val="clear" w:color="auto" w:fill="CCEEFF"/>
            <w:tcMar>
              <w:top w:w="40" w:type="dxa"/>
              <w:left w:w="0" w:type="dxa"/>
              <w:bottom w:w="40" w:type="dxa"/>
              <w:right w:w="20" w:type="dxa"/>
            </w:tcMar>
            <w:vAlign w:val="bottom"/>
          </w:tcPr>
          <w:p w14:paraId="7DCFDE22"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E2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E24" w14:textId="77777777" w:rsidR="00C1563E" w:rsidRDefault="000B648B">
            <w:pPr>
              <w:jc w:val="right"/>
              <w:textAlignment w:val="bottom"/>
            </w:pPr>
            <w:r>
              <w:rPr>
                <w:rFonts w:ascii="Times New Roman" w:eastAsia="宋体" w:hAnsi="Times New Roman"/>
                <w:color w:val="000000"/>
                <w:sz w:val="18"/>
                <w:szCs w:val="18"/>
              </w:rPr>
              <w:t>8 </w:t>
            </w:r>
          </w:p>
          <w:p w14:paraId="7DCFDE25" w14:textId="77777777" w:rsidR="00C1563E" w:rsidRDefault="000B648B">
            <w:pPr>
              <w:jc w:val="right"/>
              <w:textAlignment w:val="bottom"/>
            </w:pPr>
            <w:r>
              <w:rPr>
                <w:rFonts w:ascii="Times New Roman" w:eastAsia="宋体" w:hAnsi="Times New Roman"/>
                <w:color w:val="000000"/>
                <w:sz w:val="18"/>
                <w:szCs w:val="18"/>
              </w:rPr>
              <w:t>%</w:t>
            </w:r>
          </w:p>
          <w:p w14:paraId="7DCFDE26" w14:textId="77777777" w:rsidR="00C1563E" w:rsidRDefault="000B648B">
            <w:pPr>
              <w:jc w:val="right"/>
              <w:textAlignment w:val="bottom"/>
            </w:pPr>
            <w:r>
              <w:rPr>
                <w:rFonts w:ascii="Times New Roman" w:eastAsia="宋体" w:hAnsi="Times New Roman"/>
                <w:color w:val="000000"/>
                <w:sz w:val="18"/>
                <w:szCs w:val="18"/>
              </w:rPr>
              <w:t>4,604 </w:t>
            </w:r>
          </w:p>
          <w:p w14:paraId="7DCFDE27" w14:textId="77777777" w:rsidR="00C1563E" w:rsidRDefault="000B648B">
            <w:pPr>
              <w:jc w:val="right"/>
              <w:textAlignment w:val="bottom"/>
            </w:pPr>
            <w:r>
              <w:rPr>
                <w:rFonts w:ascii="Times New Roman" w:eastAsia="宋体" w:hAnsi="Times New Roman"/>
                <w:color w:val="000000"/>
                <w:sz w:val="18"/>
                <w:szCs w:val="18"/>
              </w:rPr>
              <w:t>5.1 </w:t>
            </w:r>
          </w:p>
          <w:p w14:paraId="7DCFDE28"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E4C" w14:textId="77777777">
        <w:trPr>
          <w:jc w:val="center"/>
        </w:trPr>
        <w:tc>
          <w:tcPr>
            <w:tcW w:w="0" w:type="auto"/>
            <w:gridSpan w:val="3"/>
            <w:shd w:val="clear" w:color="auto" w:fill="FFFFFF"/>
            <w:tcMar>
              <w:top w:w="40" w:type="dxa"/>
              <w:left w:w="245" w:type="dxa"/>
              <w:bottom w:w="40" w:type="dxa"/>
              <w:right w:w="20" w:type="dxa"/>
            </w:tcMar>
            <w:vAlign w:val="bottom"/>
          </w:tcPr>
          <w:p w14:paraId="7DCFDE2A" w14:textId="77777777" w:rsidR="00C1563E" w:rsidRDefault="000B648B">
            <w:pPr>
              <w:textAlignment w:val="bottom"/>
            </w:pPr>
            <w:r>
              <w:rPr>
                <w:rFonts w:ascii="Times New Roman" w:eastAsia="宋体" w:hAnsi="Times New Roman"/>
                <w:color w:val="000000"/>
                <w:sz w:val="18"/>
                <w:szCs w:val="18"/>
              </w:rPr>
              <w:t>Total operating expenses</w:t>
            </w:r>
          </w:p>
        </w:tc>
        <w:tc>
          <w:tcPr>
            <w:tcW w:w="0" w:type="auto"/>
            <w:shd w:val="clear" w:color="auto" w:fill="auto"/>
          </w:tcPr>
          <w:p w14:paraId="7DCFDE2B" w14:textId="77777777" w:rsidR="00C1563E" w:rsidRDefault="00C1563E">
            <w:pPr>
              <w:rPr>
                <w:rFonts w:ascii="宋体"/>
                <w:vanish/>
              </w:rPr>
            </w:pPr>
          </w:p>
        </w:tc>
        <w:tc>
          <w:tcPr>
            <w:tcW w:w="0" w:type="auto"/>
            <w:shd w:val="clear" w:color="auto" w:fill="auto"/>
          </w:tcPr>
          <w:p w14:paraId="7DCFDE2C" w14:textId="77777777" w:rsidR="00C1563E" w:rsidRDefault="00C1563E">
            <w:pPr>
              <w:rPr>
                <w:rFonts w:ascii="宋体"/>
                <w:vanish/>
              </w:rPr>
            </w:pPr>
          </w:p>
        </w:tc>
        <w:tc>
          <w:tcPr>
            <w:tcW w:w="0" w:type="auto"/>
            <w:shd w:val="clear" w:color="auto" w:fill="auto"/>
          </w:tcPr>
          <w:p w14:paraId="7DCFDE2D" w14:textId="77777777" w:rsidR="00C1563E" w:rsidRDefault="00C1563E">
            <w:pPr>
              <w:rPr>
                <w:rFonts w:ascii="宋体"/>
                <w:vanish/>
              </w:rPr>
            </w:pPr>
          </w:p>
        </w:tc>
        <w:tc>
          <w:tcPr>
            <w:tcW w:w="0" w:type="auto"/>
            <w:shd w:val="clear" w:color="auto" w:fill="auto"/>
          </w:tcPr>
          <w:p w14:paraId="7DCFDE2E" w14:textId="77777777" w:rsidR="00C1563E" w:rsidRDefault="00C1563E">
            <w:pPr>
              <w:rPr>
                <w:rFonts w:ascii="宋体"/>
                <w:vanish/>
              </w:rPr>
            </w:pPr>
          </w:p>
        </w:tc>
        <w:tc>
          <w:tcPr>
            <w:tcW w:w="0" w:type="auto"/>
            <w:shd w:val="clear" w:color="auto" w:fill="auto"/>
          </w:tcPr>
          <w:p w14:paraId="7DCFDE2F" w14:textId="77777777" w:rsidR="00C1563E" w:rsidRDefault="00C1563E">
            <w:pPr>
              <w:rPr>
                <w:rFonts w:ascii="宋体"/>
                <w:vanish/>
              </w:rPr>
            </w:pPr>
          </w:p>
        </w:tc>
        <w:tc>
          <w:tcPr>
            <w:tcW w:w="0" w:type="auto"/>
            <w:shd w:val="clear" w:color="auto" w:fill="auto"/>
          </w:tcPr>
          <w:p w14:paraId="7DCFDE30" w14:textId="77777777" w:rsidR="00C1563E" w:rsidRDefault="00C1563E">
            <w:pPr>
              <w:rPr>
                <w:rFonts w:ascii="宋体"/>
                <w:vanish/>
              </w:rPr>
            </w:pPr>
          </w:p>
        </w:tc>
        <w:tc>
          <w:tcPr>
            <w:tcW w:w="0" w:type="auto"/>
            <w:shd w:val="clear" w:color="auto" w:fill="auto"/>
          </w:tcPr>
          <w:p w14:paraId="7DCFDE31" w14:textId="77777777" w:rsidR="00C1563E" w:rsidRDefault="00C1563E">
            <w:pPr>
              <w:rPr>
                <w:rFonts w:ascii="宋体"/>
                <w:vanish/>
              </w:rPr>
            </w:pPr>
          </w:p>
        </w:tc>
        <w:tc>
          <w:tcPr>
            <w:tcW w:w="0" w:type="auto"/>
            <w:shd w:val="clear" w:color="auto" w:fill="auto"/>
          </w:tcPr>
          <w:p w14:paraId="7DCFDE32" w14:textId="77777777" w:rsidR="00C1563E" w:rsidRDefault="00C1563E">
            <w:pPr>
              <w:rPr>
                <w:rFonts w:ascii="宋体"/>
                <w:vanish/>
              </w:rPr>
            </w:pPr>
          </w:p>
        </w:tc>
        <w:tc>
          <w:tcPr>
            <w:tcW w:w="0" w:type="auto"/>
            <w:shd w:val="clear" w:color="auto" w:fill="auto"/>
          </w:tcPr>
          <w:p w14:paraId="7DCFDE33" w14:textId="77777777" w:rsidR="00C1563E" w:rsidRDefault="00C1563E">
            <w:pPr>
              <w:rPr>
                <w:rFonts w:ascii="宋体"/>
                <w:vanish/>
              </w:rPr>
            </w:pPr>
          </w:p>
        </w:tc>
        <w:tc>
          <w:tcPr>
            <w:tcW w:w="0" w:type="auto"/>
            <w:shd w:val="clear" w:color="auto" w:fill="auto"/>
          </w:tcPr>
          <w:p w14:paraId="7DCFDE34"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E35"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E36" w14:textId="77777777" w:rsidR="00C1563E" w:rsidRDefault="000B648B">
            <w:pPr>
              <w:jc w:val="right"/>
              <w:textAlignment w:val="bottom"/>
            </w:pPr>
            <w:r>
              <w:rPr>
                <w:rFonts w:ascii="Times New Roman" w:eastAsia="宋体" w:hAnsi="Times New Roman"/>
                <w:color w:val="000000"/>
                <w:sz w:val="18"/>
                <w:szCs w:val="18"/>
              </w:rPr>
              <w:t>24,273 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E3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E3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E39" w14:textId="77777777" w:rsidR="00C1563E" w:rsidRDefault="000B648B">
            <w:pPr>
              <w:jc w:val="right"/>
              <w:textAlignment w:val="bottom"/>
            </w:pPr>
            <w:r>
              <w:rPr>
                <w:rFonts w:ascii="Times New Roman" w:eastAsia="宋体" w:hAnsi="Times New Roman"/>
                <w:color w:val="000000"/>
                <w:sz w:val="18"/>
                <w:szCs w:val="18"/>
              </w:rPr>
              <w:t>25.7 </w:t>
            </w:r>
          </w:p>
        </w:tc>
        <w:tc>
          <w:tcPr>
            <w:tcW w:w="0" w:type="auto"/>
            <w:shd w:val="clear" w:color="auto" w:fill="FFFFFF"/>
            <w:tcMar>
              <w:top w:w="40" w:type="dxa"/>
              <w:left w:w="0" w:type="dxa"/>
              <w:bottom w:w="40" w:type="dxa"/>
              <w:right w:w="20" w:type="dxa"/>
            </w:tcMar>
            <w:vAlign w:val="bottom"/>
          </w:tcPr>
          <w:p w14:paraId="7DCFDE3A"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E3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E3C" w14:textId="77777777" w:rsidR="00C1563E" w:rsidRDefault="000B648B">
            <w:pPr>
              <w:jc w:val="right"/>
              <w:textAlignment w:val="bottom"/>
            </w:pPr>
            <w:r>
              <w:rPr>
                <w:rFonts w:ascii="Times New Roman" w:eastAsia="宋体" w:hAnsi="Times New Roman"/>
                <w:color w:val="000000"/>
                <w:sz w:val="18"/>
                <w:szCs w:val="18"/>
              </w:rPr>
              <w:t>(8)</w:t>
            </w:r>
          </w:p>
        </w:tc>
        <w:tc>
          <w:tcPr>
            <w:tcW w:w="0" w:type="auto"/>
            <w:shd w:val="clear" w:color="auto" w:fill="FFFFFF"/>
            <w:tcMar>
              <w:top w:w="40" w:type="dxa"/>
              <w:left w:w="0" w:type="dxa"/>
              <w:bottom w:w="40" w:type="dxa"/>
              <w:right w:w="20" w:type="dxa"/>
            </w:tcMar>
            <w:vAlign w:val="bottom"/>
          </w:tcPr>
          <w:p w14:paraId="7DCFDE3D"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7DCFDE3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DE3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DE40" w14:textId="77777777" w:rsidR="00C1563E" w:rsidRDefault="000B648B">
            <w:pPr>
              <w:jc w:val="right"/>
              <w:textAlignment w:val="bottom"/>
            </w:pPr>
            <w:r>
              <w:rPr>
                <w:rFonts w:ascii="Times New Roman" w:eastAsia="宋体" w:hAnsi="Times New Roman"/>
                <w:color w:val="000000"/>
                <w:sz w:val="18"/>
                <w:szCs w:val="18"/>
              </w:rPr>
              <w:t>26,311 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DE4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E4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E43" w14:textId="77777777" w:rsidR="00C1563E" w:rsidRDefault="000B648B">
            <w:pPr>
              <w:jc w:val="right"/>
              <w:textAlignment w:val="bottom"/>
            </w:pPr>
            <w:r>
              <w:rPr>
                <w:rFonts w:ascii="Times New Roman" w:eastAsia="宋体" w:hAnsi="Times New Roman"/>
                <w:color w:val="000000"/>
                <w:sz w:val="18"/>
                <w:szCs w:val="18"/>
              </w:rPr>
              <w:t>28.6 </w:t>
            </w:r>
          </w:p>
        </w:tc>
        <w:tc>
          <w:tcPr>
            <w:tcW w:w="0" w:type="auto"/>
            <w:shd w:val="clear" w:color="auto" w:fill="FFFFFF"/>
            <w:tcMar>
              <w:top w:w="40" w:type="dxa"/>
              <w:left w:w="0" w:type="dxa"/>
              <w:bottom w:w="40" w:type="dxa"/>
              <w:right w:w="20" w:type="dxa"/>
            </w:tcMar>
            <w:vAlign w:val="bottom"/>
          </w:tcPr>
          <w:p w14:paraId="7DCFDE44"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FFFFFF"/>
            <w:tcMar>
              <w:top w:w="0" w:type="dxa"/>
              <w:left w:w="20" w:type="dxa"/>
              <w:bottom w:w="0" w:type="dxa"/>
              <w:right w:w="20" w:type="dxa"/>
            </w:tcMar>
          </w:tcPr>
          <w:p w14:paraId="7DCFDE4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E46" w14:textId="77777777" w:rsidR="00C1563E" w:rsidRDefault="000B648B">
            <w:pPr>
              <w:jc w:val="right"/>
              <w:textAlignment w:val="bottom"/>
            </w:pPr>
            <w:r>
              <w:rPr>
                <w:rFonts w:ascii="Times New Roman" w:eastAsia="宋体" w:hAnsi="Times New Roman"/>
                <w:color w:val="000000"/>
                <w:sz w:val="18"/>
                <w:szCs w:val="18"/>
              </w:rPr>
              <w:t>4 </w:t>
            </w:r>
          </w:p>
          <w:p w14:paraId="7DCFDE47" w14:textId="77777777" w:rsidR="00C1563E" w:rsidRDefault="000B648B">
            <w:pPr>
              <w:jc w:val="right"/>
              <w:textAlignment w:val="bottom"/>
            </w:pPr>
            <w:r>
              <w:rPr>
                <w:rFonts w:ascii="Times New Roman" w:eastAsia="宋体" w:hAnsi="Times New Roman"/>
                <w:color w:val="000000"/>
                <w:sz w:val="18"/>
                <w:szCs w:val="18"/>
              </w:rPr>
              <w:t>%</w:t>
            </w:r>
          </w:p>
          <w:p w14:paraId="7DCFDE48" w14:textId="77777777" w:rsidR="00C1563E" w:rsidRDefault="000B648B">
            <w:pPr>
              <w:textAlignment w:val="bottom"/>
            </w:pPr>
            <w:r>
              <w:rPr>
                <w:rFonts w:ascii="Times New Roman" w:eastAsia="宋体" w:hAnsi="Times New Roman"/>
                <w:color w:val="000000"/>
                <w:sz w:val="18"/>
                <w:szCs w:val="18"/>
              </w:rPr>
              <w:t>$</w:t>
            </w:r>
          </w:p>
          <w:p w14:paraId="7DCFDE49" w14:textId="77777777" w:rsidR="00C1563E" w:rsidRDefault="000B648B">
            <w:pPr>
              <w:jc w:val="right"/>
              <w:textAlignment w:val="bottom"/>
            </w:pPr>
            <w:r>
              <w:rPr>
                <w:rFonts w:ascii="Times New Roman" w:eastAsia="宋体" w:hAnsi="Times New Roman"/>
                <w:color w:val="000000"/>
                <w:sz w:val="18"/>
                <w:szCs w:val="18"/>
              </w:rPr>
              <w:t>25,244 </w:t>
            </w:r>
          </w:p>
          <w:p w14:paraId="7DCFDE4A" w14:textId="77777777" w:rsidR="00C1563E" w:rsidRDefault="000B648B">
            <w:pPr>
              <w:jc w:val="right"/>
              <w:textAlignment w:val="bottom"/>
            </w:pPr>
            <w:r>
              <w:rPr>
                <w:rFonts w:ascii="Times New Roman" w:eastAsia="宋体" w:hAnsi="Times New Roman"/>
                <w:color w:val="000000"/>
                <w:sz w:val="18"/>
                <w:szCs w:val="18"/>
              </w:rPr>
              <w:t>27.8 </w:t>
            </w:r>
          </w:p>
          <w:p w14:paraId="7DCFDE4B" w14:textId="77777777" w:rsidR="00C1563E" w:rsidRDefault="000B648B">
            <w:pPr>
              <w:jc w:val="right"/>
              <w:textAlignment w:val="bottom"/>
            </w:pPr>
            <w:r>
              <w:rPr>
                <w:rFonts w:ascii="Times New Roman" w:eastAsia="宋体" w:hAnsi="Times New Roman"/>
                <w:color w:val="000000"/>
                <w:sz w:val="18"/>
                <w:szCs w:val="18"/>
              </w:rPr>
              <w:t>%</w:t>
            </w:r>
          </w:p>
        </w:tc>
      </w:tr>
      <w:tr w:rsidR="00C1563E" w14:paraId="7DCFDE63" w14:textId="77777777">
        <w:trPr>
          <w:trHeight w:val="180"/>
          <w:jc w:val="center"/>
        </w:trPr>
        <w:tc>
          <w:tcPr>
            <w:tcW w:w="0" w:type="auto"/>
            <w:gridSpan w:val="3"/>
            <w:shd w:val="clear" w:color="auto" w:fill="auto"/>
            <w:tcMar>
              <w:top w:w="0" w:type="dxa"/>
              <w:left w:w="20" w:type="dxa"/>
              <w:bottom w:w="0" w:type="dxa"/>
              <w:right w:w="20" w:type="dxa"/>
            </w:tcMar>
          </w:tcPr>
          <w:p w14:paraId="7DCFDE4D" w14:textId="77777777" w:rsidR="00C1563E" w:rsidRDefault="00C1563E">
            <w:pPr>
              <w:rPr>
                <w:rFonts w:ascii="宋体"/>
              </w:rPr>
            </w:pPr>
          </w:p>
        </w:tc>
        <w:tc>
          <w:tcPr>
            <w:tcW w:w="0" w:type="auto"/>
            <w:shd w:val="clear" w:color="auto" w:fill="auto"/>
          </w:tcPr>
          <w:p w14:paraId="7DCFDE4E" w14:textId="77777777" w:rsidR="00C1563E" w:rsidRDefault="00C1563E">
            <w:pPr>
              <w:rPr>
                <w:rFonts w:ascii="宋体"/>
                <w:vanish/>
              </w:rPr>
            </w:pPr>
          </w:p>
        </w:tc>
        <w:tc>
          <w:tcPr>
            <w:tcW w:w="0" w:type="auto"/>
            <w:shd w:val="clear" w:color="auto" w:fill="auto"/>
          </w:tcPr>
          <w:p w14:paraId="7DCFDE4F" w14:textId="77777777" w:rsidR="00C1563E" w:rsidRDefault="00C1563E">
            <w:pPr>
              <w:rPr>
                <w:rFonts w:ascii="宋体"/>
                <w:vanish/>
              </w:rPr>
            </w:pPr>
          </w:p>
        </w:tc>
        <w:tc>
          <w:tcPr>
            <w:tcW w:w="0" w:type="auto"/>
            <w:shd w:val="clear" w:color="auto" w:fill="auto"/>
          </w:tcPr>
          <w:p w14:paraId="7DCFDE50" w14:textId="77777777" w:rsidR="00C1563E" w:rsidRDefault="00C1563E">
            <w:pPr>
              <w:rPr>
                <w:rFonts w:ascii="宋体"/>
                <w:vanish/>
              </w:rPr>
            </w:pPr>
          </w:p>
        </w:tc>
        <w:tc>
          <w:tcPr>
            <w:tcW w:w="0" w:type="auto"/>
            <w:shd w:val="clear" w:color="auto" w:fill="auto"/>
          </w:tcPr>
          <w:p w14:paraId="7DCFDE51" w14:textId="77777777" w:rsidR="00C1563E" w:rsidRDefault="00C1563E">
            <w:pPr>
              <w:rPr>
                <w:rFonts w:ascii="宋体"/>
                <w:vanish/>
              </w:rPr>
            </w:pPr>
          </w:p>
        </w:tc>
        <w:tc>
          <w:tcPr>
            <w:tcW w:w="0" w:type="auto"/>
            <w:shd w:val="clear" w:color="auto" w:fill="auto"/>
          </w:tcPr>
          <w:p w14:paraId="7DCFDE52" w14:textId="77777777" w:rsidR="00C1563E" w:rsidRDefault="00C1563E">
            <w:pPr>
              <w:rPr>
                <w:rFonts w:ascii="宋体"/>
                <w:vanish/>
              </w:rPr>
            </w:pPr>
          </w:p>
        </w:tc>
        <w:tc>
          <w:tcPr>
            <w:tcW w:w="0" w:type="auto"/>
            <w:shd w:val="clear" w:color="auto" w:fill="auto"/>
          </w:tcPr>
          <w:p w14:paraId="7DCFDE53" w14:textId="77777777" w:rsidR="00C1563E" w:rsidRDefault="00C1563E">
            <w:pPr>
              <w:rPr>
                <w:rFonts w:ascii="宋体"/>
                <w:vanish/>
              </w:rPr>
            </w:pPr>
          </w:p>
        </w:tc>
        <w:tc>
          <w:tcPr>
            <w:tcW w:w="0" w:type="auto"/>
            <w:shd w:val="clear" w:color="auto" w:fill="auto"/>
          </w:tcPr>
          <w:p w14:paraId="7DCFDE54" w14:textId="77777777" w:rsidR="00C1563E" w:rsidRDefault="00C1563E">
            <w:pPr>
              <w:rPr>
                <w:rFonts w:ascii="宋体"/>
                <w:vanish/>
              </w:rPr>
            </w:pPr>
          </w:p>
        </w:tc>
        <w:tc>
          <w:tcPr>
            <w:tcW w:w="0" w:type="auto"/>
            <w:shd w:val="clear" w:color="auto" w:fill="auto"/>
          </w:tcPr>
          <w:p w14:paraId="7DCFDE55" w14:textId="77777777" w:rsidR="00C1563E" w:rsidRDefault="00C1563E">
            <w:pPr>
              <w:rPr>
                <w:rFonts w:ascii="宋体"/>
                <w:vanish/>
              </w:rPr>
            </w:pPr>
          </w:p>
        </w:tc>
        <w:tc>
          <w:tcPr>
            <w:tcW w:w="0" w:type="auto"/>
            <w:shd w:val="clear" w:color="auto" w:fill="auto"/>
          </w:tcPr>
          <w:p w14:paraId="7DCFDE56" w14:textId="77777777" w:rsidR="00C1563E" w:rsidRDefault="00C1563E">
            <w:pPr>
              <w:rPr>
                <w:rFonts w:ascii="宋体"/>
                <w:vanish/>
              </w:rPr>
            </w:pPr>
          </w:p>
        </w:tc>
        <w:tc>
          <w:tcPr>
            <w:tcW w:w="0" w:type="auto"/>
            <w:shd w:val="clear" w:color="auto" w:fill="auto"/>
          </w:tcPr>
          <w:p w14:paraId="7DCFDE57" w14:textId="77777777" w:rsidR="00C1563E" w:rsidRDefault="00C1563E">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tcPr>
          <w:p w14:paraId="7DCFDE5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D"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CFDE5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5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DE60" w14:textId="77777777" w:rsidR="00C1563E" w:rsidRDefault="00C1563E">
            <w:pPr>
              <w:rPr>
                <w:rFonts w:ascii="宋体"/>
              </w:rPr>
            </w:pPr>
          </w:p>
        </w:tc>
        <w:tc>
          <w:tcPr>
            <w:tcW w:w="0" w:type="auto"/>
            <w:gridSpan w:val="2"/>
            <w:shd w:val="clear" w:color="auto" w:fill="auto"/>
            <w:tcMar>
              <w:top w:w="0" w:type="dxa"/>
              <w:left w:w="20" w:type="dxa"/>
              <w:bottom w:w="0" w:type="dxa"/>
              <w:right w:w="20" w:type="dxa"/>
            </w:tcMar>
          </w:tcPr>
          <w:p w14:paraId="7DCFDE61" w14:textId="77777777" w:rsidR="00C1563E" w:rsidRDefault="00C1563E">
            <w:pPr>
              <w:rPr>
                <w:rFonts w:ascii="宋体"/>
              </w:rPr>
            </w:pPr>
          </w:p>
        </w:tc>
        <w:tc>
          <w:tcPr>
            <w:tcW w:w="0" w:type="auto"/>
            <w:shd w:val="clear" w:color="auto" w:fill="auto"/>
            <w:tcMar>
              <w:top w:w="0" w:type="dxa"/>
              <w:left w:w="20" w:type="dxa"/>
              <w:bottom w:w="0" w:type="dxa"/>
              <w:right w:w="20" w:type="dxa"/>
            </w:tcMar>
          </w:tcPr>
          <w:p w14:paraId="7DCFDE62" w14:textId="77777777" w:rsidR="00C1563E" w:rsidRDefault="00C1563E">
            <w:pPr>
              <w:rPr>
                <w:rFonts w:ascii="宋体"/>
              </w:rPr>
            </w:pPr>
          </w:p>
        </w:tc>
      </w:tr>
      <w:tr w:rsidR="00C1563E" w14:paraId="7DCFDE70" w14:textId="77777777">
        <w:trPr>
          <w:jc w:val="center"/>
        </w:trPr>
        <w:tc>
          <w:tcPr>
            <w:tcW w:w="0" w:type="auto"/>
            <w:gridSpan w:val="3"/>
            <w:shd w:val="clear" w:color="auto" w:fill="auto"/>
            <w:tcMar>
              <w:top w:w="0" w:type="dxa"/>
              <w:left w:w="20" w:type="dxa"/>
              <w:bottom w:w="0" w:type="dxa"/>
              <w:right w:w="20" w:type="dxa"/>
            </w:tcMar>
          </w:tcPr>
          <w:p w14:paraId="7DCFDE64" w14:textId="77777777" w:rsidR="00C1563E" w:rsidRDefault="00C1563E">
            <w:pPr>
              <w:rPr>
                <w:rFonts w:ascii="宋体"/>
              </w:rPr>
            </w:pPr>
          </w:p>
        </w:tc>
        <w:tc>
          <w:tcPr>
            <w:tcW w:w="0" w:type="auto"/>
            <w:shd w:val="clear" w:color="auto" w:fill="auto"/>
          </w:tcPr>
          <w:p w14:paraId="7DCFDE65" w14:textId="77777777" w:rsidR="00C1563E" w:rsidRDefault="00C1563E">
            <w:pPr>
              <w:rPr>
                <w:rFonts w:ascii="宋体"/>
                <w:vanish/>
              </w:rPr>
            </w:pPr>
          </w:p>
        </w:tc>
        <w:tc>
          <w:tcPr>
            <w:tcW w:w="0" w:type="auto"/>
            <w:shd w:val="clear" w:color="auto" w:fill="auto"/>
          </w:tcPr>
          <w:p w14:paraId="7DCFDE66" w14:textId="77777777" w:rsidR="00C1563E" w:rsidRDefault="00C1563E">
            <w:pPr>
              <w:rPr>
                <w:rFonts w:ascii="宋体"/>
                <w:vanish/>
              </w:rPr>
            </w:pPr>
          </w:p>
        </w:tc>
        <w:tc>
          <w:tcPr>
            <w:tcW w:w="0" w:type="auto"/>
            <w:shd w:val="clear" w:color="auto" w:fill="auto"/>
          </w:tcPr>
          <w:p w14:paraId="7DCFDE67" w14:textId="77777777" w:rsidR="00C1563E" w:rsidRDefault="00C1563E">
            <w:pPr>
              <w:rPr>
                <w:rFonts w:ascii="宋体"/>
                <w:vanish/>
              </w:rPr>
            </w:pPr>
          </w:p>
        </w:tc>
        <w:tc>
          <w:tcPr>
            <w:tcW w:w="0" w:type="auto"/>
            <w:shd w:val="clear" w:color="auto" w:fill="auto"/>
          </w:tcPr>
          <w:p w14:paraId="7DCFDE68" w14:textId="77777777" w:rsidR="00C1563E" w:rsidRDefault="00C1563E">
            <w:pPr>
              <w:rPr>
                <w:rFonts w:ascii="宋体"/>
                <w:vanish/>
              </w:rPr>
            </w:pPr>
          </w:p>
        </w:tc>
        <w:tc>
          <w:tcPr>
            <w:tcW w:w="0" w:type="auto"/>
            <w:shd w:val="clear" w:color="auto" w:fill="auto"/>
          </w:tcPr>
          <w:p w14:paraId="7DCFDE69" w14:textId="77777777" w:rsidR="00C1563E" w:rsidRDefault="00C1563E">
            <w:pPr>
              <w:rPr>
                <w:rFonts w:ascii="宋体"/>
                <w:vanish/>
              </w:rPr>
            </w:pPr>
          </w:p>
        </w:tc>
        <w:tc>
          <w:tcPr>
            <w:tcW w:w="0" w:type="auto"/>
            <w:shd w:val="clear" w:color="auto" w:fill="auto"/>
          </w:tcPr>
          <w:p w14:paraId="7DCFDE6A" w14:textId="77777777" w:rsidR="00C1563E" w:rsidRDefault="00C1563E">
            <w:pPr>
              <w:rPr>
                <w:rFonts w:ascii="宋体"/>
                <w:vanish/>
              </w:rPr>
            </w:pPr>
          </w:p>
        </w:tc>
        <w:tc>
          <w:tcPr>
            <w:tcW w:w="0" w:type="auto"/>
            <w:shd w:val="clear" w:color="auto" w:fill="auto"/>
          </w:tcPr>
          <w:p w14:paraId="7DCFDE6B" w14:textId="77777777" w:rsidR="00C1563E" w:rsidRDefault="00C1563E">
            <w:pPr>
              <w:rPr>
                <w:rFonts w:ascii="宋体"/>
                <w:vanish/>
              </w:rPr>
            </w:pPr>
          </w:p>
        </w:tc>
        <w:tc>
          <w:tcPr>
            <w:tcW w:w="0" w:type="auto"/>
            <w:shd w:val="clear" w:color="auto" w:fill="auto"/>
          </w:tcPr>
          <w:p w14:paraId="7DCFDE6C" w14:textId="77777777" w:rsidR="00C1563E" w:rsidRDefault="00C1563E">
            <w:pPr>
              <w:rPr>
                <w:rFonts w:ascii="宋体"/>
                <w:vanish/>
              </w:rPr>
            </w:pPr>
          </w:p>
        </w:tc>
        <w:tc>
          <w:tcPr>
            <w:tcW w:w="0" w:type="auto"/>
            <w:shd w:val="clear" w:color="auto" w:fill="auto"/>
          </w:tcPr>
          <w:p w14:paraId="7DCFDE6D" w14:textId="77777777" w:rsidR="00C1563E" w:rsidRDefault="00C1563E">
            <w:pPr>
              <w:rPr>
                <w:rFonts w:ascii="宋体"/>
                <w:vanish/>
              </w:rPr>
            </w:pPr>
          </w:p>
        </w:tc>
        <w:tc>
          <w:tcPr>
            <w:tcW w:w="0" w:type="auto"/>
            <w:shd w:val="clear" w:color="auto" w:fill="auto"/>
          </w:tcPr>
          <w:p w14:paraId="7DCFDE6E" w14:textId="77777777" w:rsidR="00C1563E" w:rsidRDefault="00C1563E">
            <w:pPr>
              <w:rPr>
                <w:rFonts w:ascii="宋体"/>
                <w:vanish/>
              </w:rPr>
            </w:pPr>
          </w:p>
        </w:tc>
        <w:tc>
          <w:tcPr>
            <w:tcW w:w="0" w:type="auto"/>
            <w:gridSpan w:val="30"/>
            <w:tcBorders>
              <w:bottom w:val="single" w:sz="8" w:space="0" w:color="000000"/>
            </w:tcBorders>
            <w:shd w:val="clear" w:color="auto" w:fill="auto"/>
            <w:tcMar>
              <w:top w:w="40" w:type="dxa"/>
              <w:left w:w="20" w:type="dxa"/>
              <w:bottom w:w="40" w:type="dxa"/>
              <w:right w:w="20" w:type="dxa"/>
            </w:tcMar>
            <w:vAlign w:val="bottom"/>
          </w:tcPr>
          <w:p w14:paraId="7DCFDE6F" w14:textId="77777777" w:rsidR="00C1563E" w:rsidRDefault="000B648B">
            <w:pPr>
              <w:jc w:val="center"/>
              <w:textAlignment w:val="bottom"/>
            </w:pPr>
            <w:r>
              <w:rPr>
                <w:rFonts w:ascii="Times New Roman" w:eastAsia="宋体" w:hAnsi="Times New Roman"/>
                <w:b/>
                <w:bCs/>
                <w:color w:val="000000"/>
                <w:sz w:val="18"/>
                <w:szCs w:val="18"/>
              </w:rPr>
              <w:t>Fiscal Year Ended</w:t>
            </w:r>
          </w:p>
        </w:tc>
      </w:tr>
      <w:tr w:rsidR="00C1563E" w14:paraId="7DCFDE83" w14:textId="77777777">
        <w:trPr>
          <w:jc w:val="center"/>
        </w:trPr>
        <w:tc>
          <w:tcPr>
            <w:tcW w:w="0" w:type="auto"/>
            <w:gridSpan w:val="3"/>
            <w:shd w:val="clear" w:color="auto" w:fill="auto"/>
            <w:tcMar>
              <w:top w:w="0" w:type="dxa"/>
              <w:left w:w="20" w:type="dxa"/>
              <w:bottom w:w="0" w:type="dxa"/>
              <w:right w:w="20" w:type="dxa"/>
            </w:tcMar>
          </w:tcPr>
          <w:p w14:paraId="7DCFDE71" w14:textId="77777777" w:rsidR="00C1563E" w:rsidRDefault="00C1563E">
            <w:pPr>
              <w:rPr>
                <w:rFonts w:ascii="宋体"/>
              </w:rPr>
            </w:pPr>
          </w:p>
        </w:tc>
        <w:tc>
          <w:tcPr>
            <w:tcW w:w="0" w:type="auto"/>
            <w:shd w:val="clear" w:color="auto" w:fill="auto"/>
          </w:tcPr>
          <w:p w14:paraId="7DCFDE72" w14:textId="77777777" w:rsidR="00C1563E" w:rsidRDefault="00C1563E">
            <w:pPr>
              <w:rPr>
                <w:rFonts w:ascii="宋体"/>
                <w:vanish/>
              </w:rPr>
            </w:pPr>
          </w:p>
        </w:tc>
        <w:tc>
          <w:tcPr>
            <w:tcW w:w="0" w:type="auto"/>
            <w:shd w:val="clear" w:color="auto" w:fill="auto"/>
          </w:tcPr>
          <w:p w14:paraId="7DCFDE73" w14:textId="77777777" w:rsidR="00C1563E" w:rsidRDefault="00C1563E">
            <w:pPr>
              <w:rPr>
                <w:rFonts w:ascii="宋体"/>
                <w:vanish/>
              </w:rPr>
            </w:pPr>
          </w:p>
        </w:tc>
        <w:tc>
          <w:tcPr>
            <w:tcW w:w="0" w:type="auto"/>
            <w:shd w:val="clear" w:color="auto" w:fill="auto"/>
          </w:tcPr>
          <w:p w14:paraId="7DCFDE74" w14:textId="77777777" w:rsidR="00C1563E" w:rsidRDefault="00C1563E">
            <w:pPr>
              <w:rPr>
                <w:rFonts w:ascii="宋体"/>
                <w:vanish/>
              </w:rPr>
            </w:pPr>
          </w:p>
        </w:tc>
        <w:tc>
          <w:tcPr>
            <w:tcW w:w="0" w:type="auto"/>
            <w:shd w:val="clear" w:color="auto" w:fill="auto"/>
          </w:tcPr>
          <w:p w14:paraId="7DCFDE75" w14:textId="77777777" w:rsidR="00C1563E" w:rsidRDefault="00C1563E">
            <w:pPr>
              <w:rPr>
                <w:rFonts w:ascii="宋体"/>
                <w:vanish/>
              </w:rPr>
            </w:pPr>
          </w:p>
        </w:tc>
        <w:tc>
          <w:tcPr>
            <w:tcW w:w="0" w:type="auto"/>
            <w:shd w:val="clear" w:color="auto" w:fill="auto"/>
          </w:tcPr>
          <w:p w14:paraId="7DCFDE76" w14:textId="77777777" w:rsidR="00C1563E" w:rsidRDefault="00C1563E">
            <w:pPr>
              <w:rPr>
                <w:rFonts w:ascii="宋体"/>
                <w:vanish/>
              </w:rPr>
            </w:pPr>
          </w:p>
        </w:tc>
        <w:tc>
          <w:tcPr>
            <w:tcW w:w="0" w:type="auto"/>
            <w:shd w:val="clear" w:color="auto" w:fill="auto"/>
          </w:tcPr>
          <w:p w14:paraId="7DCFDE77" w14:textId="77777777" w:rsidR="00C1563E" w:rsidRDefault="00C1563E">
            <w:pPr>
              <w:rPr>
                <w:rFonts w:ascii="宋体"/>
                <w:vanish/>
              </w:rPr>
            </w:pPr>
          </w:p>
        </w:tc>
        <w:tc>
          <w:tcPr>
            <w:tcW w:w="0" w:type="auto"/>
            <w:shd w:val="clear" w:color="auto" w:fill="auto"/>
          </w:tcPr>
          <w:p w14:paraId="7DCFDE78" w14:textId="77777777" w:rsidR="00C1563E" w:rsidRDefault="00C1563E">
            <w:pPr>
              <w:rPr>
                <w:rFonts w:ascii="宋体"/>
                <w:vanish/>
              </w:rPr>
            </w:pPr>
          </w:p>
        </w:tc>
        <w:tc>
          <w:tcPr>
            <w:tcW w:w="0" w:type="auto"/>
            <w:shd w:val="clear" w:color="auto" w:fill="auto"/>
          </w:tcPr>
          <w:p w14:paraId="7DCFDE79" w14:textId="77777777" w:rsidR="00C1563E" w:rsidRDefault="00C1563E">
            <w:pPr>
              <w:rPr>
                <w:rFonts w:ascii="宋体"/>
                <w:vanish/>
              </w:rPr>
            </w:pPr>
          </w:p>
        </w:tc>
        <w:tc>
          <w:tcPr>
            <w:tcW w:w="0" w:type="auto"/>
            <w:shd w:val="clear" w:color="auto" w:fill="auto"/>
          </w:tcPr>
          <w:p w14:paraId="7DCFDE7A" w14:textId="77777777" w:rsidR="00C1563E" w:rsidRDefault="00C1563E">
            <w:pPr>
              <w:rPr>
                <w:rFonts w:ascii="宋体"/>
                <w:vanish/>
              </w:rPr>
            </w:pPr>
          </w:p>
        </w:tc>
        <w:tc>
          <w:tcPr>
            <w:tcW w:w="0" w:type="auto"/>
            <w:shd w:val="clear" w:color="auto" w:fill="auto"/>
          </w:tcPr>
          <w:p w14:paraId="7DCFDE7B" w14:textId="77777777" w:rsidR="00C1563E" w:rsidRDefault="00C1563E">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E7C" w14:textId="77777777" w:rsidR="00C1563E" w:rsidRDefault="000B648B">
            <w:pPr>
              <w:jc w:val="center"/>
              <w:textAlignment w:val="bottom"/>
            </w:pPr>
            <w:r>
              <w:rPr>
                <w:rFonts w:ascii="Times New Roman" w:eastAsia="宋体" w:hAnsi="Times New Roman"/>
                <w:b/>
                <w:bCs/>
                <w:color w:val="000000"/>
                <w:sz w:val="18"/>
                <w:szCs w:val="18"/>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DE7D"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E7E"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DE7F"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DE80" w14:textId="77777777" w:rsidR="00C1563E" w:rsidRDefault="000B648B">
            <w:pPr>
              <w:jc w:val="center"/>
              <w:textAlignment w:val="bottom"/>
            </w:pPr>
            <w:r>
              <w:rPr>
                <w:rFonts w:ascii="Times New Roman" w:eastAsia="宋体" w:hAnsi="Times New Roman"/>
                <w:b/>
                <w:bCs/>
                <w:color w:val="000000"/>
                <w:sz w:val="18"/>
                <w:szCs w:val="18"/>
              </w:rPr>
              <w:t>January 31, 2020</w:t>
            </w:r>
          </w:p>
        </w:tc>
        <w:tc>
          <w:tcPr>
            <w:tcW w:w="0" w:type="auto"/>
            <w:gridSpan w:val="2"/>
            <w:tcBorders>
              <w:top w:val="single" w:sz="8" w:space="0" w:color="000000"/>
            </w:tcBorders>
            <w:shd w:val="clear" w:color="auto" w:fill="auto"/>
            <w:tcMar>
              <w:top w:w="0" w:type="dxa"/>
              <w:left w:w="20" w:type="dxa"/>
              <w:bottom w:w="0" w:type="dxa"/>
              <w:right w:w="20" w:type="dxa"/>
            </w:tcMar>
          </w:tcPr>
          <w:p w14:paraId="7DCFDE81" w14:textId="77777777" w:rsidR="00C1563E" w:rsidRDefault="00C1563E">
            <w:pPr>
              <w:rPr>
                <w:rFonts w:ascii="宋体"/>
              </w:rPr>
            </w:pPr>
          </w:p>
        </w:tc>
        <w:tc>
          <w:tcPr>
            <w:tcW w:w="0" w:type="auto"/>
            <w:tcBorders>
              <w:top w:val="single" w:sz="8" w:space="0" w:color="000000"/>
            </w:tcBorders>
            <w:shd w:val="clear" w:color="auto" w:fill="auto"/>
            <w:tcMar>
              <w:top w:w="0" w:type="dxa"/>
              <w:left w:w="20" w:type="dxa"/>
              <w:bottom w:w="0" w:type="dxa"/>
              <w:right w:w="20" w:type="dxa"/>
            </w:tcMar>
          </w:tcPr>
          <w:p w14:paraId="7DCFDE82" w14:textId="77777777" w:rsidR="00C1563E" w:rsidRDefault="000B648B">
            <w:pPr>
              <w:jc w:val="center"/>
              <w:textAlignment w:val="bottom"/>
            </w:pPr>
            <w:r>
              <w:rPr>
                <w:rFonts w:ascii="Times New Roman" w:eastAsia="宋体" w:hAnsi="Times New Roman"/>
                <w:b/>
                <w:bCs/>
                <w:color w:val="000000"/>
                <w:sz w:val="18"/>
                <w:szCs w:val="18"/>
              </w:rPr>
              <w:t>February 1, 2019</w:t>
            </w:r>
          </w:p>
        </w:tc>
      </w:tr>
      <w:tr w:rsidR="00C1563E" w14:paraId="7DCFDE9C" w14:textId="77777777">
        <w:trPr>
          <w:jc w:val="center"/>
        </w:trPr>
        <w:tc>
          <w:tcPr>
            <w:tcW w:w="0" w:type="auto"/>
            <w:gridSpan w:val="3"/>
            <w:shd w:val="clear" w:color="auto" w:fill="auto"/>
            <w:tcMar>
              <w:top w:w="0" w:type="dxa"/>
              <w:left w:w="20" w:type="dxa"/>
              <w:bottom w:w="0" w:type="dxa"/>
              <w:right w:w="20" w:type="dxa"/>
            </w:tcMar>
          </w:tcPr>
          <w:p w14:paraId="7DCFDE84" w14:textId="77777777" w:rsidR="00C1563E" w:rsidRDefault="00C1563E">
            <w:pPr>
              <w:rPr>
                <w:rFonts w:ascii="宋体"/>
              </w:rPr>
            </w:pPr>
          </w:p>
        </w:tc>
        <w:tc>
          <w:tcPr>
            <w:tcW w:w="0" w:type="auto"/>
            <w:shd w:val="clear" w:color="auto" w:fill="auto"/>
          </w:tcPr>
          <w:p w14:paraId="7DCFDE85" w14:textId="77777777" w:rsidR="00C1563E" w:rsidRDefault="00C1563E">
            <w:pPr>
              <w:rPr>
                <w:rFonts w:ascii="宋体"/>
                <w:vanish/>
              </w:rPr>
            </w:pPr>
          </w:p>
        </w:tc>
        <w:tc>
          <w:tcPr>
            <w:tcW w:w="0" w:type="auto"/>
            <w:shd w:val="clear" w:color="auto" w:fill="auto"/>
          </w:tcPr>
          <w:p w14:paraId="7DCFDE86" w14:textId="77777777" w:rsidR="00C1563E" w:rsidRDefault="00C1563E">
            <w:pPr>
              <w:rPr>
                <w:rFonts w:ascii="宋体"/>
                <w:vanish/>
              </w:rPr>
            </w:pPr>
          </w:p>
        </w:tc>
        <w:tc>
          <w:tcPr>
            <w:tcW w:w="0" w:type="auto"/>
            <w:shd w:val="clear" w:color="auto" w:fill="auto"/>
          </w:tcPr>
          <w:p w14:paraId="7DCFDE87" w14:textId="77777777" w:rsidR="00C1563E" w:rsidRDefault="00C1563E">
            <w:pPr>
              <w:rPr>
                <w:rFonts w:ascii="宋体"/>
                <w:vanish/>
              </w:rPr>
            </w:pPr>
          </w:p>
        </w:tc>
        <w:tc>
          <w:tcPr>
            <w:tcW w:w="0" w:type="auto"/>
            <w:shd w:val="clear" w:color="auto" w:fill="auto"/>
          </w:tcPr>
          <w:p w14:paraId="7DCFDE88" w14:textId="77777777" w:rsidR="00C1563E" w:rsidRDefault="00C1563E">
            <w:pPr>
              <w:rPr>
                <w:rFonts w:ascii="宋体"/>
                <w:vanish/>
              </w:rPr>
            </w:pPr>
          </w:p>
        </w:tc>
        <w:tc>
          <w:tcPr>
            <w:tcW w:w="0" w:type="auto"/>
            <w:shd w:val="clear" w:color="auto" w:fill="auto"/>
          </w:tcPr>
          <w:p w14:paraId="7DCFDE89" w14:textId="77777777" w:rsidR="00C1563E" w:rsidRDefault="00C1563E">
            <w:pPr>
              <w:rPr>
                <w:rFonts w:ascii="宋体"/>
                <w:vanish/>
              </w:rPr>
            </w:pPr>
          </w:p>
        </w:tc>
        <w:tc>
          <w:tcPr>
            <w:tcW w:w="0" w:type="auto"/>
            <w:shd w:val="clear" w:color="auto" w:fill="auto"/>
          </w:tcPr>
          <w:p w14:paraId="7DCFDE8A" w14:textId="77777777" w:rsidR="00C1563E" w:rsidRDefault="00C1563E">
            <w:pPr>
              <w:rPr>
                <w:rFonts w:ascii="宋体"/>
                <w:vanish/>
              </w:rPr>
            </w:pPr>
          </w:p>
        </w:tc>
        <w:tc>
          <w:tcPr>
            <w:tcW w:w="0" w:type="auto"/>
            <w:shd w:val="clear" w:color="auto" w:fill="auto"/>
          </w:tcPr>
          <w:p w14:paraId="7DCFDE8B" w14:textId="77777777" w:rsidR="00C1563E" w:rsidRDefault="00C1563E">
            <w:pPr>
              <w:rPr>
                <w:rFonts w:ascii="宋体"/>
                <w:vanish/>
              </w:rPr>
            </w:pPr>
          </w:p>
        </w:tc>
        <w:tc>
          <w:tcPr>
            <w:tcW w:w="0" w:type="auto"/>
            <w:shd w:val="clear" w:color="auto" w:fill="auto"/>
          </w:tcPr>
          <w:p w14:paraId="7DCFDE8C" w14:textId="77777777" w:rsidR="00C1563E" w:rsidRDefault="00C1563E">
            <w:pPr>
              <w:rPr>
                <w:rFonts w:ascii="宋体"/>
                <w:vanish/>
              </w:rPr>
            </w:pPr>
          </w:p>
        </w:tc>
        <w:tc>
          <w:tcPr>
            <w:tcW w:w="0" w:type="auto"/>
            <w:shd w:val="clear" w:color="auto" w:fill="auto"/>
          </w:tcPr>
          <w:p w14:paraId="7DCFDE8D" w14:textId="77777777" w:rsidR="00C1563E" w:rsidRDefault="00C1563E">
            <w:pPr>
              <w:rPr>
                <w:rFonts w:ascii="宋体"/>
                <w:vanish/>
              </w:rPr>
            </w:pPr>
          </w:p>
        </w:tc>
        <w:tc>
          <w:tcPr>
            <w:tcW w:w="0" w:type="auto"/>
            <w:shd w:val="clear" w:color="auto" w:fill="auto"/>
          </w:tcPr>
          <w:p w14:paraId="7DCFDE8E"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E8F"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E9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E91" w14:textId="77777777" w:rsidR="00C1563E" w:rsidRDefault="000B648B">
            <w:pPr>
              <w:jc w:val="center"/>
              <w:textAlignment w:val="bottom"/>
            </w:pPr>
            <w:r>
              <w:rPr>
                <w:rFonts w:ascii="Times New Roman" w:eastAsia="宋体" w:hAnsi="Times New Roman"/>
                <w:b/>
                <w:bCs/>
                <w:color w:val="000000"/>
                <w:sz w:val="18"/>
                <w:szCs w:val="18"/>
              </w:rPr>
              <w:t>% of Non-GAAP Net Revenue</w:t>
            </w:r>
          </w:p>
        </w:tc>
        <w:tc>
          <w:tcPr>
            <w:tcW w:w="0" w:type="auto"/>
            <w:gridSpan w:val="3"/>
            <w:shd w:val="clear" w:color="auto" w:fill="auto"/>
            <w:tcMar>
              <w:top w:w="0" w:type="dxa"/>
              <w:left w:w="20" w:type="dxa"/>
              <w:bottom w:w="0" w:type="dxa"/>
              <w:right w:w="20" w:type="dxa"/>
            </w:tcMar>
          </w:tcPr>
          <w:p w14:paraId="7DCFDE92"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DE93"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tcPr>
          <w:p w14:paraId="7DCFDE9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E95" w14:textId="77777777" w:rsidR="00C1563E" w:rsidRDefault="000B648B">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tcPr>
          <w:p w14:paraId="7DCFDE9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E97" w14:textId="77777777" w:rsidR="00C1563E" w:rsidRDefault="000B648B">
            <w:pPr>
              <w:jc w:val="center"/>
              <w:textAlignment w:val="bottom"/>
            </w:pPr>
            <w:r>
              <w:rPr>
                <w:rFonts w:ascii="Times New Roman" w:eastAsia="宋体" w:hAnsi="Times New Roman"/>
                <w:b/>
                <w:bCs/>
                <w:color w:val="000000"/>
                <w:sz w:val="18"/>
                <w:szCs w:val="18"/>
              </w:rPr>
              <w:t>% of Non-GAAP Net Revenue</w:t>
            </w:r>
          </w:p>
        </w:tc>
        <w:tc>
          <w:tcPr>
            <w:tcW w:w="0" w:type="auto"/>
            <w:gridSpan w:val="2"/>
            <w:shd w:val="clear" w:color="auto" w:fill="auto"/>
            <w:tcMar>
              <w:top w:w="0" w:type="dxa"/>
              <w:left w:w="20" w:type="dxa"/>
              <w:bottom w:w="0" w:type="dxa"/>
              <w:right w:w="20" w:type="dxa"/>
            </w:tcMar>
          </w:tcPr>
          <w:p w14:paraId="7DCFDE98" w14:textId="77777777" w:rsidR="00C1563E" w:rsidRDefault="00C1563E">
            <w:pPr>
              <w:rPr>
                <w:rFonts w:ascii="宋体"/>
              </w:rPr>
            </w:pPr>
          </w:p>
        </w:tc>
        <w:tc>
          <w:tcPr>
            <w:tcW w:w="0" w:type="auto"/>
            <w:tcBorders>
              <w:bottom w:val="single" w:sz="8" w:space="0" w:color="000000"/>
            </w:tcBorders>
            <w:shd w:val="clear" w:color="auto" w:fill="auto"/>
            <w:tcMar>
              <w:top w:w="40" w:type="dxa"/>
              <w:left w:w="20" w:type="dxa"/>
              <w:bottom w:w="40" w:type="dxa"/>
              <w:right w:w="20" w:type="dxa"/>
            </w:tcMar>
            <w:vAlign w:val="bottom"/>
          </w:tcPr>
          <w:p w14:paraId="7DCFDE99" w14:textId="77777777" w:rsidR="00C1563E" w:rsidRDefault="000B648B">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p w14:paraId="7DCFDE9A" w14:textId="77777777" w:rsidR="00C1563E" w:rsidRDefault="000B648B">
            <w:pPr>
              <w:jc w:val="center"/>
              <w:textAlignment w:val="bottom"/>
            </w:pPr>
            <w:r>
              <w:rPr>
                <w:rFonts w:ascii="Times New Roman" w:eastAsia="宋体" w:hAnsi="Times New Roman"/>
                <w:b/>
                <w:bCs/>
                <w:color w:val="000000"/>
                <w:sz w:val="18"/>
                <w:szCs w:val="18"/>
              </w:rPr>
              <w:t>Dollars</w:t>
            </w:r>
          </w:p>
          <w:p w14:paraId="7DCFDE9B" w14:textId="77777777" w:rsidR="00C1563E" w:rsidRDefault="000B648B">
            <w:pPr>
              <w:jc w:val="center"/>
              <w:textAlignment w:val="bottom"/>
            </w:pPr>
            <w:r>
              <w:rPr>
                <w:rFonts w:ascii="Times New Roman" w:eastAsia="宋体" w:hAnsi="Times New Roman"/>
                <w:b/>
                <w:bCs/>
                <w:color w:val="000000"/>
                <w:sz w:val="18"/>
                <w:szCs w:val="18"/>
              </w:rPr>
              <w:t xml:space="preserve">% of Non-GAAP Net </w:t>
            </w:r>
            <w:r>
              <w:rPr>
                <w:rFonts w:ascii="Times New Roman" w:eastAsia="宋体" w:hAnsi="Times New Roman"/>
                <w:b/>
                <w:bCs/>
                <w:color w:val="000000"/>
                <w:sz w:val="18"/>
                <w:szCs w:val="18"/>
              </w:rPr>
              <w:t>Revenue</w:t>
            </w:r>
          </w:p>
        </w:tc>
      </w:tr>
      <w:tr w:rsidR="00C1563E" w14:paraId="7DCFDEA8" w14:textId="77777777">
        <w:trPr>
          <w:jc w:val="center"/>
        </w:trPr>
        <w:tc>
          <w:tcPr>
            <w:tcW w:w="0" w:type="auto"/>
            <w:gridSpan w:val="3"/>
            <w:shd w:val="clear" w:color="auto" w:fill="auto"/>
            <w:tcMar>
              <w:top w:w="0" w:type="dxa"/>
              <w:left w:w="20" w:type="dxa"/>
              <w:bottom w:w="0" w:type="dxa"/>
              <w:right w:w="20" w:type="dxa"/>
            </w:tcMar>
          </w:tcPr>
          <w:p w14:paraId="7DCFDE9D" w14:textId="77777777" w:rsidR="00C1563E" w:rsidRDefault="00C1563E">
            <w:pPr>
              <w:rPr>
                <w:rFonts w:ascii="宋体"/>
              </w:rPr>
            </w:pPr>
          </w:p>
        </w:tc>
        <w:tc>
          <w:tcPr>
            <w:tcW w:w="0" w:type="auto"/>
            <w:shd w:val="clear" w:color="auto" w:fill="auto"/>
          </w:tcPr>
          <w:p w14:paraId="7DCFDE9E" w14:textId="77777777" w:rsidR="00C1563E" w:rsidRDefault="00C1563E">
            <w:pPr>
              <w:rPr>
                <w:rFonts w:ascii="宋体"/>
                <w:vanish/>
              </w:rPr>
            </w:pPr>
          </w:p>
        </w:tc>
        <w:tc>
          <w:tcPr>
            <w:tcW w:w="0" w:type="auto"/>
            <w:shd w:val="clear" w:color="auto" w:fill="auto"/>
          </w:tcPr>
          <w:p w14:paraId="7DCFDE9F" w14:textId="77777777" w:rsidR="00C1563E" w:rsidRDefault="00C1563E">
            <w:pPr>
              <w:rPr>
                <w:rFonts w:ascii="宋体"/>
                <w:vanish/>
              </w:rPr>
            </w:pPr>
          </w:p>
        </w:tc>
        <w:tc>
          <w:tcPr>
            <w:tcW w:w="0" w:type="auto"/>
            <w:shd w:val="clear" w:color="auto" w:fill="auto"/>
          </w:tcPr>
          <w:p w14:paraId="7DCFDEA0" w14:textId="77777777" w:rsidR="00C1563E" w:rsidRDefault="00C1563E">
            <w:pPr>
              <w:rPr>
                <w:rFonts w:ascii="宋体"/>
                <w:vanish/>
              </w:rPr>
            </w:pPr>
          </w:p>
        </w:tc>
        <w:tc>
          <w:tcPr>
            <w:tcW w:w="0" w:type="auto"/>
            <w:shd w:val="clear" w:color="auto" w:fill="auto"/>
          </w:tcPr>
          <w:p w14:paraId="7DCFDEA1" w14:textId="77777777" w:rsidR="00C1563E" w:rsidRDefault="00C1563E">
            <w:pPr>
              <w:rPr>
                <w:rFonts w:ascii="宋体"/>
                <w:vanish/>
              </w:rPr>
            </w:pPr>
          </w:p>
        </w:tc>
        <w:tc>
          <w:tcPr>
            <w:tcW w:w="0" w:type="auto"/>
            <w:shd w:val="clear" w:color="auto" w:fill="auto"/>
          </w:tcPr>
          <w:p w14:paraId="7DCFDEA2" w14:textId="77777777" w:rsidR="00C1563E" w:rsidRDefault="00C1563E">
            <w:pPr>
              <w:rPr>
                <w:rFonts w:ascii="宋体"/>
                <w:vanish/>
              </w:rPr>
            </w:pPr>
          </w:p>
        </w:tc>
        <w:tc>
          <w:tcPr>
            <w:tcW w:w="0" w:type="auto"/>
            <w:shd w:val="clear" w:color="auto" w:fill="auto"/>
          </w:tcPr>
          <w:p w14:paraId="7DCFDEA3" w14:textId="77777777" w:rsidR="00C1563E" w:rsidRDefault="00C1563E">
            <w:pPr>
              <w:rPr>
                <w:rFonts w:ascii="宋体"/>
                <w:vanish/>
              </w:rPr>
            </w:pPr>
          </w:p>
        </w:tc>
        <w:tc>
          <w:tcPr>
            <w:tcW w:w="0" w:type="auto"/>
            <w:shd w:val="clear" w:color="auto" w:fill="auto"/>
          </w:tcPr>
          <w:p w14:paraId="7DCFDEA4" w14:textId="77777777" w:rsidR="00C1563E" w:rsidRDefault="00C1563E">
            <w:pPr>
              <w:rPr>
                <w:rFonts w:ascii="宋体"/>
                <w:vanish/>
              </w:rPr>
            </w:pPr>
          </w:p>
        </w:tc>
        <w:tc>
          <w:tcPr>
            <w:tcW w:w="0" w:type="auto"/>
            <w:shd w:val="clear" w:color="auto" w:fill="auto"/>
          </w:tcPr>
          <w:p w14:paraId="7DCFDEA5" w14:textId="77777777" w:rsidR="00C1563E" w:rsidRDefault="00C1563E">
            <w:pPr>
              <w:rPr>
                <w:rFonts w:ascii="宋体"/>
                <w:vanish/>
              </w:rPr>
            </w:pPr>
          </w:p>
        </w:tc>
        <w:tc>
          <w:tcPr>
            <w:tcW w:w="0" w:type="auto"/>
            <w:shd w:val="clear" w:color="auto" w:fill="auto"/>
          </w:tcPr>
          <w:p w14:paraId="7DCFDEA6" w14:textId="77777777" w:rsidR="00C1563E" w:rsidRDefault="00C1563E">
            <w:pPr>
              <w:rPr>
                <w:rFonts w:ascii="宋体"/>
                <w:vanish/>
              </w:rPr>
            </w:pPr>
          </w:p>
        </w:tc>
        <w:tc>
          <w:tcPr>
            <w:tcW w:w="0" w:type="auto"/>
            <w:gridSpan w:val="31"/>
            <w:tcBorders>
              <w:top w:val="single" w:sz="8" w:space="0" w:color="000000"/>
            </w:tcBorders>
            <w:shd w:val="clear" w:color="auto" w:fill="auto"/>
            <w:tcMar>
              <w:top w:w="40" w:type="dxa"/>
              <w:left w:w="20" w:type="dxa"/>
              <w:bottom w:w="40" w:type="dxa"/>
              <w:right w:w="20" w:type="dxa"/>
            </w:tcMar>
            <w:vAlign w:val="bottom"/>
          </w:tcPr>
          <w:p w14:paraId="7DCFDEA7" w14:textId="77777777" w:rsidR="00C1563E" w:rsidRDefault="000B648B">
            <w:pPr>
              <w:jc w:val="center"/>
              <w:textAlignment w:val="bottom"/>
            </w:pPr>
            <w:r>
              <w:rPr>
                <w:rFonts w:ascii="Times New Roman" w:eastAsia="宋体" w:hAnsi="Times New Roman"/>
                <w:color w:val="000000"/>
                <w:sz w:val="18"/>
                <w:szCs w:val="18"/>
              </w:rPr>
              <w:t>(in millions, except percentages)</w:t>
            </w:r>
          </w:p>
        </w:tc>
      </w:tr>
      <w:tr w:rsidR="00C1563E" w14:paraId="7DCFDECB" w14:textId="77777777">
        <w:trPr>
          <w:jc w:val="center"/>
        </w:trPr>
        <w:tc>
          <w:tcPr>
            <w:tcW w:w="0" w:type="auto"/>
            <w:gridSpan w:val="3"/>
            <w:shd w:val="clear" w:color="auto" w:fill="CCEEFF"/>
            <w:tcMar>
              <w:top w:w="40" w:type="dxa"/>
              <w:left w:w="20" w:type="dxa"/>
              <w:bottom w:w="40" w:type="dxa"/>
              <w:right w:w="20" w:type="dxa"/>
            </w:tcMar>
            <w:vAlign w:val="bottom"/>
          </w:tcPr>
          <w:p w14:paraId="7DCFDEA9" w14:textId="77777777" w:rsidR="00C1563E" w:rsidRDefault="000B648B">
            <w:pPr>
              <w:textAlignment w:val="bottom"/>
            </w:pPr>
            <w:r>
              <w:rPr>
                <w:rFonts w:ascii="Times New Roman" w:eastAsia="宋体" w:hAnsi="Times New Roman"/>
                <w:color w:val="000000"/>
                <w:sz w:val="18"/>
                <w:szCs w:val="18"/>
              </w:rPr>
              <w:t>Non-GAAP operating expenses</w:t>
            </w:r>
          </w:p>
        </w:tc>
        <w:tc>
          <w:tcPr>
            <w:tcW w:w="0" w:type="auto"/>
            <w:shd w:val="clear" w:color="auto" w:fill="auto"/>
          </w:tcPr>
          <w:p w14:paraId="7DCFDEAA" w14:textId="77777777" w:rsidR="00C1563E" w:rsidRDefault="00C1563E">
            <w:pPr>
              <w:rPr>
                <w:rFonts w:ascii="宋体"/>
                <w:vanish/>
              </w:rPr>
            </w:pPr>
          </w:p>
        </w:tc>
        <w:tc>
          <w:tcPr>
            <w:tcW w:w="0" w:type="auto"/>
            <w:shd w:val="clear" w:color="auto" w:fill="auto"/>
          </w:tcPr>
          <w:p w14:paraId="7DCFDEAB" w14:textId="77777777" w:rsidR="00C1563E" w:rsidRDefault="00C1563E">
            <w:pPr>
              <w:rPr>
                <w:rFonts w:ascii="宋体"/>
                <w:vanish/>
              </w:rPr>
            </w:pPr>
          </w:p>
        </w:tc>
        <w:tc>
          <w:tcPr>
            <w:tcW w:w="0" w:type="auto"/>
            <w:shd w:val="clear" w:color="auto" w:fill="auto"/>
          </w:tcPr>
          <w:p w14:paraId="7DCFDEAC" w14:textId="77777777" w:rsidR="00C1563E" w:rsidRDefault="00C1563E">
            <w:pPr>
              <w:rPr>
                <w:rFonts w:ascii="宋体"/>
                <w:vanish/>
              </w:rPr>
            </w:pPr>
          </w:p>
        </w:tc>
        <w:tc>
          <w:tcPr>
            <w:tcW w:w="0" w:type="auto"/>
            <w:shd w:val="clear" w:color="auto" w:fill="auto"/>
          </w:tcPr>
          <w:p w14:paraId="7DCFDEAD" w14:textId="77777777" w:rsidR="00C1563E" w:rsidRDefault="00C1563E">
            <w:pPr>
              <w:rPr>
                <w:rFonts w:ascii="宋体"/>
                <w:vanish/>
              </w:rPr>
            </w:pPr>
          </w:p>
        </w:tc>
        <w:tc>
          <w:tcPr>
            <w:tcW w:w="0" w:type="auto"/>
            <w:shd w:val="clear" w:color="auto" w:fill="auto"/>
          </w:tcPr>
          <w:p w14:paraId="7DCFDEAE" w14:textId="77777777" w:rsidR="00C1563E" w:rsidRDefault="00C1563E">
            <w:pPr>
              <w:rPr>
                <w:rFonts w:ascii="宋体"/>
                <w:vanish/>
              </w:rPr>
            </w:pPr>
          </w:p>
        </w:tc>
        <w:tc>
          <w:tcPr>
            <w:tcW w:w="0" w:type="auto"/>
            <w:shd w:val="clear" w:color="auto" w:fill="auto"/>
          </w:tcPr>
          <w:p w14:paraId="7DCFDEAF" w14:textId="77777777" w:rsidR="00C1563E" w:rsidRDefault="00C1563E">
            <w:pPr>
              <w:rPr>
                <w:rFonts w:ascii="宋体"/>
                <w:vanish/>
              </w:rPr>
            </w:pPr>
          </w:p>
        </w:tc>
        <w:tc>
          <w:tcPr>
            <w:tcW w:w="0" w:type="auto"/>
            <w:shd w:val="clear" w:color="auto" w:fill="auto"/>
          </w:tcPr>
          <w:p w14:paraId="7DCFDEB0" w14:textId="77777777" w:rsidR="00C1563E" w:rsidRDefault="00C1563E">
            <w:pPr>
              <w:rPr>
                <w:rFonts w:ascii="宋体"/>
                <w:vanish/>
              </w:rPr>
            </w:pPr>
          </w:p>
        </w:tc>
        <w:tc>
          <w:tcPr>
            <w:tcW w:w="0" w:type="auto"/>
            <w:shd w:val="clear" w:color="auto" w:fill="auto"/>
          </w:tcPr>
          <w:p w14:paraId="7DCFDEB1" w14:textId="77777777" w:rsidR="00C1563E" w:rsidRDefault="00C1563E">
            <w:pPr>
              <w:rPr>
                <w:rFonts w:ascii="宋体"/>
                <w:vanish/>
              </w:rPr>
            </w:pPr>
          </w:p>
        </w:tc>
        <w:tc>
          <w:tcPr>
            <w:tcW w:w="0" w:type="auto"/>
            <w:shd w:val="clear" w:color="auto" w:fill="auto"/>
          </w:tcPr>
          <w:p w14:paraId="7DCFDEB2" w14:textId="77777777" w:rsidR="00C1563E" w:rsidRDefault="00C1563E">
            <w:pPr>
              <w:rPr>
                <w:rFonts w:ascii="宋体"/>
                <w:vanish/>
              </w:rPr>
            </w:pPr>
          </w:p>
        </w:tc>
        <w:tc>
          <w:tcPr>
            <w:tcW w:w="0" w:type="auto"/>
            <w:shd w:val="clear" w:color="auto" w:fill="auto"/>
          </w:tcPr>
          <w:p w14:paraId="7DCFDEB3"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CFDEB4"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EB5" w14:textId="77777777" w:rsidR="00C1563E" w:rsidRDefault="000B648B">
            <w:pPr>
              <w:jc w:val="right"/>
              <w:textAlignment w:val="bottom"/>
            </w:pPr>
            <w:r>
              <w:rPr>
                <w:rFonts w:ascii="Times New Roman" w:eastAsia="宋体" w:hAnsi="Times New Roman"/>
                <w:color w:val="000000"/>
                <w:sz w:val="18"/>
                <w:szCs w:val="18"/>
              </w:rPr>
              <w:t>20,548 </w:t>
            </w:r>
          </w:p>
        </w:tc>
        <w:tc>
          <w:tcPr>
            <w:tcW w:w="0" w:type="auto"/>
            <w:shd w:val="clear" w:color="auto" w:fill="CCEEFF"/>
            <w:tcMar>
              <w:top w:w="40" w:type="dxa"/>
              <w:left w:w="0" w:type="dxa"/>
              <w:bottom w:w="40" w:type="dxa"/>
              <w:right w:w="20" w:type="dxa"/>
            </w:tcMar>
            <w:vAlign w:val="bottom"/>
          </w:tcPr>
          <w:p w14:paraId="7DCFDEB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EB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B8" w14:textId="77777777" w:rsidR="00C1563E" w:rsidRDefault="000B648B">
            <w:pPr>
              <w:jc w:val="right"/>
              <w:textAlignment w:val="bottom"/>
            </w:pPr>
            <w:r>
              <w:rPr>
                <w:rFonts w:ascii="Times New Roman" w:eastAsia="宋体" w:hAnsi="Times New Roman"/>
                <w:color w:val="000000"/>
                <w:sz w:val="18"/>
                <w:szCs w:val="18"/>
              </w:rPr>
              <w:t>21.8 </w:t>
            </w:r>
          </w:p>
        </w:tc>
        <w:tc>
          <w:tcPr>
            <w:tcW w:w="0" w:type="auto"/>
            <w:shd w:val="clear" w:color="auto" w:fill="CCEEFF"/>
            <w:tcMar>
              <w:top w:w="40" w:type="dxa"/>
              <w:left w:w="0" w:type="dxa"/>
              <w:bottom w:w="40" w:type="dxa"/>
              <w:right w:w="20" w:type="dxa"/>
            </w:tcMar>
            <w:vAlign w:val="bottom"/>
          </w:tcPr>
          <w:p w14:paraId="7DCFDEB9"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EB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BB" w14:textId="77777777" w:rsidR="00C1563E" w:rsidRDefault="000B648B">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7DCFDEBC"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tcPr>
          <w:p w14:paraId="7DCFDEB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EBE" w14:textId="77777777" w:rsidR="00C1563E" w:rsidRDefault="000B648B">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7DCFDEBF" w14:textId="77777777" w:rsidR="00C1563E" w:rsidRDefault="000B648B">
            <w:pPr>
              <w:jc w:val="right"/>
              <w:textAlignment w:val="bottom"/>
            </w:pPr>
            <w:r>
              <w:rPr>
                <w:rFonts w:ascii="Times New Roman" w:eastAsia="宋体" w:hAnsi="Times New Roman"/>
                <w:color w:val="000000"/>
                <w:sz w:val="18"/>
                <w:szCs w:val="18"/>
              </w:rPr>
              <w:t>21,415 </w:t>
            </w:r>
          </w:p>
        </w:tc>
        <w:tc>
          <w:tcPr>
            <w:tcW w:w="0" w:type="auto"/>
            <w:shd w:val="clear" w:color="auto" w:fill="CCEEFF"/>
            <w:tcMar>
              <w:top w:w="40" w:type="dxa"/>
              <w:left w:w="0" w:type="dxa"/>
              <w:bottom w:w="40" w:type="dxa"/>
              <w:right w:w="20" w:type="dxa"/>
            </w:tcMar>
            <w:vAlign w:val="bottom"/>
          </w:tcPr>
          <w:p w14:paraId="7DCFDEC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EC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EC2" w14:textId="77777777" w:rsidR="00C1563E" w:rsidRDefault="000B648B">
            <w:pPr>
              <w:jc w:val="right"/>
              <w:textAlignment w:val="bottom"/>
            </w:pPr>
            <w:r>
              <w:rPr>
                <w:rFonts w:ascii="Times New Roman" w:eastAsia="宋体" w:hAnsi="Times New Roman"/>
                <w:color w:val="000000"/>
                <w:sz w:val="18"/>
                <w:szCs w:val="18"/>
              </w:rPr>
              <w:t>23.2 </w:t>
            </w:r>
          </w:p>
        </w:tc>
        <w:tc>
          <w:tcPr>
            <w:tcW w:w="0" w:type="auto"/>
            <w:shd w:val="clear" w:color="auto" w:fill="CCEEFF"/>
            <w:tcMar>
              <w:top w:w="40" w:type="dxa"/>
              <w:left w:w="0" w:type="dxa"/>
              <w:bottom w:w="40" w:type="dxa"/>
              <w:right w:w="20" w:type="dxa"/>
            </w:tcMar>
            <w:vAlign w:val="bottom"/>
          </w:tcPr>
          <w:p w14:paraId="7DCFDEC3" w14:textId="77777777" w:rsidR="00C1563E" w:rsidRDefault="000B648B">
            <w:pPr>
              <w:jc w:val="right"/>
              <w:textAlignment w:val="bottom"/>
            </w:pPr>
            <w:r>
              <w:rPr>
                <w:rFonts w:ascii="Times New Roman" w:eastAsia="宋体" w:hAnsi="Times New Roman"/>
                <w:color w:val="000000"/>
                <w:sz w:val="18"/>
                <w:szCs w:val="18"/>
              </w:rPr>
              <w:t>%</w:t>
            </w:r>
          </w:p>
        </w:tc>
        <w:tc>
          <w:tcPr>
            <w:tcW w:w="0" w:type="auto"/>
            <w:gridSpan w:val="2"/>
            <w:shd w:val="clear" w:color="auto" w:fill="CCEEFF"/>
            <w:tcMar>
              <w:top w:w="0" w:type="dxa"/>
              <w:left w:w="20" w:type="dxa"/>
              <w:bottom w:w="0" w:type="dxa"/>
              <w:right w:w="20" w:type="dxa"/>
            </w:tcMar>
          </w:tcPr>
          <w:p w14:paraId="7DCFDEC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EC5" w14:textId="77777777" w:rsidR="00C1563E" w:rsidRDefault="000B648B">
            <w:pPr>
              <w:jc w:val="right"/>
              <w:textAlignment w:val="bottom"/>
            </w:pPr>
            <w:r>
              <w:rPr>
                <w:rFonts w:ascii="Times New Roman" w:eastAsia="宋体" w:hAnsi="Times New Roman"/>
                <w:color w:val="000000"/>
                <w:sz w:val="18"/>
                <w:szCs w:val="18"/>
              </w:rPr>
              <w:t>6 </w:t>
            </w:r>
          </w:p>
          <w:p w14:paraId="7DCFDEC6" w14:textId="77777777" w:rsidR="00C1563E" w:rsidRDefault="000B648B">
            <w:pPr>
              <w:jc w:val="right"/>
              <w:textAlignment w:val="bottom"/>
            </w:pPr>
            <w:r>
              <w:rPr>
                <w:rFonts w:ascii="Times New Roman" w:eastAsia="宋体" w:hAnsi="Times New Roman"/>
                <w:color w:val="000000"/>
                <w:sz w:val="18"/>
                <w:szCs w:val="18"/>
              </w:rPr>
              <w:t>%</w:t>
            </w:r>
          </w:p>
          <w:p w14:paraId="7DCFDEC7" w14:textId="77777777" w:rsidR="00C1563E" w:rsidRDefault="000B648B">
            <w:pPr>
              <w:textAlignment w:val="bottom"/>
            </w:pPr>
            <w:r>
              <w:rPr>
                <w:rFonts w:ascii="Times New Roman" w:eastAsia="宋体" w:hAnsi="Times New Roman"/>
                <w:color w:val="000000"/>
                <w:sz w:val="18"/>
                <w:szCs w:val="18"/>
              </w:rPr>
              <w:t>$</w:t>
            </w:r>
          </w:p>
          <w:p w14:paraId="7DCFDEC8" w14:textId="77777777" w:rsidR="00C1563E" w:rsidRDefault="000B648B">
            <w:pPr>
              <w:jc w:val="right"/>
              <w:textAlignment w:val="bottom"/>
            </w:pPr>
            <w:r>
              <w:rPr>
                <w:rFonts w:ascii="Times New Roman" w:eastAsia="宋体" w:hAnsi="Times New Roman"/>
                <w:color w:val="000000"/>
                <w:sz w:val="18"/>
                <w:szCs w:val="18"/>
              </w:rPr>
              <w:t>20,168 </w:t>
            </w:r>
          </w:p>
          <w:p w14:paraId="7DCFDEC9" w14:textId="77777777" w:rsidR="00C1563E" w:rsidRDefault="000B648B">
            <w:pPr>
              <w:jc w:val="right"/>
              <w:textAlignment w:val="bottom"/>
            </w:pPr>
            <w:r>
              <w:rPr>
                <w:rFonts w:ascii="Times New Roman" w:eastAsia="宋体" w:hAnsi="Times New Roman"/>
                <w:color w:val="000000"/>
                <w:sz w:val="18"/>
                <w:szCs w:val="18"/>
              </w:rPr>
              <w:t>22.1 </w:t>
            </w:r>
          </w:p>
          <w:p w14:paraId="7DCFDECA" w14:textId="77777777" w:rsidR="00C1563E" w:rsidRDefault="000B648B">
            <w:pPr>
              <w:jc w:val="right"/>
              <w:textAlignment w:val="bottom"/>
            </w:pPr>
            <w:r>
              <w:rPr>
                <w:rFonts w:ascii="Times New Roman" w:eastAsia="宋体" w:hAnsi="Times New Roman"/>
                <w:color w:val="000000"/>
                <w:sz w:val="18"/>
                <w:szCs w:val="18"/>
              </w:rPr>
              <w:t>%</w:t>
            </w:r>
          </w:p>
        </w:tc>
      </w:tr>
    </w:tbl>
    <w:p w14:paraId="7DCFDECC" w14:textId="77777777" w:rsidR="00C1563E" w:rsidRDefault="00C1563E"/>
    <w:p w14:paraId="7DCFDECD" w14:textId="77777777" w:rsidR="00C1563E" w:rsidRDefault="000B648B">
      <w:r>
        <w:rPr>
          <w:rFonts w:ascii="Times New Roman" w:eastAsia="宋体" w:hAnsi="Times New Roman"/>
          <w:color w:val="000000"/>
          <w:sz w:val="20"/>
          <w:szCs w:val="20"/>
        </w:rPr>
        <w:t>Dur</w:t>
      </w:r>
      <w:r>
        <w:rPr>
          <w:rFonts w:ascii="Times New Roman" w:eastAsia="宋体" w:hAnsi="Times New Roman"/>
          <w:color w:val="000000"/>
          <w:sz w:val="20"/>
          <w:szCs w:val="20"/>
        </w:rPr>
        <w:t>ing Fiscal 2021, total operating expenses decreased 8% primarily due to a decrease in selling, general, and administrative expenses, partially offset by an increase in research and development expenses. Our operating expenses include the impact of purchase</w:t>
      </w:r>
      <w:r>
        <w:rPr>
          <w:rFonts w:ascii="Times New Roman" w:eastAsia="宋体" w:hAnsi="Times New Roman"/>
          <w:color w:val="000000"/>
          <w:sz w:val="20"/>
          <w:szCs w:val="20"/>
        </w:rPr>
        <w:t xml:space="preserve"> accounting, amortization of intangible assets, transaction-related expenses, stock-based compensation expense, and other corporate expenses. In aggregate, these items totaled $3.7 billion and $4.9 billion in Fiscal 2021 and Fiscal 2020, respectively. Excl</w:t>
      </w:r>
      <w:r>
        <w:rPr>
          <w:rFonts w:ascii="Times New Roman" w:eastAsia="宋体" w:hAnsi="Times New Roman"/>
          <w:color w:val="000000"/>
          <w:sz w:val="20"/>
          <w:szCs w:val="20"/>
        </w:rPr>
        <w:t>uding these costs, total non-GAAP operating expenses decreased 4% for Fiscal 2021.</w:t>
      </w:r>
    </w:p>
    <w:p w14:paraId="7DCFDECE" w14:textId="77777777" w:rsidR="00C1563E" w:rsidRDefault="00C1563E"/>
    <w:p w14:paraId="7DCFDECF"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 Selling, general, and administrative (“SG&amp;A”) expenses decreased 11% during Fiscal 2021. The decrease in SG&amp;A expenses was partly attributable to measures taken as a result of the COVID-19 pandemic, which included global hiring limitations, reductions i</w:t>
      </w:r>
      <w:r>
        <w:rPr>
          <w:rFonts w:ascii="Times New Roman" w:eastAsia="宋体" w:hAnsi="Times New Roman"/>
          <w:color w:val="000000"/>
          <w:sz w:val="20"/>
          <w:szCs w:val="20"/>
        </w:rPr>
        <w:t>n consulting and contractor costs and facilities-related costs, global travel restrictions, and suspension of the Dell 401(k) match program for U.S. employees, as well as a decrease in amortization of intangible assets. Additionally during Fiscal 2021, SG&amp;</w:t>
      </w:r>
      <w:r>
        <w:rPr>
          <w:rFonts w:ascii="Times New Roman" w:eastAsia="宋体" w:hAnsi="Times New Roman"/>
          <w:color w:val="000000"/>
          <w:sz w:val="20"/>
          <w:szCs w:val="20"/>
        </w:rPr>
        <w:t xml:space="preserve">A expenses benefited from the absence of Virtustream pre-tax impairment charges of $619 million recognized in Fiscal 2020 and from the derecognition of a VMware, Inc. patent litigation accrual in Fiscal 2021 of $237 million, which was initially recognized </w:t>
      </w:r>
      <w:r>
        <w:rPr>
          <w:rFonts w:ascii="Times New Roman" w:eastAsia="宋体" w:hAnsi="Times New Roman"/>
          <w:color w:val="000000"/>
          <w:sz w:val="20"/>
          <w:szCs w:val="20"/>
        </w:rPr>
        <w:t xml:space="preserve">in Fiscal 2020. </w:t>
      </w:r>
    </w:p>
    <w:p w14:paraId="7DCFDED0" w14:textId="77777777" w:rsidR="00C1563E" w:rsidRDefault="00C1563E"/>
    <w:p w14:paraId="7DCFDED1" w14:textId="77777777" w:rsidR="00C1563E" w:rsidRDefault="00C1563E">
      <w:pPr>
        <w:jc w:val="center"/>
      </w:pPr>
    </w:p>
    <w:p w14:paraId="7DCFDED2" w14:textId="77777777" w:rsidR="00C1563E" w:rsidRDefault="000B648B">
      <w:pPr>
        <w:jc w:val="center"/>
      </w:pPr>
      <w:r>
        <w:rPr>
          <w:rFonts w:ascii="Times New Roman" w:eastAsia="宋体" w:hAnsi="Times New Roman"/>
          <w:color w:val="000000"/>
          <w:sz w:val="20"/>
          <w:szCs w:val="20"/>
        </w:rPr>
        <w:t>51</w:t>
      </w:r>
    </w:p>
    <w:p w14:paraId="7DCFDED3" w14:textId="77777777" w:rsidR="00C1563E" w:rsidRDefault="00C1563E">
      <w:pPr>
        <w:jc w:val="center"/>
      </w:pPr>
    </w:p>
    <w:p w14:paraId="7DCFDED4" w14:textId="77777777" w:rsidR="00C1563E" w:rsidRDefault="000B648B">
      <w:r>
        <w:pict w14:anchorId="7DD0259D">
          <v:rect id="_x0000_i1075" style="width:415.3pt;height:1.5pt" o:hralign="center" o:hrstd="t" o:hr="t" fillcolor="#a0a0a0" stroked="f"/>
        </w:pict>
      </w:r>
    </w:p>
    <w:p w14:paraId="7DCFDED5" w14:textId="77777777" w:rsidR="00C1563E" w:rsidRDefault="000B648B">
      <w:hyperlink r:id="rId127" w:anchor="i418e32e4a35149ffbf7d3a25d66881b8_10" w:history="1">
        <w:r>
          <w:rPr>
            <w:rStyle w:val="a5"/>
            <w:rFonts w:ascii="Times New Roman" w:eastAsia="宋体" w:hAnsi="Times New Roman"/>
            <w:sz w:val="20"/>
            <w:szCs w:val="20"/>
          </w:rPr>
          <w:t>Table of Contents</w:t>
        </w:r>
      </w:hyperlink>
    </w:p>
    <w:p w14:paraId="7DCFDED6" w14:textId="77777777" w:rsidR="00C1563E" w:rsidRDefault="000B648B">
      <w:r>
        <w:rPr>
          <w:rFonts w:ascii="Times New Roman" w:eastAsia="宋体" w:hAnsi="Times New Roman"/>
          <w:color w:val="000000"/>
          <w:sz w:val="20"/>
          <w:szCs w:val="20"/>
        </w:rPr>
        <w:t>Effective January 1, 2021, the Dell 401(k) match program for U.S. employees was rein</w:t>
      </w:r>
      <w:r>
        <w:rPr>
          <w:rFonts w:ascii="Times New Roman" w:eastAsia="宋体" w:hAnsi="Times New Roman"/>
          <w:color w:val="000000"/>
          <w:sz w:val="20"/>
          <w:szCs w:val="20"/>
        </w:rPr>
        <w:t>stated. We expect that operating expenses will increase in Fiscal 2022 as we reinstate selected employee-related compensation benefits. We continue to invest in long-term projects, while focusing on operating expense controls in certain areas of the busine</w:t>
      </w:r>
      <w:r>
        <w:rPr>
          <w:rFonts w:ascii="Times New Roman" w:eastAsia="宋体" w:hAnsi="Times New Roman"/>
          <w:color w:val="000000"/>
          <w:sz w:val="20"/>
          <w:szCs w:val="20"/>
        </w:rPr>
        <w:t xml:space="preserve">ss. </w:t>
      </w:r>
    </w:p>
    <w:p w14:paraId="7DCFDED7" w14:textId="77777777" w:rsidR="00C1563E" w:rsidRDefault="00C1563E"/>
    <w:p w14:paraId="7DCFDED8" w14:textId="77777777" w:rsidR="00C1563E" w:rsidRDefault="000B648B">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 xml:space="preserve">Research and development (“R&amp;D”) expenses are primarily composed of personnel-related expenses related to product development. R&amp;D expenses as a percentage of net revenue for Fiscal 2021 and Fiscal 2020 were approximately </w:t>
      </w:r>
      <w:r>
        <w:rPr>
          <w:rFonts w:ascii="Times New Roman" w:eastAsia="宋体" w:hAnsi="Times New Roman"/>
          <w:color w:val="000000"/>
          <w:sz w:val="20"/>
          <w:szCs w:val="20"/>
        </w:rPr>
        <w:t xml:space="preserve">5.6% and 5.4%, respectively.  R&amp;D expenses as a percentage of net revenue increased during Fiscal 2021 primarily due to an increase in compensation-related expense, including stock-based compensation expense, driven by VMware. As our industry continues to </w:t>
      </w:r>
      <w:r>
        <w:rPr>
          <w:rFonts w:ascii="Times New Roman" w:eastAsia="宋体" w:hAnsi="Times New Roman"/>
          <w:color w:val="000000"/>
          <w:sz w:val="20"/>
          <w:szCs w:val="20"/>
        </w:rPr>
        <w:t>change and as the needs of our customers evolve, we intend to support R&amp;D initiatives to innovate and introduce new and enhanced solutions into the market.</w:t>
      </w:r>
    </w:p>
    <w:p w14:paraId="7DCFDED9" w14:textId="77777777" w:rsidR="00C1563E" w:rsidRDefault="00C1563E"/>
    <w:p w14:paraId="7DCFDEDA" w14:textId="77777777" w:rsidR="00C1563E" w:rsidRDefault="000B648B">
      <w:r>
        <w:rPr>
          <w:rFonts w:ascii="Times New Roman" w:eastAsia="宋体" w:hAnsi="Times New Roman"/>
          <w:color w:val="000000"/>
          <w:sz w:val="20"/>
          <w:szCs w:val="20"/>
        </w:rPr>
        <w:t>We continue to make selective investments designed to enable growth, marketing, and R&amp;D, while bala</w:t>
      </w:r>
      <w:r>
        <w:rPr>
          <w:rFonts w:ascii="Times New Roman" w:eastAsia="宋体" w:hAnsi="Times New Roman"/>
          <w:color w:val="000000"/>
          <w:sz w:val="20"/>
          <w:szCs w:val="20"/>
        </w:rPr>
        <w:t xml:space="preserve">ncing our efforts to drive cost efficiencies in the business. We also expect to continue to make investments in support of our own digital transformation to modernize and streamline our IT operations. </w:t>
      </w:r>
    </w:p>
    <w:p w14:paraId="7DCFDEDB" w14:textId="77777777" w:rsidR="00C1563E" w:rsidRDefault="00C1563E"/>
    <w:p w14:paraId="7DCFDEDC" w14:textId="77777777" w:rsidR="00C1563E" w:rsidRDefault="000B648B">
      <w:r>
        <w:rPr>
          <w:rFonts w:ascii="Times New Roman" w:eastAsia="宋体" w:hAnsi="Times New Roman"/>
          <w:b/>
          <w:bCs/>
          <w:color w:val="000000"/>
          <w:sz w:val="20"/>
          <w:szCs w:val="20"/>
        </w:rPr>
        <w:t>Operating Income</w:t>
      </w:r>
    </w:p>
    <w:p w14:paraId="7DCFDEDD" w14:textId="77777777" w:rsidR="00C1563E" w:rsidRDefault="00C1563E"/>
    <w:p w14:paraId="7DCFDEDE" w14:textId="77777777" w:rsidR="00C1563E" w:rsidRDefault="000B648B">
      <w:r>
        <w:rPr>
          <w:rFonts w:ascii="Times New Roman" w:eastAsia="宋体" w:hAnsi="Times New Roman"/>
          <w:color w:val="000000"/>
          <w:sz w:val="20"/>
          <w:szCs w:val="20"/>
        </w:rPr>
        <w:t>During Fiscal 2021, our operating i</w:t>
      </w:r>
      <w:r>
        <w:rPr>
          <w:rFonts w:ascii="Times New Roman" w:eastAsia="宋体" w:hAnsi="Times New Roman"/>
          <w:color w:val="000000"/>
          <w:sz w:val="20"/>
          <w:szCs w:val="20"/>
        </w:rPr>
        <w:t>ncome increased 96% to $5.1 billion, primarily due to increases in net revenue and operating income for CSG and VMware. Operating income during Fiscal 2021 also benefited from lower selling, general, and administrative expenses as we realized the benefit o</w:t>
      </w:r>
      <w:r>
        <w:rPr>
          <w:rFonts w:ascii="Times New Roman" w:eastAsia="宋体" w:hAnsi="Times New Roman"/>
          <w:color w:val="000000"/>
          <w:sz w:val="20"/>
          <w:szCs w:val="20"/>
        </w:rPr>
        <w:t>f cost reduction initiatives. We also realized a decrease in amortization of intangible assets and other corporate expenses, most notably resulting from the absence of Virtustream impairment charges of $619 million recognized in Fiscal 2020 and the derecog</w:t>
      </w:r>
      <w:r>
        <w:rPr>
          <w:rFonts w:ascii="Times New Roman" w:eastAsia="宋体" w:hAnsi="Times New Roman"/>
          <w:color w:val="000000"/>
          <w:sz w:val="20"/>
          <w:szCs w:val="20"/>
        </w:rPr>
        <w:t xml:space="preserve">nition of a VMware, Inc. patent litigation accrual in Fiscal 2021 of $237 million, which was initially recognized in Fiscal 2020. These benefits were partially offset by a decrease in operating income for ISG. </w:t>
      </w:r>
    </w:p>
    <w:p w14:paraId="7DCFDEDF" w14:textId="77777777" w:rsidR="00C1563E" w:rsidRDefault="00C1563E"/>
    <w:p w14:paraId="7DCFDEE0" w14:textId="77777777" w:rsidR="00C1563E" w:rsidRDefault="000B648B">
      <w:r>
        <w:rPr>
          <w:rFonts w:ascii="Times New Roman" w:eastAsia="宋体" w:hAnsi="Times New Roman"/>
          <w:color w:val="000000"/>
          <w:sz w:val="20"/>
          <w:szCs w:val="20"/>
        </w:rPr>
        <w:t>In the fourth quarter of Fiscal 2021, we beg</w:t>
      </w:r>
      <w:r>
        <w:rPr>
          <w:rFonts w:ascii="Times New Roman" w:eastAsia="宋体" w:hAnsi="Times New Roman"/>
          <w:color w:val="000000"/>
          <w:sz w:val="20"/>
          <w:szCs w:val="20"/>
        </w:rPr>
        <w:t>an to reinstate selected employee-related compensation benefits, which we expect will put pressure on operating income in Fiscal 2022. We will continue to invest in long-term projects, while focusing on operating expense controls in certain areas of the bu</w:t>
      </w:r>
      <w:r>
        <w:rPr>
          <w:rFonts w:ascii="Times New Roman" w:eastAsia="宋体" w:hAnsi="Times New Roman"/>
          <w:color w:val="000000"/>
          <w:sz w:val="20"/>
          <w:szCs w:val="20"/>
        </w:rPr>
        <w:t xml:space="preserve">siness. </w:t>
      </w:r>
    </w:p>
    <w:p w14:paraId="7DCFDEE1" w14:textId="77777777" w:rsidR="00C1563E" w:rsidRDefault="00C1563E"/>
    <w:p w14:paraId="7DCFDEE2" w14:textId="77777777" w:rsidR="00C1563E" w:rsidRDefault="000B648B">
      <w:r>
        <w:rPr>
          <w:rFonts w:ascii="Times New Roman" w:eastAsia="宋体" w:hAnsi="Times New Roman"/>
          <w:color w:val="000000"/>
          <w:sz w:val="20"/>
          <w:szCs w:val="20"/>
        </w:rPr>
        <w:t>Amortization of intangible assets, stock-based compensation expense, and other corporate expenses that impacted operating income totaled $5.2 billion and $6.8 billion for Fiscal 2021 and Fiscal 2020, respectively. Excluding these adjustments, and</w:t>
      </w:r>
      <w:r>
        <w:rPr>
          <w:rFonts w:ascii="Times New Roman" w:eastAsia="宋体" w:hAnsi="Times New Roman"/>
          <w:color w:val="000000"/>
          <w:sz w:val="20"/>
          <w:szCs w:val="20"/>
        </w:rPr>
        <w:t xml:space="preserve"> the impact of purchase accounting and transaction-related expenses, our non-GAAP operating income increased 6% to $10.8 billion during Fiscal 2021. The increase in non-GAAP operating income for Fiscal 2021 was due to increases in net revenue and operating</w:t>
      </w:r>
      <w:r>
        <w:rPr>
          <w:rFonts w:ascii="Times New Roman" w:eastAsia="宋体" w:hAnsi="Times New Roman"/>
          <w:color w:val="000000"/>
          <w:sz w:val="20"/>
          <w:szCs w:val="20"/>
        </w:rPr>
        <w:t xml:space="preserve"> income for CSG and VMware, which were partially offset by a decrease in operating income for ISG.</w:t>
      </w:r>
    </w:p>
    <w:p w14:paraId="7DCFDEE3" w14:textId="77777777" w:rsidR="00C1563E" w:rsidRDefault="00C1563E"/>
    <w:p w14:paraId="7DCFDEE4" w14:textId="77777777" w:rsidR="00C1563E" w:rsidRDefault="000B648B">
      <w:r>
        <w:rPr>
          <w:rFonts w:ascii="Times New Roman" w:eastAsia="宋体" w:hAnsi="Times New Roman"/>
          <w:b/>
          <w:bCs/>
          <w:color w:val="000000"/>
          <w:sz w:val="20"/>
          <w:szCs w:val="20"/>
          <w:shd w:val="clear" w:color="auto" w:fill="FFFFFF"/>
        </w:rPr>
        <w:t>Interest and Other, Net</w:t>
      </w:r>
    </w:p>
    <w:p w14:paraId="7DCFDEE5" w14:textId="77777777" w:rsidR="00C1563E" w:rsidRDefault="00C1563E"/>
    <w:p w14:paraId="7DCFDEE6" w14:textId="77777777" w:rsidR="00C1563E" w:rsidRDefault="000B648B">
      <w:pPr>
        <w:spacing w:after="120"/>
      </w:pPr>
      <w:r>
        <w:rPr>
          <w:rFonts w:ascii="Times New Roman" w:eastAsia="宋体" w:hAnsi="Times New Roman"/>
          <w:color w:val="000000"/>
          <w:sz w:val="20"/>
          <w:szCs w:val="20"/>
          <w:shd w:val="clear" w:color="auto" w:fill="FFFFFF"/>
        </w:rPr>
        <w:t xml:space="preserve">The following table presents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3417"/>
        <w:gridCol w:w="38"/>
        <w:gridCol w:w="36"/>
        <w:gridCol w:w="36"/>
        <w:gridCol w:w="36"/>
        <w:gridCol w:w="36"/>
        <w:gridCol w:w="121"/>
        <w:gridCol w:w="1337"/>
        <w:gridCol w:w="36"/>
        <w:gridCol w:w="36"/>
        <w:gridCol w:w="36"/>
        <w:gridCol w:w="36"/>
        <w:gridCol w:w="121"/>
        <w:gridCol w:w="1337"/>
        <w:gridCol w:w="36"/>
        <w:gridCol w:w="36"/>
        <w:gridCol w:w="36"/>
        <w:gridCol w:w="36"/>
        <w:gridCol w:w="121"/>
        <w:gridCol w:w="1337"/>
        <w:gridCol w:w="36"/>
      </w:tblGrid>
      <w:tr w:rsidR="00C1563E" w14:paraId="7DCFDEFD" w14:textId="77777777">
        <w:tc>
          <w:tcPr>
            <w:tcW w:w="50" w:type="pct"/>
            <w:shd w:val="clear" w:color="auto" w:fill="auto"/>
          </w:tcPr>
          <w:p w14:paraId="7DCFDEE7" w14:textId="77777777" w:rsidR="00C1563E" w:rsidRDefault="00C1563E">
            <w:pPr>
              <w:rPr>
                <w:rFonts w:ascii="宋体"/>
              </w:rPr>
            </w:pPr>
          </w:p>
        </w:tc>
        <w:tc>
          <w:tcPr>
            <w:tcW w:w="2145" w:type="pct"/>
            <w:shd w:val="clear" w:color="auto" w:fill="auto"/>
          </w:tcPr>
          <w:p w14:paraId="7DCFDEE8" w14:textId="77777777" w:rsidR="00C1563E" w:rsidRDefault="00C1563E">
            <w:pPr>
              <w:rPr>
                <w:rFonts w:ascii="宋体"/>
              </w:rPr>
            </w:pPr>
          </w:p>
        </w:tc>
        <w:tc>
          <w:tcPr>
            <w:tcW w:w="5" w:type="pct"/>
            <w:shd w:val="clear" w:color="auto" w:fill="auto"/>
          </w:tcPr>
          <w:p w14:paraId="7DCFDEE9" w14:textId="77777777" w:rsidR="00C1563E" w:rsidRDefault="00C1563E">
            <w:pPr>
              <w:rPr>
                <w:rFonts w:ascii="宋体"/>
              </w:rPr>
            </w:pPr>
          </w:p>
        </w:tc>
        <w:tc>
          <w:tcPr>
            <w:tcW w:w="0" w:type="auto"/>
            <w:shd w:val="clear" w:color="auto" w:fill="auto"/>
          </w:tcPr>
          <w:p w14:paraId="7DCFDEEA" w14:textId="77777777" w:rsidR="00C1563E" w:rsidRDefault="00C1563E">
            <w:pPr>
              <w:rPr>
                <w:rFonts w:ascii="宋体"/>
                <w:vanish/>
              </w:rPr>
            </w:pPr>
          </w:p>
        </w:tc>
        <w:tc>
          <w:tcPr>
            <w:tcW w:w="0" w:type="auto"/>
            <w:shd w:val="clear" w:color="auto" w:fill="auto"/>
          </w:tcPr>
          <w:p w14:paraId="7DCFDEEB" w14:textId="77777777" w:rsidR="00C1563E" w:rsidRDefault="00C1563E">
            <w:pPr>
              <w:rPr>
                <w:rFonts w:ascii="宋体"/>
                <w:vanish/>
              </w:rPr>
            </w:pPr>
          </w:p>
        </w:tc>
        <w:tc>
          <w:tcPr>
            <w:tcW w:w="0" w:type="auto"/>
            <w:shd w:val="clear" w:color="auto" w:fill="auto"/>
          </w:tcPr>
          <w:p w14:paraId="7DCFDEEC" w14:textId="77777777" w:rsidR="00C1563E" w:rsidRDefault="00C1563E">
            <w:pPr>
              <w:rPr>
                <w:rFonts w:ascii="宋体"/>
                <w:vanish/>
              </w:rPr>
            </w:pPr>
          </w:p>
        </w:tc>
        <w:tc>
          <w:tcPr>
            <w:tcW w:w="0" w:type="auto"/>
            <w:shd w:val="clear" w:color="auto" w:fill="auto"/>
          </w:tcPr>
          <w:p w14:paraId="7DCFDEED" w14:textId="77777777" w:rsidR="00C1563E" w:rsidRDefault="00C1563E">
            <w:pPr>
              <w:rPr>
                <w:rFonts w:ascii="宋体"/>
                <w:vanish/>
              </w:rPr>
            </w:pPr>
          </w:p>
        </w:tc>
        <w:tc>
          <w:tcPr>
            <w:tcW w:w="50" w:type="pct"/>
            <w:shd w:val="clear" w:color="auto" w:fill="auto"/>
          </w:tcPr>
          <w:p w14:paraId="7DCFDEEE" w14:textId="77777777" w:rsidR="00C1563E" w:rsidRDefault="00C1563E">
            <w:pPr>
              <w:rPr>
                <w:rFonts w:ascii="宋体"/>
              </w:rPr>
            </w:pPr>
          </w:p>
        </w:tc>
        <w:tc>
          <w:tcPr>
            <w:tcW w:w="858" w:type="pct"/>
            <w:shd w:val="clear" w:color="auto" w:fill="auto"/>
          </w:tcPr>
          <w:p w14:paraId="7DCFDEEF" w14:textId="77777777" w:rsidR="00C1563E" w:rsidRDefault="00C1563E">
            <w:pPr>
              <w:rPr>
                <w:rFonts w:ascii="宋体"/>
              </w:rPr>
            </w:pPr>
          </w:p>
        </w:tc>
        <w:tc>
          <w:tcPr>
            <w:tcW w:w="5" w:type="pct"/>
            <w:shd w:val="clear" w:color="auto" w:fill="auto"/>
          </w:tcPr>
          <w:p w14:paraId="7DCFDEF0" w14:textId="77777777" w:rsidR="00C1563E" w:rsidRDefault="00C1563E">
            <w:pPr>
              <w:rPr>
                <w:rFonts w:ascii="宋体"/>
              </w:rPr>
            </w:pPr>
          </w:p>
        </w:tc>
        <w:tc>
          <w:tcPr>
            <w:tcW w:w="5" w:type="pct"/>
            <w:shd w:val="clear" w:color="auto" w:fill="auto"/>
          </w:tcPr>
          <w:p w14:paraId="7DCFDEF1" w14:textId="77777777" w:rsidR="00C1563E" w:rsidRDefault="00C1563E">
            <w:pPr>
              <w:rPr>
                <w:rFonts w:ascii="宋体"/>
              </w:rPr>
            </w:pPr>
          </w:p>
        </w:tc>
        <w:tc>
          <w:tcPr>
            <w:tcW w:w="19" w:type="pct"/>
            <w:shd w:val="clear" w:color="auto" w:fill="auto"/>
          </w:tcPr>
          <w:p w14:paraId="7DCFDEF2" w14:textId="77777777" w:rsidR="00C1563E" w:rsidRDefault="00C1563E">
            <w:pPr>
              <w:rPr>
                <w:rFonts w:ascii="宋体"/>
              </w:rPr>
            </w:pPr>
          </w:p>
        </w:tc>
        <w:tc>
          <w:tcPr>
            <w:tcW w:w="5" w:type="pct"/>
            <w:shd w:val="clear" w:color="auto" w:fill="auto"/>
          </w:tcPr>
          <w:p w14:paraId="7DCFDEF3" w14:textId="77777777" w:rsidR="00C1563E" w:rsidRDefault="00C1563E">
            <w:pPr>
              <w:rPr>
                <w:rFonts w:ascii="宋体"/>
              </w:rPr>
            </w:pPr>
          </w:p>
        </w:tc>
        <w:tc>
          <w:tcPr>
            <w:tcW w:w="50" w:type="pct"/>
            <w:shd w:val="clear" w:color="auto" w:fill="auto"/>
          </w:tcPr>
          <w:p w14:paraId="7DCFDEF4" w14:textId="77777777" w:rsidR="00C1563E" w:rsidRDefault="00C1563E">
            <w:pPr>
              <w:rPr>
                <w:rFonts w:ascii="宋体"/>
              </w:rPr>
            </w:pPr>
          </w:p>
        </w:tc>
        <w:tc>
          <w:tcPr>
            <w:tcW w:w="858" w:type="pct"/>
            <w:shd w:val="clear" w:color="auto" w:fill="auto"/>
          </w:tcPr>
          <w:p w14:paraId="7DCFDEF5" w14:textId="77777777" w:rsidR="00C1563E" w:rsidRDefault="00C1563E">
            <w:pPr>
              <w:rPr>
                <w:rFonts w:ascii="宋体"/>
              </w:rPr>
            </w:pPr>
          </w:p>
        </w:tc>
        <w:tc>
          <w:tcPr>
            <w:tcW w:w="5" w:type="pct"/>
            <w:shd w:val="clear" w:color="auto" w:fill="auto"/>
          </w:tcPr>
          <w:p w14:paraId="7DCFDEF6" w14:textId="77777777" w:rsidR="00C1563E" w:rsidRDefault="00C1563E">
            <w:pPr>
              <w:rPr>
                <w:rFonts w:ascii="宋体"/>
              </w:rPr>
            </w:pPr>
          </w:p>
        </w:tc>
        <w:tc>
          <w:tcPr>
            <w:tcW w:w="5" w:type="pct"/>
            <w:shd w:val="clear" w:color="auto" w:fill="auto"/>
          </w:tcPr>
          <w:p w14:paraId="7DCFDEF7" w14:textId="77777777" w:rsidR="00C1563E" w:rsidRDefault="00C1563E">
            <w:pPr>
              <w:rPr>
                <w:rFonts w:ascii="宋体"/>
              </w:rPr>
            </w:pPr>
          </w:p>
        </w:tc>
        <w:tc>
          <w:tcPr>
            <w:tcW w:w="19" w:type="pct"/>
            <w:shd w:val="clear" w:color="auto" w:fill="auto"/>
          </w:tcPr>
          <w:p w14:paraId="7DCFDEF8" w14:textId="77777777" w:rsidR="00C1563E" w:rsidRDefault="00C1563E">
            <w:pPr>
              <w:rPr>
                <w:rFonts w:ascii="宋体"/>
              </w:rPr>
            </w:pPr>
          </w:p>
        </w:tc>
        <w:tc>
          <w:tcPr>
            <w:tcW w:w="5" w:type="pct"/>
            <w:shd w:val="clear" w:color="auto" w:fill="auto"/>
          </w:tcPr>
          <w:p w14:paraId="7DCFDEF9" w14:textId="77777777" w:rsidR="00C1563E" w:rsidRDefault="00C1563E">
            <w:pPr>
              <w:rPr>
                <w:rFonts w:ascii="宋体"/>
              </w:rPr>
            </w:pPr>
          </w:p>
        </w:tc>
        <w:tc>
          <w:tcPr>
            <w:tcW w:w="50" w:type="pct"/>
            <w:shd w:val="clear" w:color="auto" w:fill="auto"/>
          </w:tcPr>
          <w:p w14:paraId="7DCFDEFA" w14:textId="77777777" w:rsidR="00C1563E" w:rsidRDefault="00C1563E">
            <w:pPr>
              <w:rPr>
                <w:rFonts w:ascii="宋体"/>
              </w:rPr>
            </w:pPr>
          </w:p>
        </w:tc>
        <w:tc>
          <w:tcPr>
            <w:tcW w:w="858" w:type="pct"/>
            <w:shd w:val="clear" w:color="auto" w:fill="auto"/>
          </w:tcPr>
          <w:p w14:paraId="7DCFDEFB" w14:textId="77777777" w:rsidR="00C1563E" w:rsidRDefault="00C1563E">
            <w:pPr>
              <w:rPr>
                <w:rFonts w:ascii="宋体"/>
              </w:rPr>
            </w:pPr>
          </w:p>
        </w:tc>
        <w:tc>
          <w:tcPr>
            <w:tcW w:w="5" w:type="pct"/>
            <w:shd w:val="clear" w:color="auto" w:fill="auto"/>
          </w:tcPr>
          <w:p w14:paraId="7DCFDEFC" w14:textId="77777777" w:rsidR="00C1563E" w:rsidRDefault="00C1563E">
            <w:pPr>
              <w:rPr>
                <w:rFonts w:ascii="宋体"/>
              </w:rPr>
            </w:pPr>
          </w:p>
        </w:tc>
      </w:tr>
      <w:tr w:rsidR="00C1563E" w14:paraId="7DCFDF08" w14:textId="77777777">
        <w:tc>
          <w:tcPr>
            <w:tcW w:w="0" w:type="auto"/>
            <w:gridSpan w:val="3"/>
            <w:shd w:val="clear" w:color="auto" w:fill="auto"/>
            <w:tcMar>
              <w:top w:w="0" w:type="dxa"/>
              <w:left w:w="20" w:type="dxa"/>
              <w:bottom w:w="0" w:type="dxa"/>
              <w:right w:w="20" w:type="dxa"/>
            </w:tcMar>
          </w:tcPr>
          <w:p w14:paraId="7DCFDEFE" w14:textId="77777777" w:rsidR="00C1563E" w:rsidRDefault="00C1563E">
            <w:pPr>
              <w:rPr>
                <w:rFonts w:ascii="宋体"/>
              </w:rPr>
            </w:pPr>
          </w:p>
        </w:tc>
        <w:tc>
          <w:tcPr>
            <w:tcW w:w="0" w:type="auto"/>
            <w:shd w:val="clear" w:color="auto" w:fill="auto"/>
          </w:tcPr>
          <w:p w14:paraId="7DCFDEFF" w14:textId="77777777" w:rsidR="00C1563E" w:rsidRDefault="00C1563E">
            <w:pPr>
              <w:rPr>
                <w:rFonts w:ascii="宋体"/>
                <w:vanish/>
              </w:rPr>
            </w:pPr>
          </w:p>
        </w:tc>
        <w:tc>
          <w:tcPr>
            <w:tcW w:w="0" w:type="auto"/>
            <w:shd w:val="clear" w:color="auto" w:fill="auto"/>
          </w:tcPr>
          <w:p w14:paraId="7DCFDF00"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CFDF01"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DF02" w14:textId="77777777" w:rsidR="00C1563E" w:rsidRDefault="00C1563E">
            <w:pPr>
              <w:rPr>
                <w:rFonts w:ascii="宋体"/>
              </w:rPr>
            </w:pPr>
          </w:p>
        </w:tc>
        <w:tc>
          <w:tcPr>
            <w:tcW w:w="0" w:type="auto"/>
            <w:shd w:val="clear" w:color="auto" w:fill="auto"/>
          </w:tcPr>
          <w:p w14:paraId="7DCFDF03" w14:textId="77777777" w:rsidR="00C1563E" w:rsidRDefault="00C1563E">
            <w:pPr>
              <w:rPr>
                <w:rFonts w:ascii="宋体"/>
              </w:rPr>
            </w:pPr>
          </w:p>
        </w:tc>
        <w:tc>
          <w:tcPr>
            <w:tcW w:w="0" w:type="auto"/>
            <w:shd w:val="clear" w:color="auto" w:fill="auto"/>
          </w:tcPr>
          <w:p w14:paraId="7DCFDF04" w14:textId="77777777" w:rsidR="00C1563E" w:rsidRDefault="00C1563E">
            <w:pPr>
              <w:rPr>
                <w:rFonts w:ascii="宋体"/>
              </w:rPr>
            </w:pPr>
          </w:p>
        </w:tc>
        <w:tc>
          <w:tcPr>
            <w:tcW w:w="0" w:type="auto"/>
            <w:shd w:val="clear" w:color="auto" w:fill="auto"/>
          </w:tcPr>
          <w:p w14:paraId="7DCFDF05" w14:textId="77777777" w:rsidR="00C1563E" w:rsidRDefault="00C1563E">
            <w:pPr>
              <w:rPr>
                <w:rFonts w:ascii="宋体"/>
              </w:rPr>
            </w:pPr>
          </w:p>
        </w:tc>
        <w:tc>
          <w:tcPr>
            <w:tcW w:w="0" w:type="auto"/>
            <w:shd w:val="clear" w:color="auto" w:fill="auto"/>
          </w:tcPr>
          <w:p w14:paraId="7DCFDF06" w14:textId="77777777" w:rsidR="00C1563E" w:rsidRDefault="00C1563E">
            <w:pPr>
              <w:rPr>
                <w:rFonts w:ascii="宋体"/>
              </w:rPr>
            </w:pPr>
          </w:p>
        </w:tc>
        <w:tc>
          <w:tcPr>
            <w:tcW w:w="0" w:type="auto"/>
            <w:shd w:val="clear" w:color="auto" w:fill="auto"/>
          </w:tcPr>
          <w:p w14:paraId="7DCFDF07" w14:textId="77777777" w:rsidR="00C1563E" w:rsidRDefault="00C1563E">
            <w:pPr>
              <w:rPr>
                <w:rFonts w:ascii="宋体"/>
              </w:rPr>
            </w:pPr>
          </w:p>
        </w:tc>
      </w:tr>
      <w:tr w:rsidR="00C1563E" w14:paraId="7DCFDF13" w14:textId="77777777">
        <w:tc>
          <w:tcPr>
            <w:tcW w:w="0" w:type="auto"/>
            <w:gridSpan w:val="3"/>
            <w:shd w:val="clear" w:color="auto" w:fill="auto"/>
            <w:tcMar>
              <w:top w:w="40" w:type="dxa"/>
              <w:left w:w="20" w:type="dxa"/>
              <w:bottom w:w="40" w:type="dxa"/>
              <w:right w:w="20" w:type="dxa"/>
            </w:tcMar>
            <w:vAlign w:val="bottom"/>
          </w:tcPr>
          <w:p w14:paraId="7DCFDF09"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CFDF0A" w14:textId="77777777" w:rsidR="00C1563E" w:rsidRDefault="00C1563E">
            <w:pPr>
              <w:rPr>
                <w:rFonts w:ascii="宋体"/>
                <w:vanish/>
              </w:rPr>
            </w:pPr>
          </w:p>
        </w:tc>
        <w:tc>
          <w:tcPr>
            <w:tcW w:w="0" w:type="auto"/>
            <w:shd w:val="clear" w:color="auto" w:fill="auto"/>
          </w:tcPr>
          <w:p w14:paraId="7DCFDF0B" w14:textId="77777777" w:rsidR="00C1563E" w:rsidRDefault="00C1563E">
            <w:pPr>
              <w:rPr>
                <w:rFonts w:ascii="宋体"/>
                <w:vanish/>
              </w:rPr>
            </w:pPr>
          </w:p>
        </w:tc>
        <w:tc>
          <w:tcPr>
            <w:tcW w:w="0" w:type="auto"/>
            <w:shd w:val="clear" w:color="auto" w:fill="auto"/>
          </w:tcPr>
          <w:p w14:paraId="7DCFDF0C" w14:textId="77777777" w:rsidR="00C1563E" w:rsidRDefault="00C1563E">
            <w:pPr>
              <w:rPr>
                <w:rFonts w:ascii="宋体"/>
                <w:vanish/>
              </w:rPr>
            </w:pPr>
          </w:p>
        </w:tc>
        <w:tc>
          <w:tcPr>
            <w:tcW w:w="0" w:type="auto"/>
            <w:shd w:val="clear" w:color="auto" w:fill="auto"/>
          </w:tcPr>
          <w:p w14:paraId="7DCFDF0D"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F0E"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DF0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F10"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DF1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F12"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DF1A" w14:textId="77777777">
        <w:tc>
          <w:tcPr>
            <w:tcW w:w="0" w:type="auto"/>
            <w:gridSpan w:val="3"/>
            <w:shd w:val="clear" w:color="auto" w:fill="auto"/>
            <w:tcMar>
              <w:top w:w="40" w:type="dxa"/>
              <w:left w:w="20" w:type="dxa"/>
              <w:bottom w:w="40" w:type="dxa"/>
              <w:right w:w="20" w:type="dxa"/>
            </w:tcMar>
            <w:vAlign w:val="bottom"/>
          </w:tcPr>
          <w:p w14:paraId="7DCFDF14"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CFDF15" w14:textId="77777777" w:rsidR="00C1563E" w:rsidRDefault="00C1563E">
            <w:pPr>
              <w:rPr>
                <w:rFonts w:ascii="宋体"/>
                <w:vanish/>
              </w:rPr>
            </w:pPr>
          </w:p>
        </w:tc>
        <w:tc>
          <w:tcPr>
            <w:tcW w:w="0" w:type="auto"/>
            <w:shd w:val="clear" w:color="auto" w:fill="auto"/>
          </w:tcPr>
          <w:p w14:paraId="7DCFDF16" w14:textId="77777777" w:rsidR="00C1563E" w:rsidRDefault="00C1563E">
            <w:pPr>
              <w:rPr>
                <w:rFonts w:ascii="宋体"/>
                <w:vanish/>
              </w:rPr>
            </w:pPr>
          </w:p>
        </w:tc>
        <w:tc>
          <w:tcPr>
            <w:tcW w:w="0" w:type="auto"/>
            <w:shd w:val="clear" w:color="auto" w:fill="auto"/>
          </w:tcPr>
          <w:p w14:paraId="7DCFDF17" w14:textId="77777777" w:rsidR="00C1563E" w:rsidRDefault="00C1563E">
            <w:pPr>
              <w:rPr>
                <w:rFonts w:ascii="宋体"/>
                <w:vanish/>
              </w:rPr>
            </w:pPr>
          </w:p>
        </w:tc>
        <w:tc>
          <w:tcPr>
            <w:tcW w:w="0" w:type="auto"/>
            <w:shd w:val="clear" w:color="auto" w:fill="auto"/>
          </w:tcPr>
          <w:p w14:paraId="7DCFDF18"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CFDF19"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DF25" w14:textId="77777777">
        <w:tc>
          <w:tcPr>
            <w:tcW w:w="0" w:type="auto"/>
            <w:gridSpan w:val="3"/>
            <w:shd w:val="clear" w:color="auto" w:fill="CCEEFF"/>
            <w:tcMar>
              <w:top w:w="40" w:type="dxa"/>
              <w:left w:w="20" w:type="dxa"/>
              <w:bottom w:w="40" w:type="dxa"/>
              <w:right w:w="20" w:type="dxa"/>
            </w:tcMar>
            <w:vAlign w:val="bottom"/>
          </w:tcPr>
          <w:p w14:paraId="7DCFDF1B" w14:textId="77777777" w:rsidR="00C1563E" w:rsidRDefault="000B648B">
            <w:pPr>
              <w:textAlignment w:val="bottom"/>
            </w:pPr>
            <w:r>
              <w:rPr>
                <w:rFonts w:ascii="Times New Roman" w:eastAsia="宋体" w:hAnsi="Times New Roman"/>
                <w:i/>
                <w:iCs/>
                <w:color w:val="000000"/>
                <w:sz w:val="20"/>
                <w:szCs w:val="20"/>
              </w:rPr>
              <w:t>Interest and other, net:</w:t>
            </w:r>
          </w:p>
        </w:tc>
        <w:tc>
          <w:tcPr>
            <w:tcW w:w="0" w:type="auto"/>
            <w:shd w:val="clear" w:color="auto" w:fill="auto"/>
          </w:tcPr>
          <w:p w14:paraId="7DCFDF1C" w14:textId="77777777" w:rsidR="00C1563E" w:rsidRDefault="00C1563E">
            <w:pPr>
              <w:rPr>
                <w:rFonts w:ascii="宋体"/>
                <w:vanish/>
              </w:rPr>
            </w:pPr>
          </w:p>
        </w:tc>
        <w:tc>
          <w:tcPr>
            <w:tcW w:w="0" w:type="auto"/>
            <w:shd w:val="clear" w:color="auto" w:fill="auto"/>
          </w:tcPr>
          <w:p w14:paraId="7DCFDF1D" w14:textId="77777777" w:rsidR="00C1563E" w:rsidRDefault="00C1563E">
            <w:pPr>
              <w:rPr>
                <w:rFonts w:ascii="宋体"/>
                <w:vanish/>
              </w:rPr>
            </w:pPr>
          </w:p>
        </w:tc>
        <w:tc>
          <w:tcPr>
            <w:tcW w:w="0" w:type="auto"/>
            <w:shd w:val="clear" w:color="auto" w:fill="auto"/>
          </w:tcPr>
          <w:p w14:paraId="7DCFDF1E" w14:textId="77777777" w:rsidR="00C1563E" w:rsidRDefault="00C1563E">
            <w:pPr>
              <w:rPr>
                <w:rFonts w:ascii="宋体"/>
                <w:vanish/>
              </w:rPr>
            </w:pPr>
          </w:p>
        </w:tc>
        <w:tc>
          <w:tcPr>
            <w:tcW w:w="0" w:type="auto"/>
            <w:shd w:val="clear" w:color="auto" w:fill="auto"/>
          </w:tcPr>
          <w:p w14:paraId="7DCFDF1F" w14:textId="77777777" w:rsidR="00C1563E" w:rsidRDefault="00C1563E">
            <w:pPr>
              <w:rPr>
                <w:rFonts w:ascii="宋体"/>
                <w:vanish/>
              </w:rPr>
            </w:pPr>
          </w:p>
        </w:tc>
        <w:tc>
          <w:tcPr>
            <w:tcW w:w="0" w:type="auto"/>
            <w:gridSpan w:val="3"/>
            <w:shd w:val="clear" w:color="auto" w:fill="CCEEFF"/>
            <w:tcMar>
              <w:top w:w="40" w:type="dxa"/>
              <w:left w:w="20" w:type="dxa"/>
              <w:bottom w:w="40" w:type="dxa"/>
              <w:right w:w="20" w:type="dxa"/>
            </w:tcMar>
            <w:vAlign w:val="bottom"/>
          </w:tcPr>
          <w:p w14:paraId="7DCFDF20"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DF21"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DF22"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DF2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DF24" w14:textId="77777777" w:rsidR="00C1563E" w:rsidRDefault="00C1563E">
            <w:pPr>
              <w:rPr>
                <w:rFonts w:ascii="宋体"/>
              </w:rPr>
            </w:pPr>
          </w:p>
        </w:tc>
      </w:tr>
      <w:tr w:rsidR="00C1563E" w14:paraId="7DCFDF36" w14:textId="77777777">
        <w:tc>
          <w:tcPr>
            <w:tcW w:w="0" w:type="auto"/>
            <w:gridSpan w:val="3"/>
            <w:shd w:val="clear" w:color="auto" w:fill="FFFFFF"/>
            <w:tcMar>
              <w:top w:w="40" w:type="dxa"/>
              <w:left w:w="245" w:type="dxa"/>
              <w:bottom w:w="40" w:type="dxa"/>
              <w:right w:w="20" w:type="dxa"/>
            </w:tcMar>
            <w:vAlign w:val="bottom"/>
          </w:tcPr>
          <w:p w14:paraId="7DCFDF26" w14:textId="77777777" w:rsidR="00C1563E" w:rsidRDefault="000B648B">
            <w:pPr>
              <w:textAlignment w:val="bottom"/>
            </w:pPr>
            <w:r>
              <w:rPr>
                <w:rFonts w:ascii="Times New Roman" w:eastAsia="宋体" w:hAnsi="Times New Roman"/>
                <w:color w:val="000000"/>
                <w:sz w:val="20"/>
                <w:szCs w:val="20"/>
              </w:rPr>
              <w:t xml:space="preserve">Investment income, </w:t>
            </w:r>
            <w:r>
              <w:rPr>
                <w:rFonts w:ascii="Times New Roman" w:eastAsia="宋体" w:hAnsi="Times New Roman"/>
                <w:color w:val="000000"/>
                <w:sz w:val="20"/>
                <w:szCs w:val="20"/>
              </w:rPr>
              <w:t>primarily interest</w:t>
            </w:r>
          </w:p>
        </w:tc>
        <w:tc>
          <w:tcPr>
            <w:tcW w:w="0" w:type="auto"/>
            <w:shd w:val="clear" w:color="auto" w:fill="auto"/>
          </w:tcPr>
          <w:p w14:paraId="7DCFDF27" w14:textId="77777777" w:rsidR="00C1563E" w:rsidRDefault="00C1563E">
            <w:pPr>
              <w:rPr>
                <w:rFonts w:ascii="宋体"/>
                <w:vanish/>
              </w:rPr>
            </w:pPr>
          </w:p>
        </w:tc>
        <w:tc>
          <w:tcPr>
            <w:tcW w:w="0" w:type="auto"/>
            <w:shd w:val="clear" w:color="auto" w:fill="auto"/>
          </w:tcPr>
          <w:p w14:paraId="7DCFDF28" w14:textId="77777777" w:rsidR="00C1563E" w:rsidRDefault="00C1563E">
            <w:pPr>
              <w:rPr>
                <w:rFonts w:ascii="宋体"/>
                <w:vanish/>
              </w:rPr>
            </w:pPr>
          </w:p>
        </w:tc>
        <w:tc>
          <w:tcPr>
            <w:tcW w:w="0" w:type="auto"/>
            <w:shd w:val="clear" w:color="auto" w:fill="auto"/>
          </w:tcPr>
          <w:p w14:paraId="7DCFDF29" w14:textId="77777777" w:rsidR="00C1563E" w:rsidRDefault="00C1563E">
            <w:pPr>
              <w:rPr>
                <w:rFonts w:ascii="宋体"/>
                <w:vanish/>
              </w:rPr>
            </w:pPr>
          </w:p>
        </w:tc>
        <w:tc>
          <w:tcPr>
            <w:tcW w:w="0" w:type="auto"/>
            <w:shd w:val="clear" w:color="auto" w:fill="auto"/>
          </w:tcPr>
          <w:p w14:paraId="7DCFDF2A"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DF2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2C" w14:textId="77777777" w:rsidR="00C1563E" w:rsidRDefault="000B648B">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7DCFDF2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2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F2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30" w14:textId="77777777" w:rsidR="00C1563E" w:rsidRDefault="000B648B">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7DCFDF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3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F3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34" w14:textId="77777777" w:rsidR="00C1563E" w:rsidRDefault="000B648B">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7DCFDF35" w14:textId="77777777" w:rsidR="00C1563E" w:rsidRDefault="00C1563E">
            <w:pPr>
              <w:jc w:val="right"/>
              <w:rPr>
                <w:rFonts w:ascii="宋体"/>
              </w:rPr>
            </w:pPr>
          </w:p>
        </w:tc>
      </w:tr>
      <w:tr w:rsidR="00C1563E" w14:paraId="7DCFDF44" w14:textId="77777777">
        <w:tc>
          <w:tcPr>
            <w:tcW w:w="0" w:type="auto"/>
            <w:gridSpan w:val="3"/>
            <w:shd w:val="clear" w:color="auto" w:fill="CCEEFF"/>
            <w:tcMar>
              <w:top w:w="40" w:type="dxa"/>
              <w:left w:w="245" w:type="dxa"/>
              <w:bottom w:w="40" w:type="dxa"/>
              <w:right w:w="20" w:type="dxa"/>
            </w:tcMar>
            <w:vAlign w:val="bottom"/>
          </w:tcPr>
          <w:p w14:paraId="7DCFDF37" w14:textId="77777777" w:rsidR="00C1563E" w:rsidRDefault="000B648B">
            <w:pPr>
              <w:textAlignment w:val="bottom"/>
            </w:pPr>
            <w:r>
              <w:rPr>
                <w:rFonts w:ascii="Times New Roman" w:eastAsia="宋体" w:hAnsi="Times New Roman"/>
                <w:color w:val="000000"/>
                <w:sz w:val="20"/>
                <w:szCs w:val="20"/>
              </w:rPr>
              <w:t>Gain on strategic investments, net</w:t>
            </w:r>
          </w:p>
        </w:tc>
        <w:tc>
          <w:tcPr>
            <w:tcW w:w="0" w:type="auto"/>
            <w:shd w:val="clear" w:color="auto" w:fill="auto"/>
          </w:tcPr>
          <w:p w14:paraId="7DCFDF38" w14:textId="77777777" w:rsidR="00C1563E" w:rsidRDefault="00C1563E">
            <w:pPr>
              <w:rPr>
                <w:rFonts w:ascii="宋体"/>
                <w:vanish/>
              </w:rPr>
            </w:pPr>
          </w:p>
        </w:tc>
        <w:tc>
          <w:tcPr>
            <w:tcW w:w="0" w:type="auto"/>
            <w:shd w:val="clear" w:color="auto" w:fill="auto"/>
          </w:tcPr>
          <w:p w14:paraId="7DCFDF39" w14:textId="77777777" w:rsidR="00C1563E" w:rsidRDefault="00C1563E">
            <w:pPr>
              <w:rPr>
                <w:rFonts w:ascii="宋体"/>
                <w:vanish/>
              </w:rPr>
            </w:pPr>
          </w:p>
        </w:tc>
        <w:tc>
          <w:tcPr>
            <w:tcW w:w="0" w:type="auto"/>
            <w:shd w:val="clear" w:color="auto" w:fill="auto"/>
          </w:tcPr>
          <w:p w14:paraId="7DCFDF3A" w14:textId="77777777" w:rsidR="00C1563E" w:rsidRDefault="00C1563E">
            <w:pPr>
              <w:rPr>
                <w:rFonts w:ascii="宋体"/>
                <w:vanish/>
              </w:rPr>
            </w:pPr>
          </w:p>
        </w:tc>
        <w:tc>
          <w:tcPr>
            <w:tcW w:w="0" w:type="auto"/>
            <w:shd w:val="clear" w:color="auto" w:fill="auto"/>
          </w:tcPr>
          <w:p w14:paraId="7DCFDF3B"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F3C"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bottom"/>
          </w:tcPr>
          <w:p w14:paraId="7DCFDF3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3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3F"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DCFDF4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4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42" w14:textId="77777777" w:rsidR="00C1563E" w:rsidRDefault="000B648B">
            <w:pPr>
              <w:jc w:val="right"/>
              <w:textAlignment w:val="bottom"/>
            </w:pPr>
            <w:r>
              <w:rPr>
                <w:rFonts w:ascii="Times New Roman" w:eastAsia="宋体" w:hAnsi="Times New Roman"/>
                <w:color w:val="000000"/>
                <w:sz w:val="20"/>
                <w:szCs w:val="20"/>
              </w:rPr>
              <w:t>342 </w:t>
            </w:r>
          </w:p>
        </w:tc>
        <w:tc>
          <w:tcPr>
            <w:tcW w:w="0" w:type="auto"/>
            <w:shd w:val="clear" w:color="auto" w:fill="CCEEFF"/>
            <w:tcMar>
              <w:top w:w="40" w:type="dxa"/>
              <w:left w:w="0" w:type="dxa"/>
              <w:bottom w:w="40" w:type="dxa"/>
              <w:right w:w="20" w:type="dxa"/>
            </w:tcMar>
            <w:vAlign w:val="bottom"/>
          </w:tcPr>
          <w:p w14:paraId="7DCFDF43" w14:textId="77777777" w:rsidR="00C1563E" w:rsidRDefault="00C1563E">
            <w:pPr>
              <w:jc w:val="right"/>
              <w:rPr>
                <w:rFonts w:ascii="宋体"/>
              </w:rPr>
            </w:pPr>
          </w:p>
        </w:tc>
      </w:tr>
      <w:tr w:rsidR="00C1563E" w14:paraId="7DCFDF52" w14:textId="77777777">
        <w:tc>
          <w:tcPr>
            <w:tcW w:w="0" w:type="auto"/>
            <w:gridSpan w:val="3"/>
            <w:shd w:val="clear" w:color="auto" w:fill="FFFFFF"/>
            <w:tcMar>
              <w:top w:w="40" w:type="dxa"/>
              <w:left w:w="245" w:type="dxa"/>
              <w:bottom w:w="40" w:type="dxa"/>
              <w:right w:w="20" w:type="dxa"/>
            </w:tcMar>
            <w:vAlign w:val="bottom"/>
          </w:tcPr>
          <w:p w14:paraId="7DCFDF45" w14:textId="77777777" w:rsidR="00C1563E" w:rsidRDefault="000B648B">
            <w:pPr>
              <w:textAlignment w:val="bottom"/>
            </w:pPr>
            <w:r>
              <w:rPr>
                <w:rFonts w:ascii="Times New Roman" w:eastAsia="宋体" w:hAnsi="Times New Roman"/>
                <w:color w:val="000000"/>
                <w:sz w:val="20"/>
                <w:szCs w:val="20"/>
              </w:rPr>
              <w:t>In</w:t>
            </w:r>
            <w:r>
              <w:rPr>
                <w:rFonts w:ascii="Times New Roman" w:eastAsia="宋体" w:hAnsi="Times New Roman"/>
                <w:color w:val="000000"/>
                <w:sz w:val="20"/>
                <w:szCs w:val="20"/>
              </w:rPr>
              <w:t>terest expense</w:t>
            </w:r>
          </w:p>
        </w:tc>
        <w:tc>
          <w:tcPr>
            <w:tcW w:w="0" w:type="auto"/>
            <w:shd w:val="clear" w:color="auto" w:fill="auto"/>
          </w:tcPr>
          <w:p w14:paraId="7DCFDF46" w14:textId="77777777" w:rsidR="00C1563E" w:rsidRDefault="00C1563E">
            <w:pPr>
              <w:rPr>
                <w:rFonts w:ascii="宋体"/>
                <w:vanish/>
              </w:rPr>
            </w:pPr>
          </w:p>
        </w:tc>
        <w:tc>
          <w:tcPr>
            <w:tcW w:w="0" w:type="auto"/>
            <w:shd w:val="clear" w:color="auto" w:fill="auto"/>
          </w:tcPr>
          <w:p w14:paraId="7DCFDF47" w14:textId="77777777" w:rsidR="00C1563E" w:rsidRDefault="00C1563E">
            <w:pPr>
              <w:rPr>
                <w:rFonts w:ascii="宋体"/>
                <w:vanish/>
              </w:rPr>
            </w:pPr>
          </w:p>
        </w:tc>
        <w:tc>
          <w:tcPr>
            <w:tcW w:w="0" w:type="auto"/>
            <w:shd w:val="clear" w:color="auto" w:fill="auto"/>
          </w:tcPr>
          <w:p w14:paraId="7DCFDF48" w14:textId="77777777" w:rsidR="00C1563E" w:rsidRDefault="00C1563E">
            <w:pPr>
              <w:rPr>
                <w:rFonts w:ascii="宋体"/>
                <w:vanish/>
              </w:rPr>
            </w:pPr>
          </w:p>
        </w:tc>
        <w:tc>
          <w:tcPr>
            <w:tcW w:w="0" w:type="auto"/>
            <w:shd w:val="clear" w:color="auto" w:fill="auto"/>
          </w:tcPr>
          <w:p w14:paraId="7DCFDF49"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F4A" w14:textId="77777777" w:rsidR="00C1563E" w:rsidRDefault="000B648B">
            <w:pPr>
              <w:jc w:val="right"/>
              <w:textAlignment w:val="bottom"/>
            </w:pPr>
            <w:r>
              <w:rPr>
                <w:rFonts w:ascii="Times New Roman" w:eastAsia="宋体" w:hAnsi="Times New Roman"/>
                <w:color w:val="000000"/>
                <w:sz w:val="20"/>
                <w:szCs w:val="20"/>
              </w:rPr>
              <w:t>(2,389)</w:t>
            </w:r>
          </w:p>
        </w:tc>
        <w:tc>
          <w:tcPr>
            <w:tcW w:w="0" w:type="auto"/>
            <w:shd w:val="clear" w:color="auto" w:fill="FFFFFF"/>
            <w:tcMar>
              <w:top w:w="40" w:type="dxa"/>
              <w:left w:w="0" w:type="dxa"/>
              <w:bottom w:w="40" w:type="dxa"/>
              <w:right w:w="20" w:type="dxa"/>
            </w:tcMar>
            <w:vAlign w:val="bottom"/>
          </w:tcPr>
          <w:p w14:paraId="7DCFDF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4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F4D" w14:textId="77777777" w:rsidR="00C1563E" w:rsidRDefault="000B648B">
            <w:pPr>
              <w:jc w:val="right"/>
              <w:textAlignment w:val="bottom"/>
            </w:pPr>
            <w:r>
              <w:rPr>
                <w:rFonts w:ascii="Times New Roman" w:eastAsia="宋体" w:hAnsi="Times New Roman"/>
                <w:color w:val="000000"/>
                <w:sz w:val="20"/>
                <w:szCs w:val="20"/>
              </w:rPr>
              <w:t>(2,675)</w:t>
            </w:r>
          </w:p>
        </w:tc>
        <w:tc>
          <w:tcPr>
            <w:tcW w:w="0" w:type="auto"/>
            <w:shd w:val="clear" w:color="auto" w:fill="FFFFFF"/>
            <w:tcMar>
              <w:top w:w="40" w:type="dxa"/>
              <w:left w:w="0" w:type="dxa"/>
              <w:bottom w:w="40" w:type="dxa"/>
              <w:right w:w="20" w:type="dxa"/>
            </w:tcMar>
            <w:vAlign w:val="bottom"/>
          </w:tcPr>
          <w:p w14:paraId="7DCFDF4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4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F50" w14:textId="77777777" w:rsidR="00C1563E" w:rsidRDefault="000B648B">
            <w:pPr>
              <w:jc w:val="right"/>
              <w:textAlignment w:val="bottom"/>
            </w:pPr>
            <w:r>
              <w:rPr>
                <w:rFonts w:ascii="Times New Roman" w:eastAsia="宋体" w:hAnsi="Times New Roman"/>
                <w:color w:val="000000"/>
                <w:sz w:val="20"/>
                <w:szCs w:val="20"/>
              </w:rPr>
              <w:t>(2,488)</w:t>
            </w:r>
          </w:p>
        </w:tc>
        <w:tc>
          <w:tcPr>
            <w:tcW w:w="0" w:type="auto"/>
            <w:shd w:val="clear" w:color="auto" w:fill="FFFFFF"/>
            <w:tcMar>
              <w:top w:w="40" w:type="dxa"/>
              <w:left w:w="0" w:type="dxa"/>
              <w:bottom w:w="40" w:type="dxa"/>
              <w:right w:w="20" w:type="dxa"/>
            </w:tcMar>
            <w:vAlign w:val="bottom"/>
          </w:tcPr>
          <w:p w14:paraId="7DCFDF51" w14:textId="77777777" w:rsidR="00C1563E" w:rsidRDefault="00C1563E">
            <w:pPr>
              <w:jc w:val="right"/>
              <w:rPr>
                <w:rFonts w:ascii="宋体"/>
              </w:rPr>
            </w:pPr>
          </w:p>
        </w:tc>
      </w:tr>
      <w:tr w:rsidR="00C1563E" w14:paraId="7DCFDF60" w14:textId="77777777">
        <w:tc>
          <w:tcPr>
            <w:tcW w:w="0" w:type="auto"/>
            <w:gridSpan w:val="3"/>
            <w:shd w:val="clear" w:color="auto" w:fill="CCEEFF"/>
            <w:tcMar>
              <w:top w:w="40" w:type="dxa"/>
              <w:left w:w="245" w:type="dxa"/>
              <w:bottom w:w="40" w:type="dxa"/>
              <w:right w:w="20" w:type="dxa"/>
            </w:tcMar>
            <w:vAlign w:val="bottom"/>
          </w:tcPr>
          <w:p w14:paraId="7DCFDF53" w14:textId="77777777" w:rsidR="00C1563E" w:rsidRDefault="000B648B">
            <w:pPr>
              <w:textAlignment w:val="bottom"/>
            </w:pPr>
            <w:r>
              <w:rPr>
                <w:rFonts w:ascii="Times New Roman" w:eastAsia="宋体" w:hAnsi="Times New Roman"/>
                <w:color w:val="000000"/>
                <w:sz w:val="20"/>
                <w:szCs w:val="20"/>
              </w:rPr>
              <w:t>Foreign exchange</w:t>
            </w:r>
          </w:p>
        </w:tc>
        <w:tc>
          <w:tcPr>
            <w:tcW w:w="0" w:type="auto"/>
            <w:shd w:val="clear" w:color="auto" w:fill="auto"/>
          </w:tcPr>
          <w:p w14:paraId="7DCFDF54" w14:textId="77777777" w:rsidR="00C1563E" w:rsidRDefault="00C1563E">
            <w:pPr>
              <w:rPr>
                <w:rFonts w:ascii="宋体"/>
                <w:vanish/>
              </w:rPr>
            </w:pPr>
          </w:p>
        </w:tc>
        <w:tc>
          <w:tcPr>
            <w:tcW w:w="0" w:type="auto"/>
            <w:shd w:val="clear" w:color="auto" w:fill="auto"/>
          </w:tcPr>
          <w:p w14:paraId="7DCFDF55" w14:textId="77777777" w:rsidR="00C1563E" w:rsidRDefault="00C1563E">
            <w:pPr>
              <w:rPr>
                <w:rFonts w:ascii="宋体"/>
                <w:vanish/>
              </w:rPr>
            </w:pPr>
          </w:p>
        </w:tc>
        <w:tc>
          <w:tcPr>
            <w:tcW w:w="0" w:type="auto"/>
            <w:shd w:val="clear" w:color="auto" w:fill="auto"/>
          </w:tcPr>
          <w:p w14:paraId="7DCFDF56" w14:textId="77777777" w:rsidR="00C1563E" w:rsidRDefault="00C1563E">
            <w:pPr>
              <w:rPr>
                <w:rFonts w:ascii="宋体"/>
                <w:vanish/>
              </w:rPr>
            </w:pPr>
          </w:p>
        </w:tc>
        <w:tc>
          <w:tcPr>
            <w:tcW w:w="0" w:type="auto"/>
            <w:shd w:val="clear" w:color="auto" w:fill="auto"/>
          </w:tcPr>
          <w:p w14:paraId="7DCFDF57"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CFDF58" w14:textId="77777777" w:rsidR="00C1563E" w:rsidRDefault="000B648B">
            <w:pPr>
              <w:jc w:val="right"/>
              <w:textAlignment w:val="bottom"/>
            </w:pPr>
            <w:r>
              <w:rPr>
                <w:rFonts w:ascii="Times New Roman" w:eastAsia="宋体" w:hAnsi="Times New Roman"/>
                <w:color w:val="000000"/>
                <w:sz w:val="20"/>
                <w:szCs w:val="20"/>
              </w:rPr>
              <w:t>(127)</w:t>
            </w:r>
          </w:p>
        </w:tc>
        <w:tc>
          <w:tcPr>
            <w:tcW w:w="0" w:type="auto"/>
            <w:shd w:val="clear" w:color="auto" w:fill="CCEEFF"/>
            <w:tcMar>
              <w:top w:w="40" w:type="dxa"/>
              <w:left w:w="0" w:type="dxa"/>
              <w:bottom w:w="40" w:type="dxa"/>
              <w:right w:w="20" w:type="dxa"/>
            </w:tcMar>
            <w:vAlign w:val="bottom"/>
          </w:tcPr>
          <w:p w14:paraId="7DCFDF5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5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5B" w14:textId="77777777" w:rsidR="00C1563E" w:rsidRDefault="000B648B">
            <w:pPr>
              <w:jc w:val="right"/>
              <w:textAlignment w:val="bottom"/>
            </w:pPr>
            <w:r>
              <w:rPr>
                <w:rFonts w:ascii="Times New Roman" w:eastAsia="宋体" w:hAnsi="Times New Roman"/>
                <w:color w:val="000000"/>
                <w:sz w:val="20"/>
                <w:szCs w:val="20"/>
              </w:rPr>
              <w:t>(162)</w:t>
            </w:r>
          </w:p>
        </w:tc>
        <w:tc>
          <w:tcPr>
            <w:tcW w:w="0" w:type="auto"/>
            <w:shd w:val="clear" w:color="auto" w:fill="CCEEFF"/>
            <w:tcMar>
              <w:top w:w="40" w:type="dxa"/>
              <w:left w:w="0" w:type="dxa"/>
              <w:bottom w:w="40" w:type="dxa"/>
              <w:right w:w="20" w:type="dxa"/>
            </w:tcMar>
            <w:vAlign w:val="bottom"/>
          </w:tcPr>
          <w:p w14:paraId="7DCFDF5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5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5E" w14:textId="77777777" w:rsidR="00C1563E" w:rsidRDefault="000B648B">
            <w:pPr>
              <w:jc w:val="right"/>
              <w:textAlignment w:val="bottom"/>
            </w:pPr>
            <w:r>
              <w:rPr>
                <w:rFonts w:ascii="Times New Roman" w:eastAsia="宋体" w:hAnsi="Times New Roman"/>
                <w:color w:val="000000"/>
                <w:sz w:val="20"/>
                <w:szCs w:val="20"/>
              </w:rPr>
              <w:t>(206)</w:t>
            </w:r>
          </w:p>
        </w:tc>
        <w:tc>
          <w:tcPr>
            <w:tcW w:w="0" w:type="auto"/>
            <w:shd w:val="clear" w:color="auto" w:fill="CCEEFF"/>
            <w:tcMar>
              <w:top w:w="40" w:type="dxa"/>
              <w:left w:w="0" w:type="dxa"/>
              <w:bottom w:w="40" w:type="dxa"/>
              <w:right w:w="20" w:type="dxa"/>
            </w:tcMar>
            <w:vAlign w:val="bottom"/>
          </w:tcPr>
          <w:p w14:paraId="7DCFDF5F" w14:textId="77777777" w:rsidR="00C1563E" w:rsidRDefault="00C1563E">
            <w:pPr>
              <w:jc w:val="right"/>
              <w:rPr>
                <w:rFonts w:ascii="宋体"/>
              </w:rPr>
            </w:pPr>
          </w:p>
        </w:tc>
      </w:tr>
      <w:tr w:rsidR="00C1563E" w14:paraId="7DCFDF6E" w14:textId="77777777">
        <w:tc>
          <w:tcPr>
            <w:tcW w:w="0" w:type="auto"/>
            <w:gridSpan w:val="3"/>
            <w:shd w:val="clear" w:color="auto" w:fill="FFFFFF"/>
            <w:tcMar>
              <w:top w:w="40" w:type="dxa"/>
              <w:left w:w="245" w:type="dxa"/>
              <w:bottom w:w="40" w:type="dxa"/>
              <w:right w:w="20" w:type="dxa"/>
            </w:tcMar>
            <w:vAlign w:val="bottom"/>
          </w:tcPr>
          <w:p w14:paraId="7DCFDF61" w14:textId="77777777" w:rsidR="00C1563E" w:rsidRDefault="000B648B">
            <w:pPr>
              <w:textAlignment w:val="bottom"/>
            </w:pPr>
            <w:r>
              <w:rPr>
                <w:rFonts w:ascii="Times New Roman" w:eastAsia="宋体" w:hAnsi="Times New Roman"/>
                <w:color w:val="000000"/>
                <w:sz w:val="20"/>
                <w:szCs w:val="20"/>
              </w:rPr>
              <w:t>Ot</w:t>
            </w:r>
            <w:r>
              <w:rPr>
                <w:rFonts w:ascii="Times New Roman" w:eastAsia="宋体" w:hAnsi="Times New Roman"/>
                <w:color w:val="000000"/>
                <w:sz w:val="20"/>
                <w:szCs w:val="20"/>
              </w:rPr>
              <w:t>her</w:t>
            </w:r>
          </w:p>
        </w:tc>
        <w:tc>
          <w:tcPr>
            <w:tcW w:w="0" w:type="auto"/>
            <w:shd w:val="clear" w:color="auto" w:fill="auto"/>
          </w:tcPr>
          <w:p w14:paraId="7DCFDF62" w14:textId="77777777" w:rsidR="00C1563E" w:rsidRDefault="00C1563E">
            <w:pPr>
              <w:rPr>
                <w:rFonts w:ascii="宋体"/>
                <w:vanish/>
              </w:rPr>
            </w:pPr>
          </w:p>
        </w:tc>
        <w:tc>
          <w:tcPr>
            <w:tcW w:w="0" w:type="auto"/>
            <w:shd w:val="clear" w:color="auto" w:fill="auto"/>
          </w:tcPr>
          <w:p w14:paraId="7DCFDF63" w14:textId="77777777" w:rsidR="00C1563E" w:rsidRDefault="00C1563E">
            <w:pPr>
              <w:rPr>
                <w:rFonts w:ascii="宋体"/>
                <w:vanish/>
              </w:rPr>
            </w:pPr>
          </w:p>
        </w:tc>
        <w:tc>
          <w:tcPr>
            <w:tcW w:w="0" w:type="auto"/>
            <w:shd w:val="clear" w:color="auto" w:fill="auto"/>
          </w:tcPr>
          <w:p w14:paraId="7DCFDF64" w14:textId="77777777" w:rsidR="00C1563E" w:rsidRDefault="00C1563E">
            <w:pPr>
              <w:rPr>
                <w:rFonts w:ascii="宋体"/>
                <w:vanish/>
              </w:rPr>
            </w:pPr>
          </w:p>
        </w:tc>
        <w:tc>
          <w:tcPr>
            <w:tcW w:w="0" w:type="auto"/>
            <w:shd w:val="clear" w:color="auto" w:fill="auto"/>
          </w:tcPr>
          <w:p w14:paraId="7DCFDF65"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CFDF66" w14:textId="77777777" w:rsidR="00C1563E" w:rsidRDefault="000B648B">
            <w:pPr>
              <w:jc w:val="right"/>
              <w:textAlignment w:val="bottom"/>
            </w:pPr>
            <w:r>
              <w:rPr>
                <w:rFonts w:ascii="Times New Roman" w:eastAsia="宋体" w:hAnsi="Times New Roman"/>
                <w:color w:val="000000"/>
                <w:sz w:val="20"/>
                <w:szCs w:val="20"/>
              </w:rPr>
              <w:t>406 </w:t>
            </w:r>
          </w:p>
        </w:tc>
        <w:tc>
          <w:tcPr>
            <w:tcW w:w="0" w:type="auto"/>
            <w:shd w:val="clear" w:color="auto" w:fill="FFFFFF"/>
            <w:tcMar>
              <w:top w:w="40" w:type="dxa"/>
              <w:left w:w="0" w:type="dxa"/>
              <w:bottom w:w="40" w:type="dxa"/>
              <w:right w:w="20" w:type="dxa"/>
            </w:tcMar>
            <w:vAlign w:val="bottom"/>
          </w:tcPr>
          <w:p w14:paraId="7DCFDF6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6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F69" w14:textId="77777777" w:rsidR="00C1563E" w:rsidRDefault="000B648B">
            <w:pPr>
              <w:jc w:val="right"/>
              <w:textAlignment w:val="bottom"/>
            </w:pPr>
            <w:r>
              <w:rPr>
                <w:rFonts w:ascii="Times New Roman" w:eastAsia="宋体" w:hAnsi="Times New Roman"/>
                <w:color w:val="000000"/>
                <w:sz w:val="20"/>
                <w:szCs w:val="20"/>
              </w:rPr>
              <w:t>(143)</w:t>
            </w:r>
          </w:p>
        </w:tc>
        <w:tc>
          <w:tcPr>
            <w:tcW w:w="0" w:type="auto"/>
            <w:shd w:val="clear" w:color="auto" w:fill="FFFFFF"/>
            <w:tcMar>
              <w:top w:w="40" w:type="dxa"/>
              <w:left w:w="0" w:type="dxa"/>
              <w:bottom w:w="40" w:type="dxa"/>
              <w:right w:w="20" w:type="dxa"/>
            </w:tcMar>
            <w:vAlign w:val="bottom"/>
          </w:tcPr>
          <w:p w14:paraId="7DCFDF6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6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DF6C" w14:textId="77777777" w:rsidR="00C1563E" w:rsidRDefault="000B648B">
            <w:pPr>
              <w:jc w:val="right"/>
              <w:textAlignment w:val="bottom"/>
            </w:pP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7DCFDF6D" w14:textId="77777777" w:rsidR="00C1563E" w:rsidRDefault="00C1563E">
            <w:pPr>
              <w:jc w:val="right"/>
              <w:rPr>
                <w:rFonts w:ascii="宋体"/>
              </w:rPr>
            </w:pPr>
          </w:p>
        </w:tc>
      </w:tr>
      <w:tr w:rsidR="00C1563E" w14:paraId="7DCFDF7F" w14:textId="77777777">
        <w:tc>
          <w:tcPr>
            <w:tcW w:w="0" w:type="auto"/>
            <w:gridSpan w:val="3"/>
            <w:shd w:val="clear" w:color="auto" w:fill="CCEEFF"/>
            <w:tcMar>
              <w:top w:w="40" w:type="dxa"/>
              <w:left w:w="515" w:type="dxa"/>
              <w:bottom w:w="40" w:type="dxa"/>
              <w:right w:w="20" w:type="dxa"/>
            </w:tcMar>
            <w:vAlign w:val="bottom"/>
          </w:tcPr>
          <w:p w14:paraId="7DCFDF6F" w14:textId="77777777" w:rsidR="00C1563E" w:rsidRDefault="000B648B">
            <w:pPr>
              <w:textAlignment w:val="bottom"/>
            </w:pPr>
            <w:r>
              <w:rPr>
                <w:rFonts w:ascii="Times New Roman" w:eastAsia="宋体" w:hAnsi="Times New Roman"/>
                <w:color w:val="000000"/>
                <w:sz w:val="20"/>
                <w:szCs w:val="20"/>
              </w:rPr>
              <w:t>To</w:t>
            </w:r>
            <w:r>
              <w:rPr>
                <w:rFonts w:ascii="Times New Roman" w:eastAsia="宋体" w:hAnsi="Times New Roman"/>
                <w:color w:val="000000"/>
                <w:sz w:val="20"/>
                <w:szCs w:val="20"/>
              </w:rPr>
              <w:t>tal interest and other, net</w:t>
            </w:r>
          </w:p>
        </w:tc>
        <w:tc>
          <w:tcPr>
            <w:tcW w:w="0" w:type="auto"/>
            <w:shd w:val="clear" w:color="auto" w:fill="auto"/>
          </w:tcPr>
          <w:p w14:paraId="7DCFDF70" w14:textId="77777777" w:rsidR="00C1563E" w:rsidRDefault="00C1563E">
            <w:pPr>
              <w:rPr>
                <w:rFonts w:ascii="宋体"/>
                <w:vanish/>
              </w:rPr>
            </w:pPr>
          </w:p>
        </w:tc>
        <w:tc>
          <w:tcPr>
            <w:tcW w:w="0" w:type="auto"/>
            <w:shd w:val="clear" w:color="auto" w:fill="auto"/>
          </w:tcPr>
          <w:p w14:paraId="7DCFDF71" w14:textId="77777777" w:rsidR="00C1563E" w:rsidRDefault="00C1563E">
            <w:pPr>
              <w:rPr>
                <w:rFonts w:ascii="宋体"/>
                <w:vanish/>
              </w:rPr>
            </w:pPr>
          </w:p>
        </w:tc>
        <w:tc>
          <w:tcPr>
            <w:tcW w:w="0" w:type="auto"/>
            <w:shd w:val="clear" w:color="auto" w:fill="auto"/>
          </w:tcPr>
          <w:p w14:paraId="7DCFDF72" w14:textId="77777777" w:rsidR="00C1563E" w:rsidRDefault="00C1563E">
            <w:pPr>
              <w:rPr>
                <w:rFonts w:ascii="宋体"/>
                <w:vanish/>
              </w:rPr>
            </w:pPr>
          </w:p>
        </w:tc>
        <w:tc>
          <w:tcPr>
            <w:tcW w:w="0" w:type="auto"/>
            <w:shd w:val="clear" w:color="auto" w:fill="auto"/>
          </w:tcPr>
          <w:p w14:paraId="7DCFDF73"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F7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F75" w14:textId="77777777" w:rsidR="00C1563E" w:rsidRDefault="000B648B">
            <w:pPr>
              <w:jc w:val="right"/>
              <w:textAlignment w:val="bottom"/>
            </w:pPr>
            <w:r>
              <w:rPr>
                <w:rFonts w:ascii="Times New Roman" w:eastAsia="宋体" w:hAnsi="Times New Roman"/>
                <w:color w:val="000000"/>
                <w:sz w:val="20"/>
                <w:szCs w:val="20"/>
              </w:rPr>
              <w:t>(1,474)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F7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77"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F7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F79" w14:textId="77777777" w:rsidR="00C1563E" w:rsidRDefault="000B648B">
            <w:pPr>
              <w:jc w:val="right"/>
              <w:textAlignment w:val="bottom"/>
            </w:pPr>
            <w:r>
              <w:rPr>
                <w:rFonts w:ascii="Times New Roman" w:eastAsia="宋体" w:hAnsi="Times New Roman"/>
                <w:color w:val="000000"/>
                <w:sz w:val="20"/>
                <w:szCs w:val="20"/>
              </w:rPr>
              <w:t>(2,626)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F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7B"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DF7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DF7D" w14:textId="77777777" w:rsidR="00C1563E" w:rsidRDefault="000B648B">
            <w:pPr>
              <w:jc w:val="right"/>
              <w:textAlignment w:val="bottom"/>
            </w:pPr>
            <w:r>
              <w:rPr>
                <w:rFonts w:ascii="Times New Roman" w:eastAsia="宋体" w:hAnsi="Times New Roman"/>
                <w:color w:val="000000"/>
                <w:sz w:val="20"/>
                <w:szCs w:val="20"/>
              </w:rPr>
              <w:t>(2,170)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DF7E" w14:textId="77777777" w:rsidR="00C1563E" w:rsidRDefault="00C1563E">
            <w:pPr>
              <w:jc w:val="right"/>
              <w:rPr>
                <w:rFonts w:ascii="宋体"/>
              </w:rPr>
            </w:pPr>
          </w:p>
        </w:tc>
      </w:tr>
    </w:tbl>
    <w:p w14:paraId="7DCFDF80" w14:textId="77777777" w:rsidR="00C1563E" w:rsidRDefault="00C1563E"/>
    <w:p w14:paraId="7DCFDF81" w14:textId="77777777" w:rsidR="00C1563E" w:rsidRDefault="000B648B">
      <w:r>
        <w:rPr>
          <w:rFonts w:ascii="Times New Roman" w:eastAsia="宋体" w:hAnsi="Times New Roman"/>
          <w:color w:val="000000"/>
          <w:sz w:val="20"/>
          <w:szCs w:val="20"/>
        </w:rPr>
        <w:t xml:space="preserve">During Fiscal 2021, the change in interest and other, net was favorable by $1,152 million, primarily due to a $396 million net gain on the fair value adjustment of </w:t>
      </w:r>
      <w:r>
        <w:rPr>
          <w:rFonts w:ascii="Times New Roman" w:eastAsia="宋体" w:hAnsi="Times New Roman"/>
          <w:color w:val="000000"/>
          <w:sz w:val="20"/>
          <w:szCs w:val="20"/>
        </w:rPr>
        <w:t>one of our strategic investments and a pre-tax gain of $338 million on the sale of RSA Security reflected in Other in the table above. Interest and other, net also benefited from a decrease in interest expense due to debt paydowns over the periods and a ga</w:t>
      </w:r>
      <w:r>
        <w:rPr>
          <w:rFonts w:ascii="Times New Roman" w:eastAsia="宋体" w:hAnsi="Times New Roman"/>
          <w:color w:val="000000"/>
          <w:sz w:val="20"/>
          <w:szCs w:val="20"/>
        </w:rPr>
        <w:t>in of $120 million recognized from the sale of certain intellectual property assets.</w:t>
      </w:r>
    </w:p>
    <w:p w14:paraId="7DCFDF82" w14:textId="77777777" w:rsidR="00C1563E" w:rsidRDefault="00C1563E">
      <w:pPr>
        <w:jc w:val="center"/>
      </w:pPr>
    </w:p>
    <w:p w14:paraId="7DCFDF83" w14:textId="77777777" w:rsidR="00C1563E" w:rsidRDefault="000B648B">
      <w:pPr>
        <w:jc w:val="center"/>
      </w:pPr>
      <w:r>
        <w:rPr>
          <w:rFonts w:ascii="Times New Roman" w:eastAsia="宋体" w:hAnsi="Times New Roman"/>
          <w:color w:val="000000"/>
          <w:sz w:val="20"/>
          <w:szCs w:val="20"/>
        </w:rPr>
        <w:t>52</w:t>
      </w:r>
    </w:p>
    <w:p w14:paraId="7DCFDF84" w14:textId="77777777" w:rsidR="00C1563E" w:rsidRDefault="00C1563E">
      <w:pPr>
        <w:jc w:val="center"/>
      </w:pPr>
    </w:p>
    <w:p w14:paraId="7DCFDF85" w14:textId="77777777" w:rsidR="00C1563E" w:rsidRDefault="000B648B">
      <w:r>
        <w:pict w14:anchorId="7DD0259E">
          <v:rect id="_x0000_i1076" style="width:415.3pt;height:1.5pt" o:hralign="center" o:hrstd="t" o:hr="t" fillcolor="#a0a0a0" stroked="f"/>
        </w:pict>
      </w:r>
    </w:p>
    <w:p w14:paraId="7DCFDF86" w14:textId="77777777" w:rsidR="00C1563E" w:rsidRDefault="000B648B">
      <w:hyperlink r:id="rId128" w:anchor="i418e32e4a35149ffbf7d3a25d66881b8_10"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7DCFDF87" w14:textId="77777777" w:rsidR="00C1563E" w:rsidRDefault="000B648B">
      <w:r>
        <w:rPr>
          <w:rFonts w:ascii="Times New Roman" w:eastAsia="宋体" w:hAnsi="Times New Roman"/>
          <w:b/>
          <w:bCs/>
          <w:color w:val="000000"/>
          <w:sz w:val="20"/>
          <w:szCs w:val="20"/>
        </w:rPr>
        <w:t>Income and Other Taxes</w:t>
      </w:r>
    </w:p>
    <w:p w14:paraId="7DCFDF88" w14:textId="77777777" w:rsidR="00C1563E" w:rsidRDefault="00C1563E"/>
    <w:p w14:paraId="7DCFDF89" w14:textId="77777777" w:rsidR="00C1563E" w:rsidRDefault="000B648B">
      <w:pPr>
        <w:spacing w:after="120"/>
      </w:pPr>
      <w:r>
        <w:rPr>
          <w:rFonts w:ascii="Times New Roman" w:eastAsia="宋体" w:hAnsi="Times New Roman"/>
          <w:color w:val="000000"/>
          <w:sz w:val="20"/>
          <w:szCs w:val="20"/>
          <w:shd w:val="clear" w:color="auto" w:fill="FFFFFF"/>
        </w:rPr>
        <w:t>The following table presents information regarding our income and other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04"/>
        <w:gridCol w:w="37"/>
        <w:gridCol w:w="120"/>
        <w:gridCol w:w="1273"/>
        <w:gridCol w:w="187"/>
        <w:gridCol w:w="36"/>
        <w:gridCol w:w="36"/>
        <w:gridCol w:w="36"/>
        <w:gridCol w:w="121"/>
        <w:gridCol w:w="1273"/>
        <w:gridCol w:w="187"/>
        <w:gridCol w:w="36"/>
        <w:gridCol w:w="36"/>
        <w:gridCol w:w="36"/>
        <w:gridCol w:w="120"/>
        <w:gridCol w:w="1273"/>
        <w:gridCol w:w="187"/>
      </w:tblGrid>
      <w:tr w:rsidR="00C1563E" w14:paraId="7DCFDF9C" w14:textId="77777777">
        <w:tc>
          <w:tcPr>
            <w:tcW w:w="50" w:type="pct"/>
            <w:shd w:val="clear" w:color="auto" w:fill="auto"/>
          </w:tcPr>
          <w:p w14:paraId="7DCFDF8A" w14:textId="77777777" w:rsidR="00C1563E" w:rsidRDefault="00C1563E">
            <w:pPr>
              <w:rPr>
                <w:rFonts w:ascii="宋体"/>
              </w:rPr>
            </w:pPr>
          </w:p>
        </w:tc>
        <w:tc>
          <w:tcPr>
            <w:tcW w:w="2145" w:type="pct"/>
            <w:shd w:val="clear" w:color="auto" w:fill="auto"/>
          </w:tcPr>
          <w:p w14:paraId="7DCFDF8B" w14:textId="77777777" w:rsidR="00C1563E" w:rsidRDefault="00C1563E">
            <w:pPr>
              <w:rPr>
                <w:rFonts w:ascii="宋体"/>
              </w:rPr>
            </w:pPr>
          </w:p>
        </w:tc>
        <w:tc>
          <w:tcPr>
            <w:tcW w:w="5" w:type="pct"/>
            <w:shd w:val="clear" w:color="auto" w:fill="auto"/>
          </w:tcPr>
          <w:p w14:paraId="7DCFDF8C" w14:textId="77777777" w:rsidR="00C1563E" w:rsidRDefault="00C1563E">
            <w:pPr>
              <w:rPr>
                <w:rFonts w:ascii="宋体"/>
              </w:rPr>
            </w:pPr>
          </w:p>
        </w:tc>
        <w:tc>
          <w:tcPr>
            <w:tcW w:w="50" w:type="pct"/>
            <w:shd w:val="clear" w:color="auto" w:fill="auto"/>
          </w:tcPr>
          <w:p w14:paraId="7DCFDF8D" w14:textId="77777777" w:rsidR="00C1563E" w:rsidRDefault="00C1563E">
            <w:pPr>
              <w:rPr>
                <w:rFonts w:ascii="宋体"/>
              </w:rPr>
            </w:pPr>
          </w:p>
        </w:tc>
        <w:tc>
          <w:tcPr>
            <w:tcW w:w="858" w:type="pct"/>
            <w:shd w:val="clear" w:color="auto" w:fill="auto"/>
          </w:tcPr>
          <w:p w14:paraId="7DCFDF8E" w14:textId="77777777" w:rsidR="00C1563E" w:rsidRDefault="00C1563E">
            <w:pPr>
              <w:rPr>
                <w:rFonts w:ascii="宋体"/>
              </w:rPr>
            </w:pPr>
          </w:p>
        </w:tc>
        <w:tc>
          <w:tcPr>
            <w:tcW w:w="5" w:type="pct"/>
            <w:shd w:val="clear" w:color="auto" w:fill="auto"/>
          </w:tcPr>
          <w:p w14:paraId="7DCFDF8F" w14:textId="77777777" w:rsidR="00C1563E" w:rsidRDefault="00C1563E">
            <w:pPr>
              <w:rPr>
                <w:rFonts w:ascii="宋体"/>
              </w:rPr>
            </w:pPr>
          </w:p>
        </w:tc>
        <w:tc>
          <w:tcPr>
            <w:tcW w:w="5" w:type="pct"/>
            <w:shd w:val="clear" w:color="auto" w:fill="auto"/>
          </w:tcPr>
          <w:p w14:paraId="7DCFDF90" w14:textId="77777777" w:rsidR="00C1563E" w:rsidRDefault="00C1563E">
            <w:pPr>
              <w:rPr>
                <w:rFonts w:ascii="宋体"/>
              </w:rPr>
            </w:pPr>
          </w:p>
        </w:tc>
        <w:tc>
          <w:tcPr>
            <w:tcW w:w="19" w:type="pct"/>
            <w:shd w:val="clear" w:color="auto" w:fill="auto"/>
          </w:tcPr>
          <w:p w14:paraId="7DCFDF91" w14:textId="77777777" w:rsidR="00C1563E" w:rsidRDefault="00C1563E">
            <w:pPr>
              <w:rPr>
                <w:rFonts w:ascii="宋体"/>
              </w:rPr>
            </w:pPr>
          </w:p>
        </w:tc>
        <w:tc>
          <w:tcPr>
            <w:tcW w:w="5" w:type="pct"/>
            <w:shd w:val="clear" w:color="auto" w:fill="auto"/>
          </w:tcPr>
          <w:p w14:paraId="7DCFDF92" w14:textId="77777777" w:rsidR="00C1563E" w:rsidRDefault="00C1563E">
            <w:pPr>
              <w:rPr>
                <w:rFonts w:ascii="宋体"/>
              </w:rPr>
            </w:pPr>
          </w:p>
        </w:tc>
        <w:tc>
          <w:tcPr>
            <w:tcW w:w="50" w:type="pct"/>
            <w:shd w:val="clear" w:color="auto" w:fill="auto"/>
          </w:tcPr>
          <w:p w14:paraId="7DCFDF93" w14:textId="77777777" w:rsidR="00C1563E" w:rsidRDefault="00C1563E">
            <w:pPr>
              <w:rPr>
                <w:rFonts w:ascii="宋体"/>
              </w:rPr>
            </w:pPr>
          </w:p>
        </w:tc>
        <w:tc>
          <w:tcPr>
            <w:tcW w:w="858" w:type="pct"/>
            <w:shd w:val="clear" w:color="auto" w:fill="auto"/>
          </w:tcPr>
          <w:p w14:paraId="7DCFDF94" w14:textId="77777777" w:rsidR="00C1563E" w:rsidRDefault="00C1563E">
            <w:pPr>
              <w:rPr>
                <w:rFonts w:ascii="宋体"/>
              </w:rPr>
            </w:pPr>
          </w:p>
        </w:tc>
        <w:tc>
          <w:tcPr>
            <w:tcW w:w="5" w:type="pct"/>
            <w:shd w:val="clear" w:color="auto" w:fill="auto"/>
          </w:tcPr>
          <w:p w14:paraId="7DCFDF95" w14:textId="77777777" w:rsidR="00C1563E" w:rsidRDefault="00C1563E">
            <w:pPr>
              <w:rPr>
                <w:rFonts w:ascii="宋体"/>
              </w:rPr>
            </w:pPr>
          </w:p>
        </w:tc>
        <w:tc>
          <w:tcPr>
            <w:tcW w:w="5" w:type="pct"/>
            <w:shd w:val="clear" w:color="auto" w:fill="auto"/>
          </w:tcPr>
          <w:p w14:paraId="7DCFDF96" w14:textId="77777777" w:rsidR="00C1563E" w:rsidRDefault="00C1563E">
            <w:pPr>
              <w:rPr>
                <w:rFonts w:ascii="宋体"/>
              </w:rPr>
            </w:pPr>
          </w:p>
        </w:tc>
        <w:tc>
          <w:tcPr>
            <w:tcW w:w="19" w:type="pct"/>
            <w:shd w:val="clear" w:color="auto" w:fill="auto"/>
          </w:tcPr>
          <w:p w14:paraId="7DCFDF97" w14:textId="77777777" w:rsidR="00C1563E" w:rsidRDefault="00C1563E">
            <w:pPr>
              <w:rPr>
                <w:rFonts w:ascii="宋体"/>
              </w:rPr>
            </w:pPr>
          </w:p>
        </w:tc>
        <w:tc>
          <w:tcPr>
            <w:tcW w:w="5" w:type="pct"/>
            <w:shd w:val="clear" w:color="auto" w:fill="auto"/>
          </w:tcPr>
          <w:p w14:paraId="7DCFDF98" w14:textId="77777777" w:rsidR="00C1563E" w:rsidRDefault="00C1563E">
            <w:pPr>
              <w:rPr>
                <w:rFonts w:ascii="宋体"/>
              </w:rPr>
            </w:pPr>
          </w:p>
        </w:tc>
        <w:tc>
          <w:tcPr>
            <w:tcW w:w="50" w:type="pct"/>
            <w:shd w:val="clear" w:color="auto" w:fill="auto"/>
          </w:tcPr>
          <w:p w14:paraId="7DCFDF99" w14:textId="77777777" w:rsidR="00C1563E" w:rsidRDefault="00C1563E">
            <w:pPr>
              <w:rPr>
                <w:rFonts w:ascii="宋体"/>
              </w:rPr>
            </w:pPr>
          </w:p>
        </w:tc>
        <w:tc>
          <w:tcPr>
            <w:tcW w:w="858" w:type="pct"/>
            <w:shd w:val="clear" w:color="auto" w:fill="auto"/>
          </w:tcPr>
          <w:p w14:paraId="7DCFDF9A" w14:textId="77777777" w:rsidR="00C1563E" w:rsidRDefault="00C1563E">
            <w:pPr>
              <w:rPr>
                <w:rFonts w:ascii="宋体"/>
              </w:rPr>
            </w:pPr>
          </w:p>
        </w:tc>
        <w:tc>
          <w:tcPr>
            <w:tcW w:w="5" w:type="pct"/>
            <w:shd w:val="clear" w:color="auto" w:fill="auto"/>
          </w:tcPr>
          <w:p w14:paraId="7DCFDF9B" w14:textId="77777777" w:rsidR="00C1563E" w:rsidRDefault="00C1563E">
            <w:pPr>
              <w:rPr>
                <w:rFonts w:ascii="宋体"/>
              </w:rPr>
            </w:pPr>
          </w:p>
        </w:tc>
      </w:tr>
      <w:tr w:rsidR="00C1563E" w14:paraId="7DCFDF9F" w14:textId="77777777">
        <w:tc>
          <w:tcPr>
            <w:tcW w:w="0" w:type="auto"/>
            <w:gridSpan w:val="3"/>
            <w:shd w:val="clear" w:color="auto" w:fill="auto"/>
            <w:tcMar>
              <w:top w:w="0" w:type="dxa"/>
              <w:left w:w="20" w:type="dxa"/>
              <w:bottom w:w="0" w:type="dxa"/>
              <w:right w:w="20" w:type="dxa"/>
            </w:tcMar>
          </w:tcPr>
          <w:p w14:paraId="7DCFDF9D"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CFDF9E"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DFA6" w14:textId="77777777">
        <w:tc>
          <w:tcPr>
            <w:tcW w:w="0" w:type="auto"/>
            <w:gridSpan w:val="3"/>
            <w:shd w:val="clear" w:color="auto" w:fill="auto"/>
            <w:tcMar>
              <w:top w:w="0" w:type="dxa"/>
              <w:left w:w="20" w:type="dxa"/>
              <w:bottom w:w="0" w:type="dxa"/>
              <w:right w:w="20" w:type="dxa"/>
            </w:tcMar>
          </w:tcPr>
          <w:p w14:paraId="7DCFDFA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DFA1"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DFA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FA3"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DFA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DFA5"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DFA9" w14:textId="77777777">
        <w:tc>
          <w:tcPr>
            <w:tcW w:w="0" w:type="auto"/>
            <w:gridSpan w:val="3"/>
            <w:shd w:val="clear" w:color="auto" w:fill="auto"/>
            <w:tcMar>
              <w:top w:w="0" w:type="dxa"/>
              <w:left w:w="20" w:type="dxa"/>
              <w:bottom w:w="0" w:type="dxa"/>
              <w:right w:w="20" w:type="dxa"/>
            </w:tcMar>
          </w:tcPr>
          <w:p w14:paraId="7DCFDFA7"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CFDFA8" w14:textId="77777777" w:rsidR="00C1563E" w:rsidRDefault="000B648B">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 except percentages)</w:t>
            </w:r>
          </w:p>
        </w:tc>
      </w:tr>
      <w:tr w:rsidR="00C1563E" w14:paraId="7DCFDFB6" w14:textId="77777777">
        <w:tc>
          <w:tcPr>
            <w:tcW w:w="0" w:type="auto"/>
            <w:gridSpan w:val="3"/>
            <w:shd w:val="clear" w:color="auto" w:fill="CCEEFF"/>
            <w:tcMar>
              <w:top w:w="40" w:type="dxa"/>
              <w:left w:w="20" w:type="dxa"/>
              <w:bottom w:w="40" w:type="dxa"/>
              <w:right w:w="20" w:type="dxa"/>
            </w:tcMar>
            <w:vAlign w:val="bottom"/>
          </w:tcPr>
          <w:p w14:paraId="7DCFDFAA" w14:textId="77777777" w:rsidR="00C1563E" w:rsidRDefault="000B648B">
            <w:pPr>
              <w:textAlignment w:val="bottom"/>
            </w:pPr>
            <w:r>
              <w:rPr>
                <w:rFonts w:ascii="Times New Roman" w:eastAsia="宋体" w:hAnsi="Times New Roman"/>
                <w:color w:val="000000"/>
                <w:sz w:val="20"/>
                <w:szCs w:val="20"/>
              </w:rPr>
              <w:t>Income (loss) before income taxes</w:t>
            </w:r>
          </w:p>
        </w:tc>
        <w:tc>
          <w:tcPr>
            <w:tcW w:w="0" w:type="auto"/>
            <w:shd w:val="clear" w:color="auto" w:fill="CCEEFF"/>
            <w:tcMar>
              <w:top w:w="40" w:type="dxa"/>
              <w:left w:w="20" w:type="dxa"/>
              <w:bottom w:w="40" w:type="dxa"/>
              <w:right w:w="0" w:type="dxa"/>
            </w:tcMar>
            <w:vAlign w:val="bottom"/>
          </w:tcPr>
          <w:p w14:paraId="7DCFDFA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FAC" w14:textId="77777777" w:rsidR="00C1563E" w:rsidRDefault="000B648B">
            <w:pPr>
              <w:jc w:val="right"/>
              <w:textAlignment w:val="bottom"/>
            </w:pPr>
            <w:r>
              <w:rPr>
                <w:rFonts w:ascii="Times New Roman" w:eastAsia="宋体" w:hAnsi="Times New Roman"/>
                <w:color w:val="000000"/>
                <w:sz w:val="20"/>
                <w:szCs w:val="20"/>
              </w:rPr>
              <w:t>3,670 </w:t>
            </w:r>
          </w:p>
        </w:tc>
        <w:tc>
          <w:tcPr>
            <w:tcW w:w="0" w:type="auto"/>
            <w:shd w:val="clear" w:color="auto" w:fill="CCEEFF"/>
            <w:tcMar>
              <w:top w:w="40" w:type="dxa"/>
              <w:left w:w="0" w:type="dxa"/>
              <w:bottom w:w="40" w:type="dxa"/>
              <w:right w:w="20" w:type="dxa"/>
            </w:tcMar>
            <w:vAlign w:val="bottom"/>
          </w:tcPr>
          <w:p w14:paraId="7DCFDFA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A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FA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FB0"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DCFDFB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DFB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DFB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DFB4" w14:textId="77777777" w:rsidR="00C1563E" w:rsidRDefault="000B648B">
            <w:pPr>
              <w:jc w:val="right"/>
              <w:textAlignment w:val="bottom"/>
            </w:pPr>
            <w:r>
              <w:rPr>
                <w:rFonts w:ascii="Times New Roman" w:eastAsia="宋体" w:hAnsi="Times New Roman"/>
                <w:color w:val="000000"/>
                <w:sz w:val="20"/>
                <w:szCs w:val="20"/>
              </w:rPr>
              <w:t>(2,361)</w:t>
            </w:r>
          </w:p>
        </w:tc>
        <w:tc>
          <w:tcPr>
            <w:tcW w:w="0" w:type="auto"/>
            <w:shd w:val="clear" w:color="auto" w:fill="CCEEFF"/>
            <w:tcMar>
              <w:top w:w="40" w:type="dxa"/>
              <w:left w:w="0" w:type="dxa"/>
              <w:bottom w:w="40" w:type="dxa"/>
              <w:right w:w="20" w:type="dxa"/>
            </w:tcMar>
            <w:vAlign w:val="bottom"/>
          </w:tcPr>
          <w:p w14:paraId="7DCFDFB5" w14:textId="77777777" w:rsidR="00C1563E" w:rsidRDefault="00C1563E">
            <w:pPr>
              <w:jc w:val="right"/>
              <w:rPr>
                <w:rFonts w:ascii="宋体"/>
              </w:rPr>
            </w:pPr>
          </w:p>
        </w:tc>
      </w:tr>
      <w:tr w:rsidR="00C1563E" w14:paraId="7DCFDFC3" w14:textId="77777777">
        <w:tc>
          <w:tcPr>
            <w:tcW w:w="0" w:type="auto"/>
            <w:gridSpan w:val="3"/>
            <w:shd w:val="clear" w:color="auto" w:fill="FFFFFF"/>
            <w:tcMar>
              <w:top w:w="40" w:type="dxa"/>
              <w:left w:w="20" w:type="dxa"/>
              <w:bottom w:w="40" w:type="dxa"/>
              <w:right w:w="20" w:type="dxa"/>
            </w:tcMar>
            <w:vAlign w:val="bottom"/>
          </w:tcPr>
          <w:p w14:paraId="7DCFDFB7" w14:textId="77777777" w:rsidR="00C1563E" w:rsidRDefault="000B648B">
            <w:pPr>
              <w:textAlignment w:val="bottom"/>
            </w:pPr>
            <w:r>
              <w:rPr>
                <w:rFonts w:ascii="Times New Roman" w:eastAsia="宋体" w:hAnsi="Times New Roman"/>
                <w:color w:val="000000"/>
                <w:sz w:val="20"/>
                <w:szCs w:val="20"/>
              </w:rPr>
              <w:t>Income tax expense (benefit)</w:t>
            </w:r>
          </w:p>
        </w:tc>
        <w:tc>
          <w:tcPr>
            <w:tcW w:w="0" w:type="auto"/>
            <w:shd w:val="clear" w:color="auto" w:fill="FFFFFF"/>
            <w:tcMar>
              <w:top w:w="40" w:type="dxa"/>
              <w:left w:w="20" w:type="dxa"/>
              <w:bottom w:w="40" w:type="dxa"/>
              <w:right w:w="0" w:type="dxa"/>
            </w:tcMar>
            <w:vAlign w:val="bottom"/>
          </w:tcPr>
          <w:p w14:paraId="7DCFDFB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B9" w14:textId="77777777" w:rsidR="00C1563E" w:rsidRDefault="000B648B">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7DCFDFB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B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FB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BD" w14:textId="77777777" w:rsidR="00C1563E" w:rsidRDefault="000B648B">
            <w:pPr>
              <w:jc w:val="right"/>
              <w:textAlignment w:val="bottom"/>
            </w:pPr>
            <w:r>
              <w:rPr>
                <w:rFonts w:ascii="Times New Roman" w:eastAsia="宋体" w:hAnsi="Times New Roman"/>
                <w:color w:val="000000"/>
                <w:sz w:val="20"/>
                <w:szCs w:val="20"/>
              </w:rPr>
              <w:t>(5,533)</w:t>
            </w:r>
          </w:p>
        </w:tc>
        <w:tc>
          <w:tcPr>
            <w:tcW w:w="0" w:type="auto"/>
            <w:shd w:val="clear" w:color="auto" w:fill="FFFFFF"/>
            <w:tcMar>
              <w:top w:w="40" w:type="dxa"/>
              <w:left w:w="0" w:type="dxa"/>
              <w:bottom w:w="40" w:type="dxa"/>
              <w:right w:w="20" w:type="dxa"/>
            </w:tcMar>
            <w:vAlign w:val="bottom"/>
          </w:tcPr>
          <w:p w14:paraId="7DCFDF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DFB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DFC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DFC1" w14:textId="77777777" w:rsidR="00C1563E" w:rsidRDefault="000B648B">
            <w:pPr>
              <w:jc w:val="right"/>
              <w:textAlignment w:val="bottom"/>
            </w:pPr>
            <w:r>
              <w:rPr>
                <w:rFonts w:ascii="Times New Roman" w:eastAsia="宋体" w:hAnsi="Times New Roman"/>
                <w:color w:val="000000"/>
                <w:sz w:val="20"/>
                <w:szCs w:val="20"/>
              </w:rPr>
              <w:t>(180)</w:t>
            </w:r>
          </w:p>
        </w:tc>
        <w:tc>
          <w:tcPr>
            <w:tcW w:w="0" w:type="auto"/>
            <w:shd w:val="clear" w:color="auto" w:fill="FFFFFF"/>
            <w:tcMar>
              <w:top w:w="40" w:type="dxa"/>
              <w:left w:w="0" w:type="dxa"/>
              <w:bottom w:w="40" w:type="dxa"/>
              <w:right w:w="20" w:type="dxa"/>
            </w:tcMar>
            <w:vAlign w:val="bottom"/>
          </w:tcPr>
          <w:p w14:paraId="7DCFDFC2" w14:textId="77777777" w:rsidR="00C1563E" w:rsidRDefault="00C1563E">
            <w:pPr>
              <w:jc w:val="right"/>
              <w:rPr>
                <w:rFonts w:ascii="宋体"/>
              </w:rPr>
            </w:pPr>
          </w:p>
        </w:tc>
      </w:tr>
      <w:tr w:rsidR="00C1563E" w14:paraId="7DCFDFCD" w14:textId="77777777">
        <w:tc>
          <w:tcPr>
            <w:tcW w:w="0" w:type="auto"/>
            <w:gridSpan w:val="3"/>
            <w:shd w:val="clear" w:color="auto" w:fill="CCEEFF"/>
            <w:tcMar>
              <w:top w:w="40" w:type="dxa"/>
              <w:left w:w="20" w:type="dxa"/>
              <w:bottom w:w="40" w:type="dxa"/>
              <w:right w:w="20" w:type="dxa"/>
            </w:tcMar>
            <w:vAlign w:val="bottom"/>
          </w:tcPr>
          <w:p w14:paraId="7DCFDFC4" w14:textId="77777777" w:rsidR="00C1563E" w:rsidRDefault="000B648B">
            <w:pPr>
              <w:textAlignment w:val="bottom"/>
            </w:pPr>
            <w:r>
              <w:rPr>
                <w:rFonts w:ascii="Times New Roman" w:eastAsia="宋体" w:hAnsi="Times New Roman"/>
                <w:color w:val="000000"/>
                <w:sz w:val="20"/>
                <w:szCs w:val="20"/>
              </w:rPr>
              <w:t>Effective income tax rate</w:t>
            </w:r>
          </w:p>
        </w:tc>
        <w:tc>
          <w:tcPr>
            <w:tcW w:w="0" w:type="auto"/>
            <w:gridSpan w:val="2"/>
            <w:shd w:val="clear" w:color="auto" w:fill="CCEEFF"/>
            <w:tcMar>
              <w:top w:w="40" w:type="dxa"/>
              <w:left w:w="20" w:type="dxa"/>
              <w:bottom w:w="40" w:type="dxa"/>
              <w:right w:w="0" w:type="dxa"/>
            </w:tcMar>
            <w:vAlign w:val="bottom"/>
          </w:tcPr>
          <w:p w14:paraId="7DCFDFC5"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7DCFDFC6"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FC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C8" w14:textId="77777777" w:rsidR="00C1563E" w:rsidRDefault="000B648B">
            <w:pPr>
              <w:jc w:val="right"/>
              <w:textAlignment w:val="bottom"/>
            </w:pPr>
            <w:r>
              <w:rPr>
                <w:rFonts w:ascii="Times New Roman" w:eastAsia="宋体" w:hAnsi="Times New Roman"/>
                <w:color w:val="000000"/>
                <w:sz w:val="20"/>
                <w:szCs w:val="20"/>
              </w:rPr>
              <w:t>138325.0 </w:t>
            </w:r>
          </w:p>
        </w:tc>
        <w:tc>
          <w:tcPr>
            <w:tcW w:w="0" w:type="auto"/>
            <w:shd w:val="clear" w:color="auto" w:fill="CCEEFF"/>
            <w:tcMar>
              <w:top w:w="40" w:type="dxa"/>
              <w:left w:w="0" w:type="dxa"/>
              <w:bottom w:w="40" w:type="dxa"/>
              <w:right w:w="20" w:type="dxa"/>
            </w:tcMar>
            <w:vAlign w:val="bottom"/>
          </w:tcPr>
          <w:p w14:paraId="7DCFDFC9"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DFC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DFCB" w14:textId="77777777" w:rsidR="00C1563E" w:rsidRDefault="000B648B">
            <w:pPr>
              <w:jc w:val="right"/>
              <w:textAlignment w:val="bottom"/>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bottom"/>
          </w:tcPr>
          <w:p w14:paraId="7DCFDFCC" w14:textId="77777777" w:rsidR="00C1563E" w:rsidRDefault="000B648B">
            <w:pPr>
              <w:jc w:val="right"/>
              <w:textAlignment w:val="bottom"/>
            </w:pPr>
            <w:r>
              <w:rPr>
                <w:rFonts w:ascii="Times New Roman" w:eastAsia="宋体" w:hAnsi="Times New Roman"/>
                <w:color w:val="000000"/>
                <w:sz w:val="20"/>
                <w:szCs w:val="20"/>
              </w:rPr>
              <w:t>%</w:t>
            </w:r>
          </w:p>
        </w:tc>
      </w:tr>
    </w:tbl>
    <w:p w14:paraId="7DCFDFCE" w14:textId="77777777" w:rsidR="00C1563E" w:rsidRDefault="00C1563E"/>
    <w:p w14:paraId="7DCFDFCF" w14:textId="77777777" w:rsidR="00C1563E" w:rsidRDefault="000B648B">
      <w:r>
        <w:rPr>
          <w:rFonts w:ascii="Times New Roman" w:eastAsia="宋体" w:hAnsi="Times New Roman"/>
          <w:color w:val="000000"/>
          <w:sz w:val="20"/>
          <w:szCs w:val="20"/>
        </w:rPr>
        <w:t xml:space="preserve">For Fiscal 2021 and Fiscal 2020, our effective income tax rates were 4.5% on pre-tax income of $3,670 million and 138325.0% on pre-tax losses of $4 million, </w:t>
      </w:r>
      <w:r>
        <w:rPr>
          <w:rFonts w:ascii="Times New Roman" w:eastAsia="宋体" w:hAnsi="Times New Roman"/>
          <w:color w:val="000000"/>
          <w:sz w:val="20"/>
          <w:szCs w:val="20"/>
        </w:rPr>
        <w:t>respectively. The change in our effective income tax rate was primarily driven by discrete tax items and a change in our jurisdictional mix of income.</w:t>
      </w:r>
    </w:p>
    <w:p w14:paraId="7DCFDFD0" w14:textId="77777777" w:rsidR="00C1563E" w:rsidRDefault="00C1563E"/>
    <w:p w14:paraId="7DCFDFD1" w14:textId="77777777" w:rsidR="00C1563E" w:rsidRDefault="000B648B">
      <w:r>
        <w:rPr>
          <w:rFonts w:ascii="Times New Roman" w:eastAsia="宋体" w:hAnsi="Times New Roman"/>
          <w:color w:val="000000"/>
          <w:sz w:val="20"/>
          <w:szCs w:val="20"/>
        </w:rPr>
        <w:t xml:space="preserve">For Fiscal 2021, our effective income tax rate includes discrete tax benefits of </w:t>
      </w:r>
      <w:r>
        <w:rPr>
          <w:rFonts w:ascii="Times New Roman" w:eastAsia="宋体" w:hAnsi="Times New Roman"/>
          <w:color w:val="000000"/>
          <w:sz w:val="20"/>
          <w:szCs w:val="20"/>
        </w:rPr>
        <w:t>$746 million related to an audit settlement, $159 million related to stock-based compensation, and $59 million from an intra-entity asset transfer of certain of Pivotal’s intellectual property to an Irish subsidiary that was completed by VMware, Inc. Our e</w:t>
      </w:r>
      <w:r>
        <w:rPr>
          <w:rFonts w:ascii="Times New Roman" w:eastAsia="宋体" w:hAnsi="Times New Roman"/>
          <w:color w:val="000000"/>
          <w:sz w:val="20"/>
          <w:szCs w:val="20"/>
        </w:rPr>
        <w:t>ffective income tax rate also includes discrete tax expense of $359 million related to the divestiture of RSA Security during Fiscal 2021. For Fiscal 2020, our effective income tax rate includes discrete tax benefits of $4.9 billion related to similar intr</w:t>
      </w:r>
      <w:r>
        <w:rPr>
          <w:rFonts w:ascii="Times New Roman" w:eastAsia="宋体" w:hAnsi="Times New Roman"/>
          <w:color w:val="000000"/>
          <w:sz w:val="20"/>
          <w:szCs w:val="20"/>
        </w:rPr>
        <w:t>a-entity asset transfers. The tax benefit for each intra-entity asset transfer was recorded as a deferred tax asset in the period of transaction and represents the book and tax basis difference on the transferred assets measured based on the applicable Iri</w:t>
      </w:r>
      <w:r>
        <w:rPr>
          <w:rFonts w:ascii="Times New Roman" w:eastAsia="宋体" w:hAnsi="Times New Roman"/>
          <w:color w:val="000000"/>
          <w:sz w:val="20"/>
          <w:szCs w:val="20"/>
        </w:rPr>
        <w:t>sh statutory tax rate. We expect to be able to realize the deferred tax assets resulting from these intra-entity asset transfers. Our effective income tax rate for Fiscal 2020 also includes discrete tax benefits of $351 million related to stock-based compe</w:t>
      </w:r>
      <w:r>
        <w:rPr>
          <w:rFonts w:ascii="Times New Roman" w:eastAsia="宋体" w:hAnsi="Times New Roman"/>
          <w:color w:val="000000"/>
          <w:sz w:val="20"/>
          <w:szCs w:val="20"/>
        </w:rPr>
        <w:t>nsation, $305 million related to an audit settlement, and $95 million related to Virtustream impairment charges.</w:t>
      </w:r>
    </w:p>
    <w:p w14:paraId="7DCFDFD2" w14:textId="77777777" w:rsidR="00C1563E" w:rsidRDefault="00C1563E"/>
    <w:p w14:paraId="7DCFDFD3" w14:textId="77777777" w:rsidR="00C1563E" w:rsidRDefault="000B648B">
      <w:r>
        <w:rPr>
          <w:rFonts w:ascii="Times New Roman" w:eastAsia="宋体" w:hAnsi="Times New Roman"/>
          <w:color w:val="000000"/>
          <w:sz w:val="20"/>
          <w:szCs w:val="20"/>
        </w:rPr>
        <w:t>Our effective income tax rate can fluctuate depending on the geographic distribution of our worldwide earnings, as our foreign earnings are ge</w:t>
      </w:r>
      <w:r>
        <w:rPr>
          <w:rFonts w:ascii="Times New Roman" w:eastAsia="宋体" w:hAnsi="Times New Roman"/>
          <w:color w:val="000000"/>
          <w:sz w:val="20"/>
          <w:szCs w:val="20"/>
        </w:rPr>
        <w:t>nerally taxed at lower rates than in the United States. The differences between our effective income tax rate and the U.S. federal statutory rate of 21% principally result from the geographical distribution of income, differences between the book and tax t</w:t>
      </w:r>
      <w:r>
        <w:rPr>
          <w:rFonts w:ascii="Times New Roman" w:eastAsia="宋体" w:hAnsi="Times New Roman"/>
          <w:color w:val="000000"/>
          <w:sz w:val="20"/>
          <w:szCs w:val="20"/>
        </w:rPr>
        <w:t>reatment of certain items and the discrete tax items described above. In certain jurisdictions, our tax rate is significantly less than the applicable statutory rate as a result of tax holidays. The majority of our foreign income that is subject to these t</w:t>
      </w:r>
      <w:r>
        <w:rPr>
          <w:rFonts w:ascii="Times New Roman" w:eastAsia="宋体" w:hAnsi="Times New Roman"/>
          <w:color w:val="000000"/>
          <w:sz w:val="20"/>
          <w:szCs w:val="20"/>
        </w:rPr>
        <w:t>ax holidays and lower tax rates is attributable to Singapore, China, and Malaysia. A significant portion of these income tax benefits relates to a tax holiday that will be effective until January 31, 2029.  Our other tax holidays will expire in whole or in</w:t>
      </w:r>
      <w:r>
        <w:rPr>
          <w:rFonts w:ascii="Times New Roman" w:eastAsia="宋体" w:hAnsi="Times New Roman"/>
          <w:color w:val="000000"/>
          <w:sz w:val="20"/>
          <w:szCs w:val="20"/>
        </w:rPr>
        <w:t xml:space="preserve"> part during Fiscal 2022 through Fiscal 2030. Many of these tax holidays and reduced tax rates may be extended when certain conditions are met or may be terminated early if certain conditions are not met. As of January 29, 2021, we were not aware of any ma</w:t>
      </w:r>
      <w:r>
        <w:rPr>
          <w:rFonts w:ascii="Times New Roman" w:eastAsia="宋体" w:hAnsi="Times New Roman"/>
          <w:color w:val="000000"/>
          <w:sz w:val="20"/>
          <w:szCs w:val="20"/>
        </w:rPr>
        <w:t>tters of noncompliance related to these tax holidays.</w:t>
      </w:r>
    </w:p>
    <w:p w14:paraId="7DCFDFD4" w14:textId="77777777" w:rsidR="00C1563E" w:rsidRDefault="00C1563E"/>
    <w:p w14:paraId="7DCFDFD5" w14:textId="77777777" w:rsidR="00C1563E" w:rsidRDefault="000B648B">
      <w:r>
        <w:rPr>
          <w:rFonts w:ascii="Times New Roman" w:eastAsia="宋体" w:hAnsi="Times New Roman"/>
          <w:color w:val="000000"/>
          <w:sz w:val="20"/>
          <w:szCs w:val="20"/>
        </w:rPr>
        <w:t xml:space="preserve">For further discussion regarding tax matters, including the status of income tax audits, see Note 11 of the Notes to the Consolidated Financial Statements included in this report. </w:t>
      </w:r>
    </w:p>
    <w:p w14:paraId="7DCFDFD6" w14:textId="77777777" w:rsidR="00C1563E" w:rsidRDefault="00C1563E"/>
    <w:p w14:paraId="7DCFDFD7" w14:textId="77777777" w:rsidR="00C1563E" w:rsidRDefault="000B648B">
      <w:r>
        <w:rPr>
          <w:rFonts w:ascii="Times New Roman" w:eastAsia="宋体" w:hAnsi="Times New Roman"/>
          <w:b/>
          <w:bCs/>
          <w:color w:val="000000"/>
          <w:sz w:val="20"/>
          <w:szCs w:val="20"/>
        </w:rPr>
        <w:t>Net Income</w:t>
      </w:r>
    </w:p>
    <w:p w14:paraId="7DCFDFD8" w14:textId="77777777" w:rsidR="00C1563E" w:rsidRDefault="00C1563E"/>
    <w:p w14:paraId="7DCFDFD9" w14:textId="77777777" w:rsidR="00C1563E" w:rsidRDefault="000B648B">
      <w:r>
        <w:rPr>
          <w:rFonts w:ascii="Times New Roman" w:eastAsia="宋体" w:hAnsi="Times New Roman"/>
          <w:color w:val="000000"/>
          <w:sz w:val="20"/>
          <w:szCs w:val="20"/>
        </w:rPr>
        <w:t xml:space="preserve">During </w:t>
      </w:r>
      <w:r>
        <w:rPr>
          <w:rFonts w:ascii="Times New Roman" w:eastAsia="宋体" w:hAnsi="Times New Roman"/>
          <w:color w:val="000000"/>
          <w:sz w:val="20"/>
          <w:szCs w:val="20"/>
        </w:rPr>
        <w:t>Fiscal 2021, net income decreased 37% to $3.5 billion. The decrease in net income during Fiscal 2021 was primarily due to lower discrete tax benefits, which was partially offset by an increase in operating income.</w:t>
      </w:r>
    </w:p>
    <w:p w14:paraId="7DCFDFDA" w14:textId="77777777" w:rsidR="00C1563E" w:rsidRDefault="00C1563E"/>
    <w:p w14:paraId="7DCFDFDB" w14:textId="77777777" w:rsidR="00C1563E" w:rsidRDefault="000B648B">
      <w:r>
        <w:rPr>
          <w:rFonts w:ascii="Times New Roman" w:eastAsia="宋体" w:hAnsi="Times New Roman"/>
          <w:color w:val="000000"/>
          <w:sz w:val="20"/>
          <w:szCs w:val="20"/>
        </w:rPr>
        <w:t>Net income for Fiscal 2021 and Fiscal 202</w:t>
      </w:r>
      <w:r>
        <w:rPr>
          <w:rFonts w:ascii="Times New Roman" w:eastAsia="宋体" w:hAnsi="Times New Roman"/>
          <w:color w:val="000000"/>
          <w:sz w:val="20"/>
          <w:szCs w:val="20"/>
        </w:rPr>
        <w:t>0 included amortization of intangible assets, the impact of purchase accounting, transaction-related expenses, stock-based compensation expense, other corporate expenses, fair value adjustments on equity investments, and discrete tax items. Excluding these</w:t>
      </w:r>
      <w:r>
        <w:rPr>
          <w:rFonts w:ascii="Times New Roman" w:eastAsia="宋体" w:hAnsi="Times New Roman"/>
          <w:color w:val="000000"/>
          <w:sz w:val="20"/>
          <w:szCs w:val="20"/>
        </w:rPr>
        <w:t xml:space="preserve"> costs and the related tax impacts, non-GAAP net income increased 11% to $6.8 billion during Fiscal 2021. The increase in non-GAAP net income during Fiscal 2021 was primarily attributable to an increase in non-GAAP operating income. </w:t>
      </w:r>
    </w:p>
    <w:p w14:paraId="7DCFDFDC" w14:textId="77777777" w:rsidR="00C1563E" w:rsidRDefault="00C1563E"/>
    <w:p w14:paraId="7DCFDFDD" w14:textId="77777777" w:rsidR="00C1563E" w:rsidRDefault="00C1563E"/>
    <w:p w14:paraId="7DCFDFDE" w14:textId="77777777" w:rsidR="00C1563E" w:rsidRDefault="00C1563E">
      <w:pPr>
        <w:jc w:val="center"/>
      </w:pPr>
    </w:p>
    <w:p w14:paraId="7DCFDFDF" w14:textId="77777777" w:rsidR="00C1563E" w:rsidRDefault="000B648B">
      <w:pPr>
        <w:jc w:val="center"/>
      </w:pPr>
      <w:r>
        <w:rPr>
          <w:rFonts w:ascii="Times New Roman" w:eastAsia="宋体" w:hAnsi="Times New Roman"/>
          <w:color w:val="000000"/>
          <w:sz w:val="20"/>
          <w:szCs w:val="20"/>
        </w:rPr>
        <w:t>53</w:t>
      </w:r>
    </w:p>
    <w:p w14:paraId="7DCFDFE0" w14:textId="77777777" w:rsidR="00C1563E" w:rsidRDefault="00C1563E">
      <w:pPr>
        <w:jc w:val="center"/>
      </w:pPr>
    </w:p>
    <w:p w14:paraId="7DCFDFE1" w14:textId="77777777" w:rsidR="00C1563E" w:rsidRDefault="000B648B">
      <w:r>
        <w:pict w14:anchorId="7DD0259F">
          <v:rect id="_x0000_i1077" style="width:415.3pt;height:1.5pt" o:hralign="center" o:hrstd="t" o:hr="t" fillcolor="#a0a0a0" stroked="f"/>
        </w:pict>
      </w:r>
    </w:p>
    <w:p w14:paraId="7DCFDFE2" w14:textId="77777777" w:rsidR="00C1563E" w:rsidRDefault="000B648B">
      <w:hyperlink r:id="rId129" w:anchor="i418e32e4a35149ffbf7d3a25d66881b8_10" w:history="1">
        <w:r>
          <w:rPr>
            <w:rStyle w:val="a5"/>
            <w:rFonts w:ascii="Times New Roman" w:eastAsia="宋体" w:hAnsi="Times New Roman"/>
            <w:sz w:val="20"/>
            <w:szCs w:val="20"/>
          </w:rPr>
          <w:t>Table of Contents</w:t>
        </w:r>
      </w:hyperlink>
    </w:p>
    <w:p w14:paraId="7DCFDFE3" w14:textId="77777777" w:rsidR="00C1563E" w:rsidRDefault="000B648B">
      <w:r>
        <w:rPr>
          <w:rFonts w:ascii="Times New Roman" w:eastAsia="宋体" w:hAnsi="Times New Roman"/>
          <w:b/>
          <w:bCs/>
          <w:color w:val="000000"/>
          <w:sz w:val="20"/>
          <w:szCs w:val="20"/>
        </w:rPr>
        <w:t>Non-controlling Interests</w:t>
      </w:r>
    </w:p>
    <w:p w14:paraId="7DCFDFE4" w14:textId="77777777" w:rsidR="00C1563E" w:rsidRDefault="00C1563E"/>
    <w:p w14:paraId="7DCFDFE5" w14:textId="77777777" w:rsidR="00C1563E" w:rsidRDefault="000B648B">
      <w:r>
        <w:rPr>
          <w:rFonts w:ascii="Times New Roman" w:eastAsia="宋体" w:hAnsi="Times New Roman"/>
          <w:color w:val="000000"/>
          <w:sz w:val="20"/>
          <w:szCs w:val="20"/>
        </w:rPr>
        <w:t xml:space="preserve">During Fiscal 2021, net income attributable to </w:t>
      </w:r>
      <w:r>
        <w:rPr>
          <w:rFonts w:ascii="Times New Roman" w:eastAsia="宋体" w:hAnsi="Times New Roman"/>
          <w:color w:val="000000"/>
          <w:sz w:val="20"/>
          <w:szCs w:val="20"/>
        </w:rPr>
        <w:t>non-controlling interests was $255 million, and consisted of net income or loss attributable to our non-controlling interests in VMware, Inc. and Secureworks. During Fiscal 2020, net income attributable to non-controlling interests was $913 million, and co</w:t>
      </w:r>
      <w:r>
        <w:rPr>
          <w:rFonts w:ascii="Times New Roman" w:eastAsia="宋体" w:hAnsi="Times New Roman"/>
          <w:color w:val="000000"/>
          <w:sz w:val="20"/>
          <w:szCs w:val="20"/>
        </w:rPr>
        <w:t>nsisted of net income or loss attributable to our non-controlling interests in VMware, Inc., Pivotal, and Secureworks. Pivotal was acquired by VMware, Inc. on December 30, 2019 and, as a result, we no longer have a separate non-controlling interest in Pivo</w:t>
      </w:r>
      <w:r>
        <w:rPr>
          <w:rFonts w:ascii="Times New Roman" w:eastAsia="宋体" w:hAnsi="Times New Roman"/>
          <w:color w:val="000000"/>
          <w:sz w:val="20"/>
          <w:szCs w:val="20"/>
        </w:rPr>
        <w:t>tal. The decrease in net income attributable to non-controlling interests in Fiscal 2021 was driven by lower discrete tax benefits for VMware, Inc. For more information about our non-controlling interests, see Note 13 of the Notes to the Consolidated Finan</w:t>
      </w:r>
      <w:r>
        <w:rPr>
          <w:rFonts w:ascii="Times New Roman" w:eastAsia="宋体" w:hAnsi="Times New Roman"/>
          <w:color w:val="000000"/>
          <w:sz w:val="20"/>
          <w:szCs w:val="20"/>
        </w:rPr>
        <w:t>cial Statements included in this report.</w:t>
      </w:r>
    </w:p>
    <w:p w14:paraId="7DCFDFE6" w14:textId="77777777" w:rsidR="00C1563E" w:rsidRDefault="00C1563E"/>
    <w:p w14:paraId="7DCFDFE7" w14:textId="77777777" w:rsidR="00C1563E" w:rsidRDefault="000B648B">
      <w:r>
        <w:rPr>
          <w:rFonts w:ascii="Times New Roman" w:eastAsia="宋体" w:hAnsi="Times New Roman"/>
          <w:b/>
          <w:bCs/>
          <w:color w:val="000000"/>
          <w:sz w:val="20"/>
          <w:szCs w:val="20"/>
        </w:rPr>
        <w:t>Net Income Attributable to Dell Technologies Inc.</w:t>
      </w:r>
    </w:p>
    <w:p w14:paraId="7DCFDFE8" w14:textId="77777777" w:rsidR="00C1563E" w:rsidRDefault="00C1563E"/>
    <w:p w14:paraId="7DCFDFE9" w14:textId="77777777" w:rsidR="00C1563E" w:rsidRDefault="000B648B">
      <w:r>
        <w:rPr>
          <w:rFonts w:ascii="Times New Roman" w:eastAsia="宋体" w:hAnsi="Times New Roman"/>
          <w:color w:val="000000"/>
          <w:sz w:val="20"/>
          <w:szCs w:val="20"/>
        </w:rPr>
        <w:t>Net income attributable to Dell Technologies Inc. represents net income and an adjustment for non-controlling interests. Net income attributable to Dell Technologi</w:t>
      </w:r>
      <w:r>
        <w:rPr>
          <w:rFonts w:ascii="Times New Roman" w:eastAsia="宋体" w:hAnsi="Times New Roman"/>
          <w:color w:val="000000"/>
          <w:sz w:val="20"/>
          <w:szCs w:val="20"/>
        </w:rPr>
        <w:t xml:space="preserve">es Inc. was $3.3 billion in Fiscal 2021, compared to $4.6 billion in Fiscal 2020. The decrease in net income attributable to Dell Technologies Inc. during Fiscal 2021 was primarily attributable to a decrease in net income for the period. </w:t>
      </w:r>
    </w:p>
    <w:p w14:paraId="7DCFDFEA" w14:textId="77777777" w:rsidR="00C1563E" w:rsidRDefault="00C1563E"/>
    <w:p w14:paraId="7DCFDFEB" w14:textId="77777777" w:rsidR="00C1563E" w:rsidRDefault="00C1563E">
      <w:pPr>
        <w:jc w:val="center"/>
      </w:pPr>
    </w:p>
    <w:p w14:paraId="7DCFDFEC" w14:textId="77777777" w:rsidR="00C1563E" w:rsidRDefault="000B648B">
      <w:pPr>
        <w:jc w:val="center"/>
      </w:pPr>
      <w:r>
        <w:rPr>
          <w:rFonts w:ascii="Times New Roman" w:eastAsia="宋体" w:hAnsi="Times New Roman"/>
          <w:color w:val="000000"/>
          <w:sz w:val="20"/>
          <w:szCs w:val="20"/>
        </w:rPr>
        <w:t>54</w:t>
      </w:r>
    </w:p>
    <w:p w14:paraId="7DCFDFED" w14:textId="77777777" w:rsidR="00C1563E" w:rsidRDefault="00C1563E">
      <w:pPr>
        <w:jc w:val="center"/>
      </w:pPr>
    </w:p>
    <w:p w14:paraId="7DCFDFEE" w14:textId="77777777" w:rsidR="00C1563E" w:rsidRDefault="000B648B">
      <w:r>
        <w:pict w14:anchorId="7DD025A0">
          <v:rect id="_x0000_i1078" style="width:415.3pt;height:1.5pt" o:hralign="center" o:hrstd="t" o:hr="t" fillcolor="#a0a0a0" stroked="f"/>
        </w:pict>
      </w:r>
    </w:p>
    <w:p w14:paraId="7DCFDFEF" w14:textId="77777777" w:rsidR="00C1563E" w:rsidRDefault="000B648B">
      <w:hyperlink r:id="rId130" w:anchor="i418e32e4a35149ffbf7d3a25d66881b8_10" w:history="1">
        <w:r>
          <w:rPr>
            <w:rStyle w:val="a5"/>
            <w:rFonts w:ascii="Times New Roman" w:eastAsia="宋体" w:hAnsi="Times New Roman"/>
            <w:sz w:val="20"/>
            <w:szCs w:val="20"/>
          </w:rPr>
          <w:t>Table of Contents</w:t>
        </w:r>
      </w:hyperlink>
    </w:p>
    <w:p w14:paraId="7DCFDFF0" w14:textId="77777777" w:rsidR="00C1563E" w:rsidRDefault="000B648B">
      <w:r>
        <w:rPr>
          <w:rFonts w:ascii="Times New Roman" w:eastAsia="宋体" w:hAnsi="Times New Roman"/>
          <w:b/>
          <w:bCs/>
          <w:color w:val="000000"/>
          <w:sz w:val="20"/>
          <w:szCs w:val="20"/>
        </w:rPr>
        <w:t>Business Unit Results</w:t>
      </w:r>
    </w:p>
    <w:p w14:paraId="7DCFDFF1" w14:textId="77777777" w:rsidR="00C1563E" w:rsidRDefault="00C1563E"/>
    <w:p w14:paraId="7DCFDFF2" w14:textId="77777777" w:rsidR="00C1563E" w:rsidRDefault="000B648B">
      <w:r>
        <w:rPr>
          <w:rFonts w:ascii="Times New Roman" w:eastAsia="宋体" w:hAnsi="Times New Roman"/>
          <w:color w:val="000000"/>
          <w:sz w:val="20"/>
          <w:szCs w:val="20"/>
        </w:rPr>
        <w:t>Our reportable segments are based on the following business u</w:t>
      </w:r>
      <w:r>
        <w:rPr>
          <w:rFonts w:ascii="Times New Roman" w:eastAsia="宋体" w:hAnsi="Times New Roman"/>
          <w:color w:val="000000"/>
          <w:sz w:val="20"/>
          <w:szCs w:val="20"/>
        </w:rPr>
        <w:t>nits: ISG, CSG, and VMware. A description of our three business units is provided under “Introduction.” See Note 19 of the Notes to the Consolidated Financial Statements included in this report for a reconciliation of net revenue and operating income by re</w:t>
      </w:r>
      <w:r>
        <w:rPr>
          <w:rFonts w:ascii="Times New Roman" w:eastAsia="宋体" w:hAnsi="Times New Roman"/>
          <w:color w:val="000000"/>
          <w:sz w:val="20"/>
          <w:szCs w:val="20"/>
        </w:rPr>
        <w:t>portable segment to consolidated net revenue and consolidated operating income (loss), respectively.</w:t>
      </w:r>
    </w:p>
    <w:p w14:paraId="7DCFDFF3" w14:textId="77777777" w:rsidR="00C1563E" w:rsidRDefault="00C1563E"/>
    <w:p w14:paraId="7DCFDFF4" w14:textId="77777777" w:rsidR="00C1563E" w:rsidRDefault="000B648B">
      <w:r>
        <w:rPr>
          <w:rFonts w:ascii="Times New Roman" w:eastAsia="宋体" w:hAnsi="Times New Roman"/>
          <w:b/>
          <w:bCs/>
          <w:color w:val="000000"/>
          <w:sz w:val="20"/>
          <w:szCs w:val="20"/>
          <w:shd w:val="clear" w:color="auto" w:fill="FFFFFF"/>
        </w:rPr>
        <w:t>Infrastructure Solutions Group</w:t>
      </w:r>
    </w:p>
    <w:p w14:paraId="7DCFDFF5" w14:textId="77777777" w:rsidR="00C1563E" w:rsidRDefault="00C1563E"/>
    <w:p w14:paraId="7DCFDFF6" w14:textId="77777777" w:rsidR="00C1563E" w:rsidRDefault="000B648B">
      <w:r>
        <w:rPr>
          <w:rFonts w:ascii="Times New Roman" w:eastAsia="宋体" w:hAnsi="Times New Roman"/>
          <w:color w:val="000000"/>
          <w:sz w:val="20"/>
          <w:szCs w:val="20"/>
          <w:shd w:val="clear" w:color="auto" w:fill="FFFFFF"/>
        </w:rPr>
        <w:t>The following table presents net revenue and operating income attributable to ISG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45"/>
        <w:gridCol w:w="36"/>
        <w:gridCol w:w="36"/>
        <w:gridCol w:w="36"/>
        <w:gridCol w:w="36"/>
        <w:gridCol w:w="36"/>
        <w:gridCol w:w="36"/>
        <w:gridCol w:w="36"/>
        <w:gridCol w:w="121"/>
        <w:gridCol w:w="820"/>
        <w:gridCol w:w="187"/>
        <w:gridCol w:w="36"/>
        <w:gridCol w:w="36"/>
        <w:gridCol w:w="36"/>
        <w:gridCol w:w="72"/>
        <w:gridCol w:w="617"/>
        <w:gridCol w:w="187"/>
        <w:gridCol w:w="36"/>
        <w:gridCol w:w="36"/>
        <w:gridCol w:w="36"/>
        <w:gridCol w:w="121"/>
        <w:gridCol w:w="691"/>
        <w:gridCol w:w="187"/>
        <w:gridCol w:w="36"/>
        <w:gridCol w:w="36"/>
        <w:gridCol w:w="36"/>
        <w:gridCol w:w="72"/>
        <w:gridCol w:w="617"/>
        <w:gridCol w:w="187"/>
        <w:gridCol w:w="36"/>
        <w:gridCol w:w="36"/>
        <w:gridCol w:w="36"/>
        <w:gridCol w:w="121"/>
        <w:gridCol w:w="782"/>
        <w:gridCol w:w="187"/>
      </w:tblGrid>
      <w:tr w:rsidR="00C1563E" w14:paraId="7DCFE01B" w14:textId="77777777">
        <w:trPr>
          <w:jc w:val="center"/>
        </w:trPr>
        <w:tc>
          <w:tcPr>
            <w:tcW w:w="50" w:type="pct"/>
            <w:shd w:val="clear" w:color="auto" w:fill="auto"/>
          </w:tcPr>
          <w:p w14:paraId="7DCFDFF7" w14:textId="77777777" w:rsidR="00C1563E" w:rsidRDefault="00C1563E">
            <w:pPr>
              <w:rPr>
                <w:rFonts w:ascii="宋体"/>
              </w:rPr>
            </w:pPr>
          </w:p>
        </w:tc>
        <w:tc>
          <w:tcPr>
            <w:tcW w:w="1809" w:type="pct"/>
            <w:shd w:val="clear" w:color="auto" w:fill="auto"/>
          </w:tcPr>
          <w:p w14:paraId="7DCFDFF8" w14:textId="77777777" w:rsidR="00C1563E" w:rsidRDefault="00C1563E">
            <w:pPr>
              <w:rPr>
                <w:rFonts w:ascii="宋体"/>
              </w:rPr>
            </w:pPr>
          </w:p>
        </w:tc>
        <w:tc>
          <w:tcPr>
            <w:tcW w:w="5" w:type="pct"/>
            <w:shd w:val="clear" w:color="auto" w:fill="auto"/>
          </w:tcPr>
          <w:p w14:paraId="7DCFDFF9" w14:textId="77777777" w:rsidR="00C1563E" w:rsidRDefault="00C1563E">
            <w:pPr>
              <w:rPr>
                <w:rFonts w:ascii="宋体"/>
              </w:rPr>
            </w:pPr>
          </w:p>
        </w:tc>
        <w:tc>
          <w:tcPr>
            <w:tcW w:w="0" w:type="auto"/>
            <w:shd w:val="clear" w:color="auto" w:fill="auto"/>
          </w:tcPr>
          <w:p w14:paraId="7DCFDFFA" w14:textId="77777777" w:rsidR="00C1563E" w:rsidRDefault="00C1563E">
            <w:pPr>
              <w:rPr>
                <w:rFonts w:ascii="宋体"/>
                <w:vanish/>
              </w:rPr>
            </w:pPr>
          </w:p>
        </w:tc>
        <w:tc>
          <w:tcPr>
            <w:tcW w:w="0" w:type="auto"/>
            <w:shd w:val="clear" w:color="auto" w:fill="auto"/>
          </w:tcPr>
          <w:p w14:paraId="7DCFDFFB" w14:textId="77777777" w:rsidR="00C1563E" w:rsidRDefault="00C1563E">
            <w:pPr>
              <w:rPr>
                <w:rFonts w:ascii="宋体"/>
                <w:vanish/>
              </w:rPr>
            </w:pPr>
          </w:p>
        </w:tc>
        <w:tc>
          <w:tcPr>
            <w:tcW w:w="0" w:type="auto"/>
            <w:shd w:val="clear" w:color="auto" w:fill="auto"/>
          </w:tcPr>
          <w:p w14:paraId="7DCFDFFC" w14:textId="77777777" w:rsidR="00C1563E" w:rsidRDefault="00C1563E">
            <w:pPr>
              <w:rPr>
                <w:rFonts w:ascii="宋体"/>
                <w:vanish/>
              </w:rPr>
            </w:pPr>
          </w:p>
        </w:tc>
        <w:tc>
          <w:tcPr>
            <w:tcW w:w="0" w:type="auto"/>
            <w:shd w:val="clear" w:color="auto" w:fill="auto"/>
          </w:tcPr>
          <w:p w14:paraId="7DCFDFFD" w14:textId="77777777" w:rsidR="00C1563E" w:rsidRDefault="00C1563E">
            <w:pPr>
              <w:rPr>
                <w:rFonts w:ascii="宋体"/>
                <w:vanish/>
              </w:rPr>
            </w:pPr>
          </w:p>
        </w:tc>
        <w:tc>
          <w:tcPr>
            <w:tcW w:w="0" w:type="auto"/>
            <w:shd w:val="clear" w:color="auto" w:fill="auto"/>
          </w:tcPr>
          <w:p w14:paraId="7DCFDFFE" w14:textId="77777777" w:rsidR="00C1563E" w:rsidRDefault="00C1563E">
            <w:pPr>
              <w:rPr>
                <w:rFonts w:ascii="宋体"/>
                <w:vanish/>
              </w:rPr>
            </w:pPr>
          </w:p>
        </w:tc>
        <w:tc>
          <w:tcPr>
            <w:tcW w:w="0" w:type="auto"/>
            <w:shd w:val="clear" w:color="auto" w:fill="auto"/>
          </w:tcPr>
          <w:p w14:paraId="7DCFDFFF" w14:textId="77777777" w:rsidR="00C1563E" w:rsidRDefault="00C1563E">
            <w:pPr>
              <w:rPr>
                <w:rFonts w:ascii="宋体"/>
                <w:vanish/>
              </w:rPr>
            </w:pPr>
          </w:p>
        </w:tc>
        <w:tc>
          <w:tcPr>
            <w:tcW w:w="50" w:type="pct"/>
            <w:shd w:val="clear" w:color="auto" w:fill="auto"/>
          </w:tcPr>
          <w:p w14:paraId="7DCFE000" w14:textId="77777777" w:rsidR="00C1563E" w:rsidRDefault="00C1563E">
            <w:pPr>
              <w:rPr>
                <w:rFonts w:ascii="宋体"/>
              </w:rPr>
            </w:pPr>
          </w:p>
        </w:tc>
        <w:tc>
          <w:tcPr>
            <w:tcW w:w="624" w:type="pct"/>
            <w:shd w:val="clear" w:color="auto" w:fill="auto"/>
          </w:tcPr>
          <w:p w14:paraId="7DCFE001" w14:textId="77777777" w:rsidR="00C1563E" w:rsidRDefault="00C1563E">
            <w:pPr>
              <w:rPr>
                <w:rFonts w:ascii="宋体"/>
              </w:rPr>
            </w:pPr>
          </w:p>
        </w:tc>
        <w:tc>
          <w:tcPr>
            <w:tcW w:w="5" w:type="pct"/>
            <w:shd w:val="clear" w:color="auto" w:fill="auto"/>
          </w:tcPr>
          <w:p w14:paraId="7DCFE002" w14:textId="77777777" w:rsidR="00C1563E" w:rsidRDefault="00C1563E">
            <w:pPr>
              <w:rPr>
                <w:rFonts w:ascii="宋体"/>
              </w:rPr>
            </w:pPr>
          </w:p>
        </w:tc>
        <w:tc>
          <w:tcPr>
            <w:tcW w:w="5" w:type="pct"/>
            <w:shd w:val="clear" w:color="auto" w:fill="auto"/>
          </w:tcPr>
          <w:p w14:paraId="7DCFE003" w14:textId="77777777" w:rsidR="00C1563E" w:rsidRDefault="00C1563E">
            <w:pPr>
              <w:rPr>
                <w:rFonts w:ascii="宋体"/>
              </w:rPr>
            </w:pPr>
          </w:p>
        </w:tc>
        <w:tc>
          <w:tcPr>
            <w:tcW w:w="19" w:type="pct"/>
            <w:shd w:val="clear" w:color="auto" w:fill="auto"/>
          </w:tcPr>
          <w:p w14:paraId="7DCFE004" w14:textId="77777777" w:rsidR="00C1563E" w:rsidRDefault="00C1563E">
            <w:pPr>
              <w:rPr>
                <w:rFonts w:ascii="宋体"/>
              </w:rPr>
            </w:pPr>
          </w:p>
        </w:tc>
        <w:tc>
          <w:tcPr>
            <w:tcW w:w="5" w:type="pct"/>
            <w:shd w:val="clear" w:color="auto" w:fill="auto"/>
          </w:tcPr>
          <w:p w14:paraId="7DCFE005" w14:textId="77777777" w:rsidR="00C1563E" w:rsidRDefault="00C1563E">
            <w:pPr>
              <w:rPr>
                <w:rFonts w:ascii="宋体"/>
              </w:rPr>
            </w:pPr>
          </w:p>
        </w:tc>
        <w:tc>
          <w:tcPr>
            <w:tcW w:w="50" w:type="pct"/>
            <w:shd w:val="clear" w:color="auto" w:fill="auto"/>
          </w:tcPr>
          <w:p w14:paraId="7DCFE006" w14:textId="77777777" w:rsidR="00C1563E" w:rsidRDefault="00C1563E">
            <w:pPr>
              <w:rPr>
                <w:rFonts w:ascii="宋体"/>
              </w:rPr>
            </w:pPr>
          </w:p>
        </w:tc>
        <w:tc>
          <w:tcPr>
            <w:tcW w:w="434" w:type="pct"/>
            <w:shd w:val="clear" w:color="auto" w:fill="auto"/>
          </w:tcPr>
          <w:p w14:paraId="7DCFE007" w14:textId="77777777" w:rsidR="00C1563E" w:rsidRDefault="00C1563E">
            <w:pPr>
              <w:rPr>
                <w:rFonts w:ascii="宋体"/>
              </w:rPr>
            </w:pPr>
          </w:p>
        </w:tc>
        <w:tc>
          <w:tcPr>
            <w:tcW w:w="5" w:type="pct"/>
            <w:shd w:val="clear" w:color="auto" w:fill="auto"/>
          </w:tcPr>
          <w:p w14:paraId="7DCFE008" w14:textId="77777777" w:rsidR="00C1563E" w:rsidRDefault="00C1563E">
            <w:pPr>
              <w:rPr>
                <w:rFonts w:ascii="宋体"/>
              </w:rPr>
            </w:pPr>
          </w:p>
        </w:tc>
        <w:tc>
          <w:tcPr>
            <w:tcW w:w="5" w:type="pct"/>
            <w:shd w:val="clear" w:color="auto" w:fill="auto"/>
          </w:tcPr>
          <w:p w14:paraId="7DCFE009" w14:textId="77777777" w:rsidR="00C1563E" w:rsidRDefault="00C1563E">
            <w:pPr>
              <w:rPr>
                <w:rFonts w:ascii="宋体"/>
              </w:rPr>
            </w:pPr>
          </w:p>
        </w:tc>
        <w:tc>
          <w:tcPr>
            <w:tcW w:w="19" w:type="pct"/>
            <w:shd w:val="clear" w:color="auto" w:fill="auto"/>
          </w:tcPr>
          <w:p w14:paraId="7DCFE00A" w14:textId="77777777" w:rsidR="00C1563E" w:rsidRDefault="00C1563E">
            <w:pPr>
              <w:rPr>
                <w:rFonts w:ascii="宋体"/>
              </w:rPr>
            </w:pPr>
          </w:p>
        </w:tc>
        <w:tc>
          <w:tcPr>
            <w:tcW w:w="5" w:type="pct"/>
            <w:shd w:val="clear" w:color="auto" w:fill="auto"/>
          </w:tcPr>
          <w:p w14:paraId="7DCFE00B" w14:textId="77777777" w:rsidR="00C1563E" w:rsidRDefault="00C1563E">
            <w:pPr>
              <w:rPr>
                <w:rFonts w:ascii="宋体"/>
              </w:rPr>
            </w:pPr>
          </w:p>
        </w:tc>
        <w:tc>
          <w:tcPr>
            <w:tcW w:w="50" w:type="pct"/>
            <w:shd w:val="clear" w:color="auto" w:fill="auto"/>
          </w:tcPr>
          <w:p w14:paraId="7DCFE00C" w14:textId="77777777" w:rsidR="00C1563E" w:rsidRDefault="00C1563E">
            <w:pPr>
              <w:rPr>
                <w:rFonts w:ascii="宋体"/>
              </w:rPr>
            </w:pPr>
          </w:p>
        </w:tc>
        <w:tc>
          <w:tcPr>
            <w:tcW w:w="624" w:type="pct"/>
            <w:shd w:val="clear" w:color="auto" w:fill="auto"/>
          </w:tcPr>
          <w:p w14:paraId="7DCFE00D" w14:textId="77777777" w:rsidR="00C1563E" w:rsidRDefault="00C1563E">
            <w:pPr>
              <w:rPr>
                <w:rFonts w:ascii="宋体"/>
              </w:rPr>
            </w:pPr>
          </w:p>
        </w:tc>
        <w:tc>
          <w:tcPr>
            <w:tcW w:w="5" w:type="pct"/>
            <w:shd w:val="clear" w:color="auto" w:fill="auto"/>
          </w:tcPr>
          <w:p w14:paraId="7DCFE00E" w14:textId="77777777" w:rsidR="00C1563E" w:rsidRDefault="00C1563E">
            <w:pPr>
              <w:rPr>
                <w:rFonts w:ascii="宋体"/>
              </w:rPr>
            </w:pPr>
          </w:p>
        </w:tc>
        <w:tc>
          <w:tcPr>
            <w:tcW w:w="5" w:type="pct"/>
            <w:shd w:val="clear" w:color="auto" w:fill="auto"/>
          </w:tcPr>
          <w:p w14:paraId="7DCFE00F" w14:textId="77777777" w:rsidR="00C1563E" w:rsidRDefault="00C1563E">
            <w:pPr>
              <w:rPr>
                <w:rFonts w:ascii="宋体"/>
              </w:rPr>
            </w:pPr>
          </w:p>
        </w:tc>
        <w:tc>
          <w:tcPr>
            <w:tcW w:w="19" w:type="pct"/>
            <w:shd w:val="clear" w:color="auto" w:fill="auto"/>
          </w:tcPr>
          <w:p w14:paraId="7DCFE010" w14:textId="77777777" w:rsidR="00C1563E" w:rsidRDefault="00C1563E">
            <w:pPr>
              <w:rPr>
                <w:rFonts w:ascii="宋体"/>
              </w:rPr>
            </w:pPr>
          </w:p>
        </w:tc>
        <w:tc>
          <w:tcPr>
            <w:tcW w:w="5" w:type="pct"/>
            <w:shd w:val="clear" w:color="auto" w:fill="auto"/>
          </w:tcPr>
          <w:p w14:paraId="7DCFE011" w14:textId="77777777" w:rsidR="00C1563E" w:rsidRDefault="00C1563E">
            <w:pPr>
              <w:rPr>
                <w:rFonts w:ascii="宋体"/>
              </w:rPr>
            </w:pPr>
          </w:p>
        </w:tc>
        <w:tc>
          <w:tcPr>
            <w:tcW w:w="50" w:type="pct"/>
            <w:shd w:val="clear" w:color="auto" w:fill="auto"/>
          </w:tcPr>
          <w:p w14:paraId="7DCFE012" w14:textId="77777777" w:rsidR="00C1563E" w:rsidRDefault="00C1563E">
            <w:pPr>
              <w:rPr>
                <w:rFonts w:ascii="宋体"/>
              </w:rPr>
            </w:pPr>
          </w:p>
        </w:tc>
        <w:tc>
          <w:tcPr>
            <w:tcW w:w="434" w:type="pct"/>
            <w:shd w:val="clear" w:color="auto" w:fill="auto"/>
          </w:tcPr>
          <w:p w14:paraId="7DCFE013" w14:textId="77777777" w:rsidR="00C1563E" w:rsidRDefault="00C1563E">
            <w:pPr>
              <w:rPr>
                <w:rFonts w:ascii="宋体"/>
              </w:rPr>
            </w:pPr>
          </w:p>
        </w:tc>
        <w:tc>
          <w:tcPr>
            <w:tcW w:w="5" w:type="pct"/>
            <w:shd w:val="clear" w:color="auto" w:fill="auto"/>
          </w:tcPr>
          <w:p w14:paraId="7DCFE014" w14:textId="77777777" w:rsidR="00C1563E" w:rsidRDefault="00C1563E">
            <w:pPr>
              <w:rPr>
                <w:rFonts w:ascii="宋体"/>
              </w:rPr>
            </w:pPr>
          </w:p>
        </w:tc>
        <w:tc>
          <w:tcPr>
            <w:tcW w:w="5" w:type="pct"/>
            <w:shd w:val="clear" w:color="auto" w:fill="auto"/>
          </w:tcPr>
          <w:p w14:paraId="7DCFE015" w14:textId="77777777" w:rsidR="00C1563E" w:rsidRDefault="00C1563E">
            <w:pPr>
              <w:rPr>
                <w:rFonts w:ascii="宋体"/>
              </w:rPr>
            </w:pPr>
          </w:p>
        </w:tc>
        <w:tc>
          <w:tcPr>
            <w:tcW w:w="19" w:type="pct"/>
            <w:shd w:val="clear" w:color="auto" w:fill="auto"/>
          </w:tcPr>
          <w:p w14:paraId="7DCFE016" w14:textId="77777777" w:rsidR="00C1563E" w:rsidRDefault="00C1563E">
            <w:pPr>
              <w:rPr>
                <w:rFonts w:ascii="宋体"/>
              </w:rPr>
            </w:pPr>
          </w:p>
        </w:tc>
        <w:tc>
          <w:tcPr>
            <w:tcW w:w="5" w:type="pct"/>
            <w:shd w:val="clear" w:color="auto" w:fill="auto"/>
          </w:tcPr>
          <w:p w14:paraId="7DCFE017" w14:textId="77777777" w:rsidR="00C1563E" w:rsidRDefault="00C1563E">
            <w:pPr>
              <w:rPr>
                <w:rFonts w:ascii="宋体"/>
              </w:rPr>
            </w:pPr>
          </w:p>
        </w:tc>
        <w:tc>
          <w:tcPr>
            <w:tcW w:w="50" w:type="pct"/>
            <w:shd w:val="clear" w:color="auto" w:fill="auto"/>
          </w:tcPr>
          <w:p w14:paraId="7DCFE018" w14:textId="77777777" w:rsidR="00C1563E" w:rsidRDefault="00C1563E">
            <w:pPr>
              <w:rPr>
                <w:rFonts w:ascii="宋体"/>
              </w:rPr>
            </w:pPr>
          </w:p>
        </w:tc>
        <w:tc>
          <w:tcPr>
            <w:tcW w:w="625" w:type="pct"/>
            <w:shd w:val="clear" w:color="auto" w:fill="auto"/>
          </w:tcPr>
          <w:p w14:paraId="7DCFE019" w14:textId="77777777" w:rsidR="00C1563E" w:rsidRDefault="00C1563E">
            <w:pPr>
              <w:rPr>
                <w:rFonts w:ascii="宋体"/>
              </w:rPr>
            </w:pPr>
          </w:p>
        </w:tc>
        <w:tc>
          <w:tcPr>
            <w:tcW w:w="5" w:type="pct"/>
            <w:shd w:val="clear" w:color="auto" w:fill="auto"/>
          </w:tcPr>
          <w:p w14:paraId="7DCFE01A" w14:textId="77777777" w:rsidR="00C1563E" w:rsidRDefault="00C1563E">
            <w:pPr>
              <w:rPr>
                <w:rFonts w:ascii="宋体"/>
              </w:rPr>
            </w:pPr>
          </w:p>
        </w:tc>
      </w:tr>
      <w:tr w:rsidR="00C1563E" w14:paraId="7DCFE02C" w14:textId="77777777">
        <w:trPr>
          <w:jc w:val="center"/>
        </w:trPr>
        <w:tc>
          <w:tcPr>
            <w:tcW w:w="0" w:type="auto"/>
            <w:gridSpan w:val="3"/>
            <w:shd w:val="clear" w:color="auto" w:fill="auto"/>
            <w:tcMar>
              <w:top w:w="0" w:type="dxa"/>
              <w:left w:w="20" w:type="dxa"/>
              <w:bottom w:w="0" w:type="dxa"/>
              <w:right w:w="20" w:type="dxa"/>
            </w:tcMar>
          </w:tcPr>
          <w:p w14:paraId="7DCFE01C" w14:textId="77777777" w:rsidR="00C1563E" w:rsidRDefault="00C1563E">
            <w:pPr>
              <w:rPr>
                <w:rFonts w:ascii="宋体"/>
              </w:rPr>
            </w:pPr>
          </w:p>
        </w:tc>
        <w:tc>
          <w:tcPr>
            <w:tcW w:w="0" w:type="auto"/>
            <w:shd w:val="clear" w:color="auto" w:fill="auto"/>
          </w:tcPr>
          <w:p w14:paraId="7DCFE01D" w14:textId="77777777" w:rsidR="00C1563E" w:rsidRDefault="00C1563E">
            <w:pPr>
              <w:rPr>
                <w:rFonts w:ascii="宋体"/>
                <w:vanish/>
              </w:rPr>
            </w:pPr>
          </w:p>
        </w:tc>
        <w:tc>
          <w:tcPr>
            <w:tcW w:w="0" w:type="auto"/>
            <w:shd w:val="clear" w:color="auto" w:fill="auto"/>
          </w:tcPr>
          <w:p w14:paraId="7DCFE01E"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E01F"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E020" w14:textId="77777777" w:rsidR="00C1563E" w:rsidRDefault="00C1563E">
            <w:pPr>
              <w:rPr>
                <w:rFonts w:ascii="宋体"/>
              </w:rPr>
            </w:pPr>
          </w:p>
        </w:tc>
        <w:tc>
          <w:tcPr>
            <w:tcW w:w="0" w:type="auto"/>
            <w:shd w:val="clear" w:color="auto" w:fill="auto"/>
          </w:tcPr>
          <w:p w14:paraId="7DCFE021" w14:textId="77777777" w:rsidR="00C1563E" w:rsidRDefault="00C1563E">
            <w:pPr>
              <w:rPr>
                <w:rFonts w:ascii="宋体"/>
              </w:rPr>
            </w:pPr>
          </w:p>
        </w:tc>
        <w:tc>
          <w:tcPr>
            <w:tcW w:w="0" w:type="auto"/>
            <w:shd w:val="clear" w:color="auto" w:fill="auto"/>
          </w:tcPr>
          <w:p w14:paraId="7DCFE022" w14:textId="77777777" w:rsidR="00C1563E" w:rsidRDefault="00C1563E">
            <w:pPr>
              <w:rPr>
                <w:rFonts w:ascii="宋体"/>
              </w:rPr>
            </w:pPr>
          </w:p>
        </w:tc>
        <w:tc>
          <w:tcPr>
            <w:tcW w:w="0" w:type="auto"/>
            <w:shd w:val="clear" w:color="auto" w:fill="auto"/>
          </w:tcPr>
          <w:p w14:paraId="7DCFE023" w14:textId="77777777" w:rsidR="00C1563E" w:rsidRDefault="00C1563E">
            <w:pPr>
              <w:rPr>
                <w:rFonts w:ascii="宋体"/>
              </w:rPr>
            </w:pPr>
          </w:p>
        </w:tc>
        <w:tc>
          <w:tcPr>
            <w:tcW w:w="0" w:type="auto"/>
            <w:shd w:val="clear" w:color="auto" w:fill="auto"/>
          </w:tcPr>
          <w:p w14:paraId="7DCFE024" w14:textId="77777777" w:rsidR="00C1563E" w:rsidRDefault="00C1563E">
            <w:pPr>
              <w:rPr>
                <w:rFonts w:ascii="宋体"/>
              </w:rPr>
            </w:pPr>
          </w:p>
        </w:tc>
        <w:tc>
          <w:tcPr>
            <w:tcW w:w="0" w:type="auto"/>
            <w:shd w:val="clear" w:color="auto" w:fill="auto"/>
          </w:tcPr>
          <w:p w14:paraId="7DCFE025" w14:textId="77777777" w:rsidR="00C1563E" w:rsidRDefault="00C1563E">
            <w:pPr>
              <w:rPr>
                <w:rFonts w:ascii="宋体"/>
              </w:rPr>
            </w:pPr>
          </w:p>
        </w:tc>
        <w:tc>
          <w:tcPr>
            <w:tcW w:w="0" w:type="auto"/>
            <w:shd w:val="clear" w:color="auto" w:fill="auto"/>
          </w:tcPr>
          <w:p w14:paraId="7DCFE026" w14:textId="77777777" w:rsidR="00C1563E" w:rsidRDefault="00C1563E">
            <w:pPr>
              <w:rPr>
                <w:rFonts w:ascii="宋体"/>
              </w:rPr>
            </w:pPr>
          </w:p>
        </w:tc>
        <w:tc>
          <w:tcPr>
            <w:tcW w:w="0" w:type="auto"/>
            <w:shd w:val="clear" w:color="auto" w:fill="auto"/>
          </w:tcPr>
          <w:p w14:paraId="7DCFE027" w14:textId="77777777" w:rsidR="00C1563E" w:rsidRDefault="00C1563E">
            <w:pPr>
              <w:rPr>
                <w:rFonts w:ascii="宋体"/>
              </w:rPr>
            </w:pPr>
          </w:p>
        </w:tc>
        <w:tc>
          <w:tcPr>
            <w:tcW w:w="0" w:type="auto"/>
            <w:shd w:val="clear" w:color="auto" w:fill="auto"/>
          </w:tcPr>
          <w:p w14:paraId="7DCFE028" w14:textId="77777777" w:rsidR="00C1563E" w:rsidRDefault="00C1563E">
            <w:pPr>
              <w:rPr>
                <w:rFonts w:ascii="宋体"/>
              </w:rPr>
            </w:pPr>
          </w:p>
        </w:tc>
        <w:tc>
          <w:tcPr>
            <w:tcW w:w="0" w:type="auto"/>
            <w:shd w:val="clear" w:color="auto" w:fill="auto"/>
          </w:tcPr>
          <w:p w14:paraId="7DCFE029" w14:textId="77777777" w:rsidR="00C1563E" w:rsidRDefault="00C1563E">
            <w:pPr>
              <w:rPr>
                <w:rFonts w:ascii="宋体"/>
              </w:rPr>
            </w:pPr>
          </w:p>
        </w:tc>
        <w:tc>
          <w:tcPr>
            <w:tcW w:w="0" w:type="auto"/>
            <w:shd w:val="clear" w:color="auto" w:fill="auto"/>
          </w:tcPr>
          <w:p w14:paraId="7DCFE02A" w14:textId="77777777" w:rsidR="00C1563E" w:rsidRDefault="00C1563E">
            <w:pPr>
              <w:rPr>
                <w:rFonts w:ascii="宋体"/>
              </w:rPr>
            </w:pPr>
          </w:p>
        </w:tc>
        <w:tc>
          <w:tcPr>
            <w:tcW w:w="0" w:type="auto"/>
            <w:shd w:val="clear" w:color="auto" w:fill="auto"/>
          </w:tcPr>
          <w:p w14:paraId="7DCFE02B" w14:textId="77777777" w:rsidR="00C1563E" w:rsidRDefault="00C1563E">
            <w:pPr>
              <w:rPr>
                <w:rFonts w:ascii="宋体"/>
              </w:rPr>
            </w:pPr>
          </w:p>
        </w:tc>
      </w:tr>
      <w:tr w:rsidR="00C1563E" w14:paraId="7DCFE03D" w14:textId="77777777">
        <w:trPr>
          <w:jc w:val="center"/>
        </w:trPr>
        <w:tc>
          <w:tcPr>
            <w:tcW w:w="0" w:type="auto"/>
            <w:gridSpan w:val="3"/>
            <w:shd w:val="clear" w:color="auto" w:fill="auto"/>
            <w:tcMar>
              <w:top w:w="40" w:type="dxa"/>
              <w:left w:w="20" w:type="dxa"/>
              <w:bottom w:w="40" w:type="dxa"/>
              <w:right w:w="20" w:type="dxa"/>
            </w:tcMar>
            <w:vAlign w:val="bottom"/>
          </w:tcPr>
          <w:p w14:paraId="7DCFE02D" w14:textId="77777777" w:rsidR="00C1563E" w:rsidRDefault="000B648B">
            <w:pPr>
              <w:textAlignment w:val="bottom"/>
            </w:pPr>
            <w:r>
              <w:rPr>
                <w:rFonts w:ascii="Times New Roman" w:eastAsia="宋体" w:hAnsi="Times New Roman"/>
                <w:color w:val="000000"/>
                <w:sz w:val="20"/>
                <w:szCs w:val="20"/>
              </w:rPr>
              <w:t> </w:t>
            </w:r>
          </w:p>
        </w:tc>
        <w:tc>
          <w:tcPr>
            <w:tcW w:w="0" w:type="auto"/>
            <w:shd w:val="clear" w:color="auto" w:fill="auto"/>
          </w:tcPr>
          <w:p w14:paraId="7DCFE02E" w14:textId="77777777" w:rsidR="00C1563E" w:rsidRDefault="00C1563E">
            <w:pPr>
              <w:rPr>
                <w:rFonts w:ascii="宋体"/>
                <w:vanish/>
              </w:rPr>
            </w:pPr>
          </w:p>
        </w:tc>
        <w:tc>
          <w:tcPr>
            <w:tcW w:w="0" w:type="auto"/>
            <w:shd w:val="clear" w:color="auto" w:fill="auto"/>
          </w:tcPr>
          <w:p w14:paraId="7DCFE02F" w14:textId="77777777" w:rsidR="00C1563E" w:rsidRDefault="00C1563E">
            <w:pPr>
              <w:rPr>
                <w:rFonts w:ascii="宋体"/>
                <w:vanish/>
              </w:rPr>
            </w:pPr>
          </w:p>
        </w:tc>
        <w:tc>
          <w:tcPr>
            <w:tcW w:w="0" w:type="auto"/>
            <w:shd w:val="clear" w:color="auto" w:fill="auto"/>
          </w:tcPr>
          <w:p w14:paraId="7DCFE030" w14:textId="77777777" w:rsidR="00C1563E" w:rsidRDefault="00C1563E">
            <w:pPr>
              <w:rPr>
                <w:rFonts w:ascii="宋体"/>
                <w:vanish/>
              </w:rPr>
            </w:pPr>
          </w:p>
        </w:tc>
        <w:tc>
          <w:tcPr>
            <w:tcW w:w="0" w:type="auto"/>
            <w:shd w:val="clear" w:color="auto" w:fill="auto"/>
          </w:tcPr>
          <w:p w14:paraId="7DCFE031" w14:textId="77777777" w:rsidR="00C1563E" w:rsidRDefault="00C1563E">
            <w:pPr>
              <w:rPr>
                <w:rFonts w:ascii="宋体"/>
                <w:vanish/>
              </w:rPr>
            </w:pPr>
          </w:p>
        </w:tc>
        <w:tc>
          <w:tcPr>
            <w:tcW w:w="0" w:type="auto"/>
            <w:shd w:val="clear" w:color="auto" w:fill="auto"/>
          </w:tcPr>
          <w:p w14:paraId="7DCFE032" w14:textId="77777777" w:rsidR="00C1563E" w:rsidRDefault="00C1563E">
            <w:pPr>
              <w:rPr>
                <w:rFonts w:ascii="宋体"/>
                <w:vanish/>
              </w:rPr>
            </w:pPr>
          </w:p>
        </w:tc>
        <w:tc>
          <w:tcPr>
            <w:tcW w:w="0" w:type="auto"/>
            <w:shd w:val="clear" w:color="auto" w:fill="auto"/>
          </w:tcPr>
          <w:p w14:paraId="7DCFE033"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034"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03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036"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03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038"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03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03A"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03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03C"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046" w14:textId="77777777">
        <w:trPr>
          <w:jc w:val="center"/>
        </w:trPr>
        <w:tc>
          <w:tcPr>
            <w:tcW w:w="0" w:type="auto"/>
            <w:gridSpan w:val="3"/>
            <w:shd w:val="clear" w:color="auto" w:fill="auto"/>
            <w:tcMar>
              <w:top w:w="0" w:type="dxa"/>
              <w:left w:w="20" w:type="dxa"/>
              <w:bottom w:w="0" w:type="dxa"/>
              <w:right w:w="20" w:type="dxa"/>
            </w:tcMar>
          </w:tcPr>
          <w:p w14:paraId="7DCFE03E" w14:textId="77777777" w:rsidR="00C1563E" w:rsidRDefault="00C1563E">
            <w:pPr>
              <w:rPr>
                <w:rFonts w:ascii="宋体"/>
              </w:rPr>
            </w:pPr>
          </w:p>
        </w:tc>
        <w:tc>
          <w:tcPr>
            <w:tcW w:w="0" w:type="auto"/>
            <w:shd w:val="clear" w:color="auto" w:fill="auto"/>
          </w:tcPr>
          <w:p w14:paraId="7DCFE03F" w14:textId="77777777" w:rsidR="00C1563E" w:rsidRDefault="00C1563E">
            <w:pPr>
              <w:rPr>
                <w:rFonts w:ascii="宋体"/>
                <w:vanish/>
              </w:rPr>
            </w:pPr>
          </w:p>
        </w:tc>
        <w:tc>
          <w:tcPr>
            <w:tcW w:w="0" w:type="auto"/>
            <w:shd w:val="clear" w:color="auto" w:fill="auto"/>
          </w:tcPr>
          <w:p w14:paraId="7DCFE040" w14:textId="77777777" w:rsidR="00C1563E" w:rsidRDefault="00C1563E">
            <w:pPr>
              <w:rPr>
                <w:rFonts w:ascii="宋体"/>
                <w:vanish/>
              </w:rPr>
            </w:pPr>
          </w:p>
        </w:tc>
        <w:tc>
          <w:tcPr>
            <w:tcW w:w="0" w:type="auto"/>
            <w:shd w:val="clear" w:color="auto" w:fill="auto"/>
          </w:tcPr>
          <w:p w14:paraId="7DCFE041" w14:textId="77777777" w:rsidR="00C1563E" w:rsidRDefault="00C1563E">
            <w:pPr>
              <w:rPr>
                <w:rFonts w:ascii="宋体"/>
                <w:vanish/>
              </w:rPr>
            </w:pPr>
          </w:p>
        </w:tc>
        <w:tc>
          <w:tcPr>
            <w:tcW w:w="0" w:type="auto"/>
            <w:shd w:val="clear" w:color="auto" w:fill="auto"/>
          </w:tcPr>
          <w:p w14:paraId="7DCFE042" w14:textId="77777777" w:rsidR="00C1563E" w:rsidRDefault="00C1563E">
            <w:pPr>
              <w:rPr>
                <w:rFonts w:ascii="宋体"/>
                <w:vanish/>
              </w:rPr>
            </w:pPr>
          </w:p>
        </w:tc>
        <w:tc>
          <w:tcPr>
            <w:tcW w:w="0" w:type="auto"/>
            <w:shd w:val="clear" w:color="auto" w:fill="auto"/>
          </w:tcPr>
          <w:p w14:paraId="7DCFE043" w14:textId="77777777" w:rsidR="00C1563E" w:rsidRDefault="00C1563E">
            <w:pPr>
              <w:rPr>
                <w:rFonts w:ascii="宋体"/>
                <w:vanish/>
              </w:rPr>
            </w:pPr>
          </w:p>
        </w:tc>
        <w:tc>
          <w:tcPr>
            <w:tcW w:w="0" w:type="auto"/>
            <w:shd w:val="clear" w:color="auto" w:fill="auto"/>
          </w:tcPr>
          <w:p w14:paraId="7DCFE044"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E045"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E057" w14:textId="77777777">
        <w:trPr>
          <w:jc w:val="center"/>
        </w:trPr>
        <w:tc>
          <w:tcPr>
            <w:tcW w:w="0" w:type="auto"/>
            <w:gridSpan w:val="3"/>
            <w:shd w:val="clear" w:color="auto" w:fill="CCEEFF"/>
            <w:tcMar>
              <w:top w:w="40" w:type="dxa"/>
              <w:left w:w="20" w:type="dxa"/>
              <w:bottom w:w="40" w:type="dxa"/>
              <w:right w:w="20" w:type="dxa"/>
            </w:tcMar>
            <w:vAlign w:val="bottom"/>
          </w:tcPr>
          <w:p w14:paraId="7DCFE047" w14:textId="77777777" w:rsidR="00C1563E" w:rsidRDefault="000B648B">
            <w:pPr>
              <w:textAlignment w:val="bottom"/>
            </w:pPr>
            <w:r>
              <w:rPr>
                <w:rFonts w:ascii="Times New Roman" w:eastAsia="宋体" w:hAnsi="Times New Roman"/>
                <w:i/>
                <w:iCs/>
                <w:color w:val="000000"/>
                <w:sz w:val="20"/>
                <w:szCs w:val="20"/>
              </w:rPr>
              <w:t>Net revenue:</w:t>
            </w:r>
          </w:p>
        </w:tc>
        <w:tc>
          <w:tcPr>
            <w:tcW w:w="0" w:type="auto"/>
            <w:shd w:val="clear" w:color="auto" w:fill="auto"/>
          </w:tcPr>
          <w:p w14:paraId="7DCFE048" w14:textId="77777777" w:rsidR="00C1563E" w:rsidRDefault="00C1563E">
            <w:pPr>
              <w:rPr>
                <w:rFonts w:ascii="宋体"/>
                <w:vanish/>
              </w:rPr>
            </w:pPr>
          </w:p>
        </w:tc>
        <w:tc>
          <w:tcPr>
            <w:tcW w:w="0" w:type="auto"/>
            <w:shd w:val="clear" w:color="auto" w:fill="auto"/>
          </w:tcPr>
          <w:p w14:paraId="7DCFE049" w14:textId="77777777" w:rsidR="00C1563E" w:rsidRDefault="00C1563E">
            <w:pPr>
              <w:rPr>
                <w:rFonts w:ascii="宋体"/>
                <w:vanish/>
              </w:rPr>
            </w:pPr>
          </w:p>
        </w:tc>
        <w:tc>
          <w:tcPr>
            <w:tcW w:w="0" w:type="auto"/>
            <w:shd w:val="clear" w:color="auto" w:fill="auto"/>
          </w:tcPr>
          <w:p w14:paraId="7DCFE04A" w14:textId="77777777" w:rsidR="00C1563E" w:rsidRDefault="00C1563E">
            <w:pPr>
              <w:rPr>
                <w:rFonts w:ascii="宋体"/>
                <w:vanish/>
              </w:rPr>
            </w:pPr>
          </w:p>
        </w:tc>
        <w:tc>
          <w:tcPr>
            <w:tcW w:w="0" w:type="auto"/>
            <w:shd w:val="clear" w:color="auto" w:fill="auto"/>
          </w:tcPr>
          <w:p w14:paraId="7DCFE04B" w14:textId="77777777" w:rsidR="00C1563E" w:rsidRDefault="00C1563E">
            <w:pPr>
              <w:rPr>
                <w:rFonts w:ascii="宋体"/>
                <w:vanish/>
              </w:rPr>
            </w:pPr>
          </w:p>
        </w:tc>
        <w:tc>
          <w:tcPr>
            <w:tcW w:w="0" w:type="auto"/>
            <w:shd w:val="clear" w:color="auto" w:fill="auto"/>
          </w:tcPr>
          <w:p w14:paraId="7DCFE04C" w14:textId="77777777" w:rsidR="00C1563E" w:rsidRDefault="00C1563E">
            <w:pPr>
              <w:rPr>
                <w:rFonts w:ascii="宋体"/>
                <w:vanish/>
              </w:rPr>
            </w:pPr>
          </w:p>
        </w:tc>
        <w:tc>
          <w:tcPr>
            <w:tcW w:w="0" w:type="auto"/>
            <w:shd w:val="clear" w:color="auto" w:fill="auto"/>
          </w:tcPr>
          <w:p w14:paraId="7DCFE04D"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E04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4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56" w14:textId="77777777" w:rsidR="00C1563E" w:rsidRDefault="00C1563E">
            <w:pPr>
              <w:rPr>
                <w:rFonts w:ascii="宋体"/>
              </w:rPr>
            </w:pPr>
          </w:p>
        </w:tc>
      </w:tr>
      <w:tr w:rsidR="00C1563E" w14:paraId="7DCFE06D" w14:textId="77777777">
        <w:trPr>
          <w:jc w:val="center"/>
        </w:trPr>
        <w:tc>
          <w:tcPr>
            <w:tcW w:w="0" w:type="auto"/>
            <w:gridSpan w:val="3"/>
            <w:shd w:val="clear" w:color="auto" w:fill="FFFFFF"/>
            <w:tcMar>
              <w:top w:w="40" w:type="dxa"/>
              <w:left w:w="155" w:type="dxa"/>
              <w:bottom w:w="40" w:type="dxa"/>
              <w:right w:w="20" w:type="dxa"/>
            </w:tcMar>
            <w:vAlign w:val="bottom"/>
          </w:tcPr>
          <w:p w14:paraId="7DCFE058" w14:textId="77777777" w:rsidR="00C1563E" w:rsidRDefault="000B648B">
            <w:pPr>
              <w:textAlignment w:val="bottom"/>
            </w:pPr>
            <w:r>
              <w:rPr>
                <w:rFonts w:ascii="Times New Roman" w:eastAsia="宋体" w:hAnsi="Times New Roman"/>
                <w:color w:val="000000"/>
                <w:sz w:val="20"/>
                <w:szCs w:val="20"/>
              </w:rPr>
              <w:t>Servers and networking</w:t>
            </w:r>
          </w:p>
        </w:tc>
        <w:tc>
          <w:tcPr>
            <w:tcW w:w="0" w:type="auto"/>
            <w:shd w:val="clear" w:color="auto" w:fill="auto"/>
          </w:tcPr>
          <w:p w14:paraId="7DCFE059" w14:textId="77777777" w:rsidR="00C1563E" w:rsidRDefault="00C1563E">
            <w:pPr>
              <w:rPr>
                <w:rFonts w:ascii="宋体"/>
                <w:vanish/>
              </w:rPr>
            </w:pPr>
          </w:p>
        </w:tc>
        <w:tc>
          <w:tcPr>
            <w:tcW w:w="0" w:type="auto"/>
            <w:shd w:val="clear" w:color="auto" w:fill="auto"/>
          </w:tcPr>
          <w:p w14:paraId="7DCFE05A" w14:textId="77777777" w:rsidR="00C1563E" w:rsidRDefault="00C1563E">
            <w:pPr>
              <w:rPr>
                <w:rFonts w:ascii="宋体"/>
                <w:vanish/>
              </w:rPr>
            </w:pPr>
          </w:p>
        </w:tc>
        <w:tc>
          <w:tcPr>
            <w:tcW w:w="0" w:type="auto"/>
            <w:shd w:val="clear" w:color="auto" w:fill="auto"/>
          </w:tcPr>
          <w:p w14:paraId="7DCFE05B" w14:textId="77777777" w:rsidR="00C1563E" w:rsidRDefault="00C1563E">
            <w:pPr>
              <w:rPr>
                <w:rFonts w:ascii="宋体"/>
                <w:vanish/>
              </w:rPr>
            </w:pPr>
          </w:p>
        </w:tc>
        <w:tc>
          <w:tcPr>
            <w:tcW w:w="0" w:type="auto"/>
            <w:shd w:val="clear" w:color="auto" w:fill="auto"/>
          </w:tcPr>
          <w:p w14:paraId="7DCFE05C" w14:textId="77777777" w:rsidR="00C1563E" w:rsidRDefault="00C1563E">
            <w:pPr>
              <w:rPr>
                <w:rFonts w:ascii="宋体"/>
                <w:vanish/>
              </w:rPr>
            </w:pPr>
          </w:p>
        </w:tc>
        <w:tc>
          <w:tcPr>
            <w:tcW w:w="0" w:type="auto"/>
            <w:shd w:val="clear" w:color="auto" w:fill="auto"/>
          </w:tcPr>
          <w:p w14:paraId="7DCFE05D" w14:textId="77777777" w:rsidR="00C1563E" w:rsidRDefault="00C1563E">
            <w:pPr>
              <w:rPr>
                <w:rFonts w:ascii="宋体"/>
                <w:vanish/>
              </w:rPr>
            </w:pPr>
          </w:p>
        </w:tc>
        <w:tc>
          <w:tcPr>
            <w:tcW w:w="0" w:type="auto"/>
            <w:shd w:val="clear" w:color="auto" w:fill="auto"/>
          </w:tcPr>
          <w:p w14:paraId="7DCFE05E"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E05F"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060" w14:textId="77777777" w:rsidR="00C1563E" w:rsidRDefault="000B648B">
            <w:pPr>
              <w:jc w:val="right"/>
              <w:textAlignment w:val="bottom"/>
            </w:pPr>
            <w:r>
              <w:rPr>
                <w:rFonts w:ascii="Times New Roman" w:eastAsia="宋体" w:hAnsi="Times New Roman"/>
                <w:color w:val="000000"/>
                <w:sz w:val="20"/>
                <w:szCs w:val="20"/>
              </w:rPr>
              <w:t>16,497</w:t>
            </w:r>
          </w:p>
        </w:tc>
        <w:tc>
          <w:tcPr>
            <w:tcW w:w="0" w:type="auto"/>
            <w:gridSpan w:val="3"/>
            <w:shd w:val="clear" w:color="auto" w:fill="FFFFFF"/>
            <w:tcMar>
              <w:top w:w="0" w:type="dxa"/>
              <w:left w:w="20" w:type="dxa"/>
              <w:bottom w:w="0" w:type="dxa"/>
              <w:right w:w="20" w:type="dxa"/>
            </w:tcMar>
          </w:tcPr>
          <w:p w14:paraId="7DCFE0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062"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7DCFE063"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06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065"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066" w14:textId="77777777" w:rsidR="00C1563E" w:rsidRDefault="000B648B">
            <w:pPr>
              <w:jc w:val="right"/>
              <w:textAlignment w:val="bottom"/>
            </w:pPr>
            <w:r>
              <w:rPr>
                <w:rFonts w:ascii="Times New Roman" w:eastAsia="宋体" w:hAnsi="Times New Roman"/>
                <w:color w:val="000000"/>
                <w:sz w:val="20"/>
                <w:szCs w:val="20"/>
              </w:rPr>
              <w:t>17,127</w:t>
            </w:r>
          </w:p>
        </w:tc>
        <w:tc>
          <w:tcPr>
            <w:tcW w:w="0" w:type="auto"/>
            <w:gridSpan w:val="3"/>
            <w:shd w:val="clear" w:color="auto" w:fill="FFFFFF"/>
            <w:tcMar>
              <w:top w:w="0" w:type="dxa"/>
              <w:left w:w="20" w:type="dxa"/>
              <w:bottom w:w="0" w:type="dxa"/>
              <w:right w:w="20" w:type="dxa"/>
            </w:tcMar>
          </w:tcPr>
          <w:p w14:paraId="7DCFE06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068" w14:textId="77777777" w:rsidR="00C1563E" w:rsidRDefault="000B648B">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7DCFE069"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06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06B"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06C" w14:textId="77777777" w:rsidR="00C1563E" w:rsidRDefault="000B648B">
            <w:pPr>
              <w:jc w:val="right"/>
              <w:textAlignment w:val="bottom"/>
            </w:pPr>
            <w:r>
              <w:rPr>
                <w:rFonts w:ascii="Times New Roman" w:eastAsia="宋体" w:hAnsi="Times New Roman"/>
                <w:color w:val="000000"/>
                <w:sz w:val="20"/>
                <w:szCs w:val="20"/>
              </w:rPr>
              <w:t>19,953</w:t>
            </w:r>
          </w:p>
        </w:tc>
      </w:tr>
      <w:tr w:rsidR="00C1563E" w14:paraId="7DCFE080" w14:textId="77777777">
        <w:trPr>
          <w:jc w:val="center"/>
        </w:trPr>
        <w:tc>
          <w:tcPr>
            <w:tcW w:w="0" w:type="auto"/>
            <w:gridSpan w:val="3"/>
            <w:shd w:val="clear" w:color="auto" w:fill="CCEEFF"/>
            <w:tcMar>
              <w:top w:w="40" w:type="dxa"/>
              <w:left w:w="155" w:type="dxa"/>
              <w:bottom w:w="40" w:type="dxa"/>
              <w:right w:w="20" w:type="dxa"/>
            </w:tcMar>
            <w:vAlign w:val="bottom"/>
          </w:tcPr>
          <w:p w14:paraId="7DCFE06E" w14:textId="77777777" w:rsidR="00C1563E" w:rsidRDefault="000B648B">
            <w:pPr>
              <w:textAlignment w:val="bottom"/>
            </w:pPr>
            <w:r>
              <w:rPr>
                <w:rFonts w:ascii="Times New Roman" w:eastAsia="宋体" w:hAnsi="Times New Roman"/>
                <w:color w:val="000000"/>
                <w:sz w:val="20"/>
                <w:szCs w:val="20"/>
              </w:rPr>
              <w:t>Storage</w:t>
            </w:r>
          </w:p>
        </w:tc>
        <w:tc>
          <w:tcPr>
            <w:tcW w:w="0" w:type="auto"/>
            <w:shd w:val="clear" w:color="auto" w:fill="auto"/>
          </w:tcPr>
          <w:p w14:paraId="7DCFE06F" w14:textId="77777777" w:rsidR="00C1563E" w:rsidRDefault="00C1563E">
            <w:pPr>
              <w:rPr>
                <w:rFonts w:ascii="宋体"/>
                <w:vanish/>
              </w:rPr>
            </w:pPr>
          </w:p>
        </w:tc>
        <w:tc>
          <w:tcPr>
            <w:tcW w:w="0" w:type="auto"/>
            <w:shd w:val="clear" w:color="auto" w:fill="auto"/>
          </w:tcPr>
          <w:p w14:paraId="7DCFE070" w14:textId="77777777" w:rsidR="00C1563E" w:rsidRDefault="00C1563E">
            <w:pPr>
              <w:rPr>
                <w:rFonts w:ascii="宋体"/>
                <w:vanish/>
              </w:rPr>
            </w:pPr>
          </w:p>
        </w:tc>
        <w:tc>
          <w:tcPr>
            <w:tcW w:w="0" w:type="auto"/>
            <w:shd w:val="clear" w:color="auto" w:fill="auto"/>
          </w:tcPr>
          <w:p w14:paraId="7DCFE071" w14:textId="77777777" w:rsidR="00C1563E" w:rsidRDefault="00C1563E">
            <w:pPr>
              <w:rPr>
                <w:rFonts w:ascii="宋体"/>
                <w:vanish/>
              </w:rPr>
            </w:pPr>
          </w:p>
        </w:tc>
        <w:tc>
          <w:tcPr>
            <w:tcW w:w="0" w:type="auto"/>
            <w:shd w:val="clear" w:color="auto" w:fill="auto"/>
          </w:tcPr>
          <w:p w14:paraId="7DCFE072" w14:textId="77777777" w:rsidR="00C1563E" w:rsidRDefault="00C1563E">
            <w:pPr>
              <w:rPr>
                <w:rFonts w:ascii="宋体"/>
                <w:vanish/>
              </w:rPr>
            </w:pPr>
          </w:p>
        </w:tc>
        <w:tc>
          <w:tcPr>
            <w:tcW w:w="0" w:type="auto"/>
            <w:shd w:val="clear" w:color="auto" w:fill="auto"/>
          </w:tcPr>
          <w:p w14:paraId="7DCFE073" w14:textId="77777777" w:rsidR="00C1563E" w:rsidRDefault="00C1563E">
            <w:pPr>
              <w:rPr>
                <w:rFonts w:ascii="宋体"/>
                <w:vanish/>
              </w:rPr>
            </w:pPr>
          </w:p>
        </w:tc>
        <w:tc>
          <w:tcPr>
            <w:tcW w:w="0" w:type="auto"/>
            <w:shd w:val="clear" w:color="auto" w:fill="auto"/>
          </w:tcPr>
          <w:p w14:paraId="7DCFE074" w14:textId="77777777" w:rsidR="00C1563E" w:rsidRDefault="00C1563E">
            <w:pPr>
              <w:rPr>
                <w:rFonts w:ascii="宋体"/>
                <w:vanish/>
              </w:rPr>
            </w:pPr>
          </w:p>
        </w:tc>
        <w:tc>
          <w:tcPr>
            <w:tcW w:w="0" w:type="auto"/>
            <w:gridSpan w:val="3"/>
            <w:shd w:val="clear" w:color="auto" w:fill="CCEEFF"/>
            <w:tcMar>
              <w:top w:w="40" w:type="dxa"/>
              <w:left w:w="20" w:type="dxa"/>
              <w:bottom w:w="40" w:type="dxa"/>
              <w:right w:w="140" w:type="dxa"/>
            </w:tcMar>
            <w:vAlign w:val="bottom"/>
          </w:tcPr>
          <w:p w14:paraId="7DCFE075" w14:textId="77777777" w:rsidR="00C1563E" w:rsidRDefault="000B648B">
            <w:pPr>
              <w:jc w:val="right"/>
              <w:textAlignment w:val="bottom"/>
            </w:pPr>
            <w:r>
              <w:rPr>
                <w:rFonts w:ascii="Times New Roman" w:eastAsia="宋体" w:hAnsi="Times New Roman"/>
                <w:color w:val="000000"/>
                <w:sz w:val="20"/>
                <w:szCs w:val="20"/>
              </w:rPr>
              <w:t>16,091</w:t>
            </w:r>
          </w:p>
        </w:tc>
        <w:tc>
          <w:tcPr>
            <w:tcW w:w="0" w:type="auto"/>
            <w:gridSpan w:val="3"/>
            <w:shd w:val="clear" w:color="auto" w:fill="CCEEFF"/>
            <w:tcMar>
              <w:top w:w="0" w:type="dxa"/>
              <w:left w:w="20" w:type="dxa"/>
              <w:bottom w:w="0" w:type="dxa"/>
              <w:right w:w="20" w:type="dxa"/>
            </w:tcMar>
          </w:tcPr>
          <w:p w14:paraId="7DCFE07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077"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DCFE078"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079" w14:textId="77777777" w:rsidR="00C1563E" w:rsidRDefault="00C1563E">
            <w:pPr>
              <w:rPr>
                <w:rFonts w:ascii="宋体"/>
              </w:rPr>
            </w:pPr>
          </w:p>
        </w:tc>
        <w:tc>
          <w:tcPr>
            <w:tcW w:w="0" w:type="auto"/>
            <w:gridSpan w:val="3"/>
            <w:shd w:val="clear" w:color="auto" w:fill="CCEEFF"/>
            <w:tcMar>
              <w:top w:w="40" w:type="dxa"/>
              <w:left w:w="20" w:type="dxa"/>
              <w:bottom w:w="40" w:type="dxa"/>
              <w:right w:w="140" w:type="dxa"/>
            </w:tcMar>
            <w:vAlign w:val="bottom"/>
          </w:tcPr>
          <w:p w14:paraId="7DCFE07A" w14:textId="77777777" w:rsidR="00C1563E" w:rsidRDefault="000B648B">
            <w:pPr>
              <w:jc w:val="right"/>
              <w:textAlignment w:val="bottom"/>
            </w:pPr>
            <w:r>
              <w:rPr>
                <w:rFonts w:ascii="Times New Roman" w:eastAsia="宋体" w:hAnsi="Times New Roman"/>
                <w:color w:val="000000"/>
                <w:sz w:val="20"/>
                <w:szCs w:val="20"/>
              </w:rPr>
              <w:t>16,842</w:t>
            </w:r>
          </w:p>
        </w:tc>
        <w:tc>
          <w:tcPr>
            <w:tcW w:w="0" w:type="auto"/>
            <w:gridSpan w:val="3"/>
            <w:shd w:val="clear" w:color="auto" w:fill="CCEEFF"/>
            <w:tcMar>
              <w:top w:w="0" w:type="dxa"/>
              <w:left w:w="20" w:type="dxa"/>
              <w:bottom w:w="0" w:type="dxa"/>
              <w:right w:w="20" w:type="dxa"/>
            </w:tcMar>
          </w:tcPr>
          <w:p w14:paraId="7DCFE0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07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07D"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07E" w14:textId="77777777" w:rsidR="00C1563E" w:rsidRDefault="00C1563E">
            <w:pPr>
              <w:rPr>
                <w:rFonts w:ascii="宋体"/>
              </w:rPr>
            </w:pPr>
          </w:p>
        </w:tc>
        <w:tc>
          <w:tcPr>
            <w:tcW w:w="0" w:type="auto"/>
            <w:gridSpan w:val="3"/>
            <w:shd w:val="clear" w:color="auto" w:fill="CCEEFF"/>
            <w:tcMar>
              <w:top w:w="40" w:type="dxa"/>
              <w:left w:w="20" w:type="dxa"/>
              <w:bottom w:w="40" w:type="dxa"/>
              <w:right w:w="140" w:type="dxa"/>
            </w:tcMar>
            <w:vAlign w:val="bottom"/>
          </w:tcPr>
          <w:p w14:paraId="7DCFE07F" w14:textId="77777777" w:rsidR="00C1563E" w:rsidRDefault="000B648B">
            <w:pPr>
              <w:jc w:val="right"/>
              <w:textAlignment w:val="bottom"/>
            </w:pPr>
            <w:r>
              <w:rPr>
                <w:rFonts w:ascii="Times New Roman" w:eastAsia="宋体" w:hAnsi="Times New Roman"/>
                <w:color w:val="000000"/>
                <w:sz w:val="20"/>
                <w:szCs w:val="20"/>
              </w:rPr>
              <w:t>16,767</w:t>
            </w:r>
          </w:p>
        </w:tc>
      </w:tr>
      <w:tr w:rsidR="00C1563E" w14:paraId="7DCFE096" w14:textId="77777777">
        <w:trPr>
          <w:jc w:val="center"/>
        </w:trPr>
        <w:tc>
          <w:tcPr>
            <w:tcW w:w="0" w:type="auto"/>
            <w:gridSpan w:val="3"/>
            <w:shd w:val="clear" w:color="auto" w:fill="FFFFFF"/>
            <w:tcMar>
              <w:top w:w="40" w:type="dxa"/>
              <w:left w:w="245" w:type="dxa"/>
              <w:bottom w:w="40" w:type="dxa"/>
              <w:right w:w="20" w:type="dxa"/>
            </w:tcMar>
            <w:vAlign w:val="bottom"/>
          </w:tcPr>
          <w:p w14:paraId="7DCFE081" w14:textId="77777777" w:rsidR="00C1563E" w:rsidRDefault="000B648B">
            <w:pPr>
              <w:textAlignment w:val="bottom"/>
            </w:pPr>
            <w:r>
              <w:rPr>
                <w:rFonts w:ascii="Times New Roman" w:eastAsia="宋体" w:hAnsi="Times New Roman"/>
                <w:color w:val="000000"/>
                <w:sz w:val="20"/>
                <w:szCs w:val="20"/>
              </w:rPr>
              <w:t>Total ISG net revenue</w:t>
            </w:r>
          </w:p>
        </w:tc>
        <w:tc>
          <w:tcPr>
            <w:tcW w:w="0" w:type="auto"/>
            <w:shd w:val="clear" w:color="auto" w:fill="auto"/>
          </w:tcPr>
          <w:p w14:paraId="7DCFE082" w14:textId="77777777" w:rsidR="00C1563E" w:rsidRDefault="00C1563E">
            <w:pPr>
              <w:rPr>
                <w:rFonts w:ascii="宋体"/>
                <w:vanish/>
              </w:rPr>
            </w:pPr>
          </w:p>
        </w:tc>
        <w:tc>
          <w:tcPr>
            <w:tcW w:w="0" w:type="auto"/>
            <w:shd w:val="clear" w:color="auto" w:fill="auto"/>
          </w:tcPr>
          <w:p w14:paraId="7DCFE083" w14:textId="77777777" w:rsidR="00C1563E" w:rsidRDefault="00C1563E">
            <w:pPr>
              <w:rPr>
                <w:rFonts w:ascii="宋体"/>
                <w:vanish/>
              </w:rPr>
            </w:pPr>
          </w:p>
        </w:tc>
        <w:tc>
          <w:tcPr>
            <w:tcW w:w="0" w:type="auto"/>
            <w:shd w:val="clear" w:color="auto" w:fill="auto"/>
          </w:tcPr>
          <w:p w14:paraId="7DCFE084" w14:textId="77777777" w:rsidR="00C1563E" w:rsidRDefault="00C1563E">
            <w:pPr>
              <w:rPr>
                <w:rFonts w:ascii="宋体"/>
                <w:vanish/>
              </w:rPr>
            </w:pPr>
          </w:p>
        </w:tc>
        <w:tc>
          <w:tcPr>
            <w:tcW w:w="0" w:type="auto"/>
            <w:shd w:val="clear" w:color="auto" w:fill="auto"/>
          </w:tcPr>
          <w:p w14:paraId="7DCFE085" w14:textId="77777777" w:rsidR="00C1563E" w:rsidRDefault="00C1563E">
            <w:pPr>
              <w:rPr>
                <w:rFonts w:ascii="宋体"/>
                <w:vanish/>
              </w:rPr>
            </w:pPr>
          </w:p>
        </w:tc>
        <w:tc>
          <w:tcPr>
            <w:tcW w:w="0" w:type="auto"/>
            <w:shd w:val="clear" w:color="auto" w:fill="auto"/>
          </w:tcPr>
          <w:p w14:paraId="7DCFE086" w14:textId="77777777" w:rsidR="00C1563E" w:rsidRDefault="00C1563E">
            <w:pPr>
              <w:rPr>
                <w:rFonts w:ascii="宋体"/>
                <w:vanish/>
              </w:rPr>
            </w:pPr>
          </w:p>
        </w:tc>
        <w:tc>
          <w:tcPr>
            <w:tcW w:w="0" w:type="auto"/>
            <w:shd w:val="clear" w:color="auto" w:fill="auto"/>
          </w:tcPr>
          <w:p w14:paraId="7DCFE087"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088"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089" w14:textId="77777777" w:rsidR="00C1563E" w:rsidRDefault="000B648B">
            <w:pPr>
              <w:jc w:val="right"/>
              <w:textAlignment w:val="bottom"/>
            </w:pPr>
            <w:r>
              <w:rPr>
                <w:rFonts w:ascii="Times New Roman" w:eastAsia="宋体" w:hAnsi="Times New Roman"/>
                <w:color w:val="000000"/>
                <w:sz w:val="20"/>
                <w:szCs w:val="20"/>
              </w:rPr>
              <w:t>32,588</w:t>
            </w:r>
          </w:p>
        </w:tc>
        <w:tc>
          <w:tcPr>
            <w:tcW w:w="0" w:type="auto"/>
            <w:gridSpan w:val="3"/>
            <w:shd w:val="clear" w:color="auto" w:fill="FFFFFF"/>
            <w:tcMar>
              <w:top w:w="0" w:type="dxa"/>
              <w:left w:w="20" w:type="dxa"/>
              <w:bottom w:w="0" w:type="dxa"/>
              <w:right w:w="20" w:type="dxa"/>
            </w:tcMar>
          </w:tcPr>
          <w:p w14:paraId="7DCFE08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08B"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7DCFE08C"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08D"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08E"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08F" w14:textId="77777777" w:rsidR="00C1563E" w:rsidRDefault="000B648B">
            <w:pPr>
              <w:jc w:val="right"/>
              <w:textAlignment w:val="bottom"/>
            </w:pPr>
            <w:r>
              <w:rPr>
                <w:rFonts w:ascii="Times New Roman" w:eastAsia="宋体" w:hAnsi="Times New Roman"/>
                <w:color w:val="000000"/>
                <w:sz w:val="20"/>
                <w:szCs w:val="20"/>
              </w:rPr>
              <w:t>33,969</w:t>
            </w:r>
          </w:p>
        </w:tc>
        <w:tc>
          <w:tcPr>
            <w:tcW w:w="0" w:type="auto"/>
            <w:gridSpan w:val="3"/>
            <w:shd w:val="clear" w:color="auto" w:fill="FFFFFF"/>
            <w:tcMar>
              <w:top w:w="0" w:type="dxa"/>
              <w:left w:w="20" w:type="dxa"/>
              <w:bottom w:w="0" w:type="dxa"/>
              <w:right w:w="20" w:type="dxa"/>
            </w:tcMar>
          </w:tcPr>
          <w:p w14:paraId="7DCFE09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091" w14:textId="77777777" w:rsidR="00C1563E" w:rsidRDefault="000B648B">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DCFE092"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093"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094"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095" w14:textId="77777777" w:rsidR="00C1563E" w:rsidRDefault="000B648B">
            <w:pPr>
              <w:jc w:val="right"/>
              <w:textAlignment w:val="bottom"/>
            </w:pPr>
            <w:r>
              <w:rPr>
                <w:rFonts w:ascii="Times New Roman" w:eastAsia="宋体" w:hAnsi="Times New Roman"/>
                <w:color w:val="000000"/>
                <w:sz w:val="20"/>
                <w:szCs w:val="20"/>
              </w:rPr>
              <w:t>36,720</w:t>
            </w:r>
          </w:p>
        </w:tc>
      </w:tr>
      <w:tr w:rsidR="00C1563E" w14:paraId="7DCFE0A7" w14:textId="77777777">
        <w:trPr>
          <w:trHeight w:val="300"/>
          <w:jc w:val="center"/>
        </w:trPr>
        <w:tc>
          <w:tcPr>
            <w:tcW w:w="0" w:type="auto"/>
            <w:gridSpan w:val="3"/>
            <w:shd w:val="clear" w:color="auto" w:fill="CCEEFF"/>
            <w:tcMar>
              <w:top w:w="0" w:type="dxa"/>
              <w:left w:w="20" w:type="dxa"/>
              <w:bottom w:w="0" w:type="dxa"/>
              <w:right w:w="20" w:type="dxa"/>
            </w:tcMar>
          </w:tcPr>
          <w:p w14:paraId="7DCFE097" w14:textId="77777777" w:rsidR="00C1563E" w:rsidRDefault="00C1563E">
            <w:pPr>
              <w:rPr>
                <w:rFonts w:ascii="宋体"/>
              </w:rPr>
            </w:pPr>
          </w:p>
        </w:tc>
        <w:tc>
          <w:tcPr>
            <w:tcW w:w="0" w:type="auto"/>
            <w:shd w:val="clear" w:color="auto" w:fill="auto"/>
          </w:tcPr>
          <w:p w14:paraId="7DCFE098" w14:textId="77777777" w:rsidR="00C1563E" w:rsidRDefault="00C1563E">
            <w:pPr>
              <w:rPr>
                <w:rFonts w:ascii="宋体"/>
                <w:vanish/>
              </w:rPr>
            </w:pPr>
          </w:p>
        </w:tc>
        <w:tc>
          <w:tcPr>
            <w:tcW w:w="0" w:type="auto"/>
            <w:shd w:val="clear" w:color="auto" w:fill="auto"/>
          </w:tcPr>
          <w:p w14:paraId="7DCFE099" w14:textId="77777777" w:rsidR="00C1563E" w:rsidRDefault="00C1563E">
            <w:pPr>
              <w:rPr>
                <w:rFonts w:ascii="宋体"/>
                <w:vanish/>
              </w:rPr>
            </w:pPr>
          </w:p>
        </w:tc>
        <w:tc>
          <w:tcPr>
            <w:tcW w:w="0" w:type="auto"/>
            <w:shd w:val="clear" w:color="auto" w:fill="auto"/>
          </w:tcPr>
          <w:p w14:paraId="7DCFE09A" w14:textId="77777777" w:rsidR="00C1563E" w:rsidRDefault="00C1563E">
            <w:pPr>
              <w:rPr>
                <w:rFonts w:ascii="宋体"/>
                <w:vanish/>
              </w:rPr>
            </w:pPr>
          </w:p>
        </w:tc>
        <w:tc>
          <w:tcPr>
            <w:tcW w:w="0" w:type="auto"/>
            <w:shd w:val="clear" w:color="auto" w:fill="auto"/>
          </w:tcPr>
          <w:p w14:paraId="7DCFE09B" w14:textId="77777777" w:rsidR="00C1563E" w:rsidRDefault="00C1563E">
            <w:pPr>
              <w:rPr>
                <w:rFonts w:ascii="宋体"/>
                <w:vanish/>
              </w:rPr>
            </w:pPr>
          </w:p>
        </w:tc>
        <w:tc>
          <w:tcPr>
            <w:tcW w:w="0" w:type="auto"/>
            <w:shd w:val="clear" w:color="auto" w:fill="auto"/>
          </w:tcPr>
          <w:p w14:paraId="7DCFE09C" w14:textId="77777777" w:rsidR="00C1563E" w:rsidRDefault="00C1563E">
            <w:pPr>
              <w:rPr>
                <w:rFonts w:ascii="宋体"/>
                <w:vanish/>
              </w:rPr>
            </w:pPr>
          </w:p>
        </w:tc>
        <w:tc>
          <w:tcPr>
            <w:tcW w:w="0" w:type="auto"/>
            <w:shd w:val="clear" w:color="auto" w:fill="auto"/>
          </w:tcPr>
          <w:p w14:paraId="7DCFE09D" w14:textId="77777777" w:rsidR="00C1563E" w:rsidRDefault="00C1563E">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09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9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A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A1"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0A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A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A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0A5"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0A6" w14:textId="77777777" w:rsidR="00C1563E" w:rsidRDefault="00C1563E">
            <w:pPr>
              <w:rPr>
                <w:rFonts w:ascii="宋体"/>
              </w:rPr>
            </w:pPr>
          </w:p>
        </w:tc>
      </w:tr>
      <w:tr w:rsidR="00C1563E" w14:paraId="7DCFE0B8" w14:textId="77777777">
        <w:trPr>
          <w:jc w:val="center"/>
        </w:trPr>
        <w:tc>
          <w:tcPr>
            <w:tcW w:w="0" w:type="auto"/>
            <w:gridSpan w:val="3"/>
            <w:shd w:val="clear" w:color="auto" w:fill="FFFFFF"/>
            <w:tcMar>
              <w:top w:w="40" w:type="dxa"/>
              <w:left w:w="20" w:type="dxa"/>
              <w:bottom w:w="40" w:type="dxa"/>
              <w:right w:w="20" w:type="dxa"/>
            </w:tcMar>
            <w:vAlign w:val="bottom"/>
          </w:tcPr>
          <w:p w14:paraId="7DCFE0A8" w14:textId="77777777" w:rsidR="00C1563E" w:rsidRDefault="000B648B">
            <w:pPr>
              <w:textAlignment w:val="bottom"/>
            </w:pPr>
            <w:r>
              <w:rPr>
                <w:rFonts w:ascii="Times New Roman" w:eastAsia="宋体" w:hAnsi="Times New Roman"/>
                <w:i/>
                <w:iCs/>
                <w:color w:val="000000"/>
                <w:sz w:val="20"/>
                <w:szCs w:val="20"/>
              </w:rPr>
              <w:t>Operating income:</w:t>
            </w:r>
          </w:p>
        </w:tc>
        <w:tc>
          <w:tcPr>
            <w:tcW w:w="0" w:type="auto"/>
            <w:shd w:val="clear" w:color="auto" w:fill="auto"/>
          </w:tcPr>
          <w:p w14:paraId="7DCFE0A9" w14:textId="77777777" w:rsidR="00C1563E" w:rsidRDefault="00C1563E">
            <w:pPr>
              <w:rPr>
                <w:rFonts w:ascii="宋体"/>
                <w:vanish/>
              </w:rPr>
            </w:pPr>
          </w:p>
        </w:tc>
        <w:tc>
          <w:tcPr>
            <w:tcW w:w="0" w:type="auto"/>
            <w:shd w:val="clear" w:color="auto" w:fill="auto"/>
          </w:tcPr>
          <w:p w14:paraId="7DCFE0AA" w14:textId="77777777" w:rsidR="00C1563E" w:rsidRDefault="00C1563E">
            <w:pPr>
              <w:rPr>
                <w:rFonts w:ascii="宋体"/>
                <w:vanish/>
              </w:rPr>
            </w:pPr>
          </w:p>
        </w:tc>
        <w:tc>
          <w:tcPr>
            <w:tcW w:w="0" w:type="auto"/>
            <w:shd w:val="clear" w:color="auto" w:fill="auto"/>
          </w:tcPr>
          <w:p w14:paraId="7DCFE0AB" w14:textId="77777777" w:rsidR="00C1563E" w:rsidRDefault="00C1563E">
            <w:pPr>
              <w:rPr>
                <w:rFonts w:ascii="宋体"/>
                <w:vanish/>
              </w:rPr>
            </w:pPr>
          </w:p>
        </w:tc>
        <w:tc>
          <w:tcPr>
            <w:tcW w:w="0" w:type="auto"/>
            <w:shd w:val="clear" w:color="auto" w:fill="auto"/>
          </w:tcPr>
          <w:p w14:paraId="7DCFE0AC" w14:textId="77777777" w:rsidR="00C1563E" w:rsidRDefault="00C1563E">
            <w:pPr>
              <w:rPr>
                <w:rFonts w:ascii="宋体"/>
                <w:vanish/>
              </w:rPr>
            </w:pPr>
          </w:p>
        </w:tc>
        <w:tc>
          <w:tcPr>
            <w:tcW w:w="0" w:type="auto"/>
            <w:shd w:val="clear" w:color="auto" w:fill="auto"/>
          </w:tcPr>
          <w:p w14:paraId="7DCFE0AD" w14:textId="77777777" w:rsidR="00C1563E" w:rsidRDefault="00C1563E">
            <w:pPr>
              <w:rPr>
                <w:rFonts w:ascii="宋体"/>
                <w:vanish/>
              </w:rPr>
            </w:pPr>
          </w:p>
        </w:tc>
        <w:tc>
          <w:tcPr>
            <w:tcW w:w="0" w:type="auto"/>
            <w:shd w:val="clear" w:color="auto" w:fill="auto"/>
          </w:tcPr>
          <w:p w14:paraId="7DCFE0AE"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E0A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B7" w14:textId="77777777" w:rsidR="00C1563E" w:rsidRDefault="00C1563E">
            <w:pPr>
              <w:rPr>
                <w:rFonts w:ascii="宋体"/>
              </w:rPr>
            </w:pPr>
          </w:p>
        </w:tc>
      </w:tr>
      <w:tr w:rsidR="00C1563E" w14:paraId="7DCFE0CE" w14:textId="77777777">
        <w:trPr>
          <w:jc w:val="center"/>
        </w:trPr>
        <w:tc>
          <w:tcPr>
            <w:tcW w:w="0" w:type="auto"/>
            <w:gridSpan w:val="3"/>
            <w:shd w:val="clear" w:color="auto" w:fill="CCEEFF"/>
            <w:tcMar>
              <w:top w:w="40" w:type="dxa"/>
              <w:left w:w="155" w:type="dxa"/>
              <w:bottom w:w="40" w:type="dxa"/>
              <w:right w:w="20" w:type="dxa"/>
            </w:tcMar>
            <w:vAlign w:val="bottom"/>
          </w:tcPr>
          <w:p w14:paraId="7DCFE0B9" w14:textId="77777777" w:rsidR="00C1563E" w:rsidRDefault="000B648B">
            <w:pPr>
              <w:textAlignment w:val="bottom"/>
            </w:pPr>
            <w:r>
              <w:rPr>
                <w:rFonts w:ascii="Times New Roman" w:eastAsia="宋体" w:hAnsi="Times New Roman"/>
                <w:color w:val="000000"/>
                <w:sz w:val="20"/>
                <w:szCs w:val="20"/>
              </w:rPr>
              <w:t>ISG operating income</w:t>
            </w:r>
          </w:p>
        </w:tc>
        <w:tc>
          <w:tcPr>
            <w:tcW w:w="0" w:type="auto"/>
            <w:shd w:val="clear" w:color="auto" w:fill="auto"/>
          </w:tcPr>
          <w:p w14:paraId="7DCFE0BA" w14:textId="77777777" w:rsidR="00C1563E" w:rsidRDefault="00C1563E">
            <w:pPr>
              <w:rPr>
                <w:rFonts w:ascii="宋体"/>
                <w:vanish/>
              </w:rPr>
            </w:pPr>
          </w:p>
        </w:tc>
        <w:tc>
          <w:tcPr>
            <w:tcW w:w="0" w:type="auto"/>
            <w:shd w:val="clear" w:color="auto" w:fill="auto"/>
          </w:tcPr>
          <w:p w14:paraId="7DCFE0BB" w14:textId="77777777" w:rsidR="00C1563E" w:rsidRDefault="00C1563E">
            <w:pPr>
              <w:rPr>
                <w:rFonts w:ascii="宋体"/>
                <w:vanish/>
              </w:rPr>
            </w:pPr>
          </w:p>
        </w:tc>
        <w:tc>
          <w:tcPr>
            <w:tcW w:w="0" w:type="auto"/>
            <w:shd w:val="clear" w:color="auto" w:fill="auto"/>
          </w:tcPr>
          <w:p w14:paraId="7DCFE0BC" w14:textId="77777777" w:rsidR="00C1563E" w:rsidRDefault="00C1563E">
            <w:pPr>
              <w:rPr>
                <w:rFonts w:ascii="宋体"/>
                <w:vanish/>
              </w:rPr>
            </w:pPr>
          </w:p>
        </w:tc>
        <w:tc>
          <w:tcPr>
            <w:tcW w:w="0" w:type="auto"/>
            <w:shd w:val="clear" w:color="auto" w:fill="auto"/>
          </w:tcPr>
          <w:p w14:paraId="7DCFE0BD" w14:textId="77777777" w:rsidR="00C1563E" w:rsidRDefault="00C1563E">
            <w:pPr>
              <w:rPr>
                <w:rFonts w:ascii="宋体"/>
                <w:vanish/>
              </w:rPr>
            </w:pPr>
          </w:p>
        </w:tc>
        <w:tc>
          <w:tcPr>
            <w:tcW w:w="0" w:type="auto"/>
            <w:shd w:val="clear" w:color="auto" w:fill="auto"/>
          </w:tcPr>
          <w:p w14:paraId="7DCFE0BE" w14:textId="77777777" w:rsidR="00C1563E" w:rsidRDefault="00C1563E">
            <w:pPr>
              <w:rPr>
                <w:rFonts w:ascii="宋体"/>
                <w:vanish/>
              </w:rPr>
            </w:pPr>
          </w:p>
        </w:tc>
        <w:tc>
          <w:tcPr>
            <w:tcW w:w="0" w:type="auto"/>
            <w:shd w:val="clear" w:color="auto" w:fill="auto"/>
          </w:tcPr>
          <w:p w14:paraId="7DCFE0BF"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0C0"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0C1" w14:textId="77777777" w:rsidR="00C1563E" w:rsidRDefault="000B648B">
            <w:pPr>
              <w:jc w:val="right"/>
              <w:textAlignment w:val="bottom"/>
            </w:pPr>
            <w:r>
              <w:rPr>
                <w:rFonts w:ascii="Times New Roman" w:eastAsia="宋体" w:hAnsi="Times New Roman"/>
                <w:color w:val="000000"/>
                <w:sz w:val="20"/>
                <w:szCs w:val="20"/>
              </w:rPr>
              <w:t>3,776</w:t>
            </w:r>
          </w:p>
        </w:tc>
        <w:tc>
          <w:tcPr>
            <w:tcW w:w="0" w:type="auto"/>
            <w:gridSpan w:val="3"/>
            <w:shd w:val="clear" w:color="auto" w:fill="CCEEFF"/>
            <w:tcMar>
              <w:top w:w="0" w:type="dxa"/>
              <w:left w:w="20" w:type="dxa"/>
              <w:bottom w:w="0" w:type="dxa"/>
              <w:right w:w="20" w:type="dxa"/>
            </w:tcMar>
          </w:tcPr>
          <w:p w14:paraId="7DCFE0C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0C3" w14:textId="77777777" w:rsidR="00C1563E" w:rsidRDefault="000B648B">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DCFE0C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0C5"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0C6"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0C7" w14:textId="77777777" w:rsidR="00C1563E" w:rsidRDefault="000B648B">
            <w:pPr>
              <w:jc w:val="right"/>
              <w:textAlignment w:val="bottom"/>
            </w:pPr>
            <w:r>
              <w:rPr>
                <w:rFonts w:ascii="Times New Roman" w:eastAsia="宋体" w:hAnsi="Times New Roman"/>
                <w:color w:val="000000"/>
                <w:sz w:val="20"/>
                <w:szCs w:val="20"/>
              </w:rPr>
              <w:t>4,001</w:t>
            </w:r>
          </w:p>
        </w:tc>
        <w:tc>
          <w:tcPr>
            <w:tcW w:w="0" w:type="auto"/>
            <w:gridSpan w:val="3"/>
            <w:shd w:val="clear" w:color="auto" w:fill="CCEEFF"/>
            <w:tcMar>
              <w:top w:w="0" w:type="dxa"/>
              <w:left w:w="20" w:type="dxa"/>
              <w:bottom w:w="0" w:type="dxa"/>
              <w:right w:w="20" w:type="dxa"/>
            </w:tcMar>
          </w:tcPr>
          <w:p w14:paraId="7DCFE0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0C9"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DCFE0C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0CB"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0CC"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0CD" w14:textId="77777777" w:rsidR="00C1563E" w:rsidRDefault="000B648B">
            <w:pPr>
              <w:jc w:val="right"/>
              <w:textAlignment w:val="bottom"/>
            </w:pPr>
            <w:r>
              <w:rPr>
                <w:rFonts w:ascii="Times New Roman" w:eastAsia="宋体" w:hAnsi="Times New Roman"/>
                <w:color w:val="000000"/>
                <w:sz w:val="20"/>
                <w:szCs w:val="20"/>
              </w:rPr>
              <w:t>4,151</w:t>
            </w:r>
          </w:p>
        </w:tc>
      </w:tr>
      <w:tr w:rsidR="00C1563E" w14:paraId="7DCFE0E2" w14:textId="77777777">
        <w:trPr>
          <w:jc w:val="center"/>
        </w:trPr>
        <w:tc>
          <w:tcPr>
            <w:tcW w:w="0" w:type="auto"/>
            <w:gridSpan w:val="3"/>
            <w:shd w:val="clear" w:color="auto" w:fill="FFFFFF"/>
            <w:tcMar>
              <w:top w:w="40" w:type="dxa"/>
              <w:left w:w="155" w:type="dxa"/>
              <w:bottom w:w="40" w:type="dxa"/>
              <w:right w:w="20" w:type="dxa"/>
            </w:tcMar>
            <w:vAlign w:val="bottom"/>
          </w:tcPr>
          <w:p w14:paraId="7DCFE0CF" w14:textId="77777777" w:rsidR="00C1563E" w:rsidRDefault="000B648B">
            <w:pPr>
              <w:textAlignment w:val="bottom"/>
            </w:pPr>
            <w:r>
              <w:rPr>
                <w:rFonts w:ascii="Times New Roman" w:eastAsia="宋体" w:hAnsi="Times New Roman"/>
                <w:i/>
                <w:iCs/>
                <w:color w:val="000000"/>
                <w:sz w:val="20"/>
                <w:szCs w:val="20"/>
              </w:rPr>
              <w:t>% of segment net revenue</w:t>
            </w:r>
          </w:p>
        </w:tc>
        <w:tc>
          <w:tcPr>
            <w:tcW w:w="0" w:type="auto"/>
            <w:shd w:val="clear" w:color="auto" w:fill="auto"/>
          </w:tcPr>
          <w:p w14:paraId="7DCFE0D0" w14:textId="77777777" w:rsidR="00C1563E" w:rsidRDefault="00C1563E">
            <w:pPr>
              <w:rPr>
                <w:rFonts w:ascii="宋体"/>
                <w:vanish/>
              </w:rPr>
            </w:pPr>
          </w:p>
        </w:tc>
        <w:tc>
          <w:tcPr>
            <w:tcW w:w="0" w:type="auto"/>
            <w:shd w:val="clear" w:color="auto" w:fill="auto"/>
          </w:tcPr>
          <w:p w14:paraId="7DCFE0D1" w14:textId="77777777" w:rsidR="00C1563E" w:rsidRDefault="00C1563E">
            <w:pPr>
              <w:rPr>
                <w:rFonts w:ascii="宋体"/>
                <w:vanish/>
              </w:rPr>
            </w:pPr>
          </w:p>
        </w:tc>
        <w:tc>
          <w:tcPr>
            <w:tcW w:w="0" w:type="auto"/>
            <w:shd w:val="clear" w:color="auto" w:fill="auto"/>
          </w:tcPr>
          <w:p w14:paraId="7DCFE0D2" w14:textId="77777777" w:rsidR="00C1563E" w:rsidRDefault="00C1563E">
            <w:pPr>
              <w:rPr>
                <w:rFonts w:ascii="宋体"/>
                <w:vanish/>
              </w:rPr>
            </w:pPr>
          </w:p>
        </w:tc>
        <w:tc>
          <w:tcPr>
            <w:tcW w:w="0" w:type="auto"/>
            <w:shd w:val="clear" w:color="auto" w:fill="auto"/>
          </w:tcPr>
          <w:p w14:paraId="7DCFE0D3" w14:textId="77777777" w:rsidR="00C1563E" w:rsidRDefault="00C1563E">
            <w:pPr>
              <w:rPr>
                <w:rFonts w:ascii="宋体"/>
                <w:vanish/>
              </w:rPr>
            </w:pPr>
          </w:p>
        </w:tc>
        <w:tc>
          <w:tcPr>
            <w:tcW w:w="0" w:type="auto"/>
            <w:shd w:val="clear" w:color="auto" w:fill="auto"/>
          </w:tcPr>
          <w:p w14:paraId="7DCFE0D4" w14:textId="77777777" w:rsidR="00C1563E" w:rsidRDefault="00C1563E">
            <w:pPr>
              <w:rPr>
                <w:rFonts w:ascii="宋体"/>
                <w:vanish/>
              </w:rPr>
            </w:pPr>
          </w:p>
        </w:tc>
        <w:tc>
          <w:tcPr>
            <w:tcW w:w="0" w:type="auto"/>
            <w:shd w:val="clear" w:color="auto" w:fill="auto"/>
          </w:tcPr>
          <w:p w14:paraId="7DCFE0D5" w14:textId="77777777" w:rsidR="00C1563E" w:rsidRDefault="00C1563E">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0D6" w14:textId="77777777" w:rsidR="00C1563E" w:rsidRDefault="000B648B">
            <w:pPr>
              <w:jc w:val="right"/>
              <w:textAlignment w:val="bottom"/>
            </w:pPr>
            <w:r>
              <w:rPr>
                <w:rFonts w:ascii="Times New Roman" w:eastAsia="宋体" w:hAnsi="Times New Roman"/>
                <w:i/>
                <w:iCs/>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0D7"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0D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D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D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0DB" w14:textId="77777777" w:rsidR="00C1563E" w:rsidRDefault="000B648B">
            <w:pPr>
              <w:jc w:val="right"/>
              <w:textAlignment w:val="bottom"/>
            </w:pPr>
            <w:r>
              <w:rPr>
                <w:rFonts w:ascii="Times New Roman" w:eastAsia="宋体" w:hAnsi="Times New Roman"/>
                <w:i/>
                <w:iCs/>
                <w:color w:val="000000"/>
                <w:sz w:val="20"/>
                <w:szCs w:val="20"/>
              </w:rPr>
              <w:t>11.8 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0DC"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0D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D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0DF"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0E0" w14:textId="77777777" w:rsidR="00C1563E" w:rsidRDefault="000B648B">
            <w:pPr>
              <w:jc w:val="right"/>
              <w:textAlignment w:val="bottom"/>
            </w:pPr>
            <w:r>
              <w:rPr>
                <w:rFonts w:ascii="Times New Roman" w:eastAsia="宋体" w:hAnsi="Times New Roman"/>
                <w:i/>
                <w:iCs/>
                <w:color w:val="000000"/>
                <w:sz w:val="20"/>
                <w:szCs w:val="20"/>
              </w:rPr>
              <w:t>11.3 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0E1" w14:textId="77777777" w:rsidR="00C1563E" w:rsidRDefault="000B648B">
            <w:pPr>
              <w:jc w:val="right"/>
              <w:textAlignment w:val="bottom"/>
            </w:pPr>
            <w:r>
              <w:rPr>
                <w:rFonts w:ascii="Times New Roman" w:eastAsia="宋体" w:hAnsi="Times New Roman"/>
                <w:i/>
                <w:iCs/>
                <w:color w:val="000000"/>
                <w:sz w:val="20"/>
                <w:szCs w:val="20"/>
              </w:rPr>
              <w:t>%</w:t>
            </w:r>
          </w:p>
        </w:tc>
      </w:tr>
    </w:tbl>
    <w:p w14:paraId="7DCFE0E3" w14:textId="77777777" w:rsidR="00C1563E" w:rsidRDefault="00C1563E"/>
    <w:p w14:paraId="7DCFE0E4" w14:textId="77777777" w:rsidR="00C1563E" w:rsidRDefault="000B648B">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Fiscal 2021, ISG net revenue decreased 4% due to decreases in sales of servers and networking and storage. ISG net revenue decreased primarily due to a weaker demand envir</w:t>
      </w:r>
      <w:r>
        <w:rPr>
          <w:rFonts w:ascii="Times New Roman" w:eastAsia="宋体" w:hAnsi="Times New Roman"/>
          <w:color w:val="000000"/>
          <w:sz w:val="20"/>
          <w:szCs w:val="20"/>
        </w:rPr>
        <w:t>onment, as customers shifted their investments toward remote work and business continuity solutions.</w:t>
      </w:r>
    </w:p>
    <w:p w14:paraId="7DCFE0E5" w14:textId="77777777" w:rsidR="00C1563E" w:rsidRDefault="00C1563E"/>
    <w:p w14:paraId="7DCFE0E6" w14:textId="77777777" w:rsidR="00C1563E" w:rsidRDefault="000B648B">
      <w:r>
        <w:rPr>
          <w:rFonts w:ascii="Times New Roman" w:eastAsia="宋体" w:hAnsi="Times New Roman"/>
          <w:color w:val="000000"/>
          <w:sz w:val="20"/>
          <w:szCs w:val="20"/>
        </w:rPr>
        <w:t xml:space="preserve">Revenue from the sales of servers and networking decreased 4% during Fiscal 2021, primarily driven by a decline in demand of our PowerEdge servers due to </w:t>
      </w:r>
      <w:r>
        <w:rPr>
          <w:rFonts w:ascii="Times New Roman" w:eastAsia="宋体" w:hAnsi="Times New Roman"/>
          <w:color w:val="000000"/>
          <w:sz w:val="20"/>
          <w:szCs w:val="20"/>
        </w:rPr>
        <w:t xml:space="preserve">the broader macroeconomic environment, including the effects of COVID-19. </w:t>
      </w:r>
    </w:p>
    <w:p w14:paraId="7DCFE0E7" w14:textId="77777777" w:rsidR="00C1563E" w:rsidRDefault="00C1563E"/>
    <w:p w14:paraId="7DCFE0E8" w14:textId="77777777" w:rsidR="00C1563E" w:rsidRDefault="000B648B">
      <w:r>
        <w:rPr>
          <w:rFonts w:ascii="Times New Roman" w:eastAsia="宋体" w:hAnsi="Times New Roman"/>
          <w:color w:val="000000"/>
          <w:sz w:val="20"/>
          <w:szCs w:val="20"/>
        </w:rPr>
        <w:t>Storage revenue decreased 4% during Fiscal 2021 primarily due to declines in demand for our core storage solutions offerings, partially offset by increased demand for converged and</w:t>
      </w:r>
      <w:r>
        <w:rPr>
          <w:rFonts w:ascii="Times New Roman" w:eastAsia="宋体" w:hAnsi="Times New Roman"/>
          <w:color w:val="000000"/>
          <w:sz w:val="20"/>
          <w:szCs w:val="20"/>
        </w:rPr>
        <w:t xml:space="preserve"> hyper-converged infrastructure solutions. We continue to make enhancements to our storage solutions offerings and expect that these offerings, including our new PowerStore storage array released in May 2020, will drive long-term improvements in the busine</w:t>
      </w:r>
      <w:r>
        <w:rPr>
          <w:rFonts w:ascii="Times New Roman" w:eastAsia="宋体" w:hAnsi="Times New Roman"/>
          <w:color w:val="000000"/>
          <w:sz w:val="20"/>
          <w:szCs w:val="20"/>
        </w:rPr>
        <w:t xml:space="preserve">ss. </w:t>
      </w:r>
    </w:p>
    <w:p w14:paraId="7DCFE0E9" w14:textId="77777777" w:rsidR="00C1563E" w:rsidRDefault="00C1563E"/>
    <w:p w14:paraId="7DCFE0EA" w14:textId="77777777" w:rsidR="00C1563E" w:rsidRDefault="000B648B">
      <w:r>
        <w:rPr>
          <w:rFonts w:ascii="Times New Roman" w:eastAsia="宋体" w:hAnsi="Times New Roman"/>
          <w:color w:val="000000"/>
          <w:sz w:val="20"/>
          <w:szCs w:val="20"/>
        </w:rPr>
        <w:t>ISG customers are interested in new and innovative models that address how they consume our solutions. We offer options that include as-a-service, utility, leases, and immediate pay models, all designed to match customers’ consumption and financing p</w:t>
      </w:r>
      <w:r>
        <w:rPr>
          <w:rFonts w:ascii="Times New Roman" w:eastAsia="宋体" w:hAnsi="Times New Roman"/>
          <w:color w:val="000000"/>
          <w:sz w:val="20"/>
          <w:szCs w:val="20"/>
        </w:rPr>
        <w:t>references. Our multiyear agreements typically result in recurring revenue streams over the term of the arrangement. We expect our flexible consumption models and as-a-service offerings will further strengthen our customer relationships and provide a found</w:t>
      </w:r>
      <w:r>
        <w:rPr>
          <w:rFonts w:ascii="Times New Roman" w:eastAsia="宋体" w:hAnsi="Times New Roman"/>
          <w:color w:val="000000"/>
          <w:sz w:val="20"/>
          <w:szCs w:val="20"/>
        </w:rPr>
        <w:t xml:space="preserve">ation for growth in recurring revenue. </w:t>
      </w:r>
    </w:p>
    <w:p w14:paraId="7DCFE0EB" w14:textId="77777777" w:rsidR="00C1563E" w:rsidRDefault="00C1563E"/>
    <w:p w14:paraId="7DCFE0EC" w14:textId="77777777" w:rsidR="00C1563E" w:rsidRDefault="000B648B">
      <w:r>
        <w:rPr>
          <w:rFonts w:ascii="Times New Roman" w:eastAsia="宋体" w:hAnsi="Times New Roman"/>
          <w:color w:val="000000"/>
          <w:sz w:val="20"/>
          <w:szCs w:val="20"/>
        </w:rPr>
        <w:t>From a geographical perspective, net revenue attributable to ISG decreased in all regions during Fiscal 2021, driven by a weaker demand environment as a result of pervasive global COVID-19 disruptions.</w:t>
      </w:r>
    </w:p>
    <w:p w14:paraId="7DCFE0ED" w14:textId="77777777" w:rsidR="00C1563E" w:rsidRDefault="00C1563E"/>
    <w:p w14:paraId="7DCFE0EE" w14:textId="77777777" w:rsidR="00C1563E" w:rsidRDefault="000B648B">
      <w:r>
        <w:rPr>
          <w:rFonts w:ascii="Times New Roman" w:eastAsia="宋体" w:hAnsi="Times New Roman"/>
          <w:i/>
          <w:iCs/>
          <w:color w:val="000000"/>
          <w:sz w:val="20"/>
          <w:szCs w:val="20"/>
          <w:u w:val="single"/>
        </w:rPr>
        <w:t>Operating In</w:t>
      </w:r>
      <w:r>
        <w:rPr>
          <w:rFonts w:ascii="Times New Roman" w:eastAsia="宋体" w:hAnsi="Times New Roman"/>
          <w:i/>
          <w:iCs/>
          <w:color w:val="000000"/>
          <w:sz w:val="20"/>
          <w:szCs w:val="20"/>
          <w:u w:val="single"/>
        </w:rPr>
        <w:t>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Fiscal 2021, ISG operating income as a percentage of net revenue decreased 20 basis points to 11.6%. The decline in ISG operating income percentage during Fiscal 2021 was driven by a decrease in ISG gross margin percentage from higher server </w:t>
      </w:r>
      <w:r>
        <w:rPr>
          <w:rFonts w:ascii="Times New Roman" w:eastAsia="宋体" w:hAnsi="Times New Roman"/>
          <w:color w:val="000000"/>
          <w:sz w:val="20"/>
          <w:szCs w:val="20"/>
        </w:rPr>
        <w:t xml:space="preserve">configuration costs, increased freight costs, and lower benefits from component cost deflation. During Fiscal 2021, ISG component costs remained deflationary in the aggregate, but to a lesser degree relative to Fiscal 2020. The decline in ISG gross margin </w:t>
      </w:r>
      <w:r>
        <w:rPr>
          <w:rFonts w:ascii="Times New Roman" w:eastAsia="宋体" w:hAnsi="Times New Roman"/>
          <w:color w:val="000000"/>
          <w:sz w:val="20"/>
          <w:szCs w:val="20"/>
        </w:rPr>
        <w:t>percentage in Fiscal 2021 was partially offset by a decrease in ISG operating expenses as a percentage of net revenue, as we realized the benefit of cost reduction initiatives.</w:t>
      </w:r>
    </w:p>
    <w:p w14:paraId="7DCFE0EF" w14:textId="77777777" w:rsidR="00C1563E" w:rsidRDefault="00C1563E">
      <w:pPr>
        <w:jc w:val="center"/>
      </w:pPr>
    </w:p>
    <w:p w14:paraId="7DCFE0F0" w14:textId="77777777" w:rsidR="00C1563E" w:rsidRDefault="000B648B">
      <w:pPr>
        <w:jc w:val="center"/>
      </w:pPr>
      <w:r>
        <w:rPr>
          <w:rFonts w:ascii="Times New Roman" w:eastAsia="宋体" w:hAnsi="Times New Roman"/>
          <w:color w:val="000000"/>
          <w:sz w:val="20"/>
          <w:szCs w:val="20"/>
        </w:rPr>
        <w:t>55</w:t>
      </w:r>
    </w:p>
    <w:p w14:paraId="7DCFE0F1" w14:textId="77777777" w:rsidR="00C1563E" w:rsidRDefault="00C1563E">
      <w:pPr>
        <w:jc w:val="center"/>
      </w:pPr>
    </w:p>
    <w:p w14:paraId="7DCFE0F2" w14:textId="77777777" w:rsidR="00C1563E" w:rsidRDefault="000B648B">
      <w:r>
        <w:pict w14:anchorId="7DD025A1">
          <v:rect id="_x0000_i1079" style="width:415.3pt;height:1.5pt" o:hralign="center" o:hrstd="t" o:hr="t" fillcolor="#a0a0a0" stroked="f"/>
        </w:pict>
      </w:r>
    </w:p>
    <w:p w14:paraId="7DCFE0F3" w14:textId="77777777" w:rsidR="00C1563E" w:rsidRDefault="000B648B">
      <w:hyperlink r:id="rId131" w:anchor="i418e32e4a35149ffbf7d3a25d66881b8_10" w:history="1">
        <w:r>
          <w:rPr>
            <w:rStyle w:val="a5"/>
            <w:rFonts w:ascii="Times New Roman" w:eastAsia="宋体" w:hAnsi="Times New Roman"/>
            <w:sz w:val="20"/>
            <w:szCs w:val="20"/>
          </w:rPr>
          <w:t>Table of Contents</w:t>
        </w:r>
      </w:hyperlink>
    </w:p>
    <w:p w14:paraId="7DCFE0F4" w14:textId="77777777" w:rsidR="00C1563E" w:rsidRDefault="00C1563E"/>
    <w:p w14:paraId="7DCFE0F5" w14:textId="77777777" w:rsidR="00C1563E" w:rsidRDefault="000B648B">
      <w:r>
        <w:rPr>
          <w:rFonts w:ascii="Times New Roman" w:eastAsia="宋体" w:hAnsi="Times New Roman"/>
          <w:b/>
          <w:bCs/>
          <w:color w:val="000000"/>
          <w:sz w:val="20"/>
          <w:szCs w:val="20"/>
          <w:shd w:val="clear" w:color="auto" w:fill="FFFFFF"/>
        </w:rPr>
        <w:t>Client Solutions Group</w:t>
      </w:r>
    </w:p>
    <w:p w14:paraId="7DCFE0F6" w14:textId="77777777" w:rsidR="00C1563E" w:rsidRDefault="00C1563E"/>
    <w:p w14:paraId="7DCFE0F7" w14:textId="77777777" w:rsidR="00C1563E" w:rsidRDefault="000B648B">
      <w:r>
        <w:rPr>
          <w:rFonts w:ascii="Times New Roman" w:eastAsia="宋体" w:hAnsi="Times New Roman"/>
          <w:color w:val="000000"/>
          <w:sz w:val="20"/>
          <w:szCs w:val="20"/>
          <w:shd w:val="clear" w:color="auto" w:fill="FFFFFF"/>
        </w:rPr>
        <w:t xml:space="preserve">The following table presents net revenue and </w:t>
      </w:r>
      <w:r>
        <w:rPr>
          <w:rFonts w:ascii="Times New Roman" w:eastAsia="宋体" w:hAnsi="Times New Roman"/>
          <w:color w:val="000000"/>
          <w:sz w:val="20"/>
          <w:szCs w:val="20"/>
          <w:shd w:val="clear" w:color="auto" w:fill="FFFFFF"/>
        </w:rPr>
        <w:t>operating income attributable to CSG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45"/>
        <w:gridCol w:w="36"/>
        <w:gridCol w:w="36"/>
        <w:gridCol w:w="36"/>
        <w:gridCol w:w="36"/>
        <w:gridCol w:w="36"/>
        <w:gridCol w:w="36"/>
        <w:gridCol w:w="36"/>
        <w:gridCol w:w="121"/>
        <w:gridCol w:w="820"/>
        <w:gridCol w:w="187"/>
        <w:gridCol w:w="36"/>
        <w:gridCol w:w="36"/>
        <w:gridCol w:w="36"/>
        <w:gridCol w:w="72"/>
        <w:gridCol w:w="617"/>
        <w:gridCol w:w="187"/>
        <w:gridCol w:w="36"/>
        <w:gridCol w:w="36"/>
        <w:gridCol w:w="36"/>
        <w:gridCol w:w="121"/>
        <w:gridCol w:w="691"/>
        <w:gridCol w:w="187"/>
        <w:gridCol w:w="36"/>
        <w:gridCol w:w="36"/>
        <w:gridCol w:w="36"/>
        <w:gridCol w:w="72"/>
        <w:gridCol w:w="617"/>
        <w:gridCol w:w="187"/>
        <w:gridCol w:w="36"/>
        <w:gridCol w:w="36"/>
        <w:gridCol w:w="36"/>
        <w:gridCol w:w="121"/>
        <w:gridCol w:w="782"/>
        <w:gridCol w:w="187"/>
      </w:tblGrid>
      <w:tr w:rsidR="00C1563E" w14:paraId="7DCFE11C" w14:textId="77777777">
        <w:trPr>
          <w:jc w:val="center"/>
        </w:trPr>
        <w:tc>
          <w:tcPr>
            <w:tcW w:w="50" w:type="pct"/>
            <w:shd w:val="clear" w:color="auto" w:fill="auto"/>
          </w:tcPr>
          <w:p w14:paraId="7DCFE0F8" w14:textId="77777777" w:rsidR="00C1563E" w:rsidRDefault="00C1563E">
            <w:pPr>
              <w:rPr>
                <w:rFonts w:ascii="宋体"/>
              </w:rPr>
            </w:pPr>
          </w:p>
        </w:tc>
        <w:tc>
          <w:tcPr>
            <w:tcW w:w="1809" w:type="pct"/>
            <w:shd w:val="clear" w:color="auto" w:fill="auto"/>
          </w:tcPr>
          <w:p w14:paraId="7DCFE0F9" w14:textId="77777777" w:rsidR="00C1563E" w:rsidRDefault="00C1563E">
            <w:pPr>
              <w:rPr>
                <w:rFonts w:ascii="宋体"/>
              </w:rPr>
            </w:pPr>
          </w:p>
        </w:tc>
        <w:tc>
          <w:tcPr>
            <w:tcW w:w="5" w:type="pct"/>
            <w:shd w:val="clear" w:color="auto" w:fill="auto"/>
          </w:tcPr>
          <w:p w14:paraId="7DCFE0FA" w14:textId="77777777" w:rsidR="00C1563E" w:rsidRDefault="00C1563E">
            <w:pPr>
              <w:rPr>
                <w:rFonts w:ascii="宋体"/>
              </w:rPr>
            </w:pPr>
          </w:p>
        </w:tc>
        <w:tc>
          <w:tcPr>
            <w:tcW w:w="0" w:type="auto"/>
            <w:shd w:val="clear" w:color="auto" w:fill="auto"/>
          </w:tcPr>
          <w:p w14:paraId="7DCFE0FB" w14:textId="77777777" w:rsidR="00C1563E" w:rsidRDefault="00C1563E">
            <w:pPr>
              <w:rPr>
                <w:rFonts w:ascii="宋体"/>
                <w:vanish/>
              </w:rPr>
            </w:pPr>
          </w:p>
        </w:tc>
        <w:tc>
          <w:tcPr>
            <w:tcW w:w="0" w:type="auto"/>
            <w:shd w:val="clear" w:color="auto" w:fill="auto"/>
          </w:tcPr>
          <w:p w14:paraId="7DCFE0FC" w14:textId="77777777" w:rsidR="00C1563E" w:rsidRDefault="00C1563E">
            <w:pPr>
              <w:rPr>
                <w:rFonts w:ascii="宋体"/>
                <w:vanish/>
              </w:rPr>
            </w:pPr>
          </w:p>
        </w:tc>
        <w:tc>
          <w:tcPr>
            <w:tcW w:w="0" w:type="auto"/>
            <w:shd w:val="clear" w:color="auto" w:fill="auto"/>
          </w:tcPr>
          <w:p w14:paraId="7DCFE0FD" w14:textId="77777777" w:rsidR="00C1563E" w:rsidRDefault="00C1563E">
            <w:pPr>
              <w:rPr>
                <w:rFonts w:ascii="宋体"/>
                <w:vanish/>
              </w:rPr>
            </w:pPr>
          </w:p>
        </w:tc>
        <w:tc>
          <w:tcPr>
            <w:tcW w:w="0" w:type="auto"/>
            <w:shd w:val="clear" w:color="auto" w:fill="auto"/>
          </w:tcPr>
          <w:p w14:paraId="7DCFE0FE" w14:textId="77777777" w:rsidR="00C1563E" w:rsidRDefault="00C1563E">
            <w:pPr>
              <w:rPr>
                <w:rFonts w:ascii="宋体"/>
                <w:vanish/>
              </w:rPr>
            </w:pPr>
          </w:p>
        </w:tc>
        <w:tc>
          <w:tcPr>
            <w:tcW w:w="0" w:type="auto"/>
            <w:shd w:val="clear" w:color="auto" w:fill="auto"/>
          </w:tcPr>
          <w:p w14:paraId="7DCFE0FF" w14:textId="77777777" w:rsidR="00C1563E" w:rsidRDefault="00C1563E">
            <w:pPr>
              <w:rPr>
                <w:rFonts w:ascii="宋体"/>
                <w:vanish/>
              </w:rPr>
            </w:pPr>
          </w:p>
        </w:tc>
        <w:tc>
          <w:tcPr>
            <w:tcW w:w="0" w:type="auto"/>
            <w:shd w:val="clear" w:color="auto" w:fill="auto"/>
          </w:tcPr>
          <w:p w14:paraId="7DCFE100" w14:textId="77777777" w:rsidR="00C1563E" w:rsidRDefault="00C1563E">
            <w:pPr>
              <w:rPr>
                <w:rFonts w:ascii="宋体"/>
                <w:vanish/>
              </w:rPr>
            </w:pPr>
          </w:p>
        </w:tc>
        <w:tc>
          <w:tcPr>
            <w:tcW w:w="50" w:type="pct"/>
            <w:shd w:val="clear" w:color="auto" w:fill="auto"/>
          </w:tcPr>
          <w:p w14:paraId="7DCFE101" w14:textId="77777777" w:rsidR="00C1563E" w:rsidRDefault="00C1563E">
            <w:pPr>
              <w:rPr>
                <w:rFonts w:ascii="宋体"/>
              </w:rPr>
            </w:pPr>
          </w:p>
        </w:tc>
        <w:tc>
          <w:tcPr>
            <w:tcW w:w="624" w:type="pct"/>
            <w:shd w:val="clear" w:color="auto" w:fill="auto"/>
          </w:tcPr>
          <w:p w14:paraId="7DCFE102" w14:textId="77777777" w:rsidR="00C1563E" w:rsidRDefault="00C1563E">
            <w:pPr>
              <w:rPr>
                <w:rFonts w:ascii="宋体"/>
              </w:rPr>
            </w:pPr>
          </w:p>
        </w:tc>
        <w:tc>
          <w:tcPr>
            <w:tcW w:w="5" w:type="pct"/>
            <w:shd w:val="clear" w:color="auto" w:fill="auto"/>
          </w:tcPr>
          <w:p w14:paraId="7DCFE103" w14:textId="77777777" w:rsidR="00C1563E" w:rsidRDefault="00C1563E">
            <w:pPr>
              <w:rPr>
                <w:rFonts w:ascii="宋体"/>
              </w:rPr>
            </w:pPr>
          </w:p>
        </w:tc>
        <w:tc>
          <w:tcPr>
            <w:tcW w:w="5" w:type="pct"/>
            <w:shd w:val="clear" w:color="auto" w:fill="auto"/>
          </w:tcPr>
          <w:p w14:paraId="7DCFE104" w14:textId="77777777" w:rsidR="00C1563E" w:rsidRDefault="00C1563E">
            <w:pPr>
              <w:rPr>
                <w:rFonts w:ascii="宋体"/>
              </w:rPr>
            </w:pPr>
          </w:p>
        </w:tc>
        <w:tc>
          <w:tcPr>
            <w:tcW w:w="19" w:type="pct"/>
            <w:shd w:val="clear" w:color="auto" w:fill="auto"/>
          </w:tcPr>
          <w:p w14:paraId="7DCFE105" w14:textId="77777777" w:rsidR="00C1563E" w:rsidRDefault="00C1563E">
            <w:pPr>
              <w:rPr>
                <w:rFonts w:ascii="宋体"/>
              </w:rPr>
            </w:pPr>
          </w:p>
        </w:tc>
        <w:tc>
          <w:tcPr>
            <w:tcW w:w="5" w:type="pct"/>
            <w:shd w:val="clear" w:color="auto" w:fill="auto"/>
          </w:tcPr>
          <w:p w14:paraId="7DCFE106" w14:textId="77777777" w:rsidR="00C1563E" w:rsidRDefault="00C1563E">
            <w:pPr>
              <w:rPr>
                <w:rFonts w:ascii="宋体"/>
              </w:rPr>
            </w:pPr>
          </w:p>
        </w:tc>
        <w:tc>
          <w:tcPr>
            <w:tcW w:w="50" w:type="pct"/>
            <w:shd w:val="clear" w:color="auto" w:fill="auto"/>
          </w:tcPr>
          <w:p w14:paraId="7DCFE107" w14:textId="77777777" w:rsidR="00C1563E" w:rsidRDefault="00C1563E">
            <w:pPr>
              <w:rPr>
                <w:rFonts w:ascii="宋体"/>
              </w:rPr>
            </w:pPr>
          </w:p>
        </w:tc>
        <w:tc>
          <w:tcPr>
            <w:tcW w:w="434" w:type="pct"/>
            <w:shd w:val="clear" w:color="auto" w:fill="auto"/>
          </w:tcPr>
          <w:p w14:paraId="7DCFE108" w14:textId="77777777" w:rsidR="00C1563E" w:rsidRDefault="00C1563E">
            <w:pPr>
              <w:rPr>
                <w:rFonts w:ascii="宋体"/>
              </w:rPr>
            </w:pPr>
          </w:p>
        </w:tc>
        <w:tc>
          <w:tcPr>
            <w:tcW w:w="5" w:type="pct"/>
            <w:shd w:val="clear" w:color="auto" w:fill="auto"/>
          </w:tcPr>
          <w:p w14:paraId="7DCFE109" w14:textId="77777777" w:rsidR="00C1563E" w:rsidRDefault="00C1563E">
            <w:pPr>
              <w:rPr>
                <w:rFonts w:ascii="宋体"/>
              </w:rPr>
            </w:pPr>
          </w:p>
        </w:tc>
        <w:tc>
          <w:tcPr>
            <w:tcW w:w="5" w:type="pct"/>
            <w:shd w:val="clear" w:color="auto" w:fill="auto"/>
          </w:tcPr>
          <w:p w14:paraId="7DCFE10A" w14:textId="77777777" w:rsidR="00C1563E" w:rsidRDefault="00C1563E">
            <w:pPr>
              <w:rPr>
                <w:rFonts w:ascii="宋体"/>
              </w:rPr>
            </w:pPr>
          </w:p>
        </w:tc>
        <w:tc>
          <w:tcPr>
            <w:tcW w:w="19" w:type="pct"/>
            <w:shd w:val="clear" w:color="auto" w:fill="auto"/>
          </w:tcPr>
          <w:p w14:paraId="7DCFE10B" w14:textId="77777777" w:rsidR="00C1563E" w:rsidRDefault="00C1563E">
            <w:pPr>
              <w:rPr>
                <w:rFonts w:ascii="宋体"/>
              </w:rPr>
            </w:pPr>
          </w:p>
        </w:tc>
        <w:tc>
          <w:tcPr>
            <w:tcW w:w="5" w:type="pct"/>
            <w:shd w:val="clear" w:color="auto" w:fill="auto"/>
          </w:tcPr>
          <w:p w14:paraId="7DCFE10C" w14:textId="77777777" w:rsidR="00C1563E" w:rsidRDefault="00C1563E">
            <w:pPr>
              <w:rPr>
                <w:rFonts w:ascii="宋体"/>
              </w:rPr>
            </w:pPr>
          </w:p>
        </w:tc>
        <w:tc>
          <w:tcPr>
            <w:tcW w:w="50" w:type="pct"/>
            <w:shd w:val="clear" w:color="auto" w:fill="auto"/>
          </w:tcPr>
          <w:p w14:paraId="7DCFE10D" w14:textId="77777777" w:rsidR="00C1563E" w:rsidRDefault="00C1563E">
            <w:pPr>
              <w:rPr>
                <w:rFonts w:ascii="宋体"/>
              </w:rPr>
            </w:pPr>
          </w:p>
        </w:tc>
        <w:tc>
          <w:tcPr>
            <w:tcW w:w="624" w:type="pct"/>
            <w:shd w:val="clear" w:color="auto" w:fill="auto"/>
          </w:tcPr>
          <w:p w14:paraId="7DCFE10E" w14:textId="77777777" w:rsidR="00C1563E" w:rsidRDefault="00C1563E">
            <w:pPr>
              <w:rPr>
                <w:rFonts w:ascii="宋体"/>
              </w:rPr>
            </w:pPr>
          </w:p>
        </w:tc>
        <w:tc>
          <w:tcPr>
            <w:tcW w:w="5" w:type="pct"/>
            <w:shd w:val="clear" w:color="auto" w:fill="auto"/>
          </w:tcPr>
          <w:p w14:paraId="7DCFE10F" w14:textId="77777777" w:rsidR="00C1563E" w:rsidRDefault="00C1563E">
            <w:pPr>
              <w:rPr>
                <w:rFonts w:ascii="宋体"/>
              </w:rPr>
            </w:pPr>
          </w:p>
        </w:tc>
        <w:tc>
          <w:tcPr>
            <w:tcW w:w="5" w:type="pct"/>
            <w:shd w:val="clear" w:color="auto" w:fill="auto"/>
          </w:tcPr>
          <w:p w14:paraId="7DCFE110" w14:textId="77777777" w:rsidR="00C1563E" w:rsidRDefault="00C1563E">
            <w:pPr>
              <w:rPr>
                <w:rFonts w:ascii="宋体"/>
              </w:rPr>
            </w:pPr>
          </w:p>
        </w:tc>
        <w:tc>
          <w:tcPr>
            <w:tcW w:w="19" w:type="pct"/>
            <w:shd w:val="clear" w:color="auto" w:fill="auto"/>
          </w:tcPr>
          <w:p w14:paraId="7DCFE111" w14:textId="77777777" w:rsidR="00C1563E" w:rsidRDefault="00C1563E">
            <w:pPr>
              <w:rPr>
                <w:rFonts w:ascii="宋体"/>
              </w:rPr>
            </w:pPr>
          </w:p>
        </w:tc>
        <w:tc>
          <w:tcPr>
            <w:tcW w:w="5" w:type="pct"/>
            <w:shd w:val="clear" w:color="auto" w:fill="auto"/>
          </w:tcPr>
          <w:p w14:paraId="7DCFE112" w14:textId="77777777" w:rsidR="00C1563E" w:rsidRDefault="00C1563E">
            <w:pPr>
              <w:rPr>
                <w:rFonts w:ascii="宋体"/>
              </w:rPr>
            </w:pPr>
          </w:p>
        </w:tc>
        <w:tc>
          <w:tcPr>
            <w:tcW w:w="50" w:type="pct"/>
            <w:shd w:val="clear" w:color="auto" w:fill="auto"/>
          </w:tcPr>
          <w:p w14:paraId="7DCFE113" w14:textId="77777777" w:rsidR="00C1563E" w:rsidRDefault="00C1563E">
            <w:pPr>
              <w:rPr>
                <w:rFonts w:ascii="宋体"/>
              </w:rPr>
            </w:pPr>
          </w:p>
        </w:tc>
        <w:tc>
          <w:tcPr>
            <w:tcW w:w="434" w:type="pct"/>
            <w:shd w:val="clear" w:color="auto" w:fill="auto"/>
          </w:tcPr>
          <w:p w14:paraId="7DCFE114" w14:textId="77777777" w:rsidR="00C1563E" w:rsidRDefault="00C1563E">
            <w:pPr>
              <w:rPr>
                <w:rFonts w:ascii="宋体"/>
              </w:rPr>
            </w:pPr>
          </w:p>
        </w:tc>
        <w:tc>
          <w:tcPr>
            <w:tcW w:w="5" w:type="pct"/>
            <w:shd w:val="clear" w:color="auto" w:fill="auto"/>
          </w:tcPr>
          <w:p w14:paraId="7DCFE115" w14:textId="77777777" w:rsidR="00C1563E" w:rsidRDefault="00C1563E">
            <w:pPr>
              <w:rPr>
                <w:rFonts w:ascii="宋体"/>
              </w:rPr>
            </w:pPr>
          </w:p>
        </w:tc>
        <w:tc>
          <w:tcPr>
            <w:tcW w:w="5" w:type="pct"/>
            <w:shd w:val="clear" w:color="auto" w:fill="auto"/>
          </w:tcPr>
          <w:p w14:paraId="7DCFE116" w14:textId="77777777" w:rsidR="00C1563E" w:rsidRDefault="00C1563E">
            <w:pPr>
              <w:rPr>
                <w:rFonts w:ascii="宋体"/>
              </w:rPr>
            </w:pPr>
          </w:p>
        </w:tc>
        <w:tc>
          <w:tcPr>
            <w:tcW w:w="19" w:type="pct"/>
            <w:shd w:val="clear" w:color="auto" w:fill="auto"/>
          </w:tcPr>
          <w:p w14:paraId="7DCFE117" w14:textId="77777777" w:rsidR="00C1563E" w:rsidRDefault="00C1563E">
            <w:pPr>
              <w:rPr>
                <w:rFonts w:ascii="宋体"/>
              </w:rPr>
            </w:pPr>
          </w:p>
        </w:tc>
        <w:tc>
          <w:tcPr>
            <w:tcW w:w="5" w:type="pct"/>
            <w:shd w:val="clear" w:color="auto" w:fill="auto"/>
          </w:tcPr>
          <w:p w14:paraId="7DCFE118" w14:textId="77777777" w:rsidR="00C1563E" w:rsidRDefault="00C1563E">
            <w:pPr>
              <w:rPr>
                <w:rFonts w:ascii="宋体"/>
              </w:rPr>
            </w:pPr>
          </w:p>
        </w:tc>
        <w:tc>
          <w:tcPr>
            <w:tcW w:w="50" w:type="pct"/>
            <w:shd w:val="clear" w:color="auto" w:fill="auto"/>
          </w:tcPr>
          <w:p w14:paraId="7DCFE119" w14:textId="77777777" w:rsidR="00C1563E" w:rsidRDefault="00C1563E">
            <w:pPr>
              <w:rPr>
                <w:rFonts w:ascii="宋体"/>
              </w:rPr>
            </w:pPr>
          </w:p>
        </w:tc>
        <w:tc>
          <w:tcPr>
            <w:tcW w:w="625" w:type="pct"/>
            <w:shd w:val="clear" w:color="auto" w:fill="auto"/>
          </w:tcPr>
          <w:p w14:paraId="7DCFE11A" w14:textId="77777777" w:rsidR="00C1563E" w:rsidRDefault="00C1563E">
            <w:pPr>
              <w:rPr>
                <w:rFonts w:ascii="宋体"/>
              </w:rPr>
            </w:pPr>
          </w:p>
        </w:tc>
        <w:tc>
          <w:tcPr>
            <w:tcW w:w="5" w:type="pct"/>
            <w:shd w:val="clear" w:color="auto" w:fill="auto"/>
          </w:tcPr>
          <w:p w14:paraId="7DCFE11B" w14:textId="77777777" w:rsidR="00C1563E" w:rsidRDefault="00C1563E">
            <w:pPr>
              <w:rPr>
                <w:rFonts w:ascii="宋体"/>
              </w:rPr>
            </w:pPr>
          </w:p>
        </w:tc>
      </w:tr>
      <w:tr w:rsidR="00C1563E" w14:paraId="7DCFE12D" w14:textId="77777777">
        <w:trPr>
          <w:jc w:val="center"/>
        </w:trPr>
        <w:tc>
          <w:tcPr>
            <w:tcW w:w="0" w:type="auto"/>
            <w:gridSpan w:val="3"/>
            <w:shd w:val="clear" w:color="auto" w:fill="auto"/>
            <w:tcMar>
              <w:top w:w="0" w:type="dxa"/>
              <w:left w:w="20" w:type="dxa"/>
              <w:bottom w:w="0" w:type="dxa"/>
              <w:right w:w="20" w:type="dxa"/>
            </w:tcMar>
          </w:tcPr>
          <w:p w14:paraId="7DCFE11D" w14:textId="77777777" w:rsidR="00C1563E" w:rsidRDefault="00C1563E">
            <w:pPr>
              <w:rPr>
                <w:rFonts w:ascii="宋体"/>
              </w:rPr>
            </w:pPr>
          </w:p>
        </w:tc>
        <w:tc>
          <w:tcPr>
            <w:tcW w:w="0" w:type="auto"/>
            <w:shd w:val="clear" w:color="auto" w:fill="auto"/>
          </w:tcPr>
          <w:p w14:paraId="7DCFE11E" w14:textId="77777777" w:rsidR="00C1563E" w:rsidRDefault="00C1563E">
            <w:pPr>
              <w:rPr>
                <w:rFonts w:ascii="宋体"/>
                <w:vanish/>
              </w:rPr>
            </w:pPr>
          </w:p>
        </w:tc>
        <w:tc>
          <w:tcPr>
            <w:tcW w:w="0" w:type="auto"/>
            <w:shd w:val="clear" w:color="auto" w:fill="auto"/>
          </w:tcPr>
          <w:p w14:paraId="7DCFE11F"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E120"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E121" w14:textId="77777777" w:rsidR="00C1563E" w:rsidRDefault="00C1563E">
            <w:pPr>
              <w:rPr>
                <w:rFonts w:ascii="宋体"/>
              </w:rPr>
            </w:pPr>
          </w:p>
        </w:tc>
        <w:tc>
          <w:tcPr>
            <w:tcW w:w="0" w:type="auto"/>
            <w:shd w:val="clear" w:color="auto" w:fill="auto"/>
          </w:tcPr>
          <w:p w14:paraId="7DCFE122" w14:textId="77777777" w:rsidR="00C1563E" w:rsidRDefault="00C1563E">
            <w:pPr>
              <w:rPr>
                <w:rFonts w:ascii="宋体"/>
              </w:rPr>
            </w:pPr>
          </w:p>
        </w:tc>
        <w:tc>
          <w:tcPr>
            <w:tcW w:w="0" w:type="auto"/>
            <w:shd w:val="clear" w:color="auto" w:fill="auto"/>
          </w:tcPr>
          <w:p w14:paraId="7DCFE123" w14:textId="77777777" w:rsidR="00C1563E" w:rsidRDefault="00C1563E">
            <w:pPr>
              <w:rPr>
                <w:rFonts w:ascii="宋体"/>
              </w:rPr>
            </w:pPr>
          </w:p>
        </w:tc>
        <w:tc>
          <w:tcPr>
            <w:tcW w:w="0" w:type="auto"/>
            <w:shd w:val="clear" w:color="auto" w:fill="auto"/>
          </w:tcPr>
          <w:p w14:paraId="7DCFE124" w14:textId="77777777" w:rsidR="00C1563E" w:rsidRDefault="00C1563E">
            <w:pPr>
              <w:rPr>
                <w:rFonts w:ascii="宋体"/>
              </w:rPr>
            </w:pPr>
          </w:p>
        </w:tc>
        <w:tc>
          <w:tcPr>
            <w:tcW w:w="0" w:type="auto"/>
            <w:shd w:val="clear" w:color="auto" w:fill="auto"/>
          </w:tcPr>
          <w:p w14:paraId="7DCFE125" w14:textId="77777777" w:rsidR="00C1563E" w:rsidRDefault="00C1563E">
            <w:pPr>
              <w:rPr>
                <w:rFonts w:ascii="宋体"/>
              </w:rPr>
            </w:pPr>
          </w:p>
        </w:tc>
        <w:tc>
          <w:tcPr>
            <w:tcW w:w="0" w:type="auto"/>
            <w:shd w:val="clear" w:color="auto" w:fill="auto"/>
          </w:tcPr>
          <w:p w14:paraId="7DCFE126" w14:textId="77777777" w:rsidR="00C1563E" w:rsidRDefault="00C1563E">
            <w:pPr>
              <w:rPr>
                <w:rFonts w:ascii="宋体"/>
              </w:rPr>
            </w:pPr>
          </w:p>
        </w:tc>
        <w:tc>
          <w:tcPr>
            <w:tcW w:w="0" w:type="auto"/>
            <w:shd w:val="clear" w:color="auto" w:fill="auto"/>
          </w:tcPr>
          <w:p w14:paraId="7DCFE127" w14:textId="77777777" w:rsidR="00C1563E" w:rsidRDefault="00C1563E">
            <w:pPr>
              <w:rPr>
                <w:rFonts w:ascii="宋体"/>
              </w:rPr>
            </w:pPr>
          </w:p>
        </w:tc>
        <w:tc>
          <w:tcPr>
            <w:tcW w:w="0" w:type="auto"/>
            <w:shd w:val="clear" w:color="auto" w:fill="auto"/>
          </w:tcPr>
          <w:p w14:paraId="7DCFE128" w14:textId="77777777" w:rsidR="00C1563E" w:rsidRDefault="00C1563E">
            <w:pPr>
              <w:rPr>
                <w:rFonts w:ascii="宋体"/>
              </w:rPr>
            </w:pPr>
          </w:p>
        </w:tc>
        <w:tc>
          <w:tcPr>
            <w:tcW w:w="0" w:type="auto"/>
            <w:shd w:val="clear" w:color="auto" w:fill="auto"/>
          </w:tcPr>
          <w:p w14:paraId="7DCFE129" w14:textId="77777777" w:rsidR="00C1563E" w:rsidRDefault="00C1563E">
            <w:pPr>
              <w:rPr>
                <w:rFonts w:ascii="宋体"/>
              </w:rPr>
            </w:pPr>
          </w:p>
        </w:tc>
        <w:tc>
          <w:tcPr>
            <w:tcW w:w="0" w:type="auto"/>
            <w:shd w:val="clear" w:color="auto" w:fill="auto"/>
          </w:tcPr>
          <w:p w14:paraId="7DCFE12A" w14:textId="77777777" w:rsidR="00C1563E" w:rsidRDefault="00C1563E">
            <w:pPr>
              <w:rPr>
                <w:rFonts w:ascii="宋体"/>
              </w:rPr>
            </w:pPr>
          </w:p>
        </w:tc>
        <w:tc>
          <w:tcPr>
            <w:tcW w:w="0" w:type="auto"/>
            <w:shd w:val="clear" w:color="auto" w:fill="auto"/>
          </w:tcPr>
          <w:p w14:paraId="7DCFE12B" w14:textId="77777777" w:rsidR="00C1563E" w:rsidRDefault="00C1563E">
            <w:pPr>
              <w:rPr>
                <w:rFonts w:ascii="宋体"/>
              </w:rPr>
            </w:pPr>
          </w:p>
        </w:tc>
        <w:tc>
          <w:tcPr>
            <w:tcW w:w="0" w:type="auto"/>
            <w:shd w:val="clear" w:color="auto" w:fill="auto"/>
          </w:tcPr>
          <w:p w14:paraId="7DCFE12C" w14:textId="77777777" w:rsidR="00C1563E" w:rsidRDefault="00C1563E">
            <w:pPr>
              <w:rPr>
                <w:rFonts w:ascii="宋体"/>
              </w:rPr>
            </w:pPr>
          </w:p>
        </w:tc>
      </w:tr>
      <w:tr w:rsidR="00C1563E" w14:paraId="7DCFE13E" w14:textId="77777777">
        <w:trPr>
          <w:jc w:val="center"/>
        </w:trPr>
        <w:tc>
          <w:tcPr>
            <w:tcW w:w="0" w:type="auto"/>
            <w:gridSpan w:val="3"/>
            <w:shd w:val="clear" w:color="auto" w:fill="auto"/>
            <w:tcMar>
              <w:top w:w="0" w:type="dxa"/>
              <w:left w:w="20" w:type="dxa"/>
              <w:bottom w:w="0" w:type="dxa"/>
              <w:right w:w="20" w:type="dxa"/>
            </w:tcMar>
          </w:tcPr>
          <w:p w14:paraId="7DCFE12E" w14:textId="77777777" w:rsidR="00C1563E" w:rsidRDefault="00C1563E">
            <w:pPr>
              <w:rPr>
                <w:rFonts w:ascii="宋体"/>
              </w:rPr>
            </w:pPr>
          </w:p>
        </w:tc>
        <w:tc>
          <w:tcPr>
            <w:tcW w:w="0" w:type="auto"/>
            <w:shd w:val="clear" w:color="auto" w:fill="auto"/>
          </w:tcPr>
          <w:p w14:paraId="7DCFE12F" w14:textId="77777777" w:rsidR="00C1563E" w:rsidRDefault="00C1563E">
            <w:pPr>
              <w:rPr>
                <w:rFonts w:ascii="宋体"/>
                <w:vanish/>
              </w:rPr>
            </w:pPr>
          </w:p>
        </w:tc>
        <w:tc>
          <w:tcPr>
            <w:tcW w:w="0" w:type="auto"/>
            <w:shd w:val="clear" w:color="auto" w:fill="auto"/>
          </w:tcPr>
          <w:p w14:paraId="7DCFE130" w14:textId="77777777" w:rsidR="00C1563E" w:rsidRDefault="00C1563E">
            <w:pPr>
              <w:rPr>
                <w:rFonts w:ascii="宋体"/>
                <w:vanish/>
              </w:rPr>
            </w:pPr>
          </w:p>
        </w:tc>
        <w:tc>
          <w:tcPr>
            <w:tcW w:w="0" w:type="auto"/>
            <w:shd w:val="clear" w:color="auto" w:fill="auto"/>
          </w:tcPr>
          <w:p w14:paraId="7DCFE131" w14:textId="77777777" w:rsidR="00C1563E" w:rsidRDefault="00C1563E">
            <w:pPr>
              <w:rPr>
                <w:rFonts w:ascii="宋体"/>
                <w:vanish/>
              </w:rPr>
            </w:pPr>
          </w:p>
        </w:tc>
        <w:tc>
          <w:tcPr>
            <w:tcW w:w="0" w:type="auto"/>
            <w:shd w:val="clear" w:color="auto" w:fill="auto"/>
          </w:tcPr>
          <w:p w14:paraId="7DCFE132" w14:textId="77777777" w:rsidR="00C1563E" w:rsidRDefault="00C1563E">
            <w:pPr>
              <w:rPr>
                <w:rFonts w:ascii="宋体"/>
                <w:vanish/>
              </w:rPr>
            </w:pPr>
          </w:p>
        </w:tc>
        <w:tc>
          <w:tcPr>
            <w:tcW w:w="0" w:type="auto"/>
            <w:shd w:val="clear" w:color="auto" w:fill="auto"/>
          </w:tcPr>
          <w:p w14:paraId="7DCFE133" w14:textId="77777777" w:rsidR="00C1563E" w:rsidRDefault="00C1563E">
            <w:pPr>
              <w:rPr>
                <w:rFonts w:ascii="宋体"/>
                <w:vanish/>
              </w:rPr>
            </w:pPr>
          </w:p>
        </w:tc>
        <w:tc>
          <w:tcPr>
            <w:tcW w:w="0" w:type="auto"/>
            <w:shd w:val="clear" w:color="auto" w:fill="auto"/>
          </w:tcPr>
          <w:p w14:paraId="7DCFE134"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135"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13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137"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13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139"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13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13B"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13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13D"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147" w14:textId="77777777">
        <w:trPr>
          <w:jc w:val="center"/>
        </w:trPr>
        <w:tc>
          <w:tcPr>
            <w:tcW w:w="0" w:type="auto"/>
            <w:gridSpan w:val="3"/>
            <w:shd w:val="clear" w:color="auto" w:fill="auto"/>
            <w:tcMar>
              <w:top w:w="40" w:type="dxa"/>
              <w:left w:w="20" w:type="dxa"/>
              <w:bottom w:w="40" w:type="dxa"/>
              <w:right w:w="20" w:type="dxa"/>
            </w:tcMar>
            <w:vAlign w:val="bottom"/>
          </w:tcPr>
          <w:p w14:paraId="7DCFE13F" w14:textId="77777777" w:rsidR="00C1563E" w:rsidRDefault="000B648B">
            <w:pPr>
              <w:textAlignment w:val="bottom"/>
            </w:pPr>
            <w:r>
              <w:rPr>
                <w:rFonts w:ascii="Times New Roman" w:eastAsia="宋体" w:hAnsi="Times New Roman"/>
                <w:color w:val="000000"/>
                <w:sz w:val="20"/>
                <w:szCs w:val="20"/>
              </w:rPr>
              <w:t> </w:t>
            </w:r>
          </w:p>
        </w:tc>
        <w:tc>
          <w:tcPr>
            <w:tcW w:w="0" w:type="auto"/>
            <w:shd w:val="clear" w:color="auto" w:fill="auto"/>
          </w:tcPr>
          <w:p w14:paraId="7DCFE140" w14:textId="77777777" w:rsidR="00C1563E" w:rsidRDefault="00C1563E">
            <w:pPr>
              <w:rPr>
                <w:rFonts w:ascii="宋体"/>
                <w:vanish/>
              </w:rPr>
            </w:pPr>
          </w:p>
        </w:tc>
        <w:tc>
          <w:tcPr>
            <w:tcW w:w="0" w:type="auto"/>
            <w:shd w:val="clear" w:color="auto" w:fill="auto"/>
          </w:tcPr>
          <w:p w14:paraId="7DCFE141" w14:textId="77777777" w:rsidR="00C1563E" w:rsidRDefault="00C1563E">
            <w:pPr>
              <w:rPr>
                <w:rFonts w:ascii="宋体"/>
                <w:vanish/>
              </w:rPr>
            </w:pPr>
          </w:p>
        </w:tc>
        <w:tc>
          <w:tcPr>
            <w:tcW w:w="0" w:type="auto"/>
            <w:shd w:val="clear" w:color="auto" w:fill="auto"/>
          </w:tcPr>
          <w:p w14:paraId="7DCFE142" w14:textId="77777777" w:rsidR="00C1563E" w:rsidRDefault="00C1563E">
            <w:pPr>
              <w:rPr>
                <w:rFonts w:ascii="宋体"/>
                <w:vanish/>
              </w:rPr>
            </w:pPr>
          </w:p>
        </w:tc>
        <w:tc>
          <w:tcPr>
            <w:tcW w:w="0" w:type="auto"/>
            <w:shd w:val="clear" w:color="auto" w:fill="auto"/>
          </w:tcPr>
          <w:p w14:paraId="7DCFE143" w14:textId="77777777" w:rsidR="00C1563E" w:rsidRDefault="00C1563E">
            <w:pPr>
              <w:rPr>
                <w:rFonts w:ascii="宋体"/>
                <w:vanish/>
              </w:rPr>
            </w:pPr>
          </w:p>
        </w:tc>
        <w:tc>
          <w:tcPr>
            <w:tcW w:w="0" w:type="auto"/>
            <w:shd w:val="clear" w:color="auto" w:fill="auto"/>
          </w:tcPr>
          <w:p w14:paraId="7DCFE144" w14:textId="77777777" w:rsidR="00C1563E" w:rsidRDefault="00C1563E">
            <w:pPr>
              <w:rPr>
                <w:rFonts w:ascii="宋体"/>
                <w:vanish/>
              </w:rPr>
            </w:pPr>
          </w:p>
        </w:tc>
        <w:tc>
          <w:tcPr>
            <w:tcW w:w="0" w:type="auto"/>
            <w:shd w:val="clear" w:color="auto" w:fill="auto"/>
          </w:tcPr>
          <w:p w14:paraId="7DCFE145"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E146"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E158" w14:textId="77777777">
        <w:trPr>
          <w:jc w:val="center"/>
        </w:trPr>
        <w:tc>
          <w:tcPr>
            <w:tcW w:w="0" w:type="auto"/>
            <w:gridSpan w:val="3"/>
            <w:shd w:val="clear" w:color="auto" w:fill="CCEEFF"/>
            <w:tcMar>
              <w:top w:w="40" w:type="dxa"/>
              <w:left w:w="20" w:type="dxa"/>
              <w:bottom w:w="40" w:type="dxa"/>
              <w:right w:w="20" w:type="dxa"/>
            </w:tcMar>
            <w:vAlign w:val="bottom"/>
          </w:tcPr>
          <w:p w14:paraId="7DCFE148" w14:textId="77777777" w:rsidR="00C1563E" w:rsidRDefault="000B648B">
            <w:pPr>
              <w:textAlignment w:val="bottom"/>
            </w:pPr>
            <w:r>
              <w:rPr>
                <w:rFonts w:ascii="Times New Roman" w:eastAsia="宋体" w:hAnsi="Times New Roman"/>
                <w:i/>
                <w:iCs/>
                <w:color w:val="000000"/>
                <w:sz w:val="20"/>
                <w:szCs w:val="20"/>
              </w:rPr>
              <w:t>Net revenue:</w:t>
            </w:r>
          </w:p>
        </w:tc>
        <w:tc>
          <w:tcPr>
            <w:tcW w:w="0" w:type="auto"/>
            <w:shd w:val="clear" w:color="auto" w:fill="auto"/>
          </w:tcPr>
          <w:p w14:paraId="7DCFE149" w14:textId="77777777" w:rsidR="00C1563E" w:rsidRDefault="00C1563E">
            <w:pPr>
              <w:rPr>
                <w:rFonts w:ascii="宋体"/>
                <w:vanish/>
              </w:rPr>
            </w:pPr>
          </w:p>
        </w:tc>
        <w:tc>
          <w:tcPr>
            <w:tcW w:w="0" w:type="auto"/>
            <w:shd w:val="clear" w:color="auto" w:fill="auto"/>
          </w:tcPr>
          <w:p w14:paraId="7DCFE14A" w14:textId="77777777" w:rsidR="00C1563E" w:rsidRDefault="00C1563E">
            <w:pPr>
              <w:rPr>
                <w:rFonts w:ascii="宋体"/>
                <w:vanish/>
              </w:rPr>
            </w:pPr>
          </w:p>
        </w:tc>
        <w:tc>
          <w:tcPr>
            <w:tcW w:w="0" w:type="auto"/>
            <w:shd w:val="clear" w:color="auto" w:fill="auto"/>
          </w:tcPr>
          <w:p w14:paraId="7DCFE14B" w14:textId="77777777" w:rsidR="00C1563E" w:rsidRDefault="00C1563E">
            <w:pPr>
              <w:rPr>
                <w:rFonts w:ascii="宋体"/>
                <w:vanish/>
              </w:rPr>
            </w:pPr>
          </w:p>
        </w:tc>
        <w:tc>
          <w:tcPr>
            <w:tcW w:w="0" w:type="auto"/>
            <w:shd w:val="clear" w:color="auto" w:fill="auto"/>
          </w:tcPr>
          <w:p w14:paraId="7DCFE14C" w14:textId="77777777" w:rsidR="00C1563E" w:rsidRDefault="00C1563E">
            <w:pPr>
              <w:rPr>
                <w:rFonts w:ascii="宋体"/>
                <w:vanish/>
              </w:rPr>
            </w:pPr>
          </w:p>
        </w:tc>
        <w:tc>
          <w:tcPr>
            <w:tcW w:w="0" w:type="auto"/>
            <w:shd w:val="clear" w:color="auto" w:fill="auto"/>
          </w:tcPr>
          <w:p w14:paraId="7DCFE14D" w14:textId="77777777" w:rsidR="00C1563E" w:rsidRDefault="00C1563E">
            <w:pPr>
              <w:rPr>
                <w:rFonts w:ascii="宋体"/>
                <w:vanish/>
              </w:rPr>
            </w:pPr>
          </w:p>
        </w:tc>
        <w:tc>
          <w:tcPr>
            <w:tcW w:w="0" w:type="auto"/>
            <w:shd w:val="clear" w:color="auto" w:fill="auto"/>
          </w:tcPr>
          <w:p w14:paraId="7DCFE14E"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E14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57" w14:textId="77777777" w:rsidR="00C1563E" w:rsidRDefault="00C1563E">
            <w:pPr>
              <w:rPr>
                <w:rFonts w:ascii="宋体"/>
              </w:rPr>
            </w:pPr>
          </w:p>
        </w:tc>
      </w:tr>
      <w:tr w:rsidR="00C1563E" w14:paraId="7DCFE16E" w14:textId="77777777">
        <w:trPr>
          <w:jc w:val="center"/>
        </w:trPr>
        <w:tc>
          <w:tcPr>
            <w:tcW w:w="0" w:type="auto"/>
            <w:gridSpan w:val="3"/>
            <w:shd w:val="clear" w:color="auto" w:fill="FFFFFF"/>
            <w:tcMar>
              <w:top w:w="40" w:type="dxa"/>
              <w:left w:w="155" w:type="dxa"/>
              <w:bottom w:w="40" w:type="dxa"/>
              <w:right w:w="20" w:type="dxa"/>
            </w:tcMar>
            <w:vAlign w:val="bottom"/>
          </w:tcPr>
          <w:p w14:paraId="7DCFE159" w14:textId="77777777" w:rsidR="00C1563E" w:rsidRDefault="000B648B">
            <w:pPr>
              <w:textAlignment w:val="bottom"/>
            </w:pPr>
            <w:r>
              <w:rPr>
                <w:rFonts w:ascii="Times New Roman" w:eastAsia="宋体" w:hAnsi="Times New Roman"/>
                <w:color w:val="000000"/>
                <w:sz w:val="20"/>
                <w:szCs w:val="20"/>
              </w:rPr>
              <w:t>Commercial</w:t>
            </w:r>
          </w:p>
        </w:tc>
        <w:tc>
          <w:tcPr>
            <w:tcW w:w="0" w:type="auto"/>
            <w:shd w:val="clear" w:color="auto" w:fill="auto"/>
          </w:tcPr>
          <w:p w14:paraId="7DCFE15A" w14:textId="77777777" w:rsidR="00C1563E" w:rsidRDefault="00C1563E">
            <w:pPr>
              <w:rPr>
                <w:rFonts w:ascii="宋体"/>
                <w:vanish/>
              </w:rPr>
            </w:pPr>
          </w:p>
        </w:tc>
        <w:tc>
          <w:tcPr>
            <w:tcW w:w="0" w:type="auto"/>
            <w:shd w:val="clear" w:color="auto" w:fill="auto"/>
          </w:tcPr>
          <w:p w14:paraId="7DCFE15B" w14:textId="77777777" w:rsidR="00C1563E" w:rsidRDefault="00C1563E">
            <w:pPr>
              <w:rPr>
                <w:rFonts w:ascii="宋体"/>
                <w:vanish/>
              </w:rPr>
            </w:pPr>
          </w:p>
        </w:tc>
        <w:tc>
          <w:tcPr>
            <w:tcW w:w="0" w:type="auto"/>
            <w:shd w:val="clear" w:color="auto" w:fill="auto"/>
          </w:tcPr>
          <w:p w14:paraId="7DCFE15C" w14:textId="77777777" w:rsidR="00C1563E" w:rsidRDefault="00C1563E">
            <w:pPr>
              <w:rPr>
                <w:rFonts w:ascii="宋体"/>
                <w:vanish/>
              </w:rPr>
            </w:pPr>
          </w:p>
        </w:tc>
        <w:tc>
          <w:tcPr>
            <w:tcW w:w="0" w:type="auto"/>
            <w:shd w:val="clear" w:color="auto" w:fill="auto"/>
          </w:tcPr>
          <w:p w14:paraId="7DCFE15D" w14:textId="77777777" w:rsidR="00C1563E" w:rsidRDefault="00C1563E">
            <w:pPr>
              <w:rPr>
                <w:rFonts w:ascii="宋体"/>
                <w:vanish/>
              </w:rPr>
            </w:pPr>
          </w:p>
        </w:tc>
        <w:tc>
          <w:tcPr>
            <w:tcW w:w="0" w:type="auto"/>
            <w:shd w:val="clear" w:color="auto" w:fill="auto"/>
          </w:tcPr>
          <w:p w14:paraId="7DCFE15E" w14:textId="77777777" w:rsidR="00C1563E" w:rsidRDefault="00C1563E">
            <w:pPr>
              <w:rPr>
                <w:rFonts w:ascii="宋体"/>
                <w:vanish/>
              </w:rPr>
            </w:pPr>
          </w:p>
        </w:tc>
        <w:tc>
          <w:tcPr>
            <w:tcW w:w="0" w:type="auto"/>
            <w:shd w:val="clear" w:color="auto" w:fill="auto"/>
          </w:tcPr>
          <w:p w14:paraId="7DCFE15F"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CFE160"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161" w14:textId="77777777" w:rsidR="00C1563E" w:rsidRDefault="000B648B">
            <w:pPr>
              <w:jc w:val="right"/>
              <w:textAlignment w:val="bottom"/>
            </w:pPr>
            <w:r>
              <w:rPr>
                <w:rFonts w:ascii="Times New Roman" w:eastAsia="宋体" w:hAnsi="Times New Roman"/>
                <w:color w:val="000000"/>
                <w:sz w:val="20"/>
                <w:szCs w:val="20"/>
              </w:rPr>
              <w:t>35,396</w:t>
            </w:r>
          </w:p>
        </w:tc>
        <w:tc>
          <w:tcPr>
            <w:tcW w:w="0" w:type="auto"/>
            <w:gridSpan w:val="3"/>
            <w:shd w:val="clear" w:color="auto" w:fill="FFFFFF"/>
            <w:tcMar>
              <w:top w:w="0" w:type="dxa"/>
              <w:left w:w="20" w:type="dxa"/>
              <w:bottom w:w="0" w:type="dxa"/>
              <w:right w:w="20" w:type="dxa"/>
            </w:tcMar>
          </w:tcPr>
          <w:p w14:paraId="7DCFE16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163" w14:textId="77777777" w:rsidR="00C1563E" w:rsidRDefault="000B648B">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DCFE16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16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166"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167" w14:textId="77777777" w:rsidR="00C1563E" w:rsidRDefault="000B648B">
            <w:pPr>
              <w:jc w:val="right"/>
              <w:textAlignment w:val="bottom"/>
            </w:pPr>
            <w:r>
              <w:rPr>
                <w:rFonts w:ascii="Times New Roman" w:eastAsia="宋体" w:hAnsi="Times New Roman"/>
                <w:color w:val="000000"/>
                <w:sz w:val="20"/>
                <w:szCs w:val="20"/>
              </w:rPr>
              <w:t>34,277</w:t>
            </w:r>
          </w:p>
        </w:tc>
        <w:tc>
          <w:tcPr>
            <w:tcW w:w="0" w:type="auto"/>
            <w:gridSpan w:val="3"/>
            <w:shd w:val="clear" w:color="auto" w:fill="FFFFFF"/>
            <w:tcMar>
              <w:top w:w="0" w:type="dxa"/>
              <w:left w:w="20" w:type="dxa"/>
              <w:bottom w:w="0" w:type="dxa"/>
              <w:right w:w="20" w:type="dxa"/>
            </w:tcMar>
          </w:tcPr>
          <w:p w14:paraId="7DCFE16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169"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DCFE16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16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16C"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7DCFE16D" w14:textId="77777777" w:rsidR="00C1563E" w:rsidRDefault="000B648B">
            <w:pPr>
              <w:jc w:val="right"/>
              <w:textAlignment w:val="bottom"/>
            </w:pPr>
            <w:r>
              <w:rPr>
                <w:rFonts w:ascii="Times New Roman" w:eastAsia="宋体" w:hAnsi="Times New Roman"/>
                <w:color w:val="000000"/>
                <w:sz w:val="20"/>
                <w:szCs w:val="20"/>
              </w:rPr>
              <w:t>30,893</w:t>
            </w:r>
          </w:p>
        </w:tc>
      </w:tr>
      <w:tr w:rsidR="00C1563E" w14:paraId="7DCFE181" w14:textId="77777777">
        <w:trPr>
          <w:jc w:val="center"/>
        </w:trPr>
        <w:tc>
          <w:tcPr>
            <w:tcW w:w="0" w:type="auto"/>
            <w:gridSpan w:val="3"/>
            <w:shd w:val="clear" w:color="auto" w:fill="CCEEFF"/>
            <w:tcMar>
              <w:top w:w="40" w:type="dxa"/>
              <w:left w:w="155" w:type="dxa"/>
              <w:bottom w:w="40" w:type="dxa"/>
              <w:right w:w="20" w:type="dxa"/>
            </w:tcMar>
            <w:vAlign w:val="bottom"/>
          </w:tcPr>
          <w:p w14:paraId="7DCFE16F" w14:textId="77777777" w:rsidR="00C1563E" w:rsidRDefault="000B648B">
            <w:pPr>
              <w:textAlignment w:val="bottom"/>
            </w:pPr>
            <w:r>
              <w:rPr>
                <w:rFonts w:ascii="Times New Roman" w:eastAsia="宋体" w:hAnsi="Times New Roman"/>
                <w:color w:val="000000"/>
                <w:sz w:val="20"/>
                <w:szCs w:val="20"/>
              </w:rPr>
              <w:t>Consumer</w:t>
            </w:r>
          </w:p>
        </w:tc>
        <w:tc>
          <w:tcPr>
            <w:tcW w:w="0" w:type="auto"/>
            <w:shd w:val="clear" w:color="auto" w:fill="auto"/>
          </w:tcPr>
          <w:p w14:paraId="7DCFE170" w14:textId="77777777" w:rsidR="00C1563E" w:rsidRDefault="00C1563E">
            <w:pPr>
              <w:rPr>
                <w:rFonts w:ascii="宋体"/>
                <w:vanish/>
              </w:rPr>
            </w:pPr>
          </w:p>
        </w:tc>
        <w:tc>
          <w:tcPr>
            <w:tcW w:w="0" w:type="auto"/>
            <w:shd w:val="clear" w:color="auto" w:fill="auto"/>
          </w:tcPr>
          <w:p w14:paraId="7DCFE171" w14:textId="77777777" w:rsidR="00C1563E" w:rsidRDefault="00C1563E">
            <w:pPr>
              <w:rPr>
                <w:rFonts w:ascii="宋体"/>
                <w:vanish/>
              </w:rPr>
            </w:pPr>
          </w:p>
        </w:tc>
        <w:tc>
          <w:tcPr>
            <w:tcW w:w="0" w:type="auto"/>
            <w:shd w:val="clear" w:color="auto" w:fill="auto"/>
          </w:tcPr>
          <w:p w14:paraId="7DCFE172" w14:textId="77777777" w:rsidR="00C1563E" w:rsidRDefault="00C1563E">
            <w:pPr>
              <w:rPr>
                <w:rFonts w:ascii="宋体"/>
                <w:vanish/>
              </w:rPr>
            </w:pPr>
          </w:p>
        </w:tc>
        <w:tc>
          <w:tcPr>
            <w:tcW w:w="0" w:type="auto"/>
            <w:shd w:val="clear" w:color="auto" w:fill="auto"/>
          </w:tcPr>
          <w:p w14:paraId="7DCFE173" w14:textId="77777777" w:rsidR="00C1563E" w:rsidRDefault="00C1563E">
            <w:pPr>
              <w:rPr>
                <w:rFonts w:ascii="宋体"/>
                <w:vanish/>
              </w:rPr>
            </w:pPr>
          </w:p>
        </w:tc>
        <w:tc>
          <w:tcPr>
            <w:tcW w:w="0" w:type="auto"/>
            <w:shd w:val="clear" w:color="auto" w:fill="auto"/>
          </w:tcPr>
          <w:p w14:paraId="7DCFE174" w14:textId="77777777" w:rsidR="00C1563E" w:rsidRDefault="00C1563E">
            <w:pPr>
              <w:rPr>
                <w:rFonts w:ascii="宋体"/>
                <w:vanish/>
              </w:rPr>
            </w:pPr>
          </w:p>
        </w:tc>
        <w:tc>
          <w:tcPr>
            <w:tcW w:w="0" w:type="auto"/>
            <w:shd w:val="clear" w:color="auto" w:fill="auto"/>
          </w:tcPr>
          <w:p w14:paraId="7DCFE175" w14:textId="77777777" w:rsidR="00C1563E" w:rsidRDefault="00C1563E">
            <w:pPr>
              <w:rPr>
                <w:rFonts w:ascii="宋体"/>
                <w:vanish/>
              </w:rPr>
            </w:pPr>
          </w:p>
        </w:tc>
        <w:tc>
          <w:tcPr>
            <w:tcW w:w="0" w:type="auto"/>
            <w:gridSpan w:val="3"/>
            <w:shd w:val="clear" w:color="auto" w:fill="CCEEFF"/>
            <w:tcMar>
              <w:top w:w="40" w:type="dxa"/>
              <w:left w:w="20" w:type="dxa"/>
              <w:bottom w:w="40" w:type="dxa"/>
              <w:right w:w="140" w:type="dxa"/>
            </w:tcMar>
            <w:vAlign w:val="bottom"/>
          </w:tcPr>
          <w:p w14:paraId="7DCFE176" w14:textId="77777777" w:rsidR="00C1563E" w:rsidRDefault="000B648B">
            <w:pPr>
              <w:jc w:val="right"/>
              <w:textAlignment w:val="bottom"/>
            </w:pPr>
            <w:r>
              <w:rPr>
                <w:rFonts w:ascii="Times New Roman" w:eastAsia="宋体" w:hAnsi="Times New Roman"/>
                <w:color w:val="000000"/>
                <w:sz w:val="20"/>
                <w:szCs w:val="20"/>
              </w:rPr>
              <w:t>12,959</w:t>
            </w:r>
          </w:p>
        </w:tc>
        <w:tc>
          <w:tcPr>
            <w:tcW w:w="0" w:type="auto"/>
            <w:gridSpan w:val="3"/>
            <w:shd w:val="clear" w:color="auto" w:fill="CCEEFF"/>
            <w:tcMar>
              <w:top w:w="0" w:type="dxa"/>
              <w:left w:w="20" w:type="dxa"/>
              <w:bottom w:w="0" w:type="dxa"/>
              <w:right w:w="20" w:type="dxa"/>
            </w:tcMar>
          </w:tcPr>
          <w:p w14:paraId="7DCFE17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178"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DCFE179"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17A" w14:textId="77777777" w:rsidR="00C1563E" w:rsidRDefault="00C1563E">
            <w:pPr>
              <w:rPr>
                <w:rFonts w:ascii="宋体"/>
              </w:rPr>
            </w:pPr>
          </w:p>
        </w:tc>
        <w:tc>
          <w:tcPr>
            <w:tcW w:w="0" w:type="auto"/>
            <w:gridSpan w:val="3"/>
            <w:shd w:val="clear" w:color="auto" w:fill="CCEEFF"/>
            <w:tcMar>
              <w:top w:w="40" w:type="dxa"/>
              <w:left w:w="20" w:type="dxa"/>
              <w:bottom w:w="40" w:type="dxa"/>
              <w:right w:w="140" w:type="dxa"/>
            </w:tcMar>
            <w:vAlign w:val="bottom"/>
          </w:tcPr>
          <w:p w14:paraId="7DCFE17B" w14:textId="77777777" w:rsidR="00C1563E" w:rsidRDefault="000B648B">
            <w:pPr>
              <w:jc w:val="right"/>
              <w:textAlignment w:val="bottom"/>
            </w:pPr>
            <w:r>
              <w:rPr>
                <w:rFonts w:ascii="Times New Roman" w:eastAsia="宋体" w:hAnsi="Times New Roman"/>
                <w:color w:val="000000"/>
                <w:sz w:val="20"/>
                <w:szCs w:val="20"/>
              </w:rPr>
              <w:t>11,561</w:t>
            </w:r>
          </w:p>
        </w:tc>
        <w:tc>
          <w:tcPr>
            <w:tcW w:w="0" w:type="auto"/>
            <w:gridSpan w:val="3"/>
            <w:shd w:val="clear" w:color="auto" w:fill="CCEEFF"/>
            <w:tcMar>
              <w:top w:w="0" w:type="dxa"/>
              <w:left w:w="20" w:type="dxa"/>
              <w:bottom w:w="0" w:type="dxa"/>
              <w:right w:w="20" w:type="dxa"/>
            </w:tcMar>
          </w:tcPr>
          <w:p w14:paraId="7DCFE17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17D" w14:textId="77777777" w:rsidR="00C1563E" w:rsidRDefault="000B648B">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DCFE17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17F" w14:textId="77777777" w:rsidR="00C1563E" w:rsidRDefault="00C1563E">
            <w:pPr>
              <w:rPr>
                <w:rFonts w:ascii="宋体"/>
              </w:rPr>
            </w:pPr>
          </w:p>
        </w:tc>
        <w:tc>
          <w:tcPr>
            <w:tcW w:w="0" w:type="auto"/>
            <w:gridSpan w:val="3"/>
            <w:shd w:val="clear" w:color="auto" w:fill="CCEEFF"/>
            <w:tcMar>
              <w:top w:w="40" w:type="dxa"/>
              <w:left w:w="20" w:type="dxa"/>
              <w:bottom w:w="40" w:type="dxa"/>
              <w:right w:w="140" w:type="dxa"/>
            </w:tcMar>
            <w:vAlign w:val="bottom"/>
          </w:tcPr>
          <w:p w14:paraId="7DCFE180" w14:textId="77777777" w:rsidR="00C1563E" w:rsidRDefault="000B648B">
            <w:pPr>
              <w:jc w:val="right"/>
              <w:textAlignment w:val="bottom"/>
            </w:pPr>
            <w:r>
              <w:rPr>
                <w:rFonts w:ascii="Times New Roman" w:eastAsia="宋体" w:hAnsi="Times New Roman"/>
                <w:color w:val="000000"/>
                <w:sz w:val="20"/>
                <w:szCs w:val="20"/>
              </w:rPr>
              <w:t>12,303</w:t>
            </w:r>
          </w:p>
        </w:tc>
      </w:tr>
      <w:tr w:rsidR="00C1563E" w14:paraId="7DCFE197" w14:textId="77777777">
        <w:trPr>
          <w:jc w:val="center"/>
        </w:trPr>
        <w:tc>
          <w:tcPr>
            <w:tcW w:w="0" w:type="auto"/>
            <w:gridSpan w:val="3"/>
            <w:shd w:val="clear" w:color="auto" w:fill="FFFFFF"/>
            <w:tcMar>
              <w:top w:w="40" w:type="dxa"/>
              <w:left w:w="245" w:type="dxa"/>
              <w:bottom w:w="40" w:type="dxa"/>
              <w:right w:w="20" w:type="dxa"/>
            </w:tcMar>
            <w:vAlign w:val="bottom"/>
          </w:tcPr>
          <w:p w14:paraId="7DCFE182" w14:textId="77777777" w:rsidR="00C1563E" w:rsidRDefault="000B648B">
            <w:pPr>
              <w:textAlignment w:val="bottom"/>
            </w:pPr>
            <w:r>
              <w:rPr>
                <w:rFonts w:ascii="Times New Roman" w:eastAsia="宋体" w:hAnsi="Times New Roman"/>
                <w:color w:val="000000"/>
                <w:sz w:val="20"/>
                <w:szCs w:val="20"/>
              </w:rPr>
              <w:t>Total CSG net revenue</w:t>
            </w:r>
          </w:p>
        </w:tc>
        <w:tc>
          <w:tcPr>
            <w:tcW w:w="0" w:type="auto"/>
            <w:shd w:val="clear" w:color="auto" w:fill="auto"/>
          </w:tcPr>
          <w:p w14:paraId="7DCFE183" w14:textId="77777777" w:rsidR="00C1563E" w:rsidRDefault="00C1563E">
            <w:pPr>
              <w:rPr>
                <w:rFonts w:ascii="宋体"/>
                <w:vanish/>
              </w:rPr>
            </w:pPr>
          </w:p>
        </w:tc>
        <w:tc>
          <w:tcPr>
            <w:tcW w:w="0" w:type="auto"/>
            <w:shd w:val="clear" w:color="auto" w:fill="auto"/>
          </w:tcPr>
          <w:p w14:paraId="7DCFE184" w14:textId="77777777" w:rsidR="00C1563E" w:rsidRDefault="00C1563E">
            <w:pPr>
              <w:rPr>
                <w:rFonts w:ascii="宋体"/>
                <w:vanish/>
              </w:rPr>
            </w:pPr>
          </w:p>
        </w:tc>
        <w:tc>
          <w:tcPr>
            <w:tcW w:w="0" w:type="auto"/>
            <w:shd w:val="clear" w:color="auto" w:fill="auto"/>
          </w:tcPr>
          <w:p w14:paraId="7DCFE185" w14:textId="77777777" w:rsidR="00C1563E" w:rsidRDefault="00C1563E">
            <w:pPr>
              <w:rPr>
                <w:rFonts w:ascii="宋体"/>
                <w:vanish/>
              </w:rPr>
            </w:pPr>
          </w:p>
        </w:tc>
        <w:tc>
          <w:tcPr>
            <w:tcW w:w="0" w:type="auto"/>
            <w:shd w:val="clear" w:color="auto" w:fill="auto"/>
          </w:tcPr>
          <w:p w14:paraId="7DCFE186" w14:textId="77777777" w:rsidR="00C1563E" w:rsidRDefault="00C1563E">
            <w:pPr>
              <w:rPr>
                <w:rFonts w:ascii="宋体"/>
                <w:vanish/>
              </w:rPr>
            </w:pPr>
          </w:p>
        </w:tc>
        <w:tc>
          <w:tcPr>
            <w:tcW w:w="0" w:type="auto"/>
            <w:shd w:val="clear" w:color="auto" w:fill="auto"/>
          </w:tcPr>
          <w:p w14:paraId="7DCFE187" w14:textId="77777777" w:rsidR="00C1563E" w:rsidRDefault="00C1563E">
            <w:pPr>
              <w:rPr>
                <w:rFonts w:ascii="宋体"/>
                <w:vanish/>
              </w:rPr>
            </w:pPr>
          </w:p>
        </w:tc>
        <w:tc>
          <w:tcPr>
            <w:tcW w:w="0" w:type="auto"/>
            <w:shd w:val="clear" w:color="auto" w:fill="auto"/>
          </w:tcPr>
          <w:p w14:paraId="7DCFE188"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189"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18A" w14:textId="77777777" w:rsidR="00C1563E" w:rsidRDefault="000B648B">
            <w:pPr>
              <w:jc w:val="right"/>
              <w:textAlignment w:val="bottom"/>
            </w:pPr>
            <w:r>
              <w:rPr>
                <w:rFonts w:ascii="Times New Roman" w:eastAsia="宋体" w:hAnsi="Times New Roman"/>
                <w:color w:val="000000"/>
                <w:sz w:val="20"/>
                <w:szCs w:val="20"/>
              </w:rPr>
              <w:t>48,355</w:t>
            </w:r>
          </w:p>
        </w:tc>
        <w:tc>
          <w:tcPr>
            <w:tcW w:w="0" w:type="auto"/>
            <w:gridSpan w:val="3"/>
            <w:shd w:val="clear" w:color="auto" w:fill="FFFFFF"/>
            <w:tcMar>
              <w:top w:w="0" w:type="dxa"/>
              <w:left w:w="20" w:type="dxa"/>
              <w:bottom w:w="0" w:type="dxa"/>
              <w:right w:w="20" w:type="dxa"/>
            </w:tcMar>
          </w:tcPr>
          <w:p w14:paraId="7DCFE18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18C"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DCFE18D"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18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18F"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190" w14:textId="77777777" w:rsidR="00C1563E" w:rsidRDefault="000B648B">
            <w:pPr>
              <w:jc w:val="right"/>
              <w:textAlignment w:val="bottom"/>
            </w:pPr>
            <w:r>
              <w:rPr>
                <w:rFonts w:ascii="Times New Roman" w:eastAsia="宋体" w:hAnsi="Times New Roman"/>
                <w:color w:val="000000"/>
                <w:sz w:val="20"/>
                <w:szCs w:val="20"/>
              </w:rPr>
              <w:t>45,838</w:t>
            </w:r>
          </w:p>
        </w:tc>
        <w:tc>
          <w:tcPr>
            <w:tcW w:w="0" w:type="auto"/>
            <w:gridSpan w:val="3"/>
            <w:shd w:val="clear" w:color="auto" w:fill="FFFFFF"/>
            <w:tcMar>
              <w:top w:w="0" w:type="dxa"/>
              <w:left w:w="20" w:type="dxa"/>
              <w:bottom w:w="0" w:type="dxa"/>
              <w:right w:w="20" w:type="dxa"/>
            </w:tcMar>
          </w:tcPr>
          <w:p w14:paraId="7DCFE19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192"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DCFE193"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194"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195"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196" w14:textId="77777777" w:rsidR="00C1563E" w:rsidRDefault="000B648B">
            <w:pPr>
              <w:jc w:val="right"/>
              <w:textAlignment w:val="bottom"/>
            </w:pPr>
            <w:r>
              <w:rPr>
                <w:rFonts w:ascii="Times New Roman" w:eastAsia="宋体" w:hAnsi="Times New Roman"/>
                <w:color w:val="000000"/>
                <w:sz w:val="20"/>
                <w:szCs w:val="20"/>
              </w:rPr>
              <w:t>43,196</w:t>
            </w:r>
          </w:p>
        </w:tc>
      </w:tr>
      <w:tr w:rsidR="00C1563E" w14:paraId="7DCFE1A8" w14:textId="77777777">
        <w:trPr>
          <w:trHeight w:val="300"/>
          <w:jc w:val="center"/>
        </w:trPr>
        <w:tc>
          <w:tcPr>
            <w:tcW w:w="0" w:type="auto"/>
            <w:gridSpan w:val="3"/>
            <w:shd w:val="clear" w:color="auto" w:fill="CCEEFF"/>
            <w:tcMar>
              <w:top w:w="0" w:type="dxa"/>
              <w:left w:w="20" w:type="dxa"/>
              <w:bottom w:w="0" w:type="dxa"/>
              <w:right w:w="20" w:type="dxa"/>
            </w:tcMar>
          </w:tcPr>
          <w:p w14:paraId="7DCFE198" w14:textId="77777777" w:rsidR="00C1563E" w:rsidRDefault="00C1563E">
            <w:pPr>
              <w:rPr>
                <w:rFonts w:ascii="宋体"/>
              </w:rPr>
            </w:pPr>
          </w:p>
        </w:tc>
        <w:tc>
          <w:tcPr>
            <w:tcW w:w="0" w:type="auto"/>
            <w:shd w:val="clear" w:color="auto" w:fill="auto"/>
          </w:tcPr>
          <w:p w14:paraId="7DCFE199" w14:textId="77777777" w:rsidR="00C1563E" w:rsidRDefault="00C1563E">
            <w:pPr>
              <w:rPr>
                <w:rFonts w:ascii="宋体"/>
                <w:vanish/>
              </w:rPr>
            </w:pPr>
          </w:p>
        </w:tc>
        <w:tc>
          <w:tcPr>
            <w:tcW w:w="0" w:type="auto"/>
            <w:shd w:val="clear" w:color="auto" w:fill="auto"/>
          </w:tcPr>
          <w:p w14:paraId="7DCFE19A" w14:textId="77777777" w:rsidR="00C1563E" w:rsidRDefault="00C1563E">
            <w:pPr>
              <w:rPr>
                <w:rFonts w:ascii="宋体"/>
                <w:vanish/>
              </w:rPr>
            </w:pPr>
          </w:p>
        </w:tc>
        <w:tc>
          <w:tcPr>
            <w:tcW w:w="0" w:type="auto"/>
            <w:shd w:val="clear" w:color="auto" w:fill="auto"/>
          </w:tcPr>
          <w:p w14:paraId="7DCFE19B" w14:textId="77777777" w:rsidR="00C1563E" w:rsidRDefault="00C1563E">
            <w:pPr>
              <w:rPr>
                <w:rFonts w:ascii="宋体"/>
                <w:vanish/>
              </w:rPr>
            </w:pPr>
          </w:p>
        </w:tc>
        <w:tc>
          <w:tcPr>
            <w:tcW w:w="0" w:type="auto"/>
            <w:shd w:val="clear" w:color="auto" w:fill="auto"/>
          </w:tcPr>
          <w:p w14:paraId="7DCFE19C" w14:textId="77777777" w:rsidR="00C1563E" w:rsidRDefault="00C1563E">
            <w:pPr>
              <w:rPr>
                <w:rFonts w:ascii="宋体"/>
                <w:vanish/>
              </w:rPr>
            </w:pPr>
          </w:p>
        </w:tc>
        <w:tc>
          <w:tcPr>
            <w:tcW w:w="0" w:type="auto"/>
            <w:shd w:val="clear" w:color="auto" w:fill="auto"/>
          </w:tcPr>
          <w:p w14:paraId="7DCFE19D" w14:textId="77777777" w:rsidR="00C1563E" w:rsidRDefault="00C1563E">
            <w:pPr>
              <w:rPr>
                <w:rFonts w:ascii="宋体"/>
                <w:vanish/>
              </w:rPr>
            </w:pPr>
          </w:p>
        </w:tc>
        <w:tc>
          <w:tcPr>
            <w:tcW w:w="0" w:type="auto"/>
            <w:shd w:val="clear" w:color="auto" w:fill="auto"/>
          </w:tcPr>
          <w:p w14:paraId="7DCFE19E" w14:textId="77777777" w:rsidR="00C1563E" w:rsidRDefault="00C1563E">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19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2"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1A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1A6"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1A7" w14:textId="77777777" w:rsidR="00C1563E" w:rsidRDefault="00C1563E">
            <w:pPr>
              <w:rPr>
                <w:rFonts w:ascii="宋体"/>
              </w:rPr>
            </w:pPr>
          </w:p>
        </w:tc>
      </w:tr>
      <w:tr w:rsidR="00C1563E" w14:paraId="7DCFE1B9" w14:textId="77777777">
        <w:trPr>
          <w:jc w:val="center"/>
        </w:trPr>
        <w:tc>
          <w:tcPr>
            <w:tcW w:w="0" w:type="auto"/>
            <w:gridSpan w:val="3"/>
            <w:shd w:val="clear" w:color="auto" w:fill="FFFFFF"/>
            <w:tcMar>
              <w:top w:w="40" w:type="dxa"/>
              <w:left w:w="20" w:type="dxa"/>
              <w:bottom w:w="40" w:type="dxa"/>
              <w:right w:w="20" w:type="dxa"/>
            </w:tcMar>
            <w:vAlign w:val="bottom"/>
          </w:tcPr>
          <w:p w14:paraId="7DCFE1A9" w14:textId="77777777" w:rsidR="00C1563E" w:rsidRDefault="000B648B">
            <w:pPr>
              <w:textAlignment w:val="bottom"/>
            </w:pPr>
            <w:r>
              <w:rPr>
                <w:rFonts w:ascii="Times New Roman" w:eastAsia="宋体" w:hAnsi="Times New Roman"/>
                <w:i/>
                <w:iCs/>
                <w:color w:val="000000"/>
                <w:sz w:val="20"/>
                <w:szCs w:val="20"/>
              </w:rPr>
              <w:t>Operating income:</w:t>
            </w:r>
          </w:p>
        </w:tc>
        <w:tc>
          <w:tcPr>
            <w:tcW w:w="0" w:type="auto"/>
            <w:shd w:val="clear" w:color="auto" w:fill="auto"/>
          </w:tcPr>
          <w:p w14:paraId="7DCFE1AA" w14:textId="77777777" w:rsidR="00C1563E" w:rsidRDefault="00C1563E">
            <w:pPr>
              <w:rPr>
                <w:rFonts w:ascii="宋体"/>
                <w:vanish/>
              </w:rPr>
            </w:pPr>
          </w:p>
        </w:tc>
        <w:tc>
          <w:tcPr>
            <w:tcW w:w="0" w:type="auto"/>
            <w:shd w:val="clear" w:color="auto" w:fill="auto"/>
          </w:tcPr>
          <w:p w14:paraId="7DCFE1AB" w14:textId="77777777" w:rsidR="00C1563E" w:rsidRDefault="00C1563E">
            <w:pPr>
              <w:rPr>
                <w:rFonts w:ascii="宋体"/>
                <w:vanish/>
              </w:rPr>
            </w:pPr>
          </w:p>
        </w:tc>
        <w:tc>
          <w:tcPr>
            <w:tcW w:w="0" w:type="auto"/>
            <w:shd w:val="clear" w:color="auto" w:fill="auto"/>
          </w:tcPr>
          <w:p w14:paraId="7DCFE1AC" w14:textId="77777777" w:rsidR="00C1563E" w:rsidRDefault="00C1563E">
            <w:pPr>
              <w:rPr>
                <w:rFonts w:ascii="宋体"/>
                <w:vanish/>
              </w:rPr>
            </w:pPr>
          </w:p>
        </w:tc>
        <w:tc>
          <w:tcPr>
            <w:tcW w:w="0" w:type="auto"/>
            <w:shd w:val="clear" w:color="auto" w:fill="auto"/>
          </w:tcPr>
          <w:p w14:paraId="7DCFE1AD" w14:textId="77777777" w:rsidR="00C1563E" w:rsidRDefault="00C1563E">
            <w:pPr>
              <w:rPr>
                <w:rFonts w:ascii="宋体"/>
                <w:vanish/>
              </w:rPr>
            </w:pPr>
          </w:p>
        </w:tc>
        <w:tc>
          <w:tcPr>
            <w:tcW w:w="0" w:type="auto"/>
            <w:shd w:val="clear" w:color="auto" w:fill="auto"/>
          </w:tcPr>
          <w:p w14:paraId="7DCFE1AE" w14:textId="77777777" w:rsidR="00C1563E" w:rsidRDefault="00C1563E">
            <w:pPr>
              <w:rPr>
                <w:rFonts w:ascii="宋体"/>
                <w:vanish/>
              </w:rPr>
            </w:pPr>
          </w:p>
        </w:tc>
        <w:tc>
          <w:tcPr>
            <w:tcW w:w="0" w:type="auto"/>
            <w:shd w:val="clear" w:color="auto" w:fill="auto"/>
          </w:tcPr>
          <w:p w14:paraId="7DCFE1AF"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E1B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B8" w14:textId="77777777" w:rsidR="00C1563E" w:rsidRDefault="00C1563E">
            <w:pPr>
              <w:rPr>
                <w:rFonts w:ascii="宋体"/>
              </w:rPr>
            </w:pPr>
          </w:p>
        </w:tc>
      </w:tr>
      <w:tr w:rsidR="00C1563E" w14:paraId="7DCFE1CF" w14:textId="77777777">
        <w:trPr>
          <w:jc w:val="center"/>
        </w:trPr>
        <w:tc>
          <w:tcPr>
            <w:tcW w:w="0" w:type="auto"/>
            <w:gridSpan w:val="3"/>
            <w:shd w:val="clear" w:color="auto" w:fill="CCEEFF"/>
            <w:tcMar>
              <w:top w:w="40" w:type="dxa"/>
              <w:left w:w="155" w:type="dxa"/>
              <w:bottom w:w="40" w:type="dxa"/>
              <w:right w:w="20" w:type="dxa"/>
            </w:tcMar>
            <w:vAlign w:val="bottom"/>
          </w:tcPr>
          <w:p w14:paraId="7DCFE1BA" w14:textId="77777777" w:rsidR="00C1563E" w:rsidRDefault="000B648B">
            <w:pPr>
              <w:textAlignment w:val="bottom"/>
            </w:pPr>
            <w:r>
              <w:rPr>
                <w:rFonts w:ascii="Times New Roman" w:eastAsia="宋体" w:hAnsi="Times New Roman"/>
                <w:color w:val="000000"/>
                <w:sz w:val="20"/>
                <w:szCs w:val="20"/>
              </w:rPr>
              <w:t>CSG operating income</w:t>
            </w:r>
          </w:p>
        </w:tc>
        <w:tc>
          <w:tcPr>
            <w:tcW w:w="0" w:type="auto"/>
            <w:shd w:val="clear" w:color="auto" w:fill="auto"/>
          </w:tcPr>
          <w:p w14:paraId="7DCFE1BB" w14:textId="77777777" w:rsidR="00C1563E" w:rsidRDefault="00C1563E">
            <w:pPr>
              <w:rPr>
                <w:rFonts w:ascii="宋体"/>
                <w:vanish/>
              </w:rPr>
            </w:pPr>
          </w:p>
        </w:tc>
        <w:tc>
          <w:tcPr>
            <w:tcW w:w="0" w:type="auto"/>
            <w:shd w:val="clear" w:color="auto" w:fill="auto"/>
          </w:tcPr>
          <w:p w14:paraId="7DCFE1BC" w14:textId="77777777" w:rsidR="00C1563E" w:rsidRDefault="00C1563E">
            <w:pPr>
              <w:rPr>
                <w:rFonts w:ascii="宋体"/>
                <w:vanish/>
              </w:rPr>
            </w:pPr>
          </w:p>
        </w:tc>
        <w:tc>
          <w:tcPr>
            <w:tcW w:w="0" w:type="auto"/>
            <w:shd w:val="clear" w:color="auto" w:fill="auto"/>
          </w:tcPr>
          <w:p w14:paraId="7DCFE1BD" w14:textId="77777777" w:rsidR="00C1563E" w:rsidRDefault="00C1563E">
            <w:pPr>
              <w:rPr>
                <w:rFonts w:ascii="宋体"/>
                <w:vanish/>
              </w:rPr>
            </w:pPr>
          </w:p>
        </w:tc>
        <w:tc>
          <w:tcPr>
            <w:tcW w:w="0" w:type="auto"/>
            <w:shd w:val="clear" w:color="auto" w:fill="auto"/>
          </w:tcPr>
          <w:p w14:paraId="7DCFE1BE" w14:textId="77777777" w:rsidR="00C1563E" w:rsidRDefault="00C1563E">
            <w:pPr>
              <w:rPr>
                <w:rFonts w:ascii="宋体"/>
                <w:vanish/>
              </w:rPr>
            </w:pPr>
          </w:p>
        </w:tc>
        <w:tc>
          <w:tcPr>
            <w:tcW w:w="0" w:type="auto"/>
            <w:shd w:val="clear" w:color="auto" w:fill="auto"/>
          </w:tcPr>
          <w:p w14:paraId="7DCFE1BF" w14:textId="77777777" w:rsidR="00C1563E" w:rsidRDefault="00C1563E">
            <w:pPr>
              <w:rPr>
                <w:rFonts w:ascii="宋体"/>
                <w:vanish/>
              </w:rPr>
            </w:pPr>
          </w:p>
        </w:tc>
        <w:tc>
          <w:tcPr>
            <w:tcW w:w="0" w:type="auto"/>
            <w:shd w:val="clear" w:color="auto" w:fill="auto"/>
          </w:tcPr>
          <w:p w14:paraId="7DCFE1C0"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1C1"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1C2" w14:textId="77777777" w:rsidR="00C1563E" w:rsidRDefault="000B648B">
            <w:pPr>
              <w:jc w:val="right"/>
              <w:textAlignment w:val="bottom"/>
            </w:pPr>
            <w:r>
              <w:rPr>
                <w:rFonts w:ascii="Times New Roman" w:eastAsia="宋体" w:hAnsi="Times New Roman"/>
                <w:color w:val="000000"/>
                <w:sz w:val="20"/>
                <w:szCs w:val="20"/>
              </w:rPr>
              <w:t>3,352</w:t>
            </w:r>
          </w:p>
        </w:tc>
        <w:tc>
          <w:tcPr>
            <w:tcW w:w="0" w:type="auto"/>
            <w:gridSpan w:val="3"/>
            <w:shd w:val="clear" w:color="auto" w:fill="CCEEFF"/>
            <w:tcMar>
              <w:top w:w="0" w:type="dxa"/>
              <w:left w:w="20" w:type="dxa"/>
              <w:bottom w:w="0" w:type="dxa"/>
              <w:right w:w="20" w:type="dxa"/>
            </w:tcMar>
          </w:tcPr>
          <w:p w14:paraId="7DCFE1C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1C4" w14:textId="77777777" w:rsidR="00C1563E" w:rsidRDefault="000B648B">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DCFE1C5"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1C6"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1C7"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1C8" w14:textId="77777777" w:rsidR="00C1563E" w:rsidRDefault="000B648B">
            <w:pPr>
              <w:jc w:val="right"/>
              <w:textAlignment w:val="bottom"/>
            </w:pPr>
            <w:r>
              <w:rPr>
                <w:rFonts w:ascii="Times New Roman" w:eastAsia="宋体" w:hAnsi="Times New Roman"/>
                <w:color w:val="000000"/>
                <w:sz w:val="20"/>
                <w:szCs w:val="20"/>
              </w:rPr>
              <w:t>3,138</w:t>
            </w:r>
          </w:p>
        </w:tc>
        <w:tc>
          <w:tcPr>
            <w:tcW w:w="0" w:type="auto"/>
            <w:gridSpan w:val="3"/>
            <w:shd w:val="clear" w:color="auto" w:fill="CCEEFF"/>
            <w:tcMar>
              <w:top w:w="0" w:type="dxa"/>
              <w:left w:w="20" w:type="dxa"/>
              <w:bottom w:w="0" w:type="dxa"/>
              <w:right w:w="20" w:type="dxa"/>
            </w:tcMar>
          </w:tcPr>
          <w:p w14:paraId="7DCFE1C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1CA" w14:textId="77777777" w:rsidR="00C1563E" w:rsidRDefault="000B648B">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7DCFE1CB"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1CC"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1CD"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1CE" w14:textId="77777777" w:rsidR="00C1563E" w:rsidRDefault="000B648B">
            <w:pPr>
              <w:jc w:val="right"/>
              <w:textAlignment w:val="bottom"/>
            </w:pPr>
            <w:r>
              <w:rPr>
                <w:rFonts w:ascii="Times New Roman" w:eastAsia="宋体" w:hAnsi="Times New Roman"/>
                <w:color w:val="000000"/>
                <w:sz w:val="20"/>
                <w:szCs w:val="20"/>
              </w:rPr>
              <w:t>1,960</w:t>
            </w:r>
          </w:p>
        </w:tc>
      </w:tr>
      <w:tr w:rsidR="00C1563E" w14:paraId="7DCFE1E3" w14:textId="77777777">
        <w:trPr>
          <w:jc w:val="center"/>
        </w:trPr>
        <w:tc>
          <w:tcPr>
            <w:tcW w:w="0" w:type="auto"/>
            <w:gridSpan w:val="3"/>
            <w:shd w:val="clear" w:color="auto" w:fill="FFFFFF"/>
            <w:tcMar>
              <w:top w:w="40" w:type="dxa"/>
              <w:left w:w="155" w:type="dxa"/>
              <w:bottom w:w="40" w:type="dxa"/>
              <w:right w:w="20" w:type="dxa"/>
            </w:tcMar>
            <w:vAlign w:val="bottom"/>
          </w:tcPr>
          <w:p w14:paraId="7DCFE1D0" w14:textId="77777777" w:rsidR="00C1563E" w:rsidRDefault="000B648B">
            <w:pPr>
              <w:textAlignment w:val="bottom"/>
            </w:pPr>
            <w:r>
              <w:rPr>
                <w:rFonts w:ascii="Times New Roman" w:eastAsia="宋体" w:hAnsi="Times New Roman"/>
                <w:i/>
                <w:iCs/>
                <w:color w:val="000000"/>
                <w:sz w:val="20"/>
                <w:szCs w:val="20"/>
              </w:rPr>
              <w:t>% of segment net revenue</w:t>
            </w:r>
          </w:p>
        </w:tc>
        <w:tc>
          <w:tcPr>
            <w:tcW w:w="0" w:type="auto"/>
            <w:shd w:val="clear" w:color="auto" w:fill="auto"/>
          </w:tcPr>
          <w:p w14:paraId="7DCFE1D1" w14:textId="77777777" w:rsidR="00C1563E" w:rsidRDefault="00C1563E">
            <w:pPr>
              <w:rPr>
                <w:rFonts w:ascii="宋体"/>
                <w:vanish/>
              </w:rPr>
            </w:pPr>
          </w:p>
        </w:tc>
        <w:tc>
          <w:tcPr>
            <w:tcW w:w="0" w:type="auto"/>
            <w:shd w:val="clear" w:color="auto" w:fill="auto"/>
          </w:tcPr>
          <w:p w14:paraId="7DCFE1D2" w14:textId="77777777" w:rsidR="00C1563E" w:rsidRDefault="00C1563E">
            <w:pPr>
              <w:rPr>
                <w:rFonts w:ascii="宋体"/>
                <w:vanish/>
              </w:rPr>
            </w:pPr>
          </w:p>
        </w:tc>
        <w:tc>
          <w:tcPr>
            <w:tcW w:w="0" w:type="auto"/>
            <w:shd w:val="clear" w:color="auto" w:fill="auto"/>
          </w:tcPr>
          <w:p w14:paraId="7DCFE1D3" w14:textId="77777777" w:rsidR="00C1563E" w:rsidRDefault="00C1563E">
            <w:pPr>
              <w:rPr>
                <w:rFonts w:ascii="宋体"/>
                <w:vanish/>
              </w:rPr>
            </w:pPr>
          </w:p>
        </w:tc>
        <w:tc>
          <w:tcPr>
            <w:tcW w:w="0" w:type="auto"/>
            <w:shd w:val="clear" w:color="auto" w:fill="auto"/>
          </w:tcPr>
          <w:p w14:paraId="7DCFE1D4" w14:textId="77777777" w:rsidR="00C1563E" w:rsidRDefault="00C1563E">
            <w:pPr>
              <w:rPr>
                <w:rFonts w:ascii="宋体"/>
                <w:vanish/>
              </w:rPr>
            </w:pPr>
          </w:p>
        </w:tc>
        <w:tc>
          <w:tcPr>
            <w:tcW w:w="0" w:type="auto"/>
            <w:shd w:val="clear" w:color="auto" w:fill="auto"/>
          </w:tcPr>
          <w:p w14:paraId="7DCFE1D5" w14:textId="77777777" w:rsidR="00C1563E" w:rsidRDefault="00C1563E">
            <w:pPr>
              <w:rPr>
                <w:rFonts w:ascii="宋体"/>
                <w:vanish/>
              </w:rPr>
            </w:pPr>
          </w:p>
        </w:tc>
        <w:tc>
          <w:tcPr>
            <w:tcW w:w="0" w:type="auto"/>
            <w:shd w:val="clear" w:color="auto" w:fill="auto"/>
          </w:tcPr>
          <w:p w14:paraId="7DCFE1D6" w14:textId="77777777" w:rsidR="00C1563E" w:rsidRDefault="00C1563E">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1D7" w14:textId="77777777" w:rsidR="00C1563E" w:rsidRDefault="000B648B">
            <w:pPr>
              <w:jc w:val="right"/>
              <w:textAlignment w:val="bottom"/>
            </w:pPr>
            <w:r>
              <w:rPr>
                <w:rFonts w:ascii="Times New Roman" w:eastAsia="宋体" w:hAnsi="Times New Roman"/>
                <w:i/>
                <w:iCs/>
                <w:color w:val="000000"/>
                <w:sz w:val="20"/>
                <w:szCs w:val="20"/>
              </w:rPr>
              <w:t>6.9 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1D8"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1D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D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DB"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1DC" w14:textId="77777777" w:rsidR="00C1563E" w:rsidRDefault="000B648B">
            <w:pPr>
              <w:jc w:val="right"/>
              <w:textAlignment w:val="bottom"/>
            </w:pPr>
            <w:r>
              <w:rPr>
                <w:rFonts w:ascii="Times New Roman" w:eastAsia="宋体" w:hAnsi="Times New Roman"/>
                <w:i/>
                <w:iCs/>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1DD"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1D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D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1E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1E1" w14:textId="77777777" w:rsidR="00C1563E" w:rsidRDefault="000B648B">
            <w:pPr>
              <w:jc w:val="right"/>
              <w:textAlignment w:val="bottom"/>
            </w:pPr>
            <w:r>
              <w:rPr>
                <w:rFonts w:ascii="Times New Roman" w:eastAsia="宋体" w:hAnsi="Times New Roman"/>
                <w:i/>
                <w:iCs/>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1E2" w14:textId="77777777" w:rsidR="00C1563E" w:rsidRDefault="000B648B">
            <w:pPr>
              <w:jc w:val="right"/>
              <w:textAlignment w:val="bottom"/>
            </w:pPr>
            <w:r>
              <w:rPr>
                <w:rFonts w:ascii="Times New Roman" w:eastAsia="宋体" w:hAnsi="Times New Roman"/>
                <w:i/>
                <w:iCs/>
                <w:color w:val="000000"/>
                <w:sz w:val="20"/>
                <w:szCs w:val="20"/>
              </w:rPr>
              <w:t>%</w:t>
            </w:r>
          </w:p>
        </w:tc>
      </w:tr>
    </w:tbl>
    <w:p w14:paraId="7DCFE1E4" w14:textId="77777777" w:rsidR="00C1563E" w:rsidRDefault="00C1563E"/>
    <w:p w14:paraId="7DCFE1E5" w14:textId="77777777" w:rsidR="00C1563E" w:rsidRDefault="000B648B">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Fiscal 2021, CSG net revenue increased 5% primarily due to an increase in commercial and consumer notebook sales, partially offset by a decrease in commercial desktop sale</w:t>
      </w:r>
      <w:r>
        <w:rPr>
          <w:rFonts w:ascii="Times New Roman" w:eastAsia="宋体" w:hAnsi="Times New Roman"/>
          <w:color w:val="000000"/>
          <w:sz w:val="20"/>
          <w:szCs w:val="20"/>
        </w:rPr>
        <w:t>s. Much of this demand was driven by the imperative for remote work and remote learning solutions, as business, government, and education customers sought to maintain productivity in the midst of COVID-19.</w:t>
      </w:r>
    </w:p>
    <w:p w14:paraId="7DCFE1E6" w14:textId="77777777" w:rsidR="00C1563E" w:rsidRDefault="00C1563E"/>
    <w:p w14:paraId="7DCFE1E7" w14:textId="77777777" w:rsidR="00C1563E" w:rsidRDefault="000B648B">
      <w:r>
        <w:rPr>
          <w:rFonts w:ascii="Times New Roman" w:eastAsia="宋体" w:hAnsi="Times New Roman"/>
          <w:color w:val="000000"/>
          <w:sz w:val="20"/>
          <w:szCs w:val="20"/>
        </w:rPr>
        <w:t>Commercial revenue increased 3% during Fiscal 202</w:t>
      </w:r>
      <w:r>
        <w:rPr>
          <w:rFonts w:ascii="Times New Roman" w:eastAsia="宋体" w:hAnsi="Times New Roman"/>
          <w:color w:val="000000"/>
          <w:sz w:val="20"/>
          <w:szCs w:val="20"/>
        </w:rPr>
        <w:t>1 due to an increase in commercial notebooks sales, and particularly for entry-level commercial notebooks driven by customers in education and state and local government. The increases were partially offset by lower sales of commercial desktops.</w:t>
      </w:r>
    </w:p>
    <w:p w14:paraId="7DCFE1E8" w14:textId="77777777" w:rsidR="00C1563E" w:rsidRDefault="00C1563E"/>
    <w:p w14:paraId="7DCFE1E9" w14:textId="77777777" w:rsidR="00C1563E" w:rsidRDefault="000B648B">
      <w:r>
        <w:rPr>
          <w:rFonts w:ascii="Times New Roman" w:eastAsia="宋体" w:hAnsi="Times New Roman"/>
          <w:color w:val="000000"/>
          <w:sz w:val="20"/>
          <w:szCs w:val="20"/>
        </w:rPr>
        <w:t xml:space="preserve">Consumer </w:t>
      </w:r>
      <w:r>
        <w:rPr>
          <w:rFonts w:ascii="Times New Roman" w:eastAsia="宋体" w:hAnsi="Times New Roman"/>
          <w:color w:val="000000"/>
          <w:sz w:val="20"/>
          <w:szCs w:val="20"/>
        </w:rPr>
        <w:t>revenue increased 12% during Fiscal 2021 due to increases in average selling prices across all consumer product offerings, coupled with continued strong demand for consumer notebooks and high-end and gaming systems.</w:t>
      </w:r>
    </w:p>
    <w:p w14:paraId="7DCFE1EA" w14:textId="77777777" w:rsidR="00C1563E" w:rsidRDefault="00C1563E"/>
    <w:p w14:paraId="7DCFE1EB" w14:textId="77777777" w:rsidR="00C1563E" w:rsidRDefault="000B648B">
      <w:r>
        <w:rPr>
          <w:rFonts w:ascii="Times New Roman" w:eastAsia="宋体" w:hAnsi="Times New Roman"/>
          <w:color w:val="000000"/>
          <w:sz w:val="20"/>
          <w:szCs w:val="20"/>
        </w:rPr>
        <w:t>From a geographical perspective, net re</w:t>
      </w:r>
      <w:r>
        <w:rPr>
          <w:rFonts w:ascii="Times New Roman" w:eastAsia="宋体" w:hAnsi="Times New Roman"/>
          <w:color w:val="000000"/>
          <w:sz w:val="20"/>
          <w:szCs w:val="20"/>
        </w:rPr>
        <w:t>venue attributable to CSG increased in the Americas and EMEA during Fiscal 2021. These increases were partially offset by a decline in net revenue attributable to CSG in APJ during the period.</w:t>
      </w:r>
    </w:p>
    <w:p w14:paraId="7DCFE1EC" w14:textId="77777777" w:rsidR="00C1563E" w:rsidRDefault="00C1563E"/>
    <w:p w14:paraId="7DCFE1ED" w14:textId="77777777" w:rsidR="00C1563E" w:rsidRDefault="000B648B">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Fiscal 2021, CSG operating income as</w:t>
      </w:r>
      <w:r>
        <w:rPr>
          <w:rFonts w:ascii="Times New Roman" w:eastAsia="宋体" w:hAnsi="Times New Roman"/>
          <w:color w:val="000000"/>
          <w:sz w:val="20"/>
          <w:szCs w:val="20"/>
        </w:rPr>
        <w:t xml:space="preserve"> a percentage of net revenue increased 10 basis points to 6.9%. This increase was primarily attributable to a decrease in CSG operating expenses as a percentage of revenue, as we realized the benefit of cost reduction initiatives. This benefit was mostly o</w:t>
      </w:r>
      <w:r>
        <w:rPr>
          <w:rFonts w:ascii="Times New Roman" w:eastAsia="宋体" w:hAnsi="Times New Roman"/>
          <w:color w:val="000000"/>
          <w:sz w:val="20"/>
          <w:szCs w:val="20"/>
        </w:rPr>
        <w:t>ffset by a decrease in CSG gross margin percentage driven by a shift in product mix to entry-level commercial notebooks and lower component cost deflation relative to pricing.</w:t>
      </w:r>
    </w:p>
    <w:p w14:paraId="7DCFE1EE" w14:textId="77777777" w:rsidR="00C1563E" w:rsidRDefault="00C1563E"/>
    <w:p w14:paraId="7DCFE1EF" w14:textId="77777777" w:rsidR="00C1563E" w:rsidRDefault="00C1563E"/>
    <w:p w14:paraId="7DCFE1F0" w14:textId="77777777" w:rsidR="00C1563E" w:rsidRDefault="00C1563E">
      <w:pPr>
        <w:jc w:val="center"/>
      </w:pPr>
    </w:p>
    <w:p w14:paraId="7DCFE1F1" w14:textId="77777777" w:rsidR="00C1563E" w:rsidRDefault="000B648B">
      <w:pPr>
        <w:jc w:val="center"/>
      </w:pPr>
      <w:r>
        <w:rPr>
          <w:rFonts w:ascii="Times New Roman" w:eastAsia="宋体" w:hAnsi="Times New Roman"/>
          <w:color w:val="000000"/>
          <w:sz w:val="20"/>
          <w:szCs w:val="20"/>
        </w:rPr>
        <w:t>56</w:t>
      </w:r>
    </w:p>
    <w:p w14:paraId="7DCFE1F2" w14:textId="77777777" w:rsidR="00C1563E" w:rsidRDefault="00C1563E">
      <w:pPr>
        <w:jc w:val="center"/>
      </w:pPr>
    </w:p>
    <w:p w14:paraId="7DCFE1F3" w14:textId="77777777" w:rsidR="00C1563E" w:rsidRDefault="000B648B">
      <w:r>
        <w:pict w14:anchorId="7DD025A2">
          <v:rect id="_x0000_i1080" style="width:415.3pt;height:1.5pt" o:hralign="center" o:hrstd="t" o:hr="t" fillcolor="#a0a0a0" stroked="f"/>
        </w:pict>
      </w:r>
    </w:p>
    <w:p w14:paraId="7DCFE1F4" w14:textId="77777777" w:rsidR="00C1563E" w:rsidRDefault="000B648B">
      <w:hyperlink r:id="rId132" w:anchor="i418e32e4a35149ffbf7d3a25d66881b8_10" w:history="1">
        <w:r>
          <w:rPr>
            <w:rStyle w:val="a5"/>
            <w:rFonts w:ascii="Times New Roman" w:eastAsia="宋体" w:hAnsi="Times New Roman"/>
            <w:sz w:val="20"/>
            <w:szCs w:val="20"/>
          </w:rPr>
          <w:t>Table of Contents</w:t>
        </w:r>
      </w:hyperlink>
    </w:p>
    <w:p w14:paraId="7DCFE1F5" w14:textId="77777777" w:rsidR="00C1563E" w:rsidRDefault="000B648B">
      <w:r>
        <w:rPr>
          <w:rFonts w:ascii="Times New Roman" w:eastAsia="宋体" w:hAnsi="Times New Roman"/>
          <w:b/>
          <w:bCs/>
          <w:color w:val="000000"/>
          <w:sz w:val="20"/>
          <w:szCs w:val="20"/>
          <w:shd w:val="clear" w:color="auto" w:fill="FFFFFF"/>
        </w:rPr>
        <w:t>VMware</w:t>
      </w:r>
    </w:p>
    <w:p w14:paraId="7DCFE1F6" w14:textId="77777777" w:rsidR="00C1563E" w:rsidRDefault="00C1563E"/>
    <w:p w14:paraId="7DCFE1F7" w14:textId="77777777" w:rsidR="00C1563E" w:rsidRDefault="000B648B">
      <w:r>
        <w:rPr>
          <w:rFonts w:ascii="Times New Roman" w:eastAsia="宋体" w:hAnsi="Times New Roman"/>
          <w:color w:val="000000"/>
          <w:sz w:val="20"/>
          <w:szCs w:val="20"/>
          <w:shd w:val="clear" w:color="auto" w:fill="FFFFFF"/>
        </w:rPr>
        <w:t xml:space="preserve">The following table presents net revenue and operating income </w:t>
      </w:r>
      <w:r>
        <w:rPr>
          <w:rFonts w:ascii="Times New Roman" w:eastAsia="宋体" w:hAnsi="Times New Roman"/>
          <w:color w:val="000000"/>
          <w:sz w:val="20"/>
          <w:szCs w:val="20"/>
          <w:shd w:val="clear" w:color="auto" w:fill="FFFFFF"/>
        </w:rPr>
        <w:t>attributable to VMware for the periods indicated</w:t>
      </w:r>
      <w:r>
        <w:rPr>
          <w:rFonts w:ascii="Times New Roman" w:eastAsia="宋体" w:hAnsi="Times New Roman"/>
          <w:color w:val="000000"/>
          <w:sz w:val="20"/>
          <w:szCs w:val="20"/>
        </w:rPr>
        <w:t>. During Fiscal 2020, the Company reclassified Pivotal operating results from other businesses to the VMware reportable segment. Prior period results were recast to conform with the current period presentatio</w:t>
      </w:r>
      <w:r>
        <w:rPr>
          <w:rFonts w:ascii="Times New Roman" w:eastAsia="宋体" w:hAnsi="Times New Roman"/>
          <w:color w:val="000000"/>
          <w:sz w:val="20"/>
          <w:szCs w:val="20"/>
        </w:rPr>
        <w:t>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45"/>
        <w:gridCol w:w="37"/>
        <w:gridCol w:w="36"/>
        <w:gridCol w:w="36"/>
        <w:gridCol w:w="36"/>
        <w:gridCol w:w="36"/>
        <w:gridCol w:w="36"/>
        <w:gridCol w:w="36"/>
        <w:gridCol w:w="121"/>
        <w:gridCol w:w="819"/>
        <w:gridCol w:w="187"/>
        <w:gridCol w:w="36"/>
        <w:gridCol w:w="36"/>
        <w:gridCol w:w="36"/>
        <w:gridCol w:w="72"/>
        <w:gridCol w:w="617"/>
        <w:gridCol w:w="187"/>
        <w:gridCol w:w="36"/>
        <w:gridCol w:w="36"/>
        <w:gridCol w:w="36"/>
        <w:gridCol w:w="121"/>
        <w:gridCol w:w="691"/>
        <w:gridCol w:w="187"/>
        <w:gridCol w:w="36"/>
        <w:gridCol w:w="36"/>
        <w:gridCol w:w="36"/>
        <w:gridCol w:w="72"/>
        <w:gridCol w:w="617"/>
        <w:gridCol w:w="187"/>
        <w:gridCol w:w="36"/>
        <w:gridCol w:w="36"/>
        <w:gridCol w:w="36"/>
        <w:gridCol w:w="121"/>
        <w:gridCol w:w="782"/>
        <w:gridCol w:w="187"/>
      </w:tblGrid>
      <w:tr w:rsidR="00C1563E" w14:paraId="7DCFE21C" w14:textId="77777777">
        <w:trPr>
          <w:jc w:val="center"/>
        </w:trPr>
        <w:tc>
          <w:tcPr>
            <w:tcW w:w="50" w:type="pct"/>
            <w:shd w:val="clear" w:color="auto" w:fill="auto"/>
          </w:tcPr>
          <w:p w14:paraId="7DCFE1F8" w14:textId="77777777" w:rsidR="00C1563E" w:rsidRDefault="00C1563E">
            <w:pPr>
              <w:rPr>
                <w:rFonts w:ascii="宋体"/>
              </w:rPr>
            </w:pPr>
          </w:p>
        </w:tc>
        <w:tc>
          <w:tcPr>
            <w:tcW w:w="1809" w:type="pct"/>
            <w:shd w:val="clear" w:color="auto" w:fill="auto"/>
          </w:tcPr>
          <w:p w14:paraId="7DCFE1F9" w14:textId="77777777" w:rsidR="00C1563E" w:rsidRDefault="00C1563E">
            <w:pPr>
              <w:rPr>
                <w:rFonts w:ascii="宋体"/>
              </w:rPr>
            </w:pPr>
          </w:p>
        </w:tc>
        <w:tc>
          <w:tcPr>
            <w:tcW w:w="5" w:type="pct"/>
            <w:shd w:val="clear" w:color="auto" w:fill="auto"/>
          </w:tcPr>
          <w:p w14:paraId="7DCFE1FA" w14:textId="77777777" w:rsidR="00C1563E" w:rsidRDefault="00C1563E">
            <w:pPr>
              <w:rPr>
                <w:rFonts w:ascii="宋体"/>
              </w:rPr>
            </w:pPr>
          </w:p>
        </w:tc>
        <w:tc>
          <w:tcPr>
            <w:tcW w:w="0" w:type="auto"/>
            <w:shd w:val="clear" w:color="auto" w:fill="auto"/>
          </w:tcPr>
          <w:p w14:paraId="7DCFE1FB" w14:textId="77777777" w:rsidR="00C1563E" w:rsidRDefault="00C1563E">
            <w:pPr>
              <w:rPr>
                <w:rFonts w:ascii="宋体"/>
                <w:vanish/>
              </w:rPr>
            </w:pPr>
          </w:p>
        </w:tc>
        <w:tc>
          <w:tcPr>
            <w:tcW w:w="0" w:type="auto"/>
            <w:shd w:val="clear" w:color="auto" w:fill="auto"/>
          </w:tcPr>
          <w:p w14:paraId="7DCFE1FC" w14:textId="77777777" w:rsidR="00C1563E" w:rsidRDefault="00C1563E">
            <w:pPr>
              <w:rPr>
                <w:rFonts w:ascii="宋体"/>
                <w:vanish/>
              </w:rPr>
            </w:pPr>
          </w:p>
        </w:tc>
        <w:tc>
          <w:tcPr>
            <w:tcW w:w="0" w:type="auto"/>
            <w:shd w:val="clear" w:color="auto" w:fill="auto"/>
          </w:tcPr>
          <w:p w14:paraId="7DCFE1FD" w14:textId="77777777" w:rsidR="00C1563E" w:rsidRDefault="00C1563E">
            <w:pPr>
              <w:rPr>
                <w:rFonts w:ascii="宋体"/>
                <w:vanish/>
              </w:rPr>
            </w:pPr>
          </w:p>
        </w:tc>
        <w:tc>
          <w:tcPr>
            <w:tcW w:w="0" w:type="auto"/>
            <w:shd w:val="clear" w:color="auto" w:fill="auto"/>
          </w:tcPr>
          <w:p w14:paraId="7DCFE1FE" w14:textId="77777777" w:rsidR="00C1563E" w:rsidRDefault="00C1563E">
            <w:pPr>
              <w:rPr>
                <w:rFonts w:ascii="宋体"/>
                <w:vanish/>
              </w:rPr>
            </w:pPr>
          </w:p>
        </w:tc>
        <w:tc>
          <w:tcPr>
            <w:tcW w:w="0" w:type="auto"/>
            <w:shd w:val="clear" w:color="auto" w:fill="auto"/>
          </w:tcPr>
          <w:p w14:paraId="7DCFE1FF" w14:textId="77777777" w:rsidR="00C1563E" w:rsidRDefault="00C1563E">
            <w:pPr>
              <w:rPr>
                <w:rFonts w:ascii="宋体"/>
                <w:vanish/>
              </w:rPr>
            </w:pPr>
          </w:p>
        </w:tc>
        <w:tc>
          <w:tcPr>
            <w:tcW w:w="0" w:type="auto"/>
            <w:shd w:val="clear" w:color="auto" w:fill="auto"/>
          </w:tcPr>
          <w:p w14:paraId="7DCFE200" w14:textId="77777777" w:rsidR="00C1563E" w:rsidRDefault="00C1563E">
            <w:pPr>
              <w:rPr>
                <w:rFonts w:ascii="宋体"/>
                <w:vanish/>
              </w:rPr>
            </w:pPr>
          </w:p>
        </w:tc>
        <w:tc>
          <w:tcPr>
            <w:tcW w:w="50" w:type="pct"/>
            <w:shd w:val="clear" w:color="auto" w:fill="auto"/>
          </w:tcPr>
          <w:p w14:paraId="7DCFE201" w14:textId="77777777" w:rsidR="00C1563E" w:rsidRDefault="00C1563E">
            <w:pPr>
              <w:rPr>
                <w:rFonts w:ascii="宋体"/>
              </w:rPr>
            </w:pPr>
          </w:p>
        </w:tc>
        <w:tc>
          <w:tcPr>
            <w:tcW w:w="624" w:type="pct"/>
            <w:shd w:val="clear" w:color="auto" w:fill="auto"/>
          </w:tcPr>
          <w:p w14:paraId="7DCFE202" w14:textId="77777777" w:rsidR="00C1563E" w:rsidRDefault="00C1563E">
            <w:pPr>
              <w:rPr>
                <w:rFonts w:ascii="宋体"/>
              </w:rPr>
            </w:pPr>
          </w:p>
        </w:tc>
        <w:tc>
          <w:tcPr>
            <w:tcW w:w="5" w:type="pct"/>
            <w:shd w:val="clear" w:color="auto" w:fill="auto"/>
          </w:tcPr>
          <w:p w14:paraId="7DCFE203" w14:textId="77777777" w:rsidR="00C1563E" w:rsidRDefault="00C1563E">
            <w:pPr>
              <w:rPr>
                <w:rFonts w:ascii="宋体"/>
              </w:rPr>
            </w:pPr>
          </w:p>
        </w:tc>
        <w:tc>
          <w:tcPr>
            <w:tcW w:w="5" w:type="pct"/>
            <w:shd w:val="clear" w:color="auto" w:fill="auto"/>
          </w:tcPr>
          <w:p w14:paraId="7DCFE204" w14:textId="77777777" w:rsidR="00C1563E" w:rsidRDefault="00C1563E">
            <w:pPr>
              <w:rPr>
                <w:rFonts w:ascii="宋体"/>
              </w:rPr>
            </w:pPr>
          </w:p>
        </w:tc>
        <w:tc>
          <w:tcPr>
            <w:tcW w:w="19" w:type="pct"/>
            <w:shd w:val="clear" w:color="auto" w:fill="auto"/>
          </w:tcPr>
          <w:p w14:paraId="7DCFE205" w14:textId="77777777" w:rsidR="00C1563E" w:rsidRDefault="00C1563E">
            <w:pPr>
              <w:rPr>
                <w:rFonts w:ascii="宋体"/>
              </w:rPr>
            </w:pPr>
          </w:p>
        </w:tc>
        <w:tc>
          <w:tcPr>
            <w:tcW w:w="5" w:type="pct"/>
            <w:shd w:val="clear" w:color="auto" w:fill="auto"/>
          </w:tcPr>
          <w:p w14:paraId="7DCFE206" w14:textId="77777777" w:rsidR="00C1563E" w:rsidRDefault="00C1563E">
            <w:pPr>
              <w:rPr>
                <w:rFonts w:ascii="宋体"/>
              </w:rPr>
            </w:pPr>
          </w:p>
        </w:tc>
        <w:tc>
          <w:tcPr>
            <w:tcW w:w="50" w:type="pct"/>
            <w:shd w:val="clear" w:color="auto" w:fill="auto"/>
          </w:tcPr>
          <w:p w14:paraId="7DCFE207" w14:textId="77777777" w:rsidR="00C1563E" w:rsidRDefault="00C1563E">
            <w:pPr>
              <w:rPr>
                <w:rFonts w:ascii="宋体"/>
              </w:rPr>
            </w:pPr>
          </w:p>
        </w:tc>
        <w:tc>
          <w:tcPr>
            <w:tcW w:w="434" w:type="pct"/>
            <w:shd w:val="clear" w:color="auto" w:fill="auto"/>
          </w:tcPr>
          <w:p w14:paraId="7DCFE208" w14:textId="77777777" w:rsidR="00C1563E" w:rsidRDefault="00C1563E">
            <w:pPr>
              <w:rPr>
                <w:rFonts w:ascii="宋体"/>
              </w:rPr>
            </w:pPr>
          </w:p>
        </w:tc>
        <w:tc>
          <w:tcPr>
            <w:tcW w:w="5" w:type="pct"/>
            <w:shd w:val="clear" w:color="auto" w:fill="auto"/>
          </w:tcPr>
          <w:p w14:paraId="7DCFE209" w14:textId="77777777" w:rsidR="00C1563E" w:rsidRDefault="00C1563E">
            <w:pPr>
              <w:rPr>
                <w:rFonts w:ascii="宋体"/>
              </w:rPr>
            </w:pPr>
          </w:p>
        </w:tc>
        <w:tc>
          <w:tcPr>
            <w:tcW w:w="5" w:type="pct"/>
            <w:shd w:val="clear" w:color="auto" w:fill="auto"/>
          </w:tcPr>
          <w:p w14:paraId="7DCFE20A" w14:textId="77777777" w:rsidR="00C1563E" w:rsidRDefault="00C1563E">
            <w:pPr>
              <w:rPr>
                <w:rFonts w:ascii="宋体"/>
              </w:rPr>
            </w:pPr>
          </w:p>
        </w:tc>
        <w:tc>
          <w:tcPr>
            <w:tcW w:w="19" w:type="pct"/>
            <w:shd w:val="clear" w:color="auto" w:fill="auto"/>
          </w:tcPr>
          <w:p w14:paraId="7DCFE20B" w14:textId="77777777" w:rsidR="00C1563E" w:rsidRDefault="00C1563E">
            <w:pPr>
              <w:rPr>
                <w:rFonts w:ascii="宋体"/>
              </w:rPr>
            </w:pPr>
          </w:p>
        </w:tc>
        <w:tc>
          <w:tcPr>
            <w:tcW w:w="5" w:type="pct"/>
            <w:shd w:val="clear" w:color="auto" w:fill="auto"/>
          </w:tcPr>
          <w:p w14:paraId="7DCFE20C" w14:textId="77777777" w:rsidR="00C1563E" w:rsidRDefault="00C1563E">
            <w:pPr>
              <w:rPr>
                <w:rFonts w:ascii="宋体"/>
              </w:rPr>
            </w:pPr>
          </w:p>
        </w:tc>
        <w:tc>
          <w:tcPr>
            <w:tcW w:w="50" w:type="pct"/>
            <w:shd w:val="clear" w:color="auto" w:fill="auto"/>
          </w:tcPr>
          <w:p w14:paraId="7DCFE20D" w14:textId="77777777" w:rsidR="00C1563E" w:rsidRDefault="00C1563E">
            <w:pPr>
              <w:rPr>
                <w:rFonts w:ascii="宋体"/>
              </w:rPr>
            </w:pPr>
          </w:p>
        </w:tc>
        <w:tc>
          <w:tcPr>
            <w:tcW w:w="624" w:type="pct"/>
            <w:shd w:val="clear" w:color="auto" w:fill="auto"/>
          </w:tcPr>
          <w:p w14:paraId="7DCFE20E" w14:textId="77777777" w:rsidR="00C1563E" w:rsidRDefault="00C1563E">
            <w:pPr>
              <w:rPr>
                <w:rFonts w:ascii="宋体"/>
              </w:rPr>
            </w:pPr>
          </w:p>
        </w:tc>
        <w:tc>
          <w:tcPr>
            <w:tcW w:w="5" w:type="pct"/>
            <w:shd w:val="clear" w:color="auto" w:fill="auto"/>
          </w:tcPr>
          <w:p w14:paraId="7DCFE20F" w14:textId="77777777" w:rsidR="00C1563E" w:rsidRDefault="00C1563E">
            <w:pPr>
              <w:rPr>
                <w:rFonts w:ascii="宋体"/>
              </w:rPr>
            </w:pPr>
          </w:p>
        </w:tc>
        <w:tc>
          <w:tcPr>
            <w:tcW w:w="5" w:type="pct"/>
            <w:shd w:val="clear" w:color="auto" w:fill="auto"/>
          </w:tcPr>
          <w:p w14:paraId="7DCFE210" w14:textId="77777777" w:rsidR="00C1563E" w:rsidRDefault="00C1563E">
            <w:pPr>
              <w:rPr>
                <w:rFonts w:ascii="宋体"/>
              </w:rPr>
            </w:pPr>
          </w:p>
        </w:tc>
        <w:tc>
          <w:tcPr>
            <w:tcW w:w="19" w:type="pct"/>
            <w:shd w:val="clear" w:color="auto" w:fill="auto"/>
          </w:tcPr>
          <w:p w14:paraId="7DCFE211" w14:textId="77777777" w:rsidR="00C1563E" w:rsidRDefault="00C1563E">
            <w:pPr>
              <w:rPr>
                <w:rFonts w:ascii="宋体"/>
              </w:rPr>
            </w:pPr>
          </w:p>
        </w:tc>
        <w:tc>
          <w:tcPr>
            <w:tcW w:w="5" w:type="pct"/>
            <w:shd w:val="clear" w:color="auto" w:fill="auto"/>
          </w:tcPr>
          <w:p w14:paraId="7DCFE212" w14:textId="77777777" w:rsidR="00C1563E" w:rsidRDefault="00C1563E">
            <w:pPr>
              <w:rPr>
                <w:rFonts w:ascii="宋体"/>
              </w:rPr>
            </w:pPr>
          </w:p>
        </w:tc>
        <w:tc>
          <w:tcPr>
            <w:tcW w:w="50" w:type="pct"/>
            <w:shd w:val="clear" w:color="auto" w:fill="auto"/>
          </w:tcPr>
          <w:p w14:paraId="7DCFE213" w14:textId="77777777" w:rsidR="00C1563E" w:rsidRDefault="00C1563E">
            <w:pPr>
              <w:rPr>
                <w:rFonts w:ascii="宋体"/>
              </w:rPr>
            </w:pPr>
          </w:p>
        </w:tc>
        <w:tc>
          <w:tcPr>
            <w:tcW w:w="434" w:type="pct"/>
            <w:shd w:val="clear" w:color="auto" w:fill="auto"/>
          </w:tcPr>
          <w:p w14:paraId="7DCFE214" w14:textId="77777777" w:rsidR="00C1563E" w:rsidRDefault="00C1563E">
            <w:pPr>
              <w:rPr>
                <w:rFonts w:ascii="宋体"/>
              </w:rPr>
            </w:pPr>
          </w:p>
        </w:tc>
        <w:tc>
          <w:tcPr>
            <w:tcW w:w="5" w:type="pct"/>
            <w:shd w:val="clear" w:color="auto" w:fill="auto"/>
          </w:tcPr>
          <w:p w14:paraId="7DCFE215" w14:textId="77777777" w:rsidR="00C1563E" w:rsidRDefault="00C1563E">
            <w:pPr>
              <w:rPr>
                <w:rFonts w:ascii="宋体"/>
              </w:rPr>
            </w:pPr>
          </w:p>
        </w:tc>
        <w:tc>
          <w:tcPr>
            <w:tcW w:w="5" w:type="pct"/>
            <w:shd w:val="clear" w:color="auto" w:fill="auto"/>
          </w:tcPr>
          <w:p w14:paraId="7DCFE216" w14:textId="77777777" w:rsidR="00C1563E" w:rsidRDefault="00C1563E">
            <w:pPr>
              <w:rPr>
                <w:rFonts w:ascii="宋体"/>
              </w:rPr>
            </w:pPr>
          </w:p>
        </w:tc>
        <w:tc>
          <w:tcPr>
            <w:tcW w:w="19" w:type="pct"/>
            <w:shd w:val="clear" w:color="auto" w:fill="auto"/>
          </w:tcPr>
          <w:p w14:paraId="7DCFE217" w14:textId="77777777" w:rsidR="00C1563E" w:rsidRDefault="00C1563E">
            <w:pPr>
              <w:rPr>
                <w:rFonts w:ascii="宋体"/>
              </w:rPr>
            </w:pPr>
          </w:p>
        </w:tc>
        <w:tc>
          <w:tcPr>
            <w:tcW w:w="5" w:type="pct"/>
            <w:shd w:val="clear" w:color="auto" w:fill="auto"/>
          </w:tcPr>
          <w:p w14:paraId="7DCFE218" w14:textId="77777777" w:rsidR="00C1563E" w:rsidRDefault="00C1563E">
            <w:pPr>
              <w:rPr>
                <w:rFonts w:ascii="宋体"/>
              </w:rPr>
            </w:pPr>
          </w:p>
        </w:tc>
        <w:tc>
          <w:tcPr>
            <w:tcW w:w="50" w:type="pct"/>
            <w:shd w:val="clear" w:color="auto" w:fill="auto"/>
          </w:tcPr>
          <w:p w14:paraId="7DCFE219" w14:textId="77777777" w:rsidR="00C1563E" w:rsidRDefault="00C1563E">
            <w:pPr>
              <w:rPr>
                <w:rFonts w:ascii="宋体"/>
              </w:rPr>
            </w:pPr>
          </w:p>
        </w:tc>
        <w:tc>
          <w:tcPr>
            <w:tcW w:w="625" w:type="pct"/>
            <w:shd w:val="clear" w:color="auto" w:fill="auto"/>
          </w:tcPr>
          <w:p w14:paraId="7DCFE21A" w14:textId="77777777" w:rsidR="00C1563E" w:rsidRDefault="00C1563E">
            <w:pPr>
              <w:rPr>
                <w:rFonts w:ascii="宋体"/>
              </w:rPr>
            </w:pPr>
          </w:p>
        </w:tc>
        <w:tc>
          <w:tcPr>
            <w:tcW w:w="5" w:type="pct"/>
            <w:shd w:val="clear" w:color="auto" w:fill="auto"/>
          </w:tcPr>
          <w:p w14:paraId="7DCFE21B" w14:textId="77777777" w:rsidR="00C1563E" w:rsidRDefault="00C1563E">
            <w:pPr>
              <w:rPr>
                <w:rFonts w:ascii="宋体"/>
              </w:rPr>
            </w:pPr>
          </w:p>
        </w:tc>
      </w:tr>
      <w:tr w:rsidR="00C1563E" w14:paraId="7DCFE22D" w14:textId="77777777">
        <w:trPr>
          <w:jc w:val="center"/>
        </w:trPr>
        <w:tc>
          <w:tcPr>
            <w:tcW w:w="0" w:type="auto"/>
            <w:gridSpan w:val="3"/>
            <w:shd w:val="clear" w:color="auto" w:fill="auto"/>
            <w:tcMar>
              <w:top w:w="0" w:type="dxa"/>
              <w:left w:w="20" w:type="dxa"/>
              <w:bottom w:w="0" w:type="dxa"/>
              <w:right w:w="20" w:type="dxa"/>
            </w:tcMar>
          </w:tcPr>
          <w:p w14:paraId="7DCFE21D" w14:textId="77777777" w:rsidR="00C1563E" w:rsidRDefault="00C1563E">
            <w:pPr>
              <w:rPr>
                <w:rFonts w:ascii="宋体"/>
              </w:rPr>
            </w:pPr>
          </w:p>
        </w:tc>
        <w:tc>
          <w:tcPr>
            <w:tcW w:w="0" w:type="auto"/>
            <w:shd w:val="clear" w:color="auto" w:fill="auto"/>
          </w:tcPr>
          <w:p w14:paraId="7DCFE21E" w14:textId="77777777" w:rsidR="00C1563E" w:rsidRDefault="00C1563E">
            <w:pPr>
              <w:rPr>
                <w:rFonts w:ascii="宋体"/>
                <w:vanish/>
              </w:rPr>
            </w:pPr>
          </w:p>
        </w:tc>
        <w:tc>
          <w:tcPr>
            <w:tcW w:w="0" w:type="auto"/>
            <w:shd w:val="clear" w:color="auto" w:fill="auto"/>
          </w:tcPr>
          <w:p w14:paraId="7DCFE21F" w14:textId="77777777" w:rsidR="00C1563E" w:rsidRDefault="00C1563E">
            <w:pPr>
              <w:rPr>
                <w:rFonts w:ascii="宋体"/>
                <w:vanish/>
              </w:rPr>
            </w:pPr>
          </w:p>
        </w:tc>
        <w:tc>
          <w:tcPr>
            <w:tcW w:w="0" w:type="auto"/>
            <w:gridSpan w:val="19"/>
            <w:shd w:val="clear" w:color="auto" w:fill="auto"/>
            <w:tcMar>
              <w:top w:w="40" w:type="dxa"/>
              <w:left w:w="20" w:type="dxa"/>
              <w:bottom w:w="40" w:type="dxa"/>
              <w:right w:w="20" w:type="dxa"/>
            </w:tcMar>
            <w:vAlign w:val="bottom"/>
          </w:tcPr>
          <w:p w14:paraId="7DCFE220"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CFE221" w14:textId="77777777" w:rsidR="00C1563E" w:rsidRDefault="00C1563E">
            <w:pPr>
              <w:rPr>
                <w:rFonts w:ascii="宋体"/>
              </w:rPr>
            </w:pPr>
          </w:p>
        </w:tc>
        <w:tc>
          <w:tcPr>
            <w:tcW w:w="0" w:type="auto"/>
            <w:shd w:val="clear" w:color="auto" w:fill="auto"/>
          </w:tcPr>
          <w:p w14:paraId="7DCFE222" w14:textId="77777777" w:rsidR="00C1563E" w:rsidRDefault="00C1563E">
            <w:pPr>
              <w:rPr>
                <w:rFonts w:ascii="宋体"/>
              </w:rPr>
            </w:pPr>
          </w:p>
        </w:tc>
        <w:tc>
          <w:tcPr>
            <w:tcW w:w="0" w:type="auto"/>
            <w:shd w:val="clear" w:color="auto" w:fill="auto"/>
          </w:tcPr>
          <w:p w14:paraId="7DCFE223" w14:textId="77777777" w:rsidR="00C1563E" w:rsidRDefault="00C1563E">
            <w:pPr>
              <w:rPr>
                <w:rFonts w:ascii="宋体"/>
              </w:rPr>
            </w:pPr>
          </w:p>
        </w:tc>
        <w:tc>
          <w:tcPr>
            <w:tcW w:w="0" w:type="auto"/>
            <w:shd w:val="clear" w:color="auto" w:fill="auto"/>
          </w:tcPr>
          <w:p w14:paraId="7DCFE224" w14:textId="77777777" w:rsidR="00C1563E" w:rsidRDefault="00C1563E">
            <w:pPr>
              <w:rPr>
                <w:rFonts w:ascii="宋体"/>
              </w:rPr>
            </w:pPr>
          </w:p>
        </w:tc>
        <w:tc>
          <w:tcPr>
            <w:tcW w:w="0" w:type="auto"/>
            <w:shd w:val="clear" w:color="auto" w:fill="auto"/>
          </w:tcPr>
          <w:p w14:paraId="7DCFE225" w14:textId="77777777" w:rsidR="00C1563E" w:rsidRDefault="00C1563E">
            <w:pPr>
              <w:rPr>
                <w:rFonts w:ascii="宋体"/>
              </w:rPr>
            </w:pPr>
          </w:p>
        </w:tc>
        <w:tc>
          <w:tcPr>
            <w:tcW w:w="0" w:type="auto"/>
            <w:shd w:val="clear" w:color="auto" w:fill="auto"/>
          </w:tcPr>
          <w:p w14:paraId="7DCFE226" w14:textId="77777777" w:rsidR="00C1563E" w:rsidRDefault="00C1563E">
            <w:pPr>
              <w:rPr>
                <w:rFonts w:ascii="宋体"/>
              </w:rPr>
            </w:pPr>
          </w:p>
        </w:tc>
        <w:tc>
          <w:tcPr>
            <w:tcW w:w="0" w:type="auto"/>
            <w:shd w:val="clear" w:color="auto" w:fill="auto"/>
          </w:tcPr>
          <w:p w14:paraId="7DCFE227" w14:textId="77777777" w:rsidR="00C1563E" w:rsidRDefault="00C1563E">
            <w:pPr>
              <w:rPr>
                <w:rFonts w:ascii="宋体"/>
              </w:rPr>
            </w:pPr>
          </w:p>
        </w:tc>
        <w:tc>
          <w:tcPr>
            <w:tcW w:w="0" w:type="auto"/>
            <w:shd w:val="clear" w:color="auto" w:fill="auto"/>
          </w:tcPr>
          <w:p w14:paraId="7DCFE228" w14:textId="77777777" w:rsidR="00C1563E" w:rsidRDefault="00C1563E">
            <w:pPr>
              <w:rPr>
                <w:rFonts w:ascii="宋体"/>
              </w:rPr>
            </w:pPr>
          </w:p>
        </w:tc>
        <w:tc>
          <w:tcPr>
            <w:tcW w:w="0" w:type="auto"/>
            <w:shd w:val="clear" w:color="auto" w:fill="auto"/>
          </w:tcPr>
          <w:p w14:paraId="7DCFE229" w14:textId="77777777" w:rsidR="00C1563E" w:rsidRDefault="00C1563E">
            <w:pPr>
              <w:rPr>
                <w:rFonts w:ascii="宋体"/>
              </w:rPr>
            </w:pPr>
          </w:p>
        </w:tc>
        <w:tc>
          <w:tcPr>
            <w:tcW w:w="0" w:type="auto"/>
            <w:shd w:val="clear" w:color="auto" w:fill="auto"/>
          </w:tcPr>
          <w:p w14:paraId="7DCFE22A" w14:textId="77777777" w:rsidR="00C1563E" w:rsidRDefault="00C1563E">
            <w:pPr>
              <w:rPr>
                <w:rFonts w:ascii="宋体"/>
              </w:rPr>
            </w:pPr>
          </w:p>
        </w:tc>
        <w:tc>
          <w:tcPr>
            <w:tcW w:w="0" w:type="auto"/>
            <w:shd w:val="clear" w:color="auto" w:fill="auto"/>
          </w:tcPr>
          <w:p w14:paraId="7DCFE22B" w14:textId="77777777" w:rsidR="00C1563E" w:rsidRDefault="00C1563E">
            <w:pPr>
              <w:rPr>
                <w:rFonts w:ascii="宋体"/>
              </w:rPr>
            </w:pPr>
          </w:p>
        </w:tc>
        <w:tc>
          <w:tcPr>
            <w:tcW w:w="0" w:type="auto"/>
            <w:shd w:val="clear" w:color="auto" w:fill="auto"/>
          </w:tcPr>
          <w:p w14:paraId="7DCFE22C" w14:textId="77777777" w:rsidR="00C1563E" w:rsidRDefault="00C1563E">
            <w:pPr>
              <w:rPr>
                <w:rFonts w:ascii="宋体"/>
              </w:rPr>
            </w:pPr>
          </w:p>
        </w:tc>
      </w:tr>
      <w:tr w:rsidR="00C1563E" w14:paraId="7DCFE23E" w14:textId="77777777">
        <w:trPr>
          <w:jc w:val="center"/>
        </w:trPr>
        <w:tc>
          <w:tcPr>
            <w:tcW w:w="0" w:type="auto"/>
            <w:gridSpan w:val="3"/>
            <w:shd w:val="clear" w:color="auto" w:fill="auto"/>
            <w:tcMar>
              <w:top w:w="0" w:type="dxa"/>
              <w:left w:w="20" w:type="dxa"/>
              <w:bottom w:w="0" w:type="dxa"/>
              <w:right w:w="20" w:type="dxa"/>
            </w:tcMar>
          </w:tcPr>
          <w:p w14:paraId="7DCFE22E" w14:textId="77777777" w:rsidR="00C1563E" w:rsidRDefault="00C1563E">
            <w:pPr>
              <w:rPr>
                <w:rFonts w:ascii="宋体"/>
              </w:rPr>
            </w:pPr>
          </w:p>
        </w:tc>
        <w:tc>
          <w:tcPr>
            <w:tcW w:w="0" w:type="auto"/>
            <w:shd w:val="clear" w:color="auto" w:fill="auto"/>
          </w:tcPr>
          <w:p w14:paraId="7DCFE22F" w14:textId="77777777" w:rsidR="00C1563E" w:rsidRDefault="00C1563E">
            <w:pPr>
              <w:rPr>
                <w:rFonts w:ascii="宋体"/>
                <w:vanish/>
              </w:rPr>
            </w:pPr>
          </w:p>
        </w:tc>
        <w:tc>
          <w:tcPr>
            <w:tcW w:w="0" w:type="auto"/>
            <w:shd w:val="clear" w:color="auto" w:fill="auto"/>
          </w:tcPr>
          <w:p w14:paraId="7DCFE230" w14:textId="77777777" w:rsidR="00C1563E" w:rsidRDefault="00C1563E">
            <w:pPr>
              <w:rPr>
                <w:rFonts w:ascii="宋体"/>
                <w:vanish/>
              </w:rPr>
            </w:pPr>
          </w:p>
        </w:tc>
        <w:tc>
          <w:tcPr>
            <w:tcW w:w="0" w:type="auto"/>
            <w:shd w:val="clear" w:color="auto" w:fill="auto"/>
          </w:tcPr>
          <w:p w14:paraId="7DCFE231" w14:textId="77777777" w:rsidR="00C1563E" w:rsidRDefault="00C1563E">
            <w:pPr>
              <w:rPr>
                <w:rFonts w:ascii="宋体"/>
                <w:vanish/>
              </w:rPr>
            </w:pPr>
          </w:p>
        </w:tc>
        <w:tc>
          <w:tcPr>
            <w:tcW w:w="0" w:type="auto"/>
            <w:shd w:val="clear" w:color="auto" w:fill="auto"/>
          </w:tcPr>
          <w:p w14:paraId="7DCFE232" w14:textId="77777777" w:rsidR="00C1563E" w:rsidRDefault="00C1563E">
            <w:pPr>
              <w:rPr>
                <w:rFonts w:ascii="宋体"/>
                <w:vanish/>
              </w:rPr>
            </w:pPr>
          </w:p>
        </w:tc>
        <w:tc>
          <w:tcPr>
            <w:tcW w:w="0" w:type="auto"/>
            <w:shd w:val="clear" w:color="auto" w:fill="auto"/>
          </w:tcPr>
          <w:p w14:paraId="7DCFE233" w14:textId="77777777" w:rsidR="00C1563E" w:rsidRDefault="00C1563E">
            <w:pPr>
              <w:rPr>
                <w:rFonts w:ascii="宋体"/>
                <w:vanish/>
              </w:rPr>
            </w:pPr>
          </w:p>
        </w:tc>
        <w:tc>
          <w:tcPr>
            <w:tcW w:w="0" w:type="auto"/>
            <w:shd w:val="clear" w:color="auto" w:fill="auto"/>
          </w:tcPr>
          <w:p w14:paraId="7DCFE234"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235"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23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237"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23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239"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23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23B" w14:textId="77777777" w:rsidR="00C1563E" w:rsidRDefault="000B648B">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tcPr>
          <w:p w14:paraId="7DCFE23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23D"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247" w14:textId="77777777">
        <w:trPr>
          <w:jc w:val="center"/>
        </w:trPr>
        <w:tc>
          <w:tcPr>
            <w:tcW w:w="0" w:type="auto"/>
            <w:gridSpan w:val="3"/>
            <w:shd w:val="clear" w:color="auto" w:fill="auto"/>
            <w:tcMar>
              <w:top w:w="0" w:type="dxa"/>
              <w:left w:w="20" w:type="dxa"/>
              <w:bottom w:w="0" w:type="dxa"/>
              <w:right w:w="20" w:type="dxa"/>
            </w:tcMar>
          </w:tcPr>
          <w:p w14:paraId="7DCFE23F" w14:textId="77777777" w:rsidR="00C1563E" w:rsidRDefault="00C1563E">
            <w:pPr>
              <w:rPr>
                <w:rFonts w:ascii="宋体"/>
              </w:rPr>
            </w:pPr>
          </w:p>
        </w:tc>
        <w:tc>
          <w:tcPr>
            <w:tcW w:w="0" w:type="auto"/>
            <w:shd w:val="clear" w:color="auto" w:fill="auto"/>
          </w:tcPr>
          <w:p w14:paraId="7DCFE240" w14:textId="77777777" w:rsidR="00C1563E" w:rsidRDefault="00C1563E">
            <w:pPr>
              <w:rPr>
                <w:rFonts w:ascii="宋体"/>
                <w:vanish/>
              </w:rPr>
            </w:pPr>
          </w:p>
        </w:tc>
        <w:tc>
          <w:tcPr>
            <w:tcW w:w="0" w:type="auto"/>
            <w:shd w:val="clear" w:color="auto" w:fill="auto"/>
          </w:tcPr>
          <w:p w14:paraId="7DCFE241" w14:textId="77777777" w:rsidR="00C1563E" w:rsidRDefault="00C1563E">
            <w:pPr>
              <w:rPr>
                <w:rFonts w:ascii="宋体"/>
                <w:vanish/>
              </w:rPr>
            </w:pPr>
          </w:p>
        </w:tc>
        <w:tc>
          <w:tcPr>
            <w:tcW w:w="0" w:type="auto"/>
            <w:shd w:val="clear" w:color="auto" w:fill="auto"/>
          </w:tcPr>
          <w:p w14:paraId="7DCFE242" w14:textId="77777777" w:rsidR="00C1563E" w:rsidRDefault="00C1563E">
            <w:pPr>
              <w:rPr>
                <w:rFonts w:ascii="宋体"/>
                <w:vanish/>
              </w:rPr>
            </w:pPr>
          </w:p>
        </w:tc>
        <w:tc>
          <w:tcPr>
            <w:tcW w:w="0" w:type="auto"/>
            <w:shd w:val="clear" w:color="auto" w:fill="auto"/>
          </w:tcPr>
          <w:p w14:paraId="7DCFE243" w14:textId="77777777" w:rsidR="00C1563E" w:rsidRDefault="00C1563E">
            <w:pPr>
              <w:rPr>
                <w:rFonts w:ascii="宋体"/>
                <w:vanish/>
              </w:rPr>
            </w:pPr>
          </w:p>
        </w:tc>
        <w:tc>
          <w:tcPr>
            <w:tcW w:w="0" w:type="auto"/>
            <w:shd w:val="clear" w:color="auto" w:fill="auto"/>
          </w:tcPr>
          <w:p w14:paraId="7DCFE244" w14:textId="77777777" w:rsidR="00C1563E" w:rsidRDefault="00C1563E">
            <w:pPr>
              <w:rPr>
                <w:rFonts w:ascii="宋体"/>
                <w:vanish/>
              </w:rPr>
            </w:pPr>
          </w:p>
        </w:tc>
        <w:tc>
          <w:tcPr>
            <w:tcW w:w="0" w:type="auto"/>
            <w:shd w:val="clear" w:color="auto" w:fill="auto"/>
          </w:tcPr>
          <w:p w14:paraId="7DCFE245" w14:textId="77777777" w:rsidR="00C1563E" w:rsidRDefault="00C1563E">
            <w:pPr>
              <w:rPr>
                <w:rFonts w:ascii="宋体"/>
                <w:vanish/>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E246" w14:textId="77777777" w:rsidR="00C1563E" w:rsidRDefault="000B648B">
            <w:pPr>
              <w:jc w:val="center"/>
              <w:textAlignment w:val="bottom"/>
            </w:pPr>
            <w:r>
              <w:rPr>
                <w:rFonts w:ascii="Times New Roman" w:eastAsia="宋体" w:hAnsi="Times New Roman"/>
                <w:color w:val="000000"/>
                <w:sz w:val="20"/>
                <w:szCs w:val="20"/>
              </w:rPr>
              <w:t>(in millions, except percentages)</w:t>
            </w:r>
          </w:p>
        </w:tc>
      </w:tr>
      <w:tr w:rsidR="00C1563E" w14:paraId="7DCFE258" w14:textId="77777777">
        <w:trPr>
          <w:jc w:val="center"/>
        </w:trPr>
        <w:tc>
          <w:tcPr>
            <w:tcW w:w="0" w:type="auto"/>
            <w:gridSpan w:val="3"/>
            <w:shd w:val="clear" w:color="auto" w:fill="CCEEFF"/>
            <w:tcMar>
              <w:top w:w="40" w:type="dxa"/>
              <w:left w:w="20" w:type="dxa"/>
              <w:bottom w:w="40" w:type="dxa"/>
              <w:right w:w="20" w:type="dxa"/>
            </w:tcMar>
            <w:vAlign w:val="bottom"/>
          </w:tcPr>
          <w:p w14:paraId="7DCFE248" w14:textId="77777777" w:rsidR="00C1563E" w:rsidRDefault="000B648B">
            <w:pPr>
              <w:textAlignment w:val="bottom"/>
            </w:pPr>
            <w:r>
              <w:rPr>
                <w:rFonts w:ascii="Times New Roman" w:eastAsia="宋体" w:hAnsi="Times New Roman"/>
                <w:i/>
                <w:iCs/>
                <w:color w:val="000000"/>
                <w:sz w:val="20"/>
                <w:szCs w:val="20"/>
              </w:rPr>
              <w:t>Net revenue:</w:t>
            </w:r>
          </w:p>
        </w:tc>
        <w:tc>
          <w:tcPr>
            <w:tcW w:w="0" w:type="auto"/>
            <w:shd w:val="clear" w:color="auto" w:fill="auto"/>
          </w:tcPr>
          <w:p w14:paraId="7DCFE249" w14:textId="77777777" w:rsidR="00C1563E" w:rsidRDefault="00C1563E">
            <w:pPr>
              <w:rPr>
                <w:rFonts w:ascii="宋体"/>
                <w:vanish/>
              </w:rPr>
            </w:pPr>
          </w:p>
        </w:tc>
        <w:tc>
          <w:tcPr>
            <w:tcW w:w="0" w:type="auto"/>
            <w:shd w:val="clear" w:color="auto" w:fill="auto"/>
          </w:tcPr>
          <w:p w14:paraId="7DCFE24A" w14:textId="77777777" w:rsidR="00C1563E" w:rsidRDefault="00C1563E">
            <w:pPr>
              <w:rPr>
                <w:rFonts w:ascii="宋体"/>
                <w:vanish/>
              </w:rPr>
            </w:pPr>
          </w:p>
        </w:tc>
        <w:tc>
          <w:tcPr>
            <w:tcW w:w="0" w:type="auto"/>
            <w:shd w:val="clear" w:color="auto" w:fill="auto"/>
          </w:tcPr>
          <w:p w14:paraId="7DCFE24B" w14:textId="77777777" w:rsidR="00C1563E" w:rsidRDefault="00C1563E">
            <w:pPr>
              <w:rPr>
                <w:rFonts w:ascii="宋体"/>
                <w:vanish/>
              </w:rPr>
            </w:pPr>
          </w:p>
        </w:tc>
        <w:tc>
          <w:tcPr>
            <w:tcW w:w="0" w:type="auto"/>
            <w:shd w:val="clear" w:color="auto" w:fill="auto"/>
          </w:tcPr>
          <w:p w14:paraId="7DCFE24C" w14:textId="77777777" w:rsidR="00C1563E" w:rsidRDefault="00C1563E">
            <w:pPr>
              <w:rPr>
                <w:rFonts w:ascii="宋体"/>
                <w:vanish/>
              </w:rPr>
            </w:pPr>
          </w:p>
        </w:tc>
        <w:tc>
          <w:tcPr>
            <w:tcW w:w="0" w:type="auto"/>
            <w:shd w:val="clear" w:color="auto" w:fill="auto"/>
          </w:tcPr>
          <w:p w14:paraId="7DCFE24D" w14:textId="77777777" w:rsidR="00C1563E" w:rsidRDefault="00C1563E">
            <w:pPr>
              <w:rPr>
                <w:rFonts w:ascii="宋体"/>
                <w:vanish/>
              </w:rPr>
            </w:pPr>
          </w:p>
        </w:tc>
        <w:tc>
          <w:tcPr>
            <w:tcW w:w="0" w:type="auto"/>
            <w:shd w:val="clear" w:color="auto" w:fill="auto"/>
          </w:tcPr>
          <w:p w14:paraId="7DCFE24E"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CFE24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57" w14:textId="77777777" w:rsidR="00C1563E" w:rsidRDefault="00C1563E">
            <w:pPr>
              <w:rPr>
                <w:rFonts w:ascii="宋体"/>
              </w:rPr>
            </w:pPr>
          </w:p>
        </w:tc>
      </w:tr>
      <w:tr w:rsidR="00C1563E" w14:paraId="7DCFE26E" w14:textId="77777777">
        <w:trPr>
          <w:jc w:val="center"/>
        </w:trPr>
        <w:tc>
          <w:tcPr>
            <w:tcW w:w="0" w:type="auto"/>
            <w:gridSpan w:val="3"/>
            <w:shd w:val="clear" w:color="auto" w:fill="FFFFFF"/>
            <w:tcMar>
              <w:top w:w="40" w:type="dxa"/>
              <w:left w:w="155" w:type="dxa"/>
              <w:bottom w:w="40" w:type="dxa"/>
              <w:right w:w="20" w:type="dxa"/>
            </w:tcMar>
            <w:vAlign w:val="bottom"/>
          </w:tcPr>
          <w:p w14:paraId="7DCFE259" w14:textId="77777777" w:rsidR="00C1563E" w:rsidRDefault="000B648B">
            <w:pPr>
              <w:textAlignment w:val="bottom"/>
            </w:pPr>
            <w:r>
              <w:rPr>
                <w:rFonts w:ascii="Times New Roman" w:eastAsia="宋体" w:hAnsi="Times New Roman"/>
                <w:color w:val="000000"/>
                <w:sz w:val="20"/>
                <w:szCs w:val="20"/>
              </w:rPr>
              <w:t>VMware net revenue</w:t>
            </w:r>
          </w:p>
        </w:tc>
        <w:tc>
          <w:tcPr>
            <w:tcW w:w="0" w:type="auto"/>
            <w:shd w:val="clear" w:color="auto" w:fill="auto"/>
          </w:tcPr>
          <w:p w14:paraId="7DCFE25A" w14:textId="77777777" w:rsidR="00C1563E" w:rsidRDefault="00C1563E">
            <w:pPr>
              <w:rPr>
                <w:rFonts w:ascii="宋体"/>
                <w:vanish/>
              </w:rPr>
            </w:pPr>
          </w:p>
        </w:tc>
        <w:tc>
          <w:tcPr>
            <w:tcW w:w="0" w:type="auto"/>
            <w:shd w:val="clear" w:color="auto" w:fill="auto"/>
          </w:tcPr>
          <w:p w14:paraId="7DCFE25B" w14:textId="77777777" w:rsidR="00C1563E" w:rsidRDefault="00C1563E">
            <w:pPr>
              <w:rPr>
                <w:rFonts w:ascii="宋体"/>
                <w:vanish/>
              </w:rPr>
            </w:pPr>
          </w:p>
        </w:tc>
        <w:tc>
          <w:tcPr>
            <w:tcW w:w="0" w:type="auto"/>
            <w:shd w:val="clear" w:color="auto" w:fill="auto"/>
          </w:tcPr>
          <w:p w14:paraId="7DCFE25C" w14:textId="77777777" w:rsidR="00C1563E" w:rsidRDefault="00C1563E">
            <w:pPr>
              <w:rPr>
                <w:rFonts w:ascii="宋体"/>
                <w:vanish/>
              </w:rPr>
            </w:pPr>
          </w:p>
        </w:tc>
        <w:tc>
          <w:tcPr>
            <w:tcW w:w="0" w:type="auto"/>
            <w:shd w:val="clear" w:color="auto" w:fill="auto"/>
          </w:tcPr>
          <w:p w14:paraId="7DCFE25D" w14:textId="77777777" w:rsidR="00C1563E" w:rsidRDefault="00C1563E">
            <w:pPr>
              <w:rPr>
                <w:rFonts w:ascii="宋体"/>
                <w:vanish/>
              </w:rPr>
            </w:pPr>
          </w:p>
        </w:tc>
        <w:tc>
          <w:tcPr>
            <w:tcW w:w="0" w:type="auto"/>
            <w:shd w:val="clear" w:color="auto" w:fill="auto"/>
          </w:tcPr>
          <w:p w14:paraId="7DCFE25E" w14:textId="77777777" w:rsidR="00C1563E" w:rsidRDefault="00C1563E">
            <w:pPr>
              <w:rPr>
                <w:rFonts w:ascii="宋体"/>
                <w:vanish/>
              </w:rPr>
            </w:pPr>
          </w:p>
        </w:tc>
        <w:tc>
          <w:tcPr>
            <w:tcW w:w="0" w:type="auto"/>
            <w:shd w:val="clear" w:color="auto" w:fill="auto"/>
          </w:tcPr>
          <w:p w14:paraId="7DCFE25F" w14:textId="77777777" w:rsidR="00C1563E" w:rsidRDefault="00C1563E">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260"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261" w14:textId="77777777" w:rsidR="00C1563E" w:rsidRDefault="000B648B">
            <w:pPr>
              <w:jc w:val="right"/>
              <w:textAlignment w:val="bottom"/>
            </w:pPr>
            <w:r>
              <w:rPr>
                <w:rFonts w:ascii="Times New Roman" w:eastAsia="宋体" w:hAnsi="Times New Roman"/>
                <w:color w:val="000000"/>
                <w:sz w:val="20"/>
                <w:szCs w:val="20"/>
              </w:rPr>
              <w:t>11,873</w:t>
            </w:r>
          </w:p>
        </w:tc>
        <w:tc>
          <w:tcPr>
            <w:tcW w:w="0" w:type="auto"/>
            <w:gridSpan w:val="3"/>
            <w:shd w:val="clear" w:color="auto" w:fill="FFFFFF"/>
            <w:tcMar>
              <w:top w:w="0" w:type="dxa"/>
              <w:left w:w="20" w:type="dxa"/>
              <w:bottom w:w="0" w:type="dxa"/>
              <w:right w:w="20" w:type="dxa"/>
            </w:tcMar>
          </w:tcPr>
          <w:p w14:paraId="7DCFE26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263"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DCFE26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265"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266"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267" w14:textId="77777777" w:rsidR="00C1563E" w:rsidRDefault="000B648B">
            <w:pPr>
              <w:jc w:val="right"/>
              <w:textAlignment w:val="bottom"/>
            </w:pPr>
            <w:r>
              <w:rPr>
                <w:rFonts w:ascii="Times New Roman" w:eastAsia="宋体" w:hAnsi="Times New Roman"/>
                <w:color w:val="000000"/>
                <w:sz w:val="20"/>
                <w:szCs w:val="20"/>
              </w:rPr>
              <w:t>10,905</w:t>
            </w:r>
          </w:p>
        </w:tc>
        <w:tc>
          <w:tcPr>
            <w:tcW w:w="0" w:type="auto"/>
            <w:gridSpan w:val="3"/>
            <w:shd w:val="clear" w:color="auto" w:fill="FFFFFF"/>
            <w:tcMar>
              <w:top w:w="0" w:type="dxa"/>
              <w:left w:w="20" w:type="dxa"/>
              <w:bottom w:w="0" w:type="dxa"/>
              <w:right w:w="20" w:type="dxa"/>
            </w:tcMar>
          </w:tcPr>
          <w:p w14:paraId="7DCFE26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269"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DCFE26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E26B"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26C"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7DCFE26D" w14:textId="77777777" w:rsidR="00C1563E" w:rsidRDefault="000B648B">
            <w:pPr>
              <w:jc w:val="right"/>
              <w:textAlignment w:val="bottom"/>
            </w:pPr>
            <w:r>
              <w:rPr>
                <w:rFonts w:ascii="Times New Roman" w:eastAsia="宋体" w:hAnsi="Times New Roman"/>
                <w:color w:val="000000"/>
                <w:sz w:val="20"/>
                <w:szCs w:val="20"/>
              </w:rPr>
              <w:t>9,741</w:t>
            </w:r>
          </w:p>
        </w:tc>
      </w:tr>
      <w:tr w:rsidR="00C1563E" w14:paraId="7DCFE27F" w14:textId="77777777">
        <w:trPr>
          <w:trHeight w:val="300"/>
          <w:jc w:val="center"/>
        </w:trPr>
        <w:tc>
          <w:tcPr>
            <w:tcW w:w="0" w:type="auto"/>
            <w:gridSpan w:val="3"/>
            <w:shd w:val="clear" w:color="auto" w:fill="CCEEFF"/>
            <w:tcMar>
              <w:top w:w="0" w:type="dxa"/>
              <w:left w:w="20" w:type="dxa"/>
              <w:bottom w:w="0" w:type="dxa"/>
              <w:right w:w="20" w:type="dxa"/>
            </w:tcMar>
          </w:tcPr>
          <w:p w14:paraId="7DCFE26F" w14:textId="77777777" w:rsidR="00C1563E" w:rsidRDefault="00C1563E">
            <w:pPr>
              <w:rPr>
                <w:rFonts w:ascii="宋体"/>
              </w:rPr>
            </w:pPr>
          </w:p>
        </w:tc>
        <w:tc>
          <w:tcPr>
            <w:tcW w:w="0" w:type="auto"/>
            <w:shd w:val="clear" w:color="auto" w:fill="auto"/>
          </w:tcPr>
          <w:p w14:paraId="7DCFE270" w14:textId="77777777" w:rsidR="00C1563E" w:rsidRDefault="00C1563E">
            <w:pPr>
              <w:rPr>
                <w:rFonts w:ascii="宋体"/>
                <w:vanish/>
              </w:rPr>
            </w:pPr>
          </w:p>
        </w:tc>
        <w:tc>
          <w:tcPr>
            <w:tcW w:w="0" w:type="auto"/>
            <w:shd w:val="clear" w:color="auto" w:fill="auto"/>
          </w:tcPr>
          <w:p w14:paraId="7DCFE271" w14:textId="77777777" w:rsidR="00C1563E" w:rsidRDefault="00C1563E">
            <w:pPr>
              <w:rPr>
                <w:rFonts w:ascii="宋体"/>
                <w:vanish/>
              </w:rPr>
            </w:pPr>
          </w:p>
        </w:tc>
        <w:tc>
          <w:tcPr>
            <w:tcW w:w="0" w:type="auto"/>
            <w:shd w:val="clear" w:color="auto" w:fill="auto"/>
          </w:tcPr>
          <w:p w14:paraId="7DCFE272" w14:textId="77777777" w:rsidR="00C1563E" w:rsidRDefault="00C1563E">
            <w:pPr>
              <w:rPr>
                <w:rFonts w:ascii="宋体"/>
                <w:vanish/>
              </w:rPr>
            </w:pPr>
          </w:p>
        </w:tc>
        <w:tc>
          <w:tcPr>
            <w:tcW w:w="0" w:type="auto"/>
            <w:shd w:val="clear" w:color="auto" w:fill="auto"/>
          </w:tcPr>
          <w:p w14:paraId="7DCFE273" w14:textId="77777777" w:rsidR="00C1563E" w:rsidRDefault="00C1563E">
            <w:pPr>
              <w:rPr>
                <w:rFonts w:ascii="宋体"/>
                <w:vanish/>
              </w:rPr>
            </w:pPr>
          </w:p>
        </w:tc>
        <w:tc>
          <w:tcPr>
            <w:tcW w:w="0" w:type="auto"/>
            <w:shd w:val="clear" w:color="auto" w:fill="auto"/>
          </w:tcPr>
          <w:p w14:paraId="7DCFE274" w14:textId="77777777" w:rsidR="00C1563E" w:rsidRDefault="00C1563E">
            <w:pPr>
              <w:rPr>
                <w:rFonts w:ascii="宋体"/>
                <w:vanish/>
              </w:rPr>
            </w:pPr>
          </w:p>
        </w:tc>
        <w:tc>
          <w:tcPr>
            <w:tcW w:w="0" w:type="auto"/>
            <w:shd w:val="clear" w:color="auto" w:fill="auto"/>
          </w:tcPr>
          <w:p w14:paraId="7DCFE275" w14:textId="77777777" w:rsidR="00C1563E" w:rsidRDefault="00C1563E">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27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9"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27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27D"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27E" w14:textId="77777777" w:rsidR="00C1563E" w:rsidRDefault="00C1563E">
            <w:pPr>
              <w:rPr>
                <w:rFonts w:ascii="宋体"/>
              </w:rPr>
            </w:pPr>
          </w:p>
        </w:tc>
      </w:tr>
      <w:tr w:rsidR="00C1563E" w14:paraId="7DCFE290" w14:textId="77777777">
        <w:trPr>
          <w:jc w:val="center"/>
        </w:trPr>
        <w:tc>
          <w:tcPr>
            <w:tcW w:w="0" w:type="auto"/>
            <w:gridSpan w:val="3"/>
            <w:shd w:val="clear" w:color="auto" w:fill="FFFFFF"/>
            <w:tcMar>
              <w:top w:w="40" w:type="dxa"/>
              <w:left w:w="20" w:type="dxa"/>
              <w:bottom w:w="40" w:type="dxa"/>
              <w:right w:w="20" w:type="dxa"/>
            </w:tcMar>
            <w:vAlign w:val="bottom"/>
          </w:tcPr>
          <w:p w14:paraId="7DCFE280" w14:textId="77777777" w:rsidR="00C1563E" w:rsidRDefault="000B648B">
            <w:pPr>
              <w:textAlignment w:val="bottom"/>
            </w:pPr>
            <w:r>
              <w:rPr>
                <w:rFonts w:ascii="Times New Roman" w:eastAsia="宋体" w:hAnsi="Times New Roman"/>
                <w:i/>
                <w:iCs/>
                <w:color w:val="000000"/>
                <w:sz w:val="20"/>
                <w:szCs w:val="20"/>
              </w:rPr>
              <w:t>Operating income:</w:t>
            </w:r>
          </w:p>
        </w:tc>
        <w:tc>
          <w:tcPr>
            <w:tcW w:w="0" w:type="auto"/>
            <w:shd w:val="clear" w:color="auto" w:fill="auto"/>
          </w:tcPr>
          <w:p w14:paraId="7DCFE281" w14:textId="77777777" w:rsidR="00C1563E" w:rsidRDefault="00C1563E">
            <w:pPr>
              <w:rPr>
                <w:rFonts w:ascii="宋体"/>
                <w:vanish/>
              </w:rPr>
            </w:pPr>
          </w:p>
        </w:tc>
        <w:tc>
          <w:tcPr>
            <w:tcW w:w="0" w:type="auto"/>
            <w:shd w:val="clear" w:color="auto" w:fill="auto"/>
          </w:tcPr>
          <w:p w14:paraId="7DCFE282" w14:textId="77777777" w:rsidR="00C1563E" w:rsidRDefault="00C1563E">
            <w:pPr>
              <w:rPr>
                <w:rFonts w:ascii="宋体"/>
                <w:vanish/>
              </w:rPr>
            </w:pPr>
          </w:p>
        </w:tc>
        <w:tc>
          <w:tcPr>
            <w:tcW w:w="0" w:type="auto"/>
            <w:shd w:val="clear" w:color="auto" w:fill="auto"/>
          </w:tcPr>
          <w:p w14:paraId="7DCFE283" w14:textId="77777777" w:rsidR="00C1563E" w:rsidRDefault="00C1563E">
            <w:pPr>
              <w:rPr>
                <w:rFonts w:ascii="宋体"/>
                <w:vanish/>
              </w:rPr>
            </w:pPr>
          </w:p>
        </w:tc>
        <w:tc>
          <w:tcPr>
            <w:tcW w:w="0" w:type="auto"/>
            <w:shd w:val="clear" w:color="auto" w:fill="auto"/>
          </w:tcPr>
          <w:p w14:paraId="7DCFE284" w14:textId="77777777" w:rsidR="00C1563E" w:rsidRDefault="00C1563E">
            <w:pPr>
              <w:rPr>
                <w:rFonts w:ascii="宋体"/>
                <w:vanish/>
              </w:rPr>
            </w:pPr>
          </w:p>
        </w:tc>
        <w:tc>
          <w:tcPr>
            <w:tcW w:w="0" w:type="auto"/>
            <w:shd w:val="clear" w:color="auto" w:fill="auto"/>
          </w:tcPr>
          <w:p w14:paraId="7DCFE285" w14:textId="77777777" w:rsidR="00C1563E" w:rsidRDefault="00C1563E">
            <w:pPr>
              <w:rPr>
                <w:rFonts w:ascii="宋体"/>
                <w:vanish/>
              </w:rPr>
            </w:pPr>
          </w:p>
        </w:tc>
        <w:tc>
          <w:tcPr>
            <w:tcW w:w="0" w:type="auto"/>
            <w:shd w:val="clear" w:color="auto" w:fill="auto"/>
          </w:tcPr>
          <w:p w14:paraId="7DCFE286"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CFE28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8F" w14:textId="77777777" w:rsidR="00C1563E" w:rsidRDefault="00C1563E">
            <w:pPr>
              <w:rPr>
                <w:rFonts w:ascii="宋体"/>
              </w:rPr>
            </w:pPr>
          </w:p>
        </w:tc>
      </w:tr>
      <w:tr w:rsidR="00C1563E" w14:paraId="7DCFE2A6" w14:textId="77777777">
        <w:trPr>
          <w:jc w:val="center"/>
        </w:trPr>
        <w:tc>
          <w:tcPr>
            <w:tcW w:w="0" w:type="auto"/>
            <w:gridSpan w:val="3"/>
            <w:shd w:val="clear" w:color="auto" w:fill="CCEEFF"/>
            <w:tcMar>
              <w:top w:w="40" w:type="dxa"/>
              <w:left w:w="155" w:type="dxa"/>
              <w:bottom w:w="40" w:type="dxa"/>
              <w:right w:w="20" w:type="dxa"/>
            </w:tcMar>
            <w:vAlign w:val="bottom"/>
          </w:tcPr>
          <w:p w14:paraId="7DCFE291" w14:textId="77777777" w:rsidR="00C1563E" w:rsidRDefault="000B648B">
            <w:pPr>
              <w:textAlignment w:val="bottom"/>
            </w:pPr>
            <w:r>
              <w:rPr>
                <w:rFonts w:ascii="Times New Roman" w:eastAsia="宋体" w:hAnsi="Times New Roman"/>
                <w:color w:val="000000"/>
                <w:sz w:val="20"/>
                <w:szCs w:val="20"/>
              </w:rPr>
              <w:t>VMware operating income</w:t>
            </w:r>
          </w:p>
        </w:tc>
        <w:tc>
          <w:tcPr>
            <w:tcW w:w="0" w:type="auto"/>
            <w:shd w:val="clear" w:color="auto" w:fill="auto"/>
          </w:tcPr>
          <w:p w14:paraId="7DCFE292" w14:textId="77777777" w:rsidR="00C1563E" w:rsidRDefault="00C1563E">
            <w:pPr>
              <w:rPr>
                <w:rFonts w:ascii="宋体"/>
                <w:vanish/>
              </w:rPr>
            </w:pPr>
          </w:p>
        </w:tc>
        <w:tc>
          <w:tcPr>
            <w:tcW w:w="0" w:type="auto"/>
            <w:shd w:val="clear" w:color="auto" w:fill="auto"/>
          </w:tcPr>
          <w:p w14:paraId="7DCFE293" w14:textId="77777777" w:rsidR="00C1563E" w:rsidRDefault="00C1563E">
            <w:pPr>
              <w:rPr>
                <w:rFonts w:ascii="宋体"/>
                <w:vanish/>
              </w:rPr>
            </w:pPr>
          </w:p>
        </w:tc>
        <w:tc>
          <w:tcPr>
            <w:tcW w:w="0" w:type="auto"/>
            <w:shd w:val="clear" w:color="auto" w:fill="auto"/>
          </w:tcPr>
          <w:p w14:paraId="7DCFE294" w14:textId="77777777" w:rsidR="00C1563E" w:rsidRDefault="00C1563E">
            <w:pPr>
              <w:rPr>
                <w:rFonts w:ascii="宋体"/>
                <w:vanish/>
              </w:rPr>
            </w:pPr>
          </w:p>
        </w:tc>
        <w:tc>
          <w:tcPr>
            <w:tcW w:w="0" w:type="auto"/>
            <w:shd w:val="clear" w:color="auto" w:fill="auto"/>
          </w:tcPr>
          <w:p w14:paraId="7DCFE295" w14:textId="77777777" w:rsidR="00C1563E" w:rsidRDefault="00C1563E">
            <w:pPr>
              <w:rPr>
                <w:rFonts w:ascii="宋体"/>
                <w:vanish/>
              </w:rPr>
            </w:pPr>
          </w:p>
        </w:tc>
        <w:tc>
          <w:tcPr>
            <w:tcW w:w="0" w:type="auto"/>
            <w:shd w:val="clear" w:color="auto" w:fill="auto"/>
          </w:tcPr>
          <w:p w14:paraId="7DCFE296" w14:textId="77777777" w:rsidR="00C1563E" w:rsidRDefault="00C1563E">
            <w:pPr>
              <w:rPr>
                <w:rFonts w:ascii="宋体"/>
                <w:vanish/>
              </w:rPr>
            </w:pPr>
          </w:p>
        </w:tc>
        <w:tc>
          <w:tcPr>
            <w:tcW w:w="0" w:type="auto"/>
            <w:shd w:val="clear" w:color="auto" w:fill="auto"/>
          </w:tcPr>
          <w:p w14:paraId="7DCFE297"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298"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299" w14:textId="77777777" w:rsidR="00C1563E" w:rsidRDefault="000B648B">
            <w:pPr>
              <w:jc w:val="right"/>
              <w:textAlignment w:val="bottom"/>
            </w:pPr>
            <w:r>
              <w:rPr>
                <w:rFonts w:ascii="Times New Roman" w:eastAsia="宋体" w:hAnsi="Times New Roman"/>
                <w:color w:val="000000"/>
                <w:sz w:val="20"/>
                <w:szCs w:val="20"/>
              </w:rPr>
              <w:t>3,571</w:t>
            </w:r>
          </w:p>
        </w:tc>
        <w:tc>
          <w:tcPr>
            <w:tcW w:w="0" w:type="auto"/>
            <w:gridSpan w:val="3"/>
            <w:shd w:val="clear" w:color="auto" w:fill="CCEEFF"/>
            <w:tcMar>
              <w:top w:w="0" w:type="dxa"/>
              <w:left w:w="20" w:type="dxa"/>
              <w:bottom w:w="0" w:type="dxa"/>
              <w:right w:w="20" w:type="dxa"/>
            </w:tcMar>
          </w:tcPr>
          <w:p w14:paraId="7DCFE29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29B"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E29C"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29D"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29E"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29F" w14:textId="77777777" w:rsidR="00C1563E" w:rsidRDefault="000B648B">
            <w:pPr>
              <w:jc w:val="right"/>
              <w:textAlignment w:val="bottom"/>
            </w:pPr>
            <w:r>
              <w:rPr>
                <w:rFonts w:ascii="Times New Roman" w:eastAsia="宋体" w:hAnsi="Times New Roman"/>
                <w:color w:val="000000"/>
                <w:sz w:val="20"/>
                <w:szCs w:val="20"/>
              </w:rPr>
              <w:t>3,081</w:t>
            </w:r>
          </w:p>
        </w:tc>
        <w:tc>
          <w:tcPr>
            <w:tcW w:w="0" w:type="auto"/>
            <w:gridSpan w:val="3"/>
            <w:shd w:val="clear" w:color="auto" w:fill="CCEEFF"/>
            <w:tcMar>
              <w:top w:w="0" w:type="dxa"/>
              <w:left w:w="20" w:type="dxa"/>
              <w:bottom w:w="0" w:type="dxa"/>
              <w:right w:w="20" w:type="dxa"/>
            </w:tcMar>
          </w:tcPr>
          <w:p w14:paraId="7DCFE2A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2A1"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DCFE2A2"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CFE2A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2A4"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E2A5" w14:textId="77777777" w:rsidR="00C1563E" w:rsidRDefault="000B648B">
            <w:pPr>
              <w:jc w:val="right"/>
              <w:textAlignment w:val="bottom"/>
            </w:pPr>
            <w:r>
              <w:rPr>
                <w:rFonts w:ascii="Times New Roman" w:eastAsia="宋体" w:hAnsi="Times New Roman"/>
                <w:color w:val="000000"/>
                <w:sz w:val="20"/>
                <w:szCs w:val="20"/>
              </w:rPr>
              <w:t>2,926</w:t>
            </w:r>
          </w:p>
        </w:tc>
      </w:tr>
      <w:tr w:rsidR="00C1563E" w14:paraId="7DCFE2BA" w14:textId="77777777">
        <w:trPr>
          <w:jc w:val="center"/>
        </w:trPr>
        <w:tc>
          <w:tcPr>
            <w:tcW w:w="0" w:type="auto"/>
            <w:gridSpan w:val="3"/>
            <w:shd w:val="clear" w:color="auto" w:fill="FFFFFF"/>
            <w:tcMar>
              <w:top w:w="40" w:type="dxa"/>
              <w:left w:w="155" w:type="dxa"/>
              <w:bottom w:w="40" w:type="dxa"/>
              <w:right w:w="20" w:type="dxa"/>
            </w:tcMar>
            <w:vAlign w:val="bottom"/>
          </w:tcPr>
          <w:p w14:paraId="7DCFE2A7" w14:textId="77777777" w:rsidR="00C1563E" w:rsidRDefault="000B648B">
            <w:pPr>
              <w:textAlignment w:val="bottom"/>
            </w:pPr>
            <w:r>
              <w:rPr>
                <w:rFonts w:ascii="Times New Roman" w:eastAsia="宋体" w:hAnsi="Times New Roman"/>
                <w:i/>
                <w:iCs/>
                <w:color w:val="000000"/>
                <w:sz w:val="20"/>
                <w:szCs w:val="20"/>
              </w:rPr>
              <w:t>% of segment net revenue</w:t>
            </w:r>
          </w:p>
        </w:tc>
        <w:tc>
          <w:tcPr>
            <w:tcW w:w="0" w:type="auto"/>
            <w:shd w:val="clear" w:color="auto" w:fill="auto"/>
          </w:tcPr>
          <w:p w14:paraId="7DCFE2A8" w14:textId="77777777" w:rsidR="00C1563E" w:rsidRDefault="00C1563E">
            <w:pPr>
              <w:rPr>
                <w:rFonts w:ascii="宋体"/>
                <w:vanish/>
              </w:rPr>
            </w:pPr>
          </w:p>
        </w:tc>
        <w:tc>
          <w:tcPr>
            <w:tcW w:w="0" w:type="auto"/>
            <w:shd w:val="clear" w:color="auto" w:fill="auto"/>
          </w:tcPr>
          <w:p w14:paraId="7DCFE2A9" w14:textId="77777777" w:rsidR="00C1563E" w:rsidRDefault="00C1563E">
            <w:pPr>
              <w:rPr>
                <w:rFonts w:ascii="宋体"/>
                <w:vanish/>
              </w:rPr>
            </w:pPr>
          </w:p>
        </w:tc>
        <w:tc>
          <w:tcPr>
            <w:tcW w:w="0" w:type="auto"/>
            <w:shd w:val="clear" w:color="auto" w:fill="auto"/>
          </w:tcPr>
          <w:p w14:paraId="7DCFE2AA" w14:textId="77777777" w:rsidR="00C1563E" w:rsidRDefault="00C1563E">
            <w:pPr>
              <w:rPr>
                <w:rFonts w:ascii="宋体"/>
                <w:vanish/>
              </w:rPr>
            </w:pPr>
          </w:p>
        </w:tc>
        <w:tc>
          <w:tcPr>
            <w:tcW w:w="0" w:type="auto"/>
            <w:shd w:val="clear" w:color="auto" w:fill="auto"/>
          </w:tcPr>
          <w:p w14:paraId="7DCFE2AB" w14:textId="77777777" w:rsidR="00C1563E" w:rsidRDefault="00C1563E">
            <w:pPr>
              <w:rPr>
                <w:rFonts w:ascii="宋体"/>
                <w:vanish/>
              </w:rPr>
            </w:pPr>
          </w:p>
        </w:tc>
        <w:tc>
          <w:tcPr>
            <w:tcW w:w="0" w:type="auto"/>
            <w:shd w:val="clear" w:color="auto" w:fill="auto"/>
          </w:tcPr>
          <w:p w14:paraId="7DCFE2AC" w14:textId="77777777" w:rsidR="00C1563E" w:rsidRDefault="00C1563E">
            <w:pPr>
              <w:rPr>
                <w:rFonts w:ascii="宋体"/>
                <w:vanish/>
              </w:rPr>
            </w:pPr>
          </w:p>
        </w:tc>
        <w:tc>
          <w:tcPr>
            <w:tcW w:w="0" w:type="auto"/>
            <w:shd w:val="clear" w:color="auto" w:fill="auto"/>
          </w:tcPr>
          <w:p w14:paraId="7DCFE2AD" w14:textId="77777777" w:rsidR="00C1563E" w:rsidRDefault="00C1563E">
            <w:pPr>
              <w:rPr>
                <w:rFonts w:ascii="宋体"/>
                <w:vanish/>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DCFE2AE" w14:textId="77777777" w:rsidR="00C1563E" w:rsidRDefault="000B648B">
            <w:pPr>
              <w:jc w:val="right"/>
              <w:textAlignment w:val="bottom"/>
            </w:pPr>
            <w:r>
              <w:rPr>
                <w:rFonts w:ascii="Times New Roman" w:eastAsia="宋体" w:hAnsi="Times New Roman"/>
                <w:i/>
                <w:iCs/>
                <w:color w:val="000000"/>
                <w:sz w:val="20"/>
                <w:szCs w:val="20"/>
              </w:rPr>
              <w:t>30.1 </w:t>
            </w:r>
          </w:p>
        </w:tc>
        <w:tc>
          <w:tcPr>
            <w:tcW w:w="0" w:type="auto"/>
            <w:tcBorders>
              <w:top w:val="single" w:sz="8" w:space="0" w:color="000000"/>
            </w:tcBorders>
            <w:shd w:val="clear" w:color="auto" w:fill="auto"/>
            <w:tcMar>
              <w:top w:w="40" w:type="dxa"/>
              <w:left w:w="0" w:type="dxa"/>
              <w:bottom w:w="40" w:type="dxa"/>
              <w:right w:w="20" w:type="dxa"/>
            </w:tcMar>
            <w:vAlign w:val="bottom"/>
          </w:tcPr>
          <w:p w14:paraId="7DCFE2AF"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2B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B2" w14:textId="77777777" w:rsidR="00C1563E" w:rsidRDefault="00C1563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DCFE2B3" w14:textId="77777777" w:rsidR="00C1563E" w:rsidRDefault="000B648B">
            <w:pPr>
              <w:jc w:val="right"/>
              <w:textAlignment w:val="bottom"/>
            </w:pPr>
            <w:r>
              <w:rPr>
                <w:rFonts w:ascii="Times New Roman" w:eastAsia="宋体" w:hAnsi="Times New Roman"/>
                <w:i/>
                <w:iCs/>
                <w:color w:val="000000"/>
                <w:sz w:val="20"/>
                <w:szCs w:val="20"/>
              </w:rPr>
              <w:t>28.3 </w:t>
            </w:r>
          </w:p>
        </w:tc>
        <w:tc>
          <w:tcPr>
            <w:tcW w:w="0" w:type="auto"/>
            <w:tcBorders>
              <w:top w:val="single" w:sz="8" w:space="0" w:color="000000"/>
            </w:tcBorders>
            <w:shd w:val="clear" w:color="auto" w:fill="auto"/>
            <w:tcMar>
              <w:top w:w="40" w:type="dxa"/>
              <w:left w:w="0" w:type="dxa"/>
              <w:bottom w:w="40" w:type="dxa"/>
              <w:right w:w="20" w:type="dxa"/>
            </w:tcMar>
            <w:vAlign w:val="bottom"/>
          </w:tcPr>
          <w:p w14:paraId="7DCFE2B4" w14:textId="77777777" w:rsidR="00C1563E" w:rsidRDefault="000B648B">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tcPr>
          <w:p w14:paraId="7DCFE2B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B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2B7" w14:textId="77777777" w:rsidR="00C1563E" w:rsidRDefault="00C1563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DCFE2B8" w14:textId="77777777" w:rsidR="00C1563E" w:rsidRDefault="000B648B">
            <w:pPr>
              <w:jc w:val="right"/>
              <w:textAlignment w:val="bottom"/>
            </w:pPr>
            <w:r>
              <w:rPr>
                <w:rFonts w:ascii="Times New Roman" w:eastAsia="宋体" w:hAnsi="Times New Roman"/>
                <w:i/>
                <w:iCs/>
                <w:color w:val="000000"/>
                <w:sz w:val="20"/>
                <w:szCs w:val="20"/>
              </w:rPr>
              <w:t>30.0 </w:t>
            </w:r>
          </w:p>
        </w:tc>
        <w:tc>
          <w:tcPr>
            <w:tcW w:w="0" w:type="auto"/>
            <w:tcBorders>
              <w:top w:val="single" w:sz="8" w:space="0" w:color="000000"/>
            </w:tcBorders>
            <w:shd w:val="clear" w:color="auto" w:fill="auto"/>
            <w:tcMar>
              <w:top w:w="40" w:type="dxa"/>
              <w:left w:w="0" w:type="dxa"/>
              <w:bottom w:w="40" w:type="dxa"/>
              <w:right w:w="20" w:type="dxa"/>
            </w:tcMar>
            <w:vAlign w:val="bottom"/>
          </w:tcPr>
          <w:p w14:paraId="7DCFE2B9" w14:textId="77777777" w:rsidR="00C1563E" w:rsidRDefault="000B648B">
            <w:pPr>
              <w:jc w:val="right"/>
              <w:textAlignment w:val="bottom"/>
            </w:pPr>
            <w:r>
              <w:rPr>
                <w:rFonts w:ascii="Times New Roman" w:eastAsia="宋体" w:hAnsi="Times New Roman"/>
                <w:i/>
                <w:iCs/>
                <w:color w:val="000000"/>
                <w:sz w:val="20"/>
                <w:szCs w:val="20"/>
              </w:rPr>
              <w:t>%</w:t>
            </w:r>
          </w:p>
        </w:tc>
      </w:tr>
    </w:tbl>
    <w:p w14:paraId="7DCFE2BB" w14:textId="77777777" w:rsidR="00C1563E" w:rsidRDefault="00C1563E"/>
    <w:p w14:paraId="7DCFE2BC" w14:textId="77777777" w:rsidR="00C1563E" w:rsidRDefault="000B648B">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VMware net revenue, inclusive of Pivotal, primarily consists of revenue from the sale of software licenses under perpetual licenses and subscription and software-as-a-service (“S</w:t>
      </w:r>
      <w:r>
        <w:rPr>
          <w:rFonts w:ascii="Times New Roman" w:eastAsia="宋体" w:hAnsi="Times New Roman"/>
          <w:color w:val="000000"/>
          <w:sz w:val="20"/>
          <w:szCs w:val="20"/>
        </w:rPr>
        <w:t>aaS”) offerings, as well as related software maintenance services, support, training, consulting services, and hosted services. VMware net revenue during Fiscal 2021 increased 9% primarily due to growth in sales of subscriptions and SaaS offerings, as well</w:t>
      </w:r>
      <w:r>
        <w:rPr>
          <w:rFonts w:ascii="Times New Roman" w:eastAsia="宋体" w:hAnsi="Times New Roman"/>
          <w:color w:val="000000"/>
          <w:sz w:val="20"/>
          <w:szCs w:val="20"/>
        </w:rPr>
        <w:t xml:space="preserve"> as an increase in sales of software maintenance services. Growth in sales of subscriptions and SaaS offerings was primarily driven by increased demand for hybrid cloud offerings and digital workspaces. Software maintenance revenue benefited from maintenan</w:t>
      </w:r>
      <w:r>
        <w:rPr>
          <w:rFonts w:ascii="Times New Roman" w:eastAsia="宋体" w:hAnsi="Times New Roman"/>
          <w:color w:val="000000"/>
          <w:sz w:val="20"/>
          <w:szCs w:val="20"/>
        </w:rPr>
        <w:t>ce contracts sold in previous periods.</w:t>
      </w:r>
    </w:p>
    <w:p w14:paraId="7DCFE2BD" w14:textId="77777777" w:rsidR="00C1563E" w:rsidRDefault="00C1563E"/>
    <w:p w14:paraId="7DCFE2BE" w14:textId="77777777" w:rsidR="00C1563E" w:rsidRDefault="000B648B">
      <w:r>
        <w:rPr>
          <w:rFonts w:ascii="Times New Roman" w:eastAsia="宋体" w:hAnsi="Times New Roman"/>
          <w:color w:val="000000"/>
          <w:sz w:val="20"/>
          <w:szCs w:val="20"/>
        </w:rPr>
        <w:t>From a geographical perspective, approximately half of VMware net revenue during Fiscal 2021 was generated by sales to customers in the United States. VMware net revenue for Fiscal 2021 increased in both the United S</w:t>
      </w:r>
      <w:r>
        <w:rPr>
          <w:rFonts w:ascii="Times New Roman" w:eastAsia="宋体" w:hAnsi="Times New Roman"/>
          <w:color w:val="000000"/>
          <w:sz w:val="20"/>
          <w:szCs w:val="20"/>
        </w:rPr>
        <w:t xml:space="preserve">tates and internationally. </w:t>
      </w:r>
    </w:p>
    <w:p w14:paraId="7DCFE2BF" w14:textId="77777777" w:rsidR="00C1563E" w:rsidRDefault="00C1563E"/>
    <w:p w14:paraId="7DCFE2C0" w14:textId="77777777" w:rsidR="00C1563E" w:rsidRDefault="000B648B">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Fiscal 2021, VMware operating income as a percentage of net revenue increased 180 basis points to 30.1%. The increase was primarily driven by a decrease in VMware selling, general, and administrative e</w:t>
      </w:r>
      <w:r>
        <w:rPr>
          <w:rFonts w:ascii="Times New Roman" w:eastAsia="宋体" w:hAnsi="Times New Roman"/>
          <w:color w:val="000000"/>
          <w:sz w:val="20"/>
          <w:szCs w:val="20"/>
        </w:rPr>
        <w:t>xpenses as a percentage of net revenue, as we benefited from decreased travel-related costs resulting from travel restrictions imposed in response to the COVID-19 pandemic. While the COVID-19 pandemic has not had a significant adverse financial impact on V</w:t>
      </w:r>
      <w:r>
        <w:rPr>
          <w:rFonts w:ascii="Times New Roman" w:eastAsia="宋体" w:hAnsi="Times New Roman"/>
          <w:color w:val="000000"/>
          <w:sz w:val="20"/>
          <w:szCs w:val="20"/>
        </w:rPr>
        <w:t>Mware operations to date, there continues to be significant uncertainty regarding the economic effects of the COVID-19 pandemic and the extent to which it may have a negative impact on VMware’s sales and results of operations in Fiscal 2022.</w:t>
      </w:r>
    </w:p>
    <w:p w14:paraId="7DCFE2C1" w14:textId="77777777" w:rsidR="00C1563E" w:rsidRDefault="00C1563E">
      <w:pPr>
        <w:jc w:val="center"/>
      </w:pPr>
    </w:p>
    <w:p w14:paraId="7DCFE2C2" w14:textId="77777777" w:rsidR="00C1563E" w:rsidRDefault="000B648B">
      <w:pPr>
        <w:jc w:val="center"/>
      </w:pPr>
      <w:r>
        <w:rPr>
          <w:rFonts w:ascii="Times New Roman" w:eastAsia="宋体" w:hAnsi="Times New Roman"/>
          <w:color w:val="000000"/>
          <w:sz w:val="20"/>
          <w:szCs w:val="20"/>
        </w:rPr>
        <w:t>57</w:t>
      </w:r>
    </w:p>
    <w:p w14:paraId="7DCFE2C3" w14:textId="77777777" w:rsidR="00C1563E" w:rsidRDefault="00C1563E">
      <w:pPr>
        <w:jc w:val="center"/>
      </w:pPr>
    </w:p>
    <w:p w14:paraId="7DCFE2C4" w14:textId="77777777" w:rsidR="00C1563E" w:rsidRDefault="000B648B">
      <w:r>
        <w:pict w14:anchorId="7DD025A3">
          <v:rect id="_x0000_i1081" style="width:415.3pt;height:1.5pt" o:hralign="center" o:hrstd="t" o:hr="t" fillcolor="#a0a0a0" stroked="f"/>
        </w:pict>
      </w:r>
    </w:p>
    <w:p w14:paraId="7DCFE2C5" w14:textId="77777777" w:rsidR="00C1563E" w:rsidRDefault="000B648B">
      <w:hyperlink r:id="rId133" w:anchor="i418e32e4a35149ffbf7d3a25d66881b8_10" w:history="1">
        <w:r>
          <w:rPr>
            <w:rStyle w:val="a5"/>
            <w:rFonts w:ascii="Times New Roman" w:eastAsia="宋体" w:hAnsi="Times New Roman"/>
            <w:sz w:val="20"/>
            <w:szCs w:val="20"/>
          </w:rPr>
          <w:t>Table of Contents</w:t>
        </w:r>
      </w:hyperlink>
    </w:p>
    <w:p w14:paraId="7DCFE2C6" w14:textId="77777777" w:rsidR="00C1563E" w:rsidRDefault="000B648B">
      <w:r>
        <w:rPr>
          <w:rFonts w:ascii="Times New Roman" w:eastAsia="宋体" w:hAnsi="Times New Roman"/>
          <w:b/>
          <w:bCs/>
          <w:color w:val="000000"/>
          <w:sz w:val="20"/>
          <w:szCs w:val="20"/>
        </w:rPr>
        <w:t>OTHER BALANCE SHEET ITEMS</w:t>
      </w:r>
    </w:p>
    <w:p w14:paraId="7DCFE2C7" w14:textId="77777777" w:rsidR="00C1563E" w:rsidRDefault="00C1563E"/>
    <w:p w14:paraId="7DCFE2C8" w14:textId="77777777" w:rsidR="00C1563E" w:rsidRDefault="000B648B">
      <w:r>
        <w:rPr>
          <w:rFonts w:ascii="Times New Roman" w:eastAsia="宋体" w:hAnsi="Times New Roman"/>
          <w:b/>
          <w:bCs/>
          <w:color w:val="000000"/>
          <w:sz w:val="20"/>
          <w:szCs w:val="20"/>
        </w:rPr>
        <w:t xml:space="preserve">Accounts Receivable </w:t>
      </w:r>
    </w:p>
    <w:p w14:paraId="7DCFE2C9" w14:textId="77777777" w:rsidR="00C1563E" w:rsidRDefault="00C1563E"/>
    <w:p w14:paraId="7DCFE2CA" w14:textId="77777777" w:rsidR="00C1563E" w:rsidRDefault="000B648B">
      <w:r>
        <w:rPr>
          <w:rFonts w:ascii="Times New Roman" w:eastAsia="宋体" w:hAnsi="Times New Roman"/>
          <w:color w:val="000000"/>
          <w:sz w:val="20"/>
          <w:szCs w:val="20"/>
        </w:rPr>
        <w:t xml:space="preserve">We sell products and services </w:t>
      </w:r>
      <w:r>
        <w:rPr>
          <w:rFonts w:ascii="Times New Roman" w:eastAsia="宋体" w:hAnsi="Times New Roman"/>
          <w:color w:val="000000"/>
          <w:sz w:val="20"/>
          <w:szCs w:val="20"/>
        </w:rPr>
        <w:t>directly to customers and through a variety sales channels, including retail distribution. Our accounts receivable, net, was $12.8 billion and $12.5 billion as of January 29, 2021 and January 31, 2020, respectively. We maintain an allowance for expected cr</w:t>
      </w:r>
      <w:r>
        <w:rPr>
          <w:rFonts w:ascii="Times New Roman" w:eastAsia="宋体" w:hAnsi="Times New Roman"/>
          <w:color w:val="000000"/>
          <w:sz w:val="20"/>
          <w:szCs w:val="20"/>
        </w:rPr>
        <w:t xml:space="preserve">edit losses to cover receivables that may be deemed uncollectible. The allowance for expected credit losses is an estimate based on an analysis of historical loss experience, current receivables aging, and management’s assessment of current conditions and </w:t>
      </w:r>
      <w:r>
        <w:rPr>
          <w:rFonts w:ascii="Times New Roman" w:eastAsia="宋体" w:hAnsi="Times New Roman"/>
          <w:color w:val="000000"/>
          <w:sz w:val="20"/>
          <w:szCs w:val="20"/>
        </w:rPr>
        <w:t>reasonable and supportable expectation of future conditions, as well as specific identifiable customer accounts that are deemed at risk. Our analysis includes assumptions regarding the impact of COVID-19 and continued market volatility, which is highly unc</w:t>
      </w:r>
      <w:r>
        <w:rPr>
          <w:rFonts w:ascii="Times New Roman" w:eastAsia="宋体" w:hAnsi="Times New Roman"/>
          <w:color w:val="000000"/>
          <w:sz w:val="20"/>
          <w:szCs w:val="20"/>
        </w:rPr>
        <w:t>ertain and subject to significant judgment. Given this uncertainty, our allowance for expected credit losses in future periods may vary from our current estimates. As of January 29, 2021 and January 31, 2020, the allowance for expected credit losses was $1</w:t>
      </w:r>
      <w:r>
        <w:rPr>
          <w:rFonts w:ascii="Times New Roman" w:eastAsia="宋体" w:hAnsi="Times New Roman"/>
          <w:color w:val="000000"/>
          <w:sz w:val="20"/>
          <w:szCs w:val="20"/>
        </w:rPr>
        <w:t>04 million and $94 million, respectively. Allowance for expected credit losses of trade receivables as of January 29, 2021 includes the impact of adoption of the new current expected credit losses (“CECL”) standard, which was adopted as of February 1, 2020</w:t>
      </w:r>
      <w:r>
        <w:rPr>
          <w:rFonts w:ascii="Times New Roman" w:eastAsia="宋体" w:hAnsi="Times New Roman"/>
          <w:color w:val="000000"/>
          <w:sz w:val="20"/>
          <w:szCs w:val="20"/>
        </w:rPr>
        <w:t xml:space="preserve"> using the modified retrospective method. Based on our assessment, we believe that we are adequately reserved for expected credit losses. We will continue to monitor the aging of our accounts receivable and take actions, where necessary, to reduce our expo</w:t>
      </w:r>
      <w:r>
        <w:rPr>
          <w:rFonts w:ascii="Times New Roman" w:eastAsia="宋体" w:hAnsi="Times New Roman"/>
          <w:color w:val="000000"/>
          <w:sz w:val="20"/>
          <w:szCs w:val="20"/>
        </w:rPr>
        <w:t>sure to credit losses.</w:t>
      </w:r>
    </w:p>
    <w:p w14:paraId="7DCFE2CB" w14:textId="77777777" w:rsidR="00C1563E" w:rsidRDefault="00C1563E"/>
    <w:p w14:paraId="7DCFE2CC" w14:textId="77777777" w:rsidR="00C1563E" w:rsidRDefault="000B648B">
      <w:r>
        <w:rPr>
          <w:rFonts w:ascii="Times New Roman" w:eastAsia="宋体" w:hAnsi="Times New Roman"/>
          <w:b/>
          <w:bCs/>
          <w:color w:val="000000"/>
          <w:sz w:val="20"/>
          <w:szCs w:val="20"/>
        </w:rPr>
        <w:t>Dell Financial Services and Financing Receivables</w:t>
      </w:r>
    </w:p>
    <w:p w14:paraId="7DCFE2CD" w14:textId="77777777" w:rsidR="00C1563E" w:rsidRDefault="00C1563E"/>
    <w:p w14:paraId="7DCFE2CE" w14:textId="77777777" w:rsidR="00C1563E" w:rsidRDefault="000B648B">
      <w:r>
        <w:rPr>
          <w:rFonts w:ascii="Times New Roman" w:eastAsia="宋体" w:hAnsi="Times New Roman"/>
          <w:color w:val="000000"/>
          <w:sz w:val="20"/>
          <w:szCs w:val="20"/>
        </w:rPr>
        <w:t>DFS supports Dell Technologies by offering and arranging various financing options and services for our customers globally, including through captive financing operations in North A</w:t>
      </w:r>
      <w:r>
        <w:rPr>
          <w:rFonts w:ascii="Times New Roman" w:eastAsia="宋体" w:hAnsi="Times New Roman"/>
          <w:color w:val="000000"/>
          <w:sz w:val="20"/>
          <w:szCs w:val="20"/>
        </w:rPr>
        <w:t>merica, Europe, Australia, and New Zealand. DFS originates, collects, and services customer receivables primarily related to the purchase of our product, software, and service solutions. DFS further strengthens our customer relationships through its flexib</w:t>
      </w:r>
      <w:r>
        <w:rPr>
          <w:rFonts w:ascii="Times New Roman" w:eastAsia="宋体" w:hAnsi="Times New Roman"/>
          <w:color w:val="000000"/>
          <w:sz w:val="20"/>
          <w:szCs w:val="20"/>
        </w:rPr>
        <w:t xml:space="preserve">le consumption models, which enable us to offer our customers the option to pay over time and, in certain cases, based on utilization, to provide them with financial flexibility to meet their changing technological requirements. New financing originations </w:t>
      </w:r>
      <w:r>
        <w:rPr>
          <w:rFonts w:ascii="Times New Roman" w:eastAsia="宋体" w:hAnsi="Times New Roman"/>
          <w:color w:val="000000"/>
          <w:sz w:val="20"/>
          <w:szCs w:val="20"/>
        </w:rPr>
        <w:t xml:space="preserve">were </w:t>
      </w:r>
      <w:r>
        <w:rPr>
          <w:rFonts w:ascii="Times New Roman" w:eastAsia="宋体" w:hAnsi="Times New Roman"/>
          <w:color w:val="000000"/>
          <w:sz w:val="20"/>
          <w:szCs w:val="20"/>
          <w:shd w:val="clear" w:color="auto" w:fill="FFFFFF"/>
        </w:rPr>
        <w:t>$8.9 billion</w:t>
      </w:r>
      <w:r>
        <w:rPr>
          <w:rFonts w:ascii="Times New Roman" w:eastAsia="宋体" w:hAnsi="Times New Roman"/>
          <w:color w:val="000000"/>
          <w:sz w:val="20"/>
          <w:szCs w:val="20"/>
        </w:rPr>
        <w:t>, $8.5 billion, and $7.3 billion for Fiscal 2021, Fiscal 2020, and Fiscal 2019, respectively.</w:t>
      </w:r>
    </w:p>
    <w:p w14:paraId="7DCFE2CF" w14:textId="77777777" w:rsidR="00C1563E" w:rsidRDefault="00C1563E"/>
    <w:p w14:paraId="7DCFE2D0" w14:textId="77777777" w:rsidR="00C1563E" w:rsidRDefault="000B648B">
      <w:r>
        <w:rPr>
          <w:rFonts w:ascii="Times New Roman" w:eastAsia="宋体" w:hAnsi="Times New Roman"/>
          <w:color w:val="000000"/>
          <w:sz w:val="20"/>
          <w:szCs w:val="20"/>
        </w:rPr>
        <w:t>Pursuant to the current lease accounting standard effective February 2, 2019, new DFS leases are classified as sales-type leases, direct financi</w:t>
      </w:r>
      <w:r>
        <w:rPr>
          <w:rFonts w:ascii="Times New Roman" w:eastAsia="宋体" w:hAnsi="Times New Roman"/>
          <w:color w:val="000000"/>
          <w:sz w:val="20"/>
          <w:szCs w:val="20"/>
        </w:rPr>
        <w:t>ng leases, or operating leases. Amounts due from lessees under sales-type leases or direct financing leases are recorded as part of financing receivables, with interest income recognized over the contract term. On commencement of sales-type leases, we typi</w:t>
      </w:r>
      <w:r>
        <w:rPr>
          <w:rFonts w:ascii="Times New Roman" w:eastAsia="宋体" w:hAnsi="Times New Roman"/>
          <w:color w:val="000000"/>
          <w:sz w:val="20"/>
          <w:szCs w:val="20"/>
        </w:rPr>
        <w:t xml:space="preserve">cally qualify for up-front revenue recognition. On originations of operating leases, we record equipment under operating leases, classified as property, plant, and equipment, and recognize rental revenue and depreciation expense, classified as cost of net </w:t>
      </w:r>
      <w:r>
        <w:rPr>
          <w:rFonts w:ascii="Times New Roman" w:eastAsia="宋体" w:hAnsi="Times New Roman"/>
          <w:color w:val="000000"/>
          <w:sz w:val="20"/>
          <w:szCs w:val="20"/>
        </w:rPr>
        <w:t>revenue, over the contract term. Direct financing leases are immaterial. Leases that commenced prior to the effective date of the current lease accounting standard continue to be accounted for under previous lease accounting guidance.</w:t>
      </w:r>
    </w:p>
    <w:p w14:paraId="7DCFE2D1" w14:textId="77777777" w:rsidR="00C1563E" w:rsidRDefault="00C1563E"/>
    <w:p w14:paraId="7DCFE2D2" w14:textId="77777777" w:rsidR="00C1563E" w:rsidRDefault="000B648B">
      <w:r>
        <w:rPr>
          <w:rFonts w:ascii="Times New Roman" w:eastAsia="宋体" w:hAnsi="Times New Roman"/>
          <w:color w:val="000000"/>
          <w:sz w:val="20"/>
          <w:szCs w:val="20"/>
        </w:rPr>
        <w:t>As of January 29, 20</w:t>
      </w:r>
      <w:r>
        <w:rPr>
          <w:rFonts w:ascii="Times New Roman" w:eastAsia="宋体" w:hAnsi="Times New Roman"/>
          <w:color w:val="000000"/>
          <w:sz w:val="20"/>
          <w:szCs w:val="20"/>
        </w:rPr>
        <w:t xml:space="preserve">21 and January 31, 2020, our financing receivables, net were $10.5 billion and </w:t>
      </w:r>
      <w:r>
        <w:rPr>
          <w:rFonts w:ascii="Times New Roman" w:eastAsia="宋体" w:hAnsi="Times New Roman"/>
          <w:color w:val="000000"/>
          <w:sz w:val="20"/>
          <w:szCs w:val="20"/>
          <w:shd w:val="clear" w:color="auto" w:fill="FFFFFF"/>
        </w:rPr>
        <w:t>$9.7 billion</w:t>
      </w:r>
      <w:r>
        <w:rPr>
          <w:rFonts w:ascii="Times New Roman" w:eastAsia="宋体" w:hAnsi="Times New Roman"/>
          <w:color w:val="000000"/>
          <w:sz w:val="20"/>
          <w:szCs w:val="20"/>
        </w:rPr>
        <w:t>, respect</w:t>
      </w:r>
      <w:r>
        <w:rPr>
          <w:rFonts w:ascii="Times New Roman" w:eastAsia="宋体" w:hAnsi="Times New Roman"/>
          <w:color w:val="000000"/>
          <w:sz w:val="20"/>
          <w:szCs w:val="20"/>
          <w:shd w:val="clear" w:color="auto" w:fill="FFFFFF"/>
        </w:rPr>
        <w:t xml:space="preserve">ively. </w:t>
      </w:r>
      <w:r>
        <w:rPr>
          <w:rFonts w:ascii="Times New Roman" w:eastAsia="宋体" w:hAnsi="Times New Roman"/>
          <w:color w:val="000000"/>
          <w:sz w:val="20"/>
          <w:szCs w:val="20"/>
        </w:rPr>
        <w:t>We maintain an allowance to cover expected financing receivable credit losses and evaluate credit loss expectations based on our total portfolio. All</w:t>
      </w:r>
      <w:r>
        <w:rPr>
          <w:rFonts w:ascii="Times New Roman" w:eastAsia="宋体" w:hAnsi="Times New Roman"/>
          <w:color w:val="000000"/>
          <w:sz w:val="20"/>
          <w:szCs w:val="20"/>
        </w:rPr>
        <w:t>owance for expected credit losses of financing receivables as of January 29, 2021 includes the impact of adoption of the CECL standard referred to above. Our analysis includes assumptions regarding the impact of COVID-19 and continued market volatility, wh</w:t>
      </w:r>
      <w:r>
        <w:rPr>
          <w:rFonts w:ascii="Times New Roman" w:eastAsia="宋体" w:hAnsi="Times New Roman"/>
          <w:color w:val="000000"/>
          <w:sz w:val="20"/>
          <w:szCs w:val="20"/>
        </w:rPr>
        <w:t>ich is highly uncertain and subject to significant judgment. Given this uncertainty, our allowance for expected credit losses in future periods may vary from our current estimates. For Fiscal 2021, Fiscal 2020, and Fiscal 2019, the principal charge-off rat</w:t>
      </w:r>
      <w:r>
        <w:rPr>
          <w:rFonts w:ascii="Times New Roman" w:eastAsia="宋体" w:hAnsi="Times New Roman"/>
          <w:color w:val="000000"/>
          <w:sz w:val="20"/>
          <w:szCs w:val="20"/>
        </w:rPr>
        <w:t>e for our financing receivables portfolio was 0.7%, 1.0%</w:t>
      </w:r>
      <w:r>
        <w:rPr>
          <w:rFonts w:ascii="Times New Roman" w:eastAsia="宋体" w:hAnsi="Times New Roman"/>
          <w:color w:val="000000"/>
          <w:sz w:val="20"/>
          <w:szCs w:val="20"/>
          <w:shd w:val="clear" w:color="auto" w:fill="FFFFFF"/>
        </w:rPr>
        <w:t xml:space="preserve">, and 1.2%, </w:t>
      </w:r>
      <w:r>
        <w:rPr>
          <w:rFonts w:ascii="Times New Roman" w:eastAsia="宋体" w:hAnsi="Times New Roman"/>
          <w:color w:val="000000"/>
          <w:sz w:val="20"/>
          <w:szCs w:val="20"/>
        </w:rPr>
        <w:t>respectively. The credit quality of our financing receivables has improved in recent years as the mix of high-quality commercial accounts in our portfolio has continued to increase. We con</w:t>
      </w:r>
      <w:r>
        <w:rPr>
          <w:rFonts w:ascii="Times New Roman" w:eastAsia="宋体" w:hAnsi="Times New Roman"/>
          <w:color w:val="000000"/>
          <w:sz w:val="20"/>
          <w:szCs w:val="20"/>
        </w:rPr>
        <w:t>tinue to monitor broader economic indicators and their potential impact on future loss performance. We have an extensive process to manage our exposure to customer credit risk, including active management of credit lines and our collection activities. We a</w:t>
      </w:r>
      <w:r>
        <w:rPr>
          <w:rFonts w:ascii="Times New Roman" w:eastAsia="宋体" w:hAnsi="Times New Roman"/>
          <w:color w:val="000000"/>
          <w:sz w:val="20"/>
          <w:szCs w:val="20"/>
        </w:rPr>
        <w:t>lso sell selected fixed-term financing receivables without recourse to unrelated third parties on a periodic basis, primarily to manage certain concentrations of customer credit exposure.  Based on our assessment of the customer financing receivables, we b</w:t>
      </w:r>
      <w:r>
        <w:rPr>
          <w:rFonts w:ascii="Times New Roman" w:eastAsia="宋体" w:hAnsi="Times New Roman"/>
          <w:color w:val="000000"/>
          <w:sz w:val="20"/>
          <w:szCs w:val="20"/>
        </w:rPr>
        <w:t>elieve that we are adequately reserved.</w:t>
      </w:r>
    </w:p>
    <w:p w14:paraId="7DCFE2D3" w14:textId="77777777" w:rsidR="00C1563E" w:rsidRDefault="00C1563E"/>
    <w:p w14:paraId="7DCFE2D4" w14:textId="77777777" w:rsidR="00C1563E" w:rsidRDefault="000B648B">
      <w:r>
        <w:rPr>
          <w:rFonts w:ascii="Times New Roman" w:eastAsia="宋体" w:hAnsi="Times New Roman"/>
          <w:color w:val="000000"/>
          <w:sz w:val="20"/>
          <w:szCs w:val="20"/>
        </w:rPr>
        <w:t>We retain a residual interest in equipment leased under our lease programs. As of January 29, 2021 and January 31, 2020, the residual interest recorded as part of financing receivables was $424 million and $582 mill</w:t>
      </w:r>
      <w:r>
        <w:rPr>
          <w:rFonts w:ascii="Times New Roman" w:eastAsia="宋体" w:hAnsi="Times New Roman"/>
          <w:color w:val="000000"/>
          <w:sz w:val="20"/>
          <w:szCs w:val="20"/>
        </w:rPr>
        <w:t>ion, respectively. The amount of the residual interest is established at the inception of the lease based upon estimates of the value of the equipment at the end of the lease term using historical studies, industry data, and future value-at-risk demand val</w:t>
      </w:r>
      <w:r>
        <w:rPr>
          <w:rFonts w:ascii="Times New Roman" w:eastAsia="宋体" w:hAnsi="Times New Roman"/>
          <w:color w:val="000000"/>
          <w:sz w:val="20"/>
          <w:szCs w:val="20"/>
        </w:rPr>
        <w:t xml:space="preserve">uation methods. On a quarterly basis, we assess the carrying amount of our recorded residual values for impairment. Generally, residual value risk on equipment under lease is not considered to be significant, because of the existence of a secondary market </w:t>
      </w:r>
      <w:r>
        <w:rPr>
          <w:rFonts w:ascii="Times New Roman" w:eastAsia="宋体" w:hAnsi="Times New Roman"/>
          <w:color w:val="000000"/>
          <w:sz w:val="20"/>
          <w:szCs w:val="20"/>
        </w:rPr>
        <w:t xml:space="preserve">with respect to the equipment. The </w:t>
      </w:r>
    </w:p>
    <w:p w14:paraId="7DCFE2D5" w14:textId="77777777" w:rsidR="00C1563E" w:rsidRDefault="00C1563E">
      <w:pPr>
        <w:jc w:val="center"/>
      </w:pPr>
    </w:p>
    <w:p w14:paraId="7DCFE2D6" w14:textId="77777777" w:rsidR="00C1563E" w:rsidRDefault="000B648B">
      <w:pPr>
        <w:jc w:val="center"/>
      </w:pPr>
      <w:r>
        <w:rPr>
          <w:rFonts w:ascii="Times New Roman" w:eastAsia="宋体" w:hAnsi="Times New Roman"/>
          <w:color w:val="000000"/>
          <w:sz w:val="20"/>
          <w:szCs w:val="20"/>
        </w:rPr>
        <w:t>58</w:t>
      </w:r>
    </w:p>
    <w:p w14:paraId="7DCFE2D7" w14:textId="77777777" w:rsidR="00C1563E" w:rsidRDefault="00C1563E">
      <w:pPr>
        <w:jc w:val="center"/>
      </w:pPr>
    </w:p>
    <w:p w14:paraId="7DCFE2D8" w14:textId="77777777" w:rsidR="00C1563E" w:rsidRDefault="000B648B">
      <w:r>
        <w:pict w14:anchorId="7DD025A4">
          <v:rect id="_x0000_i1082" style="width:415.3pt;height:1.5pt" o:hralign="center" o:hrstd="t" o:hr="t" fillcolor="#a0a0a0" stroked="f"/>
        </w:pict>
      </w:r>
    </w:p>
    <w:p w14:paraId="7DCFE2D9" w14:textId="77777777" w:rsidR="00C1563E" w:rsidRDefault="000B648B">
      <w:hyperlink r:id="rId134" w:anchor="i418e32e4a35149ffbf7d3a25d66881b8_10" w:history="1">
        <w:r>
          <w:rPr>
            <w:rStyle w:val="a5"/>
            <w:rFonts w:ascii="Times New Roman" w:eastAsia="宋体" w:hAnsi="Times New Roman"/>
            <w:sz w:val="20"/>
            <w:szCs w:val="20"/>
          </w:rPr>
          <w:t>Table of Contents</w:t>
        </w:r>
      </w:hyperlink>
    </w:p>
    <w:p w14:paraId="7DCFE2DA" w14:textId="77777777" w:rsidR="00C1563E" w:rsidRDefault="000B648B">
      <w:r>
        <w:rPr>
          <w:rFonts w:ascii="Times New Roman" w:eastAsia="宋体" w:hAnsi="Times New Roman"/>
          <w:color w:val="000000"/>
          <w:sz w:val="20"/>
          <w:szCs w:val="20"/>
        </w:rPr>
        <w:t>lease agreement also clearly defines appl</w:t>
      </w:r>
      <w:r>
        <w:rPr>
          <w:rFonts w:ascii="Times New Roman" w:eastAsia="宋体" w:hAnsi="Times New Roman"/>
          <w:color w:val="000000"/>
          <w:sz w:val="20"/>
          <w:szCs w:val="20"/>
        </w:rPr>
        <w:t>icable return conditions and remedies for non-compliance, to ensure that the leased equipment will be in good operating condition upon return. Model changes and updates, as well as market strength and product acceptance, are monitored and adjustments are m</w:t>
      </w:r>
      <w:r>
        <w:rPr>
          <w:rFonts w:ascii="Times New Roman" w:eastAsia="宋体" w:hAnsi="Times New Roman"/>
          <w:color w:val="000000"/>
          <w:sz w:val="20"/>
          <w:szCs w:val="20"/>
        </w:rPr>
        <w:t>ade to residual values in accordance with the significance of any such changes. To mitigate our exposure, we work closely with customers and dealers to manage the sale of returned assets. No material impairment losses were recorded related to residual asse</w:t>
      </w:r>
      <w:r>
        <w:rPr>
          <w:rFonts w:ascii="Times New Roman" w:eastAsia="宋体" w:hAnsi="Times New Roman"/>
          <w:color w:val="000000"/>
          <w:sz w:val="20"/>
          <w:szCs w:val="20"/>
        </w:rPr>
        <w:t>ts during Fiscal 2021 and Fiscal 2020.</w:t>
      </w:r>
    </w:p>
    <w:p w14:paraId="7DCFE2DB" w14:textId="77777777" w:rsidR="00C1563E" w:rsidRDefault="00C1563E"/>
    <w:p w14:paraId="7DCFE2DC" w14:textId="77777777" w:rsidR="00C1563E" w:rsidRDefault="000B648B">
      <w:r>
        <w:rPr>
          <w:rFonts w:ascii="Times New Roman" w:eastAsia="宋体" w:hAnsi="Times New Roman"/>
          <w:color w:val="000000"/>
          <w:sz w:val="20"/>
          <w:szCs w:val="20"/>
        </w:rPr>
        <w:t>As of January 29, 2021 and January 31, 2020, equipment under operating leases, net was $1.3 billion and $0.8 billion, respectively. Based on triggering events, we assess the carrying amount of the equipment under ope</w:t>
      </w:r>
      <w:r>
        <w:rPr>
          <w:rFonts w:ascii="Times New Roman" w:eastAsia="宋体" w:hAnsi="Times New Roman"/>
          <w:color w:val="000000"/>
          <w:sz w:val="20"/>
          <w:szCs w:val="20"/>
        </w:rPr>
        <w:t>rating leases recorded for impairment. No material impairment losses were recorded related to such equipment during Fiscal 2021 and Fiscal 2020.</w:t>
      </w:r>
    </w:p>
    <w:p w14:paraId="7DCFE2DD" w14:textId="77777777" w:rsidR="00C1563E" w:rsidRDefault="00C1563E"/>
    <w:p w14:paraId="7DCFE2DE" w14:textId="77777777" w:rsidR="00C1563E" w:rsidRDefault="000B648B">
      <w:r>
        <w:rPr>
          <w:rFonts w:ascii="Times New Roman" w:eastAsia="宋体" w:hAnsi="Times New Roman"/>
          <w:color w:val="000000"/>
          <w:sz w:val="20"/>
          <w:szCs w:val="20"/>
        </w:rPr>
        <w:t>DFS offerings are initially funded through cash on hand at the time of origination, most of which is subsequen</w:t>
      </w:r>
      <w:r>
        <w:rPr>
          <w:rFonts w:ascii="Times New Roman" w:eastAsia="宋体" w:hAnsi="Times New Roman"/>
          <w:color w:val="000000"/>
          <w:sz w:val="20"/>
          <w:szCs w:val="20"/>
        </w:rPr>
        <w:t>tly replaced with third-party financing. For DFS offerings which qualify as sales-type leases, the initial funding of financing receivables is reflected as an impact to cash flows from operations, and is largely subsequently offset by cash proceeds from fi</w:t>
      </w:r>
      <w:r>
        <w:rPr>
          <w:rFonts w:ascii="Times New Roman" w:eastAsia="宋体" w:hAnsi="Times New Roman"/>
          <w:color w:val="000000"/>
          <w:sz w:val="20"/>
          <w:szCs w:val="20"/>
        </w:rPr>
        <w:t>nancing. For DFS operating leases, which have increased under the current lease accounting standard, the initial funding is classified as a capital expenditure and reflected as an impact to cash flows used in investing activities.</w:t>
      </w:r>
    </w:p>
    <w:p w14:paraId="7DCFE2DF" w14:textId="77777777" w:rsidR="00C1563E" w:rsidRDefault="00C1563E"/>
    <w:p w14:paraId="7DCFE2E0" w14:textId="77777777" w:rsidR="00C1563E" w:rsidRDefault="000B648B">
      <w:r>
        <w:rPr>
          <w:rFonts w:ascii="Times New Roman" w:eastAsia="宋体" w:hAnsi="Times New Roman"/>
          <w:color w:val="000000"/>
          <w:sz w:val="20"/>
          <w:szCs w:val="20"/>
        </w:rPr>
        <w:t xml:space="preserve">See Note 4 of the Notes </w:t>
      </w:r>
      <w:r>
        <w:rPr>
          <w:rFonts w:ascii="Times New Roman" w:eastAsia="宋体" w:hAnsi="Times New Roman"/>
          <w:color w:val="000000"/>
          <w:sz w:val="20"/>
          <w:szCs w:val="20"/>
        </w:rPr>
        <w:t>to the Consolidated Financial Statements included in this report for additional information about our financing receivables and the associated allowances, and equipment under operating leases.</w:t>
      </w:r>
    </w:p>
    <w:p w14:paraId="7DCFE2E1" w14:textId="77777777" w:rsidR="00C1563E" w:rsidRDefault="00C1563E"/>
    <w:p w14:paraId="7DCFE2E2" w14:textId="77777777" w:rsidR="00C1563E" w:rsidRDefault="000B648B">
      <w:r>
        <w:rPr>
          <w:rFonts w:ascii="Times New Roman" w:eastAsia="宋体" w:hAnsi="Times New Roman"/>
          <w:b/>
          <w:bCs/>
          <w:color w:val="000000"/>
          <w:sz w:val="20"/>
          <w:szCs w:val="20"/>
        </w:rPr>
        <w:t>Off-Balance Sheet Arrangements</w:t>
      </w:r>
    </w:p>
    <w:p w14:paraId="7DCFE2E3" w14:textId="77777777" w:rsidR="00C1563E" w:rsidRDefault="00C1563E"/>
    <w:p w14:paraId="7DCFE2E4" w14:textId="77777777" w:rsidR="00C1563E" w:rsidRDefault="000B648B">
      <w:r>
        <w:rPr>
          <w:rFonts w:ascii="Times New Roman" w:eastAsia="宋体" w:hAnsi="Times New Roman"/>
          <w:color w:val="000000"/>
          <w:sz w:val="20"/>
          <w:szCs w:val="20"/>
        </w:rPr>
        <w:t xml:space="preserve">As of January 29, 2021, we </w:t>
      </w:r>
      <w:r>
        <w:rPr>
          <w:rFonts w:ascii="Times New Roman" w:eastAsia="宋体" w:hAnsi="Times New Roman"/>
          <w:color w:val="000000"/>
          <w:sz w:val="20"/>
          <w:szCs w:val="20"/>
        </w:rPr>
        <w:t>had no off-balance sheet arrangements that have or are reasonably likely to have a current or future material effect on our financial condition or results of operations.</w:t>
      </w:r>
    </w:p>
    <w:p w14:paraId="7DCFE2E5" w14:textId="77777777" w:rsidR="00C1563E" w:rsidRDefault="00C1563E">
      <w:pPr>
        <w:jc w:val="center"/>
      </w:pPr>
    </w:p>
    <w:p w14:paraId="7DCFE2E6" w14:textId="77777777" w:rsidR="00C1563E" w:rsidRDefault="000B648B">
      <w:pPr>
        <w:jc w:val="center"/>
      </w:pPr>
      <w:r>
        <w:rPr>
          <w:rFonts w:ascii="Times New Roman" w:eastAsia="宋体" w:hAnsi="Times New Roman"/>
          <w:color w:val="000000"/>
          <w:sz w:val="20"/>
          <w:szCs w:val="20"/>
        </w:rPr>
        <w:t>59</w:t>
      </w:r>
    </w:p>
    <w:p w14:paraId="7DCFE2E7" w14:textId="77777777" w:rsidR="00C1563E" w:rsidRDefault="00C1563E">
      <w:pPr>
        <w:jc w:val="center"/>
      </w:pPr>
    </w:p>
    <w:p w14:paraId="7DCFE2E8" w14:textId="77777777" w:rsidR="00C1563E" w:rsidRDefault="000B648B">
      <w:r>
        <w:pict w14:anchorId="7DD025A5">
          <v:rect id="_x0000_i1083" style="width:415.3pt;height:1.5pt" o:hralign="center" o:hrstd="t" o:hr="t" fillcolor="#a0a0a0" stroked="f"/>
        </w:pict>
      </w:r>
    </w:p>
    <w:p w14:paraId="7DCFE2E9" w14:textId="77777777" w:rsidR="00C1563E" w:rsidRDefault="000B648B">
      <w:hyperlink r:id="rId135" w:anchor="i418e32e4a35149ffbf7d3a25d66881b8_10" w:history="1">
        <w:r>
          <w:rPr>
            <w:rStyle w:val="a5"/>
            <w:rFonts w:ascii="Times New Roman" w:eastAsia="宋体" w:hAnsi="Times New Roman"/>
            <w:sz w:val="20"/>
            <w:szCs w:val="20"/>
          </w:rPr>
          <w:t>Table of Contents</w:t>
        </w:r>
      </w:hyperlink>
    </w:p>
    <w:p w14:paraId="7DCFE2EA" w14:textId="77777777" w:rsidR="00C1563E" w:rsidRDefault="000B648B">
      <w:r>
        <w:rPr>
          <w:rFonts w:ascii="Times New Roman" w:eastAsia="宋体" w:hAnsi="Times New Roman"/>
          <w:b/>
          <w:bCs/>
          <w:color w:val="000000"/>
          <w:sz w:val="20"/>
          <w:szCs w:val="20"/>
        </w:rPr>
        <w:t>MARKET CONDITIONS, LIQUIDITY, CAPITAL COMMITMENTS, AND CONTRACTUAL CASH OBLIGATIONS</w:t>
      </w:r>
    </w:p>
    <w:p w14:paraId="7DCFE2EB" w14:textId="77777777" w:rsidR="00C1563E" w:rsidRDefault="00C1563E"/>
    <w:p w14:paraId="7DCFE2EC" w14:textId="77777777" w:rsidR="00C1563E" w:rsidRDefault="000B648B">
      <w:r>
        <w:rPr>
          <w:rFonts w:ascii="Times New Roman" w:eastAsia="宋体" w:hAnsi="Times New Roman"/>
          <w:b/>
          <w:bCs/>
          <w:color w:val="000000"/>
          <w:sz w:val="20"/>
          <w:szCs w:val="20"/>
        </w:rPr>
        <w:t>Market Conditions</w:t>
      </w:r>
    </w:p>
    <w:p w14:paraId="7DCFE2ED" w14:textId="77777777" w:rsidR="00C1563E" w:rsidRDefault="00C1563E"/>
    <w:p w14:paraId="7DCFE2EE" w14:textId="77777777" w:rsidR="00C1563E" w:rsidRDefault="000B648B">
      <w:r>
        <w:rPr>
          <w:rFonts w:ascii="Times New Roman" w:eastAsia="宋体" w:hAnsi="Times New Roman"/>
          <w:color w:val="000000"/>
          <w:sz w:val="20"/>
          <w:szCs w:val="20"/>
        </w:rPr>
        <w:t>We regularly monitor economic conditions and associated imp</w:t>
      </w:r>
      <w:r>
        <w:rPr>
          <w:rFonts w:ascii="Times New Roman" w:eastAsia="宋体" w:hAnsi="Times New Roman"/>
          <w:color w:val="000000"/>
          <w:sz w:val="20"/>
          <w:szCs w:val="20"/>
        </w:rPr>
        <w:t xml:space="preserve">acts on the financial markets and our business. We consistently evaluate the financial health of our supplier base, carefully manage customer credit, diversify counterparty risk, and monitor the concentration risk of our cash and cash equivalents balances </w:t>
      </w:r>
      <w:r>
        <w:rPr>
          <w:rFonts w:ascii="Times New Roman" w:eastAsia="宋体" w:hAnsi="Times New Roman"/>
          <w:color w:val="000000"/>
          <w:sz w:val="20"/>
          <w:szCs w:val="20"/>
        </w:rPr>
        <w:t>globally. We routinely monitor our financial exposure to borrowers and counterparties.</w:t>
      </w:r>
    </w:p>
    <w:p w14:paraId="7DCFE2EF" w14:textId="77777777" w:rsidR="00C1563E" w:rsidRDefault="00C1563E"/>
    <w:p w14:paraId="7DCFE2F0" w14:textId="77777777" w:rsidR="00C1563E" w:rsidRDefault="000B648B">
      <w:r>
        <w:rPr>
          <w:rFonts w:ascii="Times New Roman" w:eastAsia="宋体" w:hAnsi="Times New Roman"/>
          <w:color w:val="000000"/>
          <w:sz w:val="20"/>
          <w:szCs w:val="20"/>
        </w:rPr>
        <w:t>We monitor credit risk associated with our financial counterparties using various market credit risk indicators such as credit ratings issued by nationally recognized c</w:t>
      </w:r>
      <w:r>
        <w:rPr>
          <w:rFonts w:ascii="Times New Roman" w:eastAsia="宋体" w:hAnsi="Times New Roman"/>
          <w:color w:val="000000"/>
          <w:sz w:val="20"/>
          <w:szCs w:val="20"/>
        </w:rPr>
        <w:t>redit rating agencies and changes in market credit default swap levels. We perform periodic evaluations of our positions with these counterparties and may limit exposure to any one counterparty in accordance with our policies. We monitor and manage these a</w:t>
      </w:r>
      <w:r>
        <w:rPr>
          <w:rFonts w:ascii="Times New Roman" w:eastAsia="宋体" w:hAnsi="Times New Roman"/>
          <w:color w:val="000000"/>
          <w:sz w:val="20"/>
          <w:szCs w:val="20"/>
        </w:rPr>
        <w:t xml:space="preserve">ctivities depending on current and expected market developments. </w:t>
      </w:r>
    </w:p>
    <w:p w14:paraId="7DCFE2F1" w14:textId="77777777" w:rsidR="00C1563E" w:rsidRDefault="00C1563E"/>
    <w:p w14:paraId="7DCFE2F2" w14:textId="77777777" w:rsidR="00C1563E" w:rsidRDefault="000B648B">
      <w:r>
        <w:rPr>
          <w:rFonts w:ascii="Times New Roman" w:eastAsia="宋体" w:hAnsi="Times New Roman"/>
          <w:color w:val="000000"/>
          <w:sz w:val="20"/>
          <w:szCs w:val="20"/>
        </w:rPr>
        <w:t>We use derivative instruments to hedge certain foreign currency exposures. We use forward contracts and purchased options designated as cash flow hedges to protect against the foreign curre</w:t>
      </w:r>
      <w:r>
        <w:rPr>
          <w:rFonts w:ascii="Times New Roman" w:eastAsia="宋体" w:hAnsi="Times New Roman"/>
          <w:color w:val="000000"/>
          <w:sz w:val="20"/>
          <w:szCs w:val="20"/>
        </w:rPr>
        <w:t>ncy exchange rate risks inherent in our forecasted transactions denominated in currencies other than the U.S. dollar.  In addition, we primarily use forward contracts and may use purchased options to hedge monetary assets and liabilities denominated in a f</w:t>
      </w:r>
      <w:r>
        <w:rPr>
          <w:rFonts w:ascii="Times New Roman" w:eastAsia="宋体" w:hAnsi="Times New Roman"/>
          <w:color w:val="000000"/>
          <w:sz w:val="20"/>
          <w:szCs w:val="20"/>
        </w:rPr>
        <w:t>oreign currency.  See Note 7 of the Notes to the Consolidated Financial Statements included in this report for more information about our use of derivative instruments.</w:t>
      </w:r>
    </w:p>
    <w:p w14:paraId="7DCFE2F3" w14:textId="77777777" w:rsidR="00C1563E" w:rsidRDefault="00C1563E"/>
    <w:p w14:paraId="7DCFE2F4" w14:textId="77777777" w:rsidR="00C1563E" w:rsidRDefault="000B648B">
      <w:r>
        <w:rPr>
          <w:rFonts w:ascii="Times New Roman" w:eastAsia="宋体" w:hAnsi="Times New Roman"/>
          <w:color w:val="000000"/>
          <w:sz w:val="20"/>
          <w:szCs w:val="20"/>
        </w:rPr>
        <w:t>We are exposed to interest rate risk related to our variable-rate debt portfolio. In t</w:t>
      </w:r>
      <w:r>
        <w:rPr>
          <w:rFonts w:ascii="Times New Roman" w:eastAsia="宋体" w:hAnsi="Times New Roman"/>
          <w:color w:val="000000"/>
          <w:sz w:val="20"/>
          <w:szCs w:val="20"/>
        </w:rPr>
        <w:t>he normal course of business, we follow established policies and procedures to manage this risk, including monitoring of our asset and liability mix. As a result, we do not anticipate any material losses from interest rate risk.</w:t>
      </w:r>
    </w:p>
    <w:p w14:paraId="7DCFE2F5" w14:textId="77777777" w:rsidR="00C1563E" w:rsidRDefault="00C1563E"/>
    <w:p w14:paraId="7DCFE2F6" w14:textId="77777777" w:rsidR="00C1563E" w:rsidRDefault="000B648B">
      <w:r>
        <w:rPr>
          <w:rFonts w:ascii="Times New Roman" w:eastAsia="宋体" w:hAnsi="Times New Roman"/>
          <w:color w:val="000000"/>
          <w:sz w:val="20"/>
          <w:szCs w:val="20"/>
        </w:rPr>
        <w:t>The impact of any credit a</w:t>
      </w:r>
      <w:r>
        <w:rPr>
          <w:rFonts w:ascii="Times New Roman" w:eastAsia="宋体" w:hAnsi="Times New Roman"/>
          <w:color w:val="000000"/>
          <w:sz w:val="20"/>
          <w:szCs w:val="20"/>
        </w:rPr>
        <w:t>djustments related to our use of counterparties on our Consolidated Financial Statements included in this report has been immaterial.</w:t>
      </w:r>
    </w:p>
    <w:p w14:paraId="7DCFE2F7" w14:textId="77777777" w:rsidR="00C1563E" w:rsidRDefault="00C1563E"/>
    <w:p w14:paraId="7DCFE2F8" w14:textId="77777777" w:rsidR="00C1563E" w:rsidRDefault="000B648B">
      <w:r>
        <w:rPr>
          <w:rFonts w:ascii="Times New Roman" w:eastAsia="宋体" w:hAnsi="Times New Roman"/>
          <w:b/>
          <w:bCs/>
          <w:color w:val="000000"/>
          <w:sz w:val="20"/>
          <w:szCs w:val="20"/>
        </w:rPr>
        <w:t>Liquidity and Capital Resources</w:t>
      </w:r>
    </w:p>
    <w:p w14:paraId="7DCFE2F9" w14:textId="77777777" w:rsidR="00C1563E" w:rsidRDefault="00C1563E"/>
    <w:p w14:paraId="7DCFE2FA" w14:textId="77777777" w:rsidR="00C1563E" w:rsidRDefault="000B648B">
      <w:r>
        <w:rPr>
          <w:rFonts w:ascii="Times New Roman" w:eastAsia="宋体" w:hAnsi="Times New Roman"/>
          <w:color w:val="000000"/>
          <w:sz w:val="20"/>
          <w:szCs w:val="20"/>
        </w:rPr>
        <w:t>To support our ongoing business operations, we rely on operating cash flows as our prima</w:t>
      </w:r>
      <w:r>
        <w:rPr>
          <w:rFonts w:ascii="Times New Roman" w:eastAsia="宋体" w:hAnsi="Times New Roman"/>
          <w:color w:val="000000"/>
          <w:sz w:val="20"/>
          <w:szCs w:val="20"/>
        </w:rPr>
        <w:t>ry source of liquidity. We monitor the efficiency of our balance sheet to ensure that we have adequate liquidity to support our business and strategic initiatives. In addition to internally generated cash, we have access to othe</w:t>
      </w:r>
      <w:r>
        <w:rPr>
          <w:rFonts w:ascii="Times New Roman" w:eastAsia="宋体" w:hAnsi="Times New Roman"/>
          <w:color w:val="000000"/>
          <w:sz w:val="20"/>
          <w:szCs w:val="20"/>
          <w:shd w:val="clear" w:color="auto" w:fill="FFFFFF"/>
        </w:rPr>
        <w:t>r capital sources to finance</w:t>
      </w:r>
      <w:r>
        <w:rPr>
          <w:rFonts w:ascii="Times New Roman" w:eastAsia="宋体" w:hAnsi="Times New Roman"/>
          <w:color w:val="000000"/>
          <w:sz w:val="20"/>
          <w:szCs w:val="20"/>
          <w:shd w:val="clear" w:color="auto" w:fill="FFFFFF"/>
        </w:rPr>
        <w:t xml:space="preserve"> our strategic initiatives and fund growth in our financing operations. </w:t>
      </w:r>
      <w:r>
        <w:rPr>
          <w:rFonts w:ascii="Times New Roman" w:eastAsia="宋体" w:hAnsi="Times New Roman"/>
          <w:color w:val="000000"/>
          <w:sz w:val="20"/>
          <w:szCs w:val="20"/>
        </w:rPr>
        <w:t>Our strategy is to deploy capital from any potential source, whether internally generated cash or debt, depending on the adequacy and availability of that source of capital and whether</w:t>
      </w:r>
      <w:r>
        <w:rPr>
          <w:rFonts w:ascii="Times New Roman" w:eastAsia="宋体" w:hAnsi="Times New Roman"/>
          <w:color w:val="000000"/>
          <w:sz w:val="20"/>
          <w:szCs w:val="20"/>
        </w:rPr>
        <w:t xml:space="preserve"> it can be accessed in a cost-effective manner.</w:t>
      </w:r>
    </w:p>
    <w:p w14:paraId="7DCFE2FB" w14:textId="77777777" w:rsidR="00C1563E" w:rsidRDefault="00C1563E"/>
    <w:p w14:paraId="7DCFE2FC" w14:textId="77777777" w:rsidR="00C1563E" w:rsidRDefault="000B648B">
      <w:r>
        <w:rPr>
          <w:rFonts w:ascii="Times New Roman" w:eastAsia="宋体" w:hAnsi="Times New Roman"/>
          <w:color w:val="000000"/>
          <w:sz w:val="20"/>
          <w:szCs w:val="20"/>
        </w:rPr>
        <w:t xml:space="preserve">The following 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209"/>
        <w:gridCol w:w="37"/>
        <w:gridCol w:w="120"/>
        <w:gridCol w:w="1316"/>
        <w:gridCol w:w="36"/>
        <w:gridCol w:w="36"/>
        <w:gridCol w:w="36"/>
        <w:gridCol w:w="36"/>
        <w:gridCol w:w="120"/>
        <w:gridCol w:w="1316"/>
        <w:gridCol w:w="36"/>
      </w:tblGrid>
      <w:tr w:rsidR="00C1563E" w14:paraId="7DCFE309" w14:textId="77777777">
        <w:tc>
          <w:tcPr>
            <w:tcW w:w="50" w:type="pct"/>
            <w:shd w:val="clear" w:color="auto" w:fill="auto"/>
          </w:tcPr>
          <w:p w14:paraId="7DCFE2FD" w14:textId="77777777" w:rsidR="00C1563E" w:rsidRDefault="00C1563E">
            <w:pPr>
              <w:rPr>
                <w:rFonts w:ascii="宋体"/>
              </w:rPr>
            </w:pPr>
          </w:p>
        </w:tc>
        <w:tc>
          <w:tcPr>
            <w:tcW w:w="3161" w:type="pct"/>
            <w:shd w:val="clear" w:color="auto" w:fill="auto"/>
          </w:tcPr>
          <w:p w14:paraId="7DCFE2FE" w14:textId="77777777" w:rsidR="00C1563E" w:rsidRDefault="00C1563E">
            <w:pPr>
              <w:rPr>
                <w:rFonts w:ascii="宋体"/>
              </w:rPr>
            </w:pPr>
          </w:p>
        </w:tc>
        <w:tc>
          <w:tcPr>
            <w:tcW w:w="5" w:type="pct"/>
            <w:shd w:val="clear" w:color="auto" w:fill="auto"/>
          </w:tcPr>
          <w:p w14:paraId="7DCFE2FF" w14:textId="77777777" w:rsidR="00C1563E" w:rsidRDefault="00C1563E">
            <w:pPr>
              <w:rPr>
                <w:rFonts w:ascii="宋体"/>
              </w:rPr>
            </w:pPr>
          </w:p>
        </w:tc>
        <w:tc>
          <w:tcPr>
            <w:tcW w:w="50" w:type="pct"/>
            <w:shd w:val="clear" w:color="auto" w:fill="auto"/>
          </w:tcPr>
          <w:p w14:paraId="7DCFE300" w14:textId="77777777" w:rsidR="00C1563E" w:rsidRDefault="00C1563E">
            <w:pPr>
              <w:rPr>
                <w:rFonts w:ascii="宋体"/>
              </w:rPr>
            </w:pPr>
          </w:p>
        </w:tc>
        <w:tc>
          <w:tcPr>
            <w:tcW w:w="822" w:type="pct"/>
            <w:shd w:val="clear" w:color="auto" w:fill="auto"/>
          </w:tcPr>
          <w:p w14:paraId="7DCFE301" w14:textId="77777777" w:rsidR="00C1563E" w:rsidRDefault="00C1563E">
            <w:pPr>
              <w:rPr>
                <w:rFonts w:ascii="宋体"/>
              </w:rPr>
            </w:pPr>
          </w:p>
        </w:tc>
        <w:tc>
          <w:tcPr>
            <w:tcW w:w="5" w:type="pct"/>
            <w:shd w:val="clear" w:color="auto" w:fill="auto"/>
          </w:tcPr>
          <w:p w14:paraId="7DCFE302" w14:textId="77777777" w:rsidR="00C1563E" w:rsidRDefault="00C1563E">
            <w:pPr>
              <w:rPr>
                <w:rFonts w:ascii="宋体"/>
              </w:rPr>
            </w:pPr>
          </w:p>
        </w:tc>
        <w:tc>
          <w:tcPr>
            <w:tcW w:w="5" w:type="pct"/>
            <w:shd w:val="clear" w:color="auto" w:fill="auto"/>
          </w:tcPr>
          <w:p w14:paraId="7DCFE303" w14:textId="77777777" w:rsidR="00C1563E" w:rsidRDefault="00C1563E">
            <w:pPr>
              <w:rPr>
                <w:rFonts w:ascii="宋体"/>
              </w:rPr>
            </w:pPr>
          </w:p>
        </w:tc>
        <w:tc>
          <w:tcPr>
            <w:tcW w:w="19" w:type="pct"/>
            <w:shd w:val="clear" w:color="auto" w:fill="auto"/>
          </w:tcPr>
          <w:p w14:paraId="7DCFE304" w14:textId="77777777" w:rsidR="00C1563E" w:rsidRDefault="00C1563E">
            <w:pPr>
              <w:rPr>
                <w:rFonts w:ascii="宋体"/>
              </w:rPr>
            </w:pPr>
          </w:p>
        </w:tc>
        <w:tc>
          <w:tcPr>
            <w:tcW w:w="5" w:type="pct"/>
            <w:shd w:val="clear" w:color="auto" w:fill="auto"/>
          </w:tcPr>
          <w:p w14:paraId="7DCFE305" w14:textId="77777777" w:rsidR="00C1563E" w:rsidRDefault="00C1563E">
            <w:pPr>
              <w:rPr>
                <w:rFonts w:ascii="宋体"/>
              </w:rPr>
            </w:pPr>
          </w:p>
        </w:tc>
        <w:tc>
          <w:tcPr>
            <w:tcW w:w="50" w:type="pct"/>
            <w:shd w:val="clear" w:color="auto" w:fill="auto"/>
          </w:tcPr>
          <w:p w14:paraId="7DCFE306" w14:textId="77777777" w:rsidR="00C1563E" w:rsidRDefault="00C1563E">
            <w:pPr>
              <w:rPr>
                <w:rFonts w:ascii="宋体"/>
              </w:rPr>
            </w:pPr>
          </w:p>
        </w:tc>
        <w:tc>
          <w:tcPr>
            <w:tcW w:w="822" w:type="pct"/>
            <w:shd w:val="clear" w:color="auto" w:fill="auto"/>
          </w:tcPr>
          <w:p w14:paraId="7DCFE307" w14:textId="77777777" w:rsidR="00C1563E" w:rsidRDefault="00C1563E">
            <w:pPr>
              <w:rPr>
                <w:rFonts w:ascii="宋体"/>
              </w:rPr>
            </w:pPr>
          </w:p>
        </w:tc>
        <w:tc>
          <w:tcPr>
            <w:tcW w:w="5" w:type="pct"/>
            <w:shd w:val="clear" w:color="auto" w:fill="auto"/>
          </w:tcPr>
          <w:p w14:paraId="7DCFE308" w14:textId="77777777" w:rsidR="00C1563E" w:rsidRDefault="00C1563E">
            <w:pPr>
              <w:rPr>
                <w:rFonts w:ascii="宋体"/>
              </w:rPr>
            </w:pPr>
          </w:p>
        </w:tc>
      </w:tr>
      <w:tr w:rsidR="00C1563E" w14:paraId="7DCFE30E" w14:textId="77777777">
        <w:tc>
          <w:tcPr>
            <w:tcW w:w="0" w:type="auto"/>
            <w:gridSpan w:val="3"/>
            <w:shd w:val="clear" w:color="auto" w:fill="auto"/>
            <w:tcMar>
              <w:top w:w="0" w:type="dxa"/>
              <w:left w:w="20" w:type="dxa"/>
              <w:bottom w:w="0" w:type="dxa"/>
              <w:right w:w="20" w:type="dxa"/>
            </w:tcMar>
          </w:tcPr>
          <w:p w14:paraId="7DCFE30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30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E30C"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E30D"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E311" w14:textId="77777777">
        <w:tc>
          <w:tcPr>
            <w:tcW w:w="0" w:type="auto"/>
            <w:gridSpan w:val="3"/>
            <w:shd w:val="clear" w:color="auto" w:fill="auto"/>
            <w:tcMar>
              <w:top w:w="0" w:type="dxa"/>
              <w:left w:w="20" w:type="dxa"/>
              <w:bottom w:w="0" w:type="dxa"/>
              <w:right w:w="20" w:type="dxa"/>
            </w:tcMar>
          </w:tcPr>
          <w:p w14:paraId="7DCFE30F"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E310"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E316" w14:textId="77777777">
        <w:tc>
          <w:tcPr>
            <w:tcW w:w="0" w:type="auto"/>
            <w:gridSpan w:val="3"/>
            <w:shd w:val="clear" w:color="auto" w:fill="CCEEFF"/>
            <w:tcMar>
              <w:top w:w="40" w:type="dxa"/>
              <w:left w:w="20" w:type="dxa"/>
              <w:bottom w:w="40" w:type="dxa"/>
              <w:right w:w="20" w:type="dxa"/>
            </w:tcMar>
            <w:vAlign w:val="bottom"/>
          </w:tcPr>
          <w:p w14:paraId="7DCFE312" w14:textId="77777777" w:rsidR="00C1563E" w:rsidRDefault="000B648B">
            <w:pPr>
              <w:textAlignment w:val="bottom"/>
            </w:pPr>
            <w:r>
              <w:rPr>
                <w:rFonts w:ascii="Times New Roman" w:eastAsia="宋体" w:hAnsi="Times New Roman"/>
                <w:i/>
                <w:iCs/>
                <w:color w:val="000000"/>
                <w:sz w:val="20"/>
                <w:szCs w:val="20"/>
              </w:rPr>
              <w:t xml:space="preserve">Cash and cash </w:t>
            </w:r>
            <w:r>
              <w:rPr>
                <w:rFonts w:ascii="Times New Roman" w:eastAsia="宋体" w:hAnsi="Times New Roman"/>
                <w:i/>
                <w:iCs/>
                <w:color w:val="000000"/>
                <w:sz w:val="20"/>
                <w:szCs w:val="20"/>
              </w:rPr>
              <w:t>equivalents, and available borrowings:</w:t>
            </w:r>
          </w:p>
        </w:tc>
        <w:tc>
          <w:tcPr>
            <w:tcW w:w="0" w:type="auto"/>
            <w:gridSpan w:val="3"/>
            <w:shd w:val="clear" w:color="auto" w:fill="CCEEFF"/>
            <w:tcMar>
              <w:top w:w="0" w:type="dxa"/>
              <w:left w:w="20" w:type="dxa"/>
              <w:bottom w:w="0" w:type="dxa"/>
              <w:right w:w="20" w:type="dxa"/>
            </w:tcMar>
          </w:tcPr>
          <w:p w14:paraId="7DCFE31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1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15" w14:textId="77777777" w:rsidR="00C1563E" w:rsidRDefault="00C1563E">
            <w:pPr>
              <w:rPr>
                <w:rFonts w:ascii="宋体"/>
              </w:rPr>
            </w:pPr>
          </w:p>
        </w:tc>
      </w:tr>
      <w:tr w:rsidR="00C1563E" w14:paraId="7DCFE31F" w14:textId="77777777">
        <w:tc>
          <w:tcPr>
            <w:tcW w:w="0" w:type="auto"/>
            <w:gridSpan w:val="3"/>
            <w:shd w:val="clear" w:color="auto" w:fill="FFFFFF"/>
            <w:tcMar>
              <w:top w:w="40" w:type="dxa"/>
              <w:left w:w="125" w:type="dxa"/>
              <w:bottom w:w="40" w:type="dxa"/>
              <w:right w:w="20" w:type="dxa"/>
            </w:tcMar>
            <w:vAlign w:val="bottom"/>
          </w:tcPr>
          <w:p w14:paraId="7DCFE317" w14:textId="77777777" w:rsidR="00C1563E" w:rsidRDefault="000B648B">
            <w:pPr>
              <w:textAlignment w:val="bottom"/>
            </w:pPr>
            <w:r>
              <w:rPr>
                <w:rFonts w:ascii="Times New Roman" w:eastAsia="宋体" w:hAnsi="Times New Roman"/>
                <w:color w:val="000000"/>
                <w:sz w:val="20"/>
                <w:szCs w:val="20"/>
              </w:rPr>
              <w:t>Cash and cash equivalents (a)</w:t>
            </w:r>
          </w:p>
        </w:tc>
        <w:tc>
          <w:tcPr>
            <w:tcW w:w="0" w:type="auto"/>
            <w:shd w:val="clear" w:color="auto" w:fill="FFFFFF"/>
            <w:tcMar>
              <w:top w:w="40" w:type="dxa"/>
              <w:left w:w="20" w:type="dxa"/>
              <w:bottom w:w="40" w:type="dxa"/>
              <w:right w:w="0" w:type="dxa"/>
            </w:tcMar>
            <w:vAlign w:val="bottom"/>
          </w:tcPr>
          <w:p w14:paraId="7DCFE31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319" w14:textId="77777777" w:rsidR="00C1563E" w:rsidRDefault="000B648B">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7DCFE31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1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31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31D" w14:textId="77777777" w:rsidR="00C1563E" w:rsidRDefault="000B648B">
            <w:pPr>
              <w:jc w:val="right"/>
              <w:textAlignment w:val="bottom"/>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bottom"/>
          </w:tcPr>
          <w:p w14:paraId="7DCFE31E" w14:textId="77777777" w:rsidR="00C1563E" w:rsidRDefault="00C1563E">
            <w:pPr>
              <w:jc w:val="right"/>
              <w:rPr>
                <w:rFonts w:ascii="宋体"/>
              </w:rPr>
            </w:pPr>
          </w:p>
        </w:tc>
      </w:tr>
      <w:tr w:rsidR="00C1563E" w14:paraId="7DCFE326" w14:textId="77777777">
        <w:tc>
          <w:tcPr>
            <w:tcW w:w="0" w:type="auto"/>
            <w:gridSpan w:val="3"/>
            <w:shd w:val="clear" w:color="auto" w:fill="CCEEFF"/>
            <w:tcMar>
              <w:top w:w="40" w:type="dxa"/>
              <w:left w:w="125" w:type="dxa"/>
              <w:bottom w:w="40" w:type="dxa"/>
              <w:right w:w="20" w:type="dxa"/>
            </w:tcMar>
            <w:vAlign w:val="bottom"/>
          </w:tcPr>
          <w:p w14:paraId="7DCFE320" w14:textId="77777777" w:rsidR="00C1563E" w:rsidRDefault="000B648B">
            <w:pPr>
              <w:textAlignment w:val="bottom"/>
            </w:pPr>
            <w:r>
              <w:rPr>
                <w:rFonts w:ascii="Times New Roman" w:eastAsia="宋体" w:hAnsi="Times New Roman"/>
                <w:color w:val="000000"/>
                <w:sz w:val="20"/>
                <w:szCs w:val="20"/>
              </w:rPr>
              <w:t>Remaining available borrowings under revolving credit facilities (b)</w:t>
            </w:r>
          </w:p>
        </w:tc>
        <w:tc>
          <w:tcPr>
            <w:tcW w:w="0" w:type="auto"/>
            <w:gridSpan w:val="2"/>
            <w:shd w:val="clear" w:color="auto" w:fill="CCEEFF"/>
            <w:tcMar>
              <w:top w:w="40" w:type="dxa"/>
              <w:left w:w="20" w:type="dxa"/>
              <w:bottom w:w="40" w:type="dxa"/>
              <w:right w:w="0" w:type="dxa"/>
            </w:tcMar>
            <w:vAlign w:val="bottom"/>
          </w:tcPr>
          <w:p w14:paraId="7DCFE321" w14:textId="77777777" w:rsidR="00C1563E" w:rsidRDefault="000B648B">
            <w:pPr>
              <w:jc w:val="right"/>
              <w:textAlignment w:val="bottom"/>
            </w:pPr>
            <w:r>
              <w:rPr>
                <w:rFonts w:ascii="Times New Roman" w:eastAsia="宋体" w:hAnsi="Times New Roman"/>
                <w:color w:val="000000"/>
                <w:sz w:val="20"/>
                <w:szCs w:val="20"/>
              </w:rPr>
              <w:t>5,467 </w:t>
            </w:r>
          </w:p>
        </w:tc>
        <w:tc>
          <w:tcPr>
            <w:tcW w:w="0" w:type="auto"/>
            <w:shd w:val="clear" w:color="auto" w:fill="CCEEFF"/>
            <w:tcMar>
              <w:top w:w="40" w:type="dxa"/>
              <w:left w:w="0" w:type="dxa"/>
              <w:bottom w:w="40" w:type="dxa"/>
              <w:right w:w="20" w:type="dxa"/>
            </w:tcMar>
            <w:vAlign w:val="bottom"/>
          </w:tcPr>
          <w:p w14:paraId="7DCFE32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2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24" w14:textId="77777777" w:rsidR="00C1563E" w:rsidRDefault="000B648B">
            <w:pPr>
              <w:jc w:val="right"/>
              <w:textAlignment w:val="bottom"/>
            </w:pPr>
            <w:r>
              <w:rPr>
                <w:rFonts w:ascii="Times New Roman" w:eastAsia="宋体" w:hAnsi="Times New Roman"/>
                <w:color w:val="000000"/>
                <w:sz w:val="20"/>
                <w:szCs w:val="20"/>
              </w:rPr>
              <w:t>5,972 </w:t>
            </w:r>
          </w:p>
        </w:tc>
        <w:tc>
          <w:tcPr>
            <w:tcW w:w="0" w:type="auto"/>
            <w:shd w:val="clear" w:color="auto" w:fill="CCEEFF"/>
            <w:tcMar>
              <w:top w:w="40" w:type="dxa"/>
              <w:left w:w="0" w:type="dxa"/>
              <w:bottom w:w="40" w:type="dxa"/>
              <w:right w:w="20" w:type="dxa"/>
            </w:tcMar>
            <w:vAlign w:val="bottom"/>
          </w:tcPr>
          <w:p w14:paraId="7DCFE325" w14:textId="77777777" w:rsidR="00C1563E" w:rsidRDefault="00C1563E">
            <w:pPr>
              <w:jc w:val="right"/>
              <w:rPr>
                <w:rFonts w:ascii="宋体"/>
              </w:rPr>
            </w:pPr>
          </w:p>
        </w:tc>
      </w:tr>
      <w:tr w:rsidR="00C1563E" w14:paraId="7DCFE32F" w14:textId="77777777">
        <w:tc>
          <w:tcPr>
            <w:tcW w:w="0" w:type="auto"/>
            <w:gridSpan w:val="3"/>
            <w:shd w:val="clear" w:color="auto" w:fill="FFFFFF"/>
            <w:tcMar>
              <w:top w:w="40" w:type="dxa"/>
              <w:left w:w="260" w:type="dxa"/>
              <w:bottom w:w="40" w:type="dxa"/>
              <w:right w:w="20" w:type="dxa"/>
            </w:tcMar>
            <w:vAlign w:val="bottom"/>
          </w:tcPr>
          <w:p w14:paraId="7DCFE327" w14:textId="77777777" w:rsidR="00C1563E" w:rsidRDefault="000B648B">
            <w:pPr>
              <w:textAlignment w:val="bottom"/>
            </w:pPr>
            <w:r>
              <w:rPr>
                <w:rFonts w:ascii="Times New Roman" w:eastAsia="宋体"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32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329" w14:textId="77777777" w:rsidR="00C1563E" w:rsidRDefault="000B648B">
            <w:pPr>
              <w:jc w:val="right"/>
              <w:textAlignment w:val="bottom"/>
            </w:pPr>
            <w:r>
              <w:rPr>
                <w:rFonts w:ascii="Times New Roman" w:eastAsia="宋体" w:hAnsi="Times New Roman"/>
                <w:color w:val="000000"/>
                <w:sz w:val="20"/>
                <w:szCs w:val="20"/>
              </w:rPr>
              <w:t>19,668 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32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2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32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32D" w14:textId="77777777" w:rsidR="00C1563E" w:rsidRDefault="000B648B">
            <w:pPr>
              <w:jc w:val="right"/>
              <w:textAlignment w:val="bottom"/>
            </w:pPr>
            <w:r>
              <w:rPr>
                <w:rFonts w:ascii="Times New Roman" w:eastAsia="宋体" w:hAnsi="Times New Roman"/>
                <w:color w:val="000000"/>
                <w:sz w:val="20"/>
                <w:szCs w:val="20"/>
              </w:rPr>
              <w:t>15,274 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32E" w14:textId="77777777" w:rsidR="00C1563E" w:rsidRDefault="00C1563E">
            <w:pPr>
              <w:jc w:val="right"/>
              <w:rPr>
                <w:rFonts w:ascii="宋体"/>
              </w:rPr>
            </w:pPr>
          </w:p>
        </w:tc>
      </w:tr>
    </w:tbl>
    <w:p w14:paraId="7DCFE330" w14:textId="77777777" w:rsidR="00C1563E" w:rsidRDefault="000B648B">
      <w:r>
        <w:rPr>
          <w:rFonts w:ascii="Times New Roman" w:eastAsia="宋体" w:hAnsi="Times New Roman"/>
          <w:color w:val="000000"/>
          <w:sz w:val="20"/>
          <w:szCs w:val="20"/>
        </w:rPr>
        <w:t>____________________</w:t>
      </w:r>
    </w:p>
    <w:p w14:paraId="7DCFE331" w14:textId="77777777" w:rsidR="00C1563E" w:rsidRDefault="000B648B">
      <w:pPr>
        <w:ind w:hanging="360"/>
      </w:pPr>
      <w:r>
        <w:rPr>
          <w:rFonts w:ascii="Times New Roman" w:eastAsia="宋体" w:hAnsi="Times New Roman"/>
          <w:color w:val="000000"/>
          <w:sz w:val="20"/>
          <w:szCs w:val="20"/>
        </w:rPr>
        <w:t>(a)    Of the $14.2 billion of cash and cash equivalents as of January 29, 2021, $4.7 billion was held by VMware, Inc.</w:t>
      </w:r>
    </w:p>
    <w:p w14:paraId="7DCFE332" w14:textId="77777777" w:rsidR="00C1563E" w:rsidRDefault="000B648B">
      <w:pPr>
        <w:ind w:hanging="360"/>
      </w:pPr>
      <w:r>
        <w:rPr>
          <w:rFonts w:ascii="Times New Roman" w:eastAsia="宋体" w:hAnsi="Times New Roman"/>
          <w:color w:val="000000"/>
          <w:sz w:val="20"/>
          <w:szCs w:val="20"/>
        </w:rPr>
        <w:t xml:space="preserve">(b)    Of the $5.5 billion of remaining available borrowings under revolving credit facilities, $1.0 </w:t>
      </w:r>
      <w:r>
        <w:rPr>
          <w:rFonts w:ascii="Times New Roman" w:eastAsia="宋体" w:hAnsi="Times New Roman"/>
          <w:color w:val="000000"/>
          <w:sz w:val="20"/>
          <w:szCs w:val="20"/>
        </w:rPr>
        <w:t>billion was attributable to the VMware Revolving Credit Facility.</w:t>
      </w:r>
    </w:p>
    <w:p w14:paraId="7DCFE333" w14:textId="77777777" w:rsidR="00C1563E" w:rsidRDefault="00C1563E">
      <w:pPr>
        <w:ind w:hanging="360"/>
      </w:pPr>
    </w:p>
    <w:p w14:paraId="7DCFE334" w14:textId="77777777" w:rsidR="00C1563E" w:rsidRDefault="000B648B">
      <w:r>
        <w:rPr>
          <w:rFonts w:ascii="Times New Roman" w:eastAsia="宋体" w:hAnsi="Times New Roman"/>
          <w:color w:val="000000"/>
          <w:sz w:val="20"/>
          <w:szCs w:val="20"/>
        </w:rPr>
        <w:t xml:space="preserve">Our revolving credit facilities as of January 29, 2021 include the Revolving Credit Facility.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 xml:space="preserve">Revolving Credit Facility has a maximum capacity of $4.5 billion, and available borrowings </w:t>
      </w:r>
      <w:r>
        <w:rPr>
          <w:rFonts w:ascii="Times New Roman" w:eastAsia="宋体" w:hAnsi="Times New Roman"/>
          <w:color w:val="000000"/>
          <w:sz w:val="20"/>
          <w:szCs w:val="20"/>
        </w:rPr>
        <w:t xml:space="preserve">under this facility </w:t>
      </w:r>
      <w:r>
        <w:rPr>
          <w:rFonts w:ascii="Times New Roman" w:eastAsia="宋体" w:hAnsi="Times New Roman"/>
          <w:color w:val="000000"/>
          <w:sz w:val="20"/>
          <w:szCs w:val="20"/>
          <w:shd w:val="clear" w:color="auto" w:fill="FFFFFF"/>
        </w:rPr>
        <w:t xml:space="preserve">are reduced by draws on the facility and outstanding letters of credit. </w:t>
      </w:r>
      <w:r>
        <w:rPr>
          <w:rFonts w:ascii="Times New Roman" w:eastAsia="宋体" w:hAnsi="Times New Roman"/>
          <w:color w:val="000000"/>
          <w:sz w:val="20"/>
          <w:szCs w:val="20"/>
        </w:rPr>
        <w:t>As of January 29, 2021, there were no borrowings outstanding under the facility and remaining available borrowings totaled approximately $4.5 billion. We may regula</w:t>
      </w:r>
      <w:r>
        <w:rPr>
          <w:rFonts w:ascii="Times New Roman" w:eastAsia="宋体" w:hAnsi="Times New Roman"/>
          <w:color w:val="000000"/>
          <w:sz w:val="20"/>
          <w:szCs w:val="20"/>
        </w:rPr>
        <w:t xml:space="preserve">rly use our available borrowings from our Revolving Credit Facility on a short-term basis for general corporate purposes. </w:t>
      </w:r>
    </w:p>
    <w:p w14:paraId="7DCFE335" w14:textId="77777777" w:rsidR="00C1563E" w:rsidRDefault="00C1563E">
      <w:pPr>
        <w:jc w:val="center"/>
      </w:pPr>
    </w:p>
    <w:p w14:paraId="7DCFE336" w14:textId="77777777" w:rsidR="00C1563E" w:rsidRDefault="000B648B">
      <w:pPr>
        <w:jc w:val="center"/>
      </w:pPr>
      <w:r>
        <w:rPr>
          <w:rFonts w:ascii="Times New Roman" w:eastAsia="宋体" w:hAnsi="Times New Roman"/>
          <w:color w:val="000000"/>
          <w:sz w:val="20"/>
          <w:szCs w:val="20"/>
        </w:rPr>
        <w:t>60</w:t>
      </w:r>
    </w:p>
    <w:p w14:paraId="7DCFE337" w14:textId="77777777" w:rsidR="00C1563E" w:rsidRDefault="00C1563E">
      <w:pPr>
        <w:jc w:val="center"/>
      </w:pPr>
    </w:p>
    <w:p w14:paraId="7DCFE338" w14:textId="77777777" w:rsidR="00C1563E" w:rsidRDefault="000B648B">
      <w:r>
        <w:pict w14:anchorId="7DD025A6">
          <v:rect id="_x0000_i1084" style="width:415.3pt;height:1.5pt" o:hralign="center" o:hrstd="t" o:hr="t" fillcolor="#a0a0a0" stroked="f"/>
        </w:pict>
      </w:r>
    </w:p>
    <w:p w14:paraId="7DCFE339" w14:textId="77777777" w:rsidR="00C1563E" w:rsidRDefault="000B648B">
      <w:hyperlink r:id="rId136" w:anchor="i418e32e4a35149ffbf7d3a25d66881b8_10" w:history="1">
        <w:r>
          <w:rPr>
            <w:rStyle w:val="a5"/>
            <w:rFonts w:ascii="Times New Roman" w:eastAsia="宋体" w:hAnsi="Times New Roman"/>
            <w:sz w:val="20"/>
            <w:szCs w:val="20"/>
          </w:rPr>
          <w:t>Table of Contents</w:t>
        </w:r>
      </w:hyperlink>
    </w:p>
    <w:p w14:paraId="7DCFE33A" w14:textId="77777777" w:rsidR="00C1563E" w:rsidRDefault="000B648B">
      <w:r>
        <w:rPr>
          <w:rFonts w:ascii="Times New Roman" w:eastAsia="宋体" w:hAnsi="Times New Roman"/>
          <w:color w:val="000000"/>
          <w:sz w:val="20"/>
          <w:szCs w:val="20"/>
        </w:rPr>
        <w:t>The VMware Revolving Credit Facility has a maximum capacity of $1.0 billion. As of January 29, 2021, $1.0 billion was available under the VMware Revolving Credit Facility. None of the net proceeds of borrowings under the VMware Revolving Credit Facility wi</w:t>
      </w:r>
      <w:r>
        <w:rPr>
          <w:rFonts w:ascii="Times New Roman" w:eastAsia="宋体" w:hAnsi="Times New Roman"/>
          <w:color w:val="000000"/>
          <w:sz w:val="20"/>
          <w:szCs w:val="20"/>
        </w:rPr>
        <w:t xml:space="preserve">ll be made available to support the operations or satisfy any corporate purposes of Dell Technologies, other than the operations and corporate purposes of VMware, Inc. and VMware, Inc.’s subsidiaries. </w:t>
      </w:r>
    </w:p>
    <w:p w14:paraId="7DCFE33B" w14:textId="77777777" w:rsidR="00C1563E" w:rsidRDefault="00C1563E"/>
    <w:p w14:paraId="7DCFE33C" w14:textId="77777777" w:rsidR="00C1563E" w:rsidRDefault="000B648B">
      <w:r>
        <w:rPr>
          <w:rFonts w:ascii="Times New Roman" w:eastAsia="宋体" w:hAnsi="Times New Roman"/>
          <w:color w:val="000000"/>
          <w:sz w:val="20"/>
          <w:szCs w:val="20"/>
        </w:rPr>
        <w:t>See Note 6 of the Notes to the Consolidated Financial</w:t>
      </w:r>
      <w:r>
        <w:rPr>
          <w:rFonts w:ascii="Times New Roman" w:eastAsia="宋体" w:hAnsi="Times New Roman"/>
          <w:color w:val="000000"/>
          <w:sz w:val="20"/>
          <w:szCs w:val="20"/>
        </w:rPr>
        <w:t xml:space="preserve"> Statements included in this report for additional information about each of the foregoing revolving credit facilities.</w:t>
      </w:r>
    </w:p>
    <w:p w14:paraId="7DCFE33D" w14:textId="77777777" w:rsidR="00C1563E" w:rsidRDefault="00C1563E"/>
    <w:p w14:paraId="7DCFE33E" w14:textId="77777777" w:rsidR="00C1563E" w:rsidRDefault="000B648B">
      <w:r>
        <w:rPr>
          <w:rFonts w:ascii="Times New Roman" w:eastAsia="宋体" w:hAnsi="Times New Roman"/>
          <w:color w:val="000000"/>
          <w:sz w:val="20"/>
          <w:szCs w:val="20"/>
        </w:rPr>
        <w:t>We believe that our current cash and cash equivalents, together with cash that will be provided by future operations and borrowings exp</w:t>
      </w:r>
      <w:r>
        <w:rPr>
          <w:rFonts w:ascii="Times New Roman" w:eastAsia="宋体" w:hAnsi="Times New Roman"/>
          <w:color w:val="000000"/>
          <w:sz w:val="20"/>
          <w:szCs w:val="20"/>
        </w:rPr>
        <w:t>ected to be available under our revolving credit facilities, will be sufficient over at least the next twelve months and for the foreseeable future thereafter</w:t>
      </w:r>
      <w:r>
        <w:rPr>
          <w:rFonts w:ascii="Times New Roman" w:eastAsia="宋体" w:hAnsi="Times New Roman"/>
          <w:color w:val="000000"/>
        </w:rPr>
        <w:t xml:space="preserve"> </w:t>
      </w:r>
      <w:r>
        <w:rPr>
          <w:rFonts w:ascii="Times New Roman" w:eastAsia="宋体" w:hAnsi="Times New Roman"/>
          <w:color w:val="000000"/>
          <w:sz w:val="20"/>
          <w:szCs w:val="20"/>
        </w:rPr>
        <w:t>to fund our operations, debt service requirements and maturities, capital expenditures, share rep</w:t>
      </w:r>
      <w:r>
        <w:rPr>
          <w:rFonts w:ascii="Times New Roman" w:eastAsia="宋体" w:hAnsi="Times New Roman"/>
          <w:color w:val="000000"/>
          <w:sz w:val="20"/>
          <w:szCs w:val="20"/>
        </w:rPr>
        <w:t>urchases, and other corporate needs.</w:t>
      </w:r>
    </w:p>
    <w:p w14:paraId="7DCFE33F" w14:textId="77777777" w:rsidR="00C1563E" w:rsidRDefault="00C1563E"/>
    <w:p w14:paraId="7DCFE340" w14:textId="77777777" w:rsidR="00C1563E" w:rsidRDefault="000B648B">
      <w:r>
        <w:rPr>
          <w:rFonts w:ascii="Times New Roman" w:eastAsia="宋体" w:hAnsi="Times New Roman"/>
          <w:i/>
          <w:iCs/>
          <w:color w:val="000000"/>
          <w:sz w:val="20"/>
          <w:szCs w:val="20"/>
          <w:u w:val="single"/>
        </w:rPr>
        <w:t>Debt</w:t>
      </w:r>
    </w:p>
    <w:p w14:paraId="7DCFE341" w14:textId="77777777" w:rsidR="00C1563E" w:rsidRDefault="00C1563E"/>
    <w:p w14:paraId="7DCFE342" w14:textId="77777777" w:rsidR="00C1563E" w:rsidRDefault="000B648B">
      <w:r>
        <w:rPr>
          <w:rFonts w:ascii="Times New Roman" w:eastAsia="宋体" w:hAnsi="Times New Roman"/>
          <w:color w:val="000000"/>
          <w:sz w:val="20"/>
          <w:szCs w:val="20"/>
        </w:rPr>
        <w:t>The following table presents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994"/>
        <w:gridCol w:w="40"/>
        <w:gridCol w:w="120"/>
        <w:gridCol w:w="1192"/>
        <w:gridCol w:w="36"/>
        <w:gridCol w:w="36"/>
        <w:gridCol w:w="36"/>
        <w:gridCol w:w="36"/>
        <w:gridCol w:w="121"/>
        <w:gridCol w:w="1192"/>
        <w:gridCol w:w="36"/>
        <w:gridCol w:w="36"/>
        <w:gridCol w:w="36"/>
        <w:gridCol w:w="36"/>
        <w:gridCol w:w="120"/>
        <w:gridCol w:w="1192"/>
        <w:gridCol w:w="36"/>
      </w:tblGrid>
      <w:tr w:rsidR="00C1563E" w14:paraId="7DCFE355" w14:textId="77777777">
        <w:trPr>
          <w:jc w:val="center"/>
        </w:trPr>
        <w:tc>
          <w:tcPr>
            <w:tcW w:w="50" w:type="pct"/>
            <w:shd w:val="clear" w:color="auto" w:fill="auto"/>
          </w:tcPr>
          <w:p w14:paraId="7DCFE343" w14:textId="77777777" w:rsidR="00C1563E" w:rsidRDefault="00C1563E">
            <w:pPr>
              <w:rPr>
                <w:rFonts w:ascii="宋体"/>
              </w:rPr>
            </w:pPr>
          </w:p>
        </w:tc>
        <w:tc>
          <w:tcPr>
            <w:tcW w:w="2452" w:type="pct"/>
            <w:shd w:val="clear" w:color="auto" w:fill="auto"/>
          </w:tcPr>
          <w:p w14:paraId="7DCFE344" w14:textId="77777777" w:rsidR="00C1563E" w:rsidRDefault="00C1563E">
            <w:pPr>
              <w:rPr>
                <w:rFonts w:ascii="宋体"/>
              </w:rPr>
            </w:pPr>
          </w:p>
        </w:tc>
        <w:tc>
          <w:tcPr>
            <w:tcW w:w="5" w:type="pct"/>
            <w:shd w:val="clear" w:color="auto" w:fill="auto"/>
          </w:tcPr>
          <w:p w14:paraId="7DCFE345" w14:textId="77777777" w:rsidR="00C1563E" w:rsidRDefault="00C1563E">
            <w:pPr>
              <w:rPr>
                <w:rFonts w:ascii="宋体"/>
              </w:rPr>
            </w:pPr>
          </w:p>
        </w:tc>
        <w:tc>
          <w:tcPr>
            <w:tcW w:w="50" w:type="pct"/>
            <w:shd w:val="clear" w:color="auto" w:fill="auto"/>
          </w:tcPr>
          <w:p w14:paraId="7DCFE346" w14:textId="77777777" w:rsidR="00C1563E" w:rsidRDefault="00C1563E">
            <w:pPr>
              <w:rPr>
                <w:rFonts w:ascii="宋体"/>
              </w:rPr>
            </w:pPr>
          </w:p>
        </w:tc>
        <w:tc>
          <w:tcPr>
            <w:tcW w:w="756" w:type="pct"/>
            <w:shd w:val="clear" w:color="auto" w:fill="auto"/>
          </w:tcPr>
          <w:p w14:paraId="7DCFE347" w14:textId="77777777" w:rsidR="00C1563E" w:rsidRDefault="00C1563E">
            <w:pPr>
              <w:rPr>
                <w:rFonts w:ascii="宋体"/>
              </w:rPr>
            </w:pPr>
          </w:p>
        </w:tc>
        <w:tc>
          <w:tcPr>
            <w:tcW w:w="5" w:type="pct"/>
            <w:shd w:val="clear" w:color="auto" w:fill="auto"/>
          </w:tcPr>
          <w:p w14:paraId="7DCFE348" w14:textId="77777777" w:rsidR="00C1563E" w:rsidRDefault="00C1563E">
            <w:pPr>
              <w:rPr>
                <w:rFonts w:ascii="宋体"/>
              </w:rPr>
            </w:pPr>
          </w:p>
        </w:tc>
        <w:tc>
          <w:tcPr>
            <w:tcW w:w="5" w:type="pct"/>
            <w:shd w:val="clear" w:color="auto" w:fill="auto"/>
          </w:tcPr>
          <w:p w14:paraId="7DCFE349" w14:textId="77777777" w:rsidR="00C1563E" w:rsidRDefault="00C1563E">
            <w:pPr>
              <w:rPr>
                <w:rFonts w:ascii="宋体"/>
              </w:rPr>
            </w:pPr>
          </w:p>
        </w:tc>
        <w:tc>
          <w:tcPr>
            <w:tcW w:w="19" w:type="pct"/>
            <w:shd w:val="clear" w:color="auto" w:fill="auto"/>
          </w:tcPr>
          <w:p w14:paraId="7DCFE34A" w14:textId="77777777" w:rsidR="00C1563E" w:rsidRDefault="00C1563E">
            <w:pPr>
              <w:rPr>
                <w:rFonts w:ascii="宋体"/>
              </w:rPr>
            </w:pPr>
          </w:p>
        </w:tc>
        <w:tc>
          <w:tcPr>
            <w:tcW w:w="5" w:type="pct"/>
            <w:shd w:val="clear" w:color="auto" w:fill="auto"/>
          </w:tcPr>
          <w:p w14:paraId="7DCFE34B" w14:textId="77777777" w:rsidR="00C1563E" w:rsidRDefault="00C1563E">
            <w:pPr>
              <w:rPr>
                <w:rFonts w:ascii="宋体"/>
              </w:rPr>
            </w:pPr>
          </w:p>
        </w:tc>
        <w:tc>
          <w:tcPr>
            <w:tcW w:w="50" w:type="pct"/>
            <w:shd w:val="clear" w:color="auto" w:fill="auto"/>
          </w:tcPr>
          <w:p w14:paraId="7DCFE34C" w14:textId="77777777" w:rsidR="00C1563E" w:rsidRDefault="00C1563E">
            <w:pPr>
              <w:rPr>
                <w:rFonts w:ascii="宋体"/>
              </w:rPr>
            </w:pPr>
          </w:p>
        </w:tc>
        <w:tc>
          <w:tcPr>
            <w:tcW w:w="756" w:type="pct"/>
            <w:shd w:val="clear" w:color="auto" w:fill="auto"/>
          </w:tcPr>
          <w:p w14:paraId="7DCFE34D" w14:textId="77777777" w:rsidR="00C1563E" w:rsidRDefault="00C1563E">
            <w:pPr>
              <w:rPr>
                <w:rFonts w:ascii="宋体"/>
              </w:rPr>
            </w:pPr>
          </w:p>
        </w:tc>
        <w:tc>
          <w:tcPr>
            <w:tcW w:w="5" w:type="pct"/>
            <w:shd w:val="clear" w:color="auto" w:fill="auto"/>
          </w:tcPr>
          <w:p w14:paraId="7DCFE34E" w14:textId="77777777" w:rsidR="00C1563E" w:rsidRDefault="00C1563E">
            <w:pPr>
              <w:rPr>
                <w:rFonts w:ascii="宋体"/>
              </w:rPr>
            </w:pPr>
          </w:p>
        </w:tc>
        <w:tc>
          <w:tcPr>
            <w:tcW w:w="5" w:type="pct"/>
            <w:shd w:val="clear" w:color="auto" w:fill="auto"/>
          </w:tcPr>
          <w:p w14:paraId="7DCFE34F" w14:textId="77777777" w:rsidR="00C1563E" w:rsidRDefault="00C1563E">
            <w:pPr>
              <w:rPr>
                <w:rFonts w:ascii="宋体"/>
              </w:rPr>
            </w:pPr>
          </w:p>
        </w:tc>
        <w:tc>
          <w:tcPr>
            <w:tcW w:w="19" w:type="pct"/>
            <w:shd w:val="clear" w:color="auto" w:fill="auto"/>
          </w:tcPr>
          <w:p w14:paraId="7DCFE350" w14:textId="77777777" w:rsidR="00C1563E" w:rsidRDefault="00C1563E">
            <w:pPr>
              <w:rPr>
                <w:rFonts w:ascii="宋体"/>
              </w:rPr>
            </w:pPr>
          </w:p>
        </w:tc>
        <w:tc>
          <w:tcPr>
            <w:tcW w:w="5" w:type="pct"/>
            <w:shd w:val="clear" w:color="auto" w:fill="auto"/>
          </w:tcPr>
          <w:p w14:paraId="7DCFE351" w14:textId="77777777" w:rsidR="00C1563E" w:rsidRDefault="00C1563E">
            <w:pPr>
              <w:rPr>
                <w:rFonts w:ascii="宋体"/>
              </w:rPr>
            </w:pPr>
          </w:p>
        </w:tc>
        <w:tc>
          <w:tcPr>
            <w:tcW w:w="50" w:type="pct"/>
            <w:shd w:val="clear" w:color="auto" w:fill="auto"/>
          </w:tcPr>
          <w:p w14:paraId="7DCFE352" w14:textId="77777777" w:rsidR="00C1563E" w:rsidRDefault="00C1563E">
            <w:pPr>
              <w:rPr>
                <w:rFonts w:ascii="宋体"/>
              </w:rPr>
            </w:pPr>
          </w:p>
        </w:tc>
        <w:tc>
          <w:tcPr>
            <w:tcW w:w="756" w:type="pct"/>
            <w:shd w:val="clear" w:color="auto" w:fill="auto"/>
          </w:tcPr>
          <w:p w14:paraId="7DCFE353" w14:textId="77777777" w:rsidR="00C1563E" w:rsidRDefault="00C1563E">
            <w:pPr>
              <w:rPr>
                <w:rFonts w:ascii="宋体"/>
              </w:rPr>
            </w:pPr>
          </w:p>
        </w:tc>
        <w:tc>
          <w:tcPr>
            <w:tcW w:w="5" w:type="pct"/>
            <w:shd w:val="clear" w:color="auto" w:fill="auto"/>
          </w:tcPr>
          <w:p w14:paraId="7DCFE354" w14:textId="77777777" w:rsidR="00C1563E" w:rsidRDefault="00C1563E">
            <w:pPr>
              <w:rPr>
                <w:rFonts w:ascii="宋体"/>
              </w:rPr>
            </w:pPr>
          </w:p>
        </w:tc>
      </w:tr>
      <w:tr w:rsidR="00C1563E" w14:paraId="7DCFE35C" w14:textId="77777777">
        <w:trPr>
          <w:jc w:val="center"/>
        </w:trPr>
        <w:tc>
          <w:tcPr>
            <w:tcW w:w="0" w:type="auto"/>
            <w:gridSpan w:val="3"/>
            <w:shd w:val="clear" w:color="auto" w:fill="auto"/>
            <w:tcMar>
              <w:top w:w="0" w:type="dxa"/>
              <w:left w:w="20" w:type="dxa"/>
              <w:bottom w:w="0" w:type="dxa"/>
              <w:right w:w="20" w:type="dxa"/>
            </w:tcMar>
          </w:tcPr>
          <w:p w14:paraId="7DCFE35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35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E35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E359" w14:textId="77777777" w:rsidR="00C1563E" w:rsidRDefault="000B648B">
            <w:pPr>
              <w:jc w:val="center"/>
              <w:textAlignment w:val="bottom"/>
            </w:pPr>
            <w:r>
              <w:rPr>
                <w:rFonts w:ascii="Times New Roman" w:eastAsia="宋体" w:hAnsi="Times New Roman"/>
                <w:b/>
                <w:bCs/>
                <w:color w:val="000000"/>
                <w:sz w:val="20"/>
                <w:szCs w:val="20"/>
              </w:rPr>
              <w:t>Increase (Decrease)</w:t>
            </w:r>
          </w:p>
        </w:tc>
        <w:tc>
          <w:tcPr>
            <w:tcW w:w="0" w:type="auto"/>
            <w:gridSpan w:val="3"/>
            <w:shd w:val="clear" w:color="auto" w:fill="auto"/>
            <w:tcMar>
              <w:top w:w="0" w:type="dxa"/>
              <w:left w:w="20" w:type="dxa"/>
              <w:bottom w:w="0" w:type="dxa"/>
              <w:right w:w="20" w:type="dxa"/>
            </w:tcMar>
          </w:tcPr>
          <w:p w14:paraId="7DCFE35A"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E35B"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E35F" w14:textId="77777777">
        <w:trPr>
          <w:jc w:val="center"/>
        </w:trPr>
        <w:tc>
          <w:tcPr>
            <w:tcW w:w="0" w:type="auto"/>
            <w:gridSpan w:val="3"/>
            <w:shd w:val="clear" w:color="auto" w:fill="auto"/>
            <w:tcMar>
              <w:top w:w="0" w:type="dxa"/>
              <w:left w:w="20" w:type="dxa"/>
              <w:bottom w:w="0" w:type="dxa"/>
              <w:right w:w="20" w:type="dxa"/>
            </w:tcMar>
          </w:tcPr>
          <w:p w14:paraId="7DCFE35D"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CFE35E"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E366" w14:textId="77777777">
        <w:trPr>
          <w:jc w:val="center"/>
        </w:trPr>
        <w:tc>
          <w:tcPr>
            <w:tcW w:w="0" w:type="auto"/>
            <w:gridSpan w:val="3"/>
            <w:shd w:val="clear" w:color="auto" w:fill="CCEEFF"/>
            <w:tcMar>
              <w:top w:w="40" w:type="dxa"/>
              <w:left w:w="20" w:type="dxa"/>
              <w:bottom w:w="40" w:type="dxa"/>
              <w:right w:w="20" w:type="dxa"/>
            </w:tcMar>
            <w:vAlign w:val="bottom"/>
          </w:tcPr>
          <w:p w14:paraId="7DCFE360" w14:textId="77777777" w:rsidR="00C1563E" w:rsidRDefault="000B648B">
            <w:pPr>
              <w:textAlignment w:val="bottom"/>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tcPr>
          <w:p w14:paraId="7DCFE36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6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6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6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65" w14:textId="77777777" w:rsidR="00C1563E" w:rsidRDefault="00C1563E">
            <w:pPr>
              <w:rPr>
                <w:rFonts w:ascii="宋体"/>
              </w:rPr>
            </w:pPr>
          </w:p>
        </w:tc>
      </w:tr>
      <w:tr w:rsidR="00C1563E" w14:paraId="7DCFE373" w14:textId="77777777">
        <w:trPr>
          <w:jc w:val="center"/>
        </w:trPr>
        <w:tc>
          <w:tcPr>
            <w:tcW w:w="0" w:type="auto"/>
            <w:gridSpan w:val="3"/>
            <w:shd w:val="clear" w:color="auto" w:fill="FFFFFF"/>
            <w:tcMar>
              <w:top w:w="40" w:type="dxa"/>
              <w:left w:w="125" w:type="dxa"/>
              <w:bottom w:w="40" w:type="dxa"/>
              <w:right w:w="20" w:type="dxa"/>
            </w:tcMar>
            <w:vAlign w:val="bottom"/>
          </w:tcPr>
          <w:p w14:paraId="7DCFE367" w14:textId="77777777" w:rsidR="00C1563E" w:rsidRDefault="000B648B">
            <w:pPr>
              <w:textAlignment w:val="bottom"/>
            </w:pPr>
            <w:r>
              <w:rPr>
                <w:rFonts w:ascii="Times New Roman" w:eastAsia="宋体" w:hAnsi="Times New Roman"/>
                <w:color w:val="000000"/>
                <w:sz w:val="20"/>
                <w:szCs w:val="20"/>
              </w:rPr>
              <w:t xml:space="preserve">Senior Secured </w:t>
            </w:r>
            <w:r>
              <w:rPr>
                <w:rFonts w:ascii="Times New Roman" w:eastAsia="宋体" w:hAnsi="Times New Roman"/>
                <w:color w:val="000000"/>
                <w:sz w:val="20"/>
                <w:szCs w:val="20"/>
              </w:rPr>
              <w:t>Credit Facilities and First Lien Notes</w:t>
            </w:r>
          </w:p>
        </w:tc>
        <w:tc>
          <w:tcPr>
            <w:tcW w:w="0" w:type="auto"/>
            <w:shd w:val="clear" w:color="auto" w:fill="FFFFFF"/>
            <w:tcMar>
              <w:top w:w="40" w:type="dxa"/>
              <w:left w:w="20" w:type="dxa"/>
              <w:bottom w:w="40" w:type="dxa"/>
              <w:right w:w="0" w:type="dxa"/>
            </w:tcMar>
            <w:vAlign w:val="bottom"/>
          </w:tcPr>
          <w:p w14:paraId="7DCFE36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369" w14:textId="77777777" w:rsidR="00C1563E" w:rsidRDefault="000B648B">
            <w:pPr>
              <w:jc w:val="right"/>
              <w:textAlignment w:val="bottom"/>
            </w:pPr>
            <w:r>
              <w:rPr>
                <w:rFonts w:ascii="Times New Roman" w:eastAsia="宋体" w:hAnsi="Times New Roman"/>
                <w:color w:val="000000"/>
                <w:sz w:val="20"/>
                <w:szCs w:val="20"/>
              </w:rPr>
              <w:t>24,777 </w:t>
            </w:r>
          </w:p>
        </w:tc>
        <w:tc>
          <w:tcPr>
            <w:tcW w:w="0" w:type="auto"/>
            <w:shd w:val="clear" w:color="auto" w:fill="FFFFFF"/>
            <w:tcMar>
              <w:top w:w="40" w:type="dxa"/>
              <w:left w:w="0" w:type="dxa"/>
              <w:bottom w:w="40" w:type="dxa"/>
              <w:right w:w="20" w:type="dxa"/>
            </w:tcMar>
            <w:vAlign w:val="bottom"/>
          </w:tcPr>
          <w:p w14:paraId="7DCFE36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6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36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36D" w14:textId="77777777" w:rsidR="00C1563E" w:rsidRDefault="000B648B">
            <w:pPr>
              <w:jc w:val="right"/>
              <w:textAlignment w:val="bottom"/>
            </w:pPr>
            <w:r>
              <w:rPr>
                <w:rFonts w:ascii="Times New Roman" w:eastAsia="宋体" w:hAnsi="Times New Roman"/>
                <w:color w:val="000000"/>
                <w:sz w:val="20"/>
                <w:szCs w:val="20"/>
              </w:rPr>
              <w:t>(4,887)</w:t>
            </w:r>
          </w:p>
        </w:tc>
        <w:tc>
          <w:tcPr>
            <w:tcW w:w="0" w:type="auto"/>
            <w:shd w:val="clear" w:color="auto" w:fill="FFFFFF"/>
            <w:tcMar>
              <w:top w:w="40" w:type="dxa"/>
              <w:left w:w="0" w:type="dxa"/>
              <w:bottom w:w="40" w:type="dxa"/>
              <w:right w:w="20" w:type="dxa"/>
            </w:tcMar>
            <w:vAlign w:val="bottom"/>
          </w:tcPr>
          <w:p w14:paraId="7DCFE36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6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37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371" w14:textId="77777777" w:rsidR="00C1563E" w:rsidRDefault="000B648B">
            <w:pPr>
              <w:jc w:val="right"/>
              <w:textAlignment w:val="bottom"/>
            </w:pPr>
            <w:r>
              <w:rPr>
                <w:rFonts w:ascii="Times New Roman" w:eastAsia="宋体" w:hAnsi="Times New Roman"/>
                <w:color w:val="000000"/>
                <w:sz w:val="20"/>
                <w:szCs w:val="20"/>
              </w:rPr>
              <w:t>29,664 </w:t>
            </w:r>
          </w:p>
        </w:tc>
        <w:tc>
          <w:tcPr>
            <w:tcW w:w="0" w:type="auto"/>
            <w:shd w:val="clear" w:color="auto" w:fill="FFFFFF"/>
            <w:tcMar>
              <w:top w:w="40" w:type="dxa"/>
              <w:left w:w="0" w:type="dxa"/>
              <w:bottom w:w="40" w:type="dxa"/>
              <w:right w:w="20" w:type="dxa"/>
            </w:tcMar>
            <w:vAlign w:val="bottom"/>
          </w:tcPr>
          <w:p w14:paraId="7DCFE372" w14:textId="77777777" w:rsidR="00C1563E" w:rsidRDefault="00C1563E">
            <w:pPr>
              <w:jc w:val="right"/>
              <w:rPr>
                <w:rFonts w:ascii="宋体"/>
              </w:rPr>
            </w:pPr>
          </w:p>
        </w:tc>
      </w:tr>
      <w:tr w:rsidR="00C1563E" w14:paraId="7DCFE37D" w14:textId="77777777">
        <w:trPr>
          <w:jc w:val="center"/>
        </w:trPr>
        <w:tc>
          <w:tcPr>
            <w:tcW w:w="0" w:type="auto"/>
            <w:gridSpan w:val="3"/>
            <w:shd w:val="clear" w:color="auto" w:fill="CCEEFF"/>
            <w:tcMar>
              <w:top w:w="40" w:type="dxa"/>
              <w:left w:w="125" w:type="dxa"/>
              <w:bottom w:w="40" w:type="dxa"/>
              <w:right w:w="20" w:type="dxa"/>
            </w:tcMar>
            <w:vAlign w:val="bottom"/>
          </w:tcPr>
          <w:p w14:paraId="7DCFE374" w14:textId="77777777" w:rsidR="00C1563E" w:rsidRDefault="000B648B">
            <w:pPr>
              <w:textAlignment w:val="bottom"/>
            </w:pPr>
            <w:r>
              <w:rPr>
                <w:rFonts w:ascii="Times New Roman" w:eastAsia="宋体" w:hAnsi="Times New Roman"/>
                <w:color w:val="000000"/>
                <w:sz w:val="20"/>
                <w:szCs w:val="20"/>
              </w:rPr>
              <w:t xml:space="preserve">Unsecured Notes and Debentures </w:t>
            </w:r>
          </w:p>
        </w:tc>
        <w:tc>
          <w:tcPr>
            <w:tcW w:w="0" w:type="auto"/>
            <w:gridSpan w:val="2"/>
            <w:shd w:val="clear" w:color="auto" w:fill="CCEEFF"/>
            <w:tcMar>
              <w:top w:w="40" w:type="dxa"/>
              <w:left w:w="20" w:type="dxa"/>
              <w:bottom w:w="40" w:type="dxa"/>
              <w:right w:w="0" w:type="dxa"/>
            </w:tcMar>
            <w:vAlign w:val="bottom"/>
          </w:tcPr>
          <w:p w14:paraId="7DCFE375" w14:textId="77777777" w:rsidR="00C1563E" w:rsidRDefault="000B648B">
            <w:pPr>
              <w:jc w:val="right"/>
              <w:textAlignment w:val="bottom"/>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bottom"/>
          </w:tcPr>
          <w:p w14:paraId="7DCFE37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7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7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37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7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7B" w14:textId="77777777" w:rsidR="00C1563E" w:rsidRDefault="000B648B">
            <w:pPr>
              <w:jc w:val="right"/>
              <w:textAlignment w:val="bottom"/>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bottom"/>
          </w:tcPr>
          <w:p w14:paraId="7DCFE37C" w14:textId="77777777" w:rsidR="00C1563E" w:rsidRDefault="00C1563E">
            <w:pPr>
              <w:jc w:val="right"/>
              <w:rPr>
                <w:rFonts w:ascii="宋体"/>
              </w:rPr>
            </w:pPr>
          </w:p>
        </w:tc>
      </w:tr>
      <w:tr w:rsidR="00C1563E" w14:paraId="7DCFE387" w14:textId="77777777">
        <w:trPr>
          <w:jc w:val="center"/>
        </w:trPr>
        <w:tc>
          <w:tcPr>
            <w:tcW w:w="0" w:type="auto"/>
            <w:gridSpan w:val="3"/>
            <w:shd w:val="clear" w:color="auto" w:fill="FFFFFF"/>
            <w:tcMar>
              <w:top w:w="40" w:type="dxa"/>
              <w:left w:w="125" w:type="dxa"/>
              <w:bottom w:w="40" w:type="dxa"/>
              <w:right w:w="20" w:type="dxa"/>
            </w:tcMar>
            <w:vAlign w:val="bottom"/>
          </w:tcPr>
          <w:p w14:paraId="7DCFE37E" w14:textId="77777777" w:rsidR="00C1563E" w:rsidRDefault="000B648B">
            <w:pPr>
              <w:textAlignment w:val="bottom"/>
            </w:pPr>
            <w:r>
              <w:rPr>
                <w:rFonts w:ascii="Times New Roman" w:eastAsia="宋体" w:hAnsi="Times New Roman"/>
                <w:color w:val="000000"/>
                <w:sz w:val="20"/>
                <w:szCs w:val="20"/>
              </w:rPr>
              <w:t xml:space="preserve">Senior Notes </w:t>
            </w:r>
          </w:p>
        </w:tc>
        <w:tc>
          <w:tcPr>
            <w:tcW w:w="0" w:type="auto"/>
            <w:gridSpan w:val="2"/>
            <w:shd w:val="clear" w:color="auto" w:fill="FFFFFF"/>
            <w:tcMar>
              <w:top w:w="40" w:type="dxa"/>
              <w:left w:w="20" w:type="dxa"/>
              <w:bottom w:w="40" w:type="dxa"/>
              <w:right w:w="0" w:type="dxa"/>
            </w:tcMar>
            <w:vAlign w:val="bottom"/>
          </w:tcPr>
          <w:p w14:paraId="7DCFE37F" w14:textId="77777777" w:rsidR="00C1563E" w:rsidRDefault="000B648B">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bottom"/>
          </w:tcPr>
          <w:p w14:paraId="7DCFE38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8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8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E38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8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85" w14:textId="77777777" w:rsidR="00C1563E" w:rsidRDefault="000B648B">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bottom"/>
          </w:tcPr>
          <w:p w14:paraId="7DCFE386" w14:textId="77777777" w:rsidR="00C1563E" w:rsidRDefault="00C1563E">
            <w:pPr>
              <w:jc w:val="right"/>
              <w:rPr>
                <w:rFonts w:ascii="宋体"/>
              </w:rPr>
            </w:pPr>
          </w:p>
        </w:tc>
      </w:tr>
      <w:tr w:rsidR="00C1563E" w14:paraId="7DCFE391" w14:textId="77777777">
        <w:trPr>
          <w:jc w:val="center"/>
        </w:trPr>
        <w:tc>
          <w:tcPr>
            <w:tcW w:w="0" w:type="auto"/>
            <w:gridSpan w:val="3"/>
            <w:shd w:val="clear" w:color="auto" w:fill="CCEEFF"/>
            <w:tcMar>
              <w:top w:w="40" w:type="dxa"/>
              <w:left w:w="125" w:type="dxa"/>
              <w:bottom w:w="40" w:type="dxa"/>
              <w:right w:w="20" w:type="dxa"/>
            </w:tcMar>
            <w:vAlign w:val="bottom"/>
          </w:tcPr>
          <w:p w14:paraId="7DCFE388" w14:textId="77777777" w:rsidR="00C1563E" w:rsidRDefault="000B648B">
            <w:pPr>
              <w:textAlignment w:val="bottom"/>
            </w:pPr>
            <w:r>
              <w:rPr>
                <w:rFonts w:ascii="Times New Roman" w:eastAsia="宋体" w:hAnsi="Times New Roman"/>
                <w:color w:val="000000"/>
                <w:sz w:val="20"/>
                <w:szCs w:val="20"/>
              </w:rPr>
              <w:t>EMC Notes</w:t>
            </w:r>
          </w:p>
        </w:tc>
        <w:tc>
          <w:tcPr>
            <w:tcW w:w="0" w:type="auto"/>
            <w:gridSpan w:val="2"/>
            <w:shd w:val="clear" w:color="auto" w:fill="CCEEFF"/>
            <w:tcMar>
              <w:top w:w="40" w:type="dxa"/>
              <w:left w:w="20" w:type="dxa"/>
              <w:bottom w:w="40" w:type="dxa"/>
              <w:right w:w="0" w:type="dxa"/>
            </w:tcMar>
            <w:vAlign w:val="bottom"/>
          </w:tcPr>
          <w:p w14:paraId="7DCFE389"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E38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8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8C" w14:textId="77777777" w:rsidR="00C1563E" w:rsidRDefault="000B648B">
            <w:pPr>
              <w:jc w:val="right"/>
              <w:textAlignment w:val="bottom"/>
            </w:pPr>
            <w:r>
              <w:rPr>
                <w:rFonts w:ascii="Times New Roman" w:eastAsia="宋体" w:hAnsi="Times New Roman"/>
                <w:color w:val="000000"/>
                <w:sz w:val="20"/>
                <w:szCs w:val="20"/>
              </w:rPr>
              <w:t>(600)</w:t>
            </w:r>
          </w:p>
        </w:tc>
        <w:tc>
          <w:tcPr>
            <w:tcW w:w="0" w:type="auto"/>
            <w:shd w:val="clear" w:color="auto" w:fill="CCEEFF"/>
            <w:tcMar>
              <w:top w:w="40" w:type="dxa"/>
              <w:left w:w="0" w:type="dxa"/>
              <w:bottom w:w="40" w:type="dxa"/>
              <w:right w:w="20" w:type="dxa"/>
            </w:tcMar>
            <w:vAlign w:val="bottom"/>
          </w:tcPr>
          <w:p w14:paraId="7DCFE38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8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8F" w14:textId="77777777" w:rsidR="00C1563E" w:rsidRDefault="000B648B">
            <w:pPr>
              <w:jc w:val="right"/>
              <w:textAlignment w:val="bottom"/>
            </w:pPr>
            <w:r>
              <w:rPr>
                <w:rFonts w:ascii="Times New Roman" w:eastAsia="宋体" w:hAnsi="Times New Roman"/>
                <w:color w:val="000000"/>
                <w:sz w:val="20"/>
                <w:szCs w:val="20"/>
              </w:rPr>
              <w:t>1,600 </w:t>
            </w:r>
          </w:p>
        </w:tc>
        <w:tc>
          <w:tcPr>
            <w:tcW w:w="0" w:type="auto"/>
            <w:shd w:val="clear" w:color="auto" w:fill="CCEEFF"/>
            <w:tcMar>
              <w:top w:w="40" w:type="dxa"/>
              <w:left w:w="0" w:type="dxa"/>
              <w:bottom w:w="40" w:type="dxa"/>
              <w:right w:w="20" w:type="dxa"/>
            </w:tcMar>
            <w:vAlign w:val="bottom"/>
          </w:tcPr>
          <w:p w14:paraId="7DCFE390" w14:textId="77777777" w:rsidR="00C1563E" w:rsidRDefault="00C1563E">
            <w:pPr>
              <w:jc w:val="right"/>
              <w:rPr>
                <w:rFonts w:ascii="宋体"/>
              </w:rPr>
            </w:pPr>
          </w:p>
        </w:tc>
      </w:tr>
      <w:tr w:rsidR="00C1563E" w14:paraId="7DCFE39B" w14:textId="77777777">
        <w:trPr>
          <w:jc w:val="center"/>
        </w:trPr>
        <w:tc>
          <w:tcPr>
            <w:tcW w:w="0" w:type="auto"/>
            <w:gridSpan w:val="3"/>
            <w:shd w:val="clear" w:color="auto" w:fill="FFFFFF"/>
            <w:tcMar>
              <w:top w:w="40" w:type="dxa"/>
              <w:left w:w="125" w:type="dxa"/>
              <w:bottom w:w="40" w:type="dxa"/>
              <w:right w:w="20" w:type="dxa"/>
            </w:tcMar>
            <w:vAlign w:val="bottom"/>
          </w:tcPr>
          <w:p w14:paraId="7DCFE392" w14:textId="77777777" w:rsidR="00C1563E" w:rsidRDefault="000B648B">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7DCFE393" w14:textId="77777777" w:rsidR="00C1563E" w:rsidRDefault="000B648B">
            <w:pPr>
              <w:jc w:val="right"/>
              <w:textAlignment w:val="bottom"/>
            </w:pPr>
            <w:r>
              <w:rPr>
                <w:rFonts w:ascii="Times New Roman" w:eastAsia="宋体" w:hAnsi="Times New Roman"/>
                <w:color w:val="000000"/>
                <w:sz w:val="20"/>
                <w:szCs w:val="20"/>
              </w:rPr>
              <w:t>(666)</w:t>
            </w:r>
          </w:p>
        </w:tc>
        <w:tc>
          <w:tcPr>
            <w:tcW w:w="0" w:type="auto"/>
            <w:shd w:val="clear" w:color="auto" w:fill="FFFFFF"/>
            <w:tcMar>
              <w:top w:w="40" w:type="dxa"/>
              <w:left w:w="0" w:type="dxa"/>
              <w:bottom w:w="40" w:type="dxa"/>
              <w:right w:w="20" w:type="dxa"/>
            </w:tcMar>
            <w:vAlign w:val="bottom"/>
          </w:tcPr>
          <w:p w14:paraId="7DCFE39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9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96" w14:textId="77777777" w:rsidR="00C1563E" w:rsidRDefault="000B648B">
            <w:pPr>
              <w:jc w:val="right"/>
              <w:textAlignment w:val="bottom"/>
            </w:pPr>
            <w:r>
              <w:rPr>
                <w:rFonts w:ascii="Times New Roman" w:eastAsia="宋体" w:hAnsi="Times New Roman"/>
                <w:color w:val="000000"/>
                <w:sz w:val="20"/>
                <w:szCs w:val="20"/>
              </w:rPr>
              <w:t>829 </w:t>
            </w:r>
          </w:p>
        </w:tc>
        <w:tc>
          <w:tcPr>
            <w:tcW w:w="0" w:type="auto"/>
            <w:shd w:val="clear" w:color="auto" w:fill="FFFFFF"/>
            <w:tcMar>
              <w:top w:w="40" w:type="dxa"/>
              <w:left w:w="0" w:type="dxa"/>
              <w:bottom w:w="40" w:type="dxa"/>
              <w:right w:w="20" w:type="dxa"/>
            </w:tcMar>
            <w:vAlign w:val="bottom"/>
          </w:tcPr>
          <w:p w14:paraId="7DCFE39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9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99" w14:textId="77777777" w:rsidR="00C1563E" w:rsidRDefault="000B648B">
            <w:pPr>
              <w:jc w:val="right"/>
              <w:textAlignment w:val="bottom"/>
            </w:pPr>
            <w:r>
              <w:rPr>
                <w:rFonts w:ascii="Times New Roman" w:eastAsia="宋体" w:hAnsi="Times New Roman"/>
                <w:color w:val="000000"/>
                <w:sz w:val="20"/>
                <w:szCs w:val="20"/>
              </w:rPr>
              <w:t>(1,495)</w:t>
            </w:r>
          </w:p>
        </w:tc>
        <w:tc>
          <w:tcPr>
            <w:tcW w:w="0" w:type="auto"/>
            <w:shd w:val="clear" w:color="auto" w:fill="FFFFFF"/>
            <w:tcMar>
              <w:top w:w="40" w:type="dxa"/>
              <w:left w:w="0" w:type="dxa"/>
              <w:bottom w:w="40" w:type="dxa"/>
              <w:right w:w="20" w:type="dxa"/>
            </w:tcMar>
            <w:vAlign w:val="bottom"/>
          </w:tcPr>
          <w:p w14:paraId="7DCFE39A" w14:textId="77777777" w:rsidR="00C1563E" w:rsidRDefault="00C1563E">
            <w:pPr>
              <w:jc w:val="right"/>
              <w:rPr>
                <w:rFonts w:ascii="宋体"/>
              </w:rPr>
            </w:pPr>
          </w:p>
        </w:tc>
      </w:tr>
      <w:tr w:rsidR="00C1563E" w14:paraId="7DCFE3A5" w14:textId="77777777">
        <w:trPr>
          <w:jc w:val="center"/>
        </w:trPr>
        <w:tc>
          <w:tcPr>
            <w:tcW w:w="0" w:type="auto"/>
            <w:gridSpan w:val="3"/>
            <w:shd w:val="clear" w:color="auto" w:fill="CCEEFF"/>
            <w:tcMar>
              <w:top w:w="40" w:type="dxa"/>
              <w:left w:w="260" w:type="dxa"/>
              <w:bottom w:w="40" w:type="dxa"/>
              <w:right w:w="20" w:type="dxa"/>
            </w:tcMar>
            <w:vAlign w:val="bottom"/>
          </w:tcPr>
          <w:p w14:paraId="7DCFE39C" w14:textId="77777777" w:rsidR="00C1563E" w:rsidRDefault="000B648B">
            <w:pPr>
              <w:textAlignment w:val="bottom"/>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9D" w14:textId="77777777" w:rsidR="00C1563E" w:rsidRDefault="000B648B">
            <w:pPr>
              <w:jc w:val="right"/>
              <w:textAlignment w:val="bottom"/>
            </w:pPr>
            <w:r>
              <w:rPr>
                <w:rFonts w:ascii="Times New Roman" w:eastAsia="宋体" w:hAnsi="Times New Roman"/>
                <w:color w:val="000000"/>
                <w:sz w:val="20"/>
                <w:szCs w:val="20"/>
              </w:rPr>
              <w:t>29,163 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9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A0" w14:textId="77777777" w:rsidR="00C1563E" w:rsidRDefault="000B648B">
            <w:pPr>
              <w:jc w:val="right"/>
              <w:textAlignment w:val="bottom"/>
            </w:pPr>
            <w:r>
              <w:rPr>
                <w:rFonts w:ascii="Times New Roman" w:eastAsia="宋体" w:hAnsi="Times New Roman"/>
                <w:color w:val="000000"/>
                <w:sz w:val="20"/>
                <w:szCs w:val="20"/>
              </w:rPr>
              <w:t>(4,658)</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A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A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A3" w14:textId="77777777" w:rsidR="00C1563E" w:rsidRDefault="000B648B">
            <w:pPr>
              <w:jc w:val="right"/>
              <w:textAlignment w:val="bottom"/>
            </w:pPr>
            <w:r>
              <w:rPr>
                <w:rFonts w:ascii="Times New Roman" w:eastAsia="宋体" w:hAnsi="Times New Roman"/>
                <w:color w:val="000000"/>
                <w:sz w:val="20"/>
                <w:szCs w:val="20"/>
              </w:rPr>
              <w:t>33,821 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A4" w14:textId="77777777" w:rsidR="00C1563E" w:rsidRDefault="00C1563E">
            <w:pPr>
              <w:jc w:val="right"/>
              <w:rPr>
                <w:rFonts w:ascii="宋体"/>
              </w:rPr>
            </w:pPr>
          </w:p>
        </w:tc>
      </w:tr>
      <w:tr w:rsidR="00C1563E" w14:paraId="7DCFE3AC" w14:textId="77777777">
        <w:trPr>
          <w:jc w:val="center"/>
        </w:trPr>
        <w:tc>
          <w:tcPr>
            <w:tcW w:w="0" w:type="auto"/>
            <w:gridSpan w:val="3"/>
            <w:shd w:val="clear" w:color="auto" w:fill="FFFFFF"/>
            <w:tcMar>
              <w:top w:w="40" w:type="dxa"/>
              <w:left w:w="20" w:type="dxa"/>
              <w:bottom w:w="40" w:type="dxa"/>
              <w:right w:w="20" w:type="dxa"/>
            </w:tcMar>
            <w:vAlign w:val="bottom"/>
          </w:tcPr>
          <w:p w14:paraId="7DCFE3A6" w14:textId="77777777" w:rsidR="00C1563E" w:rsidRDefault="000B648B">
            <w:pPr>
              <w:textAlignment w:val="bottom"/>
            </w:pPr>
            <w:r>
              <w:rPr>
                <w:rFonts w:ascii="Times New Roman" w:eastAsia="宋体" w:hAnsi="Times New Roman"/>
                <w:b/>
                <w:bCs/>
                <w:color w:val="000000"/>
                <w:sz w:val="20"/>
                <w:szCs w:val="20"/>
              </w:rPr>
              <w:t>DFS r</w:t>
            </w:r>
            <w:r>
              <w:rPr>
                <w:rFonts w:ascii="Times New Roman" w:eastAsia="宋体" w:hAnsi="Times New Roman"/>
                <w:b/>
                <w:bCs/>
                <w:color w:val="000000"/>
                <w:sz w:val="20"/>
                <w:szCs w:val="20"/>
              </w:rPr>
              <w:t>elated debt</w:t>
            </w:r>
          </w:p>
        </w:tc>
        <w:tc>
          <w:tcPr>
            <w:tcW w:w="0" w:type="auto"/>
            <w:gridSpan w:val="3"/>
            <w:shd w:val="clear" w:color="auto" w:fill="FFFFFF"/>
            <w:tcMar>
              <w:top w:w="0" w:type="dxa"/>
              <w:left w:w="20" w:type="dxa"/>
              <w:bottom w:w="0" w:type="dxa"/>
              <w:right w:w="20" w:type="dxa"/>
            </w:tcMar>
          </w:tcPr>
          <w:p w14:paraId="7DCFE3A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3A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3A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3A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3AB" w14:textId="77777777" w:rsidR="00C1563E" w:rsidRDefault="00C1563E">
            <w:pPr>
              <w:rPr>
                <w:rFonts w:ascii="宋体"/>
              </w:rPr>
            </w:pPr>
          </w:p>
        </w:tc>
      </w:tr>
      <w:tr w:rsidR="00C1563E" w14:paraId="7DCFE3B6" w14:textId="77777777">
        <w:trPr>
          <w:jc w:val="center"/>
        </w:trPr>
        <w:tc>
          <w:tcPr>
            <w:tcW w:w="0" w:type="auto"/>
            <w:gridSpan w:val="3"/>
            <w:shd w:val="clear" w:color="auto" w:fill="CCEEFF"/>
            <w:tcMar>
              <w:top w:w="40" w:type="dxa"/>
              <w:left w:w="125" w:type="dxa"/>
              <w:bottom w:w="40" w:type="dxa"/>
              <w:right w:w="20" w:type="dxa"/>
            </w:tcMar>
            <w:vAlign w:val="bottom"/>
          </w:tcPr>
          <w:p w14:paraId="7DCFE3AD" w14:textId="77777777" w:rsidR="00C1563E" w:rsidRDefault="000B648B">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7DCFE3AE" w14:textId="77777777" w:rsidR="00C1563E" w:rsidRDefault="000B648B">
            <w:pPr>
              <w:jc w:val="right"/>
              <w:textAlignment w:val="bottom"/>
            </w:pPr>
            <w:r>
              <w:rPr>
                <w:rFonts w:ascii="Times New Roman" w:eastAsia="宋体" w:hAnsi="Times New Roman"/>
                <w:color w:val="000000"/>
                <w:sz w:val="20"/>
                <w:szCs w:val="20"/>
              </w:rPr>
              <w:t>9,666 </w:t>
            </w:r>
          </w:p>
        </w:tc>
        <w:tc>
          <w:tcPr>
            <w:tcW w:w="0" w:type="auto"/>
            <w:shd w:val="clear" w:color="auto" w:fill="CCEEFF"/>
            <w:tcMar>
              <w:top w:w="40" w:type="dxa"/>
              <w:left w:w="0" w:type="dxa"/>
              <w:bottom w:w="40" w:type="dxa"/>
              <w:right w:w="20" w:type="dxa"/>
            </w:tcMar>
            <w:vAlign w:val="bottom"/>
          </w:tcPr>
          <w:p w14:paraId="7DCFE3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B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B1" w14:textId="77777777" w:rsidR="00C1563E" w:rsidRDefault="000B648B">
            <w:pPr>
              <w:jc w:val="right"/>
              <w:textAlignment w:val="bottom"/>
            </w:pPr>
            <w:r>
              <w:rPr>
                <w:rFonts w:ascii="Times New Roman" w:eastAsia="宋体" w:hAnsi="Times New Roman"/>
                <w:color w:val="000000"/>
                <w:sz w:val="20"/>
                <w:szCs w:val="20"/>
              </w:rPr>
              <w:t>1,901 </w:t>
            </w:r>
          </w:p>
        </w:tc>
        <w:tc>
          <w:tcPr>
            <w:tcW w:w="0" w:type="auto"/>
            <w:shd w:val="clear" w:color="auto" w:fill="CCEEFF"/>
            <w:tcMar>
              <w:top w:w="40" w:type="dxa"/>
              <w:left w:w="0" w:type="dxa"/>
              <w:bottom w:w="40" w:type="dxa"/>
              <w:right w:w="20" w:type="dxa"/>
            </w:tcMar>
            <w:vAlign w:val="bottom"/>
          </w:tcPr>
          <w:p w14:paraId="7DCFE3B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B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B4" w14:textId="77777777" w:rsidR="00C1563E" w:rsidRDefault="000B648B">
            <w:pPr>
              <w:jc w:val="right"/>
              <w:textAlignment w:val="bottom"/>
            </w:pPr>
            <w:r>
              <w:rPr>
                <w:rFonts w:ascii="Times New Roman" w:eastAsia="宋体" w:hAnsi="Times New Roman"/>
                <w:color w:val="000000"/>
                <w:sz w:val="20"/>
                <w:szCs w:val="20"/>
              </w:rPr>
              <w:t>7,765 </w:t>
            </w:r>
          </w:p>
        </w:tc>
        <w:tc>
          <w:tcPr>
            <w:tcW w:w="0" w:type="auto"/>
            <w:shd w:val="clear" w:color="auto" w:fill="CCEEFF"/>
            <w:tcMar>
              <w:top w:w="40" w:type="dxa"/>
              <w:left w:w="0" w:type="dxa"/>
              <w:bottom w:w="40" w:type="dxa"/>
              <w:right w:w="20" w:type="dxa"/>
            </w:tcMar>
            <w:vAlign w:val="bottom"/>
          </w:tcPr>
          <w:p w14:paraId="7DCFE3B5" w14:textId="77777777" w:rsidR="00C1563E" w:rsidRDefault="00C1563E">
            <w:pPr>
              <w:jc w:val="right"/>
              <w:rPr>
                <w:rFonts w:ascii="宋体"/>
              </w:rPr>
            </w:pPr>
          </w:p>
        </w:tc>
      </w:tr>
      <w:tr w:rsidR="00C1563E" w14:paraId="7DCFE3C0" w14:textId="77777777">
        <w:trPr>
          <w:jc w:val="center"/>
        </w:trPr>
        <w:tc>
          <w:tcPr>
            <w:tcW w:w="0" w:type="auto"/>
            <w:gridSpan w:val="3"/>
            <w:shd w:val="clear" w:color="auto" w:fill="FFFFFF"/>
            <w:tcMar>
              <w:top w:w="40" w:type="dxa"/>
              <w:left w:w="125" w:type="dxa"/>
              <w:bottom w:w="40" w:type="dxa"/>
              <w:right w:w="20" w:type="dxa"/>
            </w:tcMar>
            <w:vAlign w:val="bottom"/>
          </w:tcPr>
          <w:p w14:paraId="7DCFE3B7" w14:textId="77777777" w:rsidR="00C1563E" w:rsidRDefault="000B648B">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7DCFE3B8" w14:textId="77777777" w:rsidR="00C1563E" w:rsidRDefault="000B648B">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bottom"/>
          </w:tcPr>
          <w:p w14:paraId="7DCFE3B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B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BB" w14:textId="77777777" w:rsidR="00C1563E" w:rsidRDefault="000B648B">
            <w:pPr>
              <w:jc w:val="right"/>
              <w:textAlignment w:val="bottom"/>
            </w:pPr>
            <w:r>
              <w:rPr>
                <w:rFonts w:ascii="Times New Roman" w:eastAsia="宋体" w:hAnsi="Times New Roman"/>
                <w:color w:val="000000"/>
                <w:sz w:val="20"/>
                <w:szCs w:val="20"/>
              </w:rPr>
              <w:t>(829)</w:t>
            </w:r>
          </w:p>
        </w:tc>
        <w:tc>
          <w:tcPr>
            <w:tcW w:w="0" w:type="auto"/>
            <w:shd w:val="clear" w:color="auto" w:fill="FFFFFF"/>
            <w:tcMar>
              <w:top w:w="40" w:type="dxa"/>
              <w:left w:w="0" w:type="dxa"/>
              <w:bottom w:w="40" w:type="dxa"/>
              <w:right w:w="20" w:type="dxa"/>
            </w:tcMar>
            <w:vAlign w:val="bottom"/>
          </w:tcPr>
          <w:p w14:paraId="7DCFE3B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B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BE" w14:textId="77777777" w:rsidR="00C1563E" w:rsidRDefault="000B648B">
            <w:pPr>
              <w:jc w:val="right"/>
              <w:textAlignment w:val="bottom"/>
            </w:pPr>
            <w:r>
              <w:rPr>
                <w:rFonts w:ascii="Times New Roman" w:eastAsia="宋体" w:hAnsi="Times New Roman"/>
                <w:color w:val="000000"/>
                <w:sz w:val="20"/>
                <w:szCs w:val="20"/>
              </w:rPr>
              <w:t>1,495 </w:t>
            </w:r>
          </w:p>
        </w:tc>
        <w:tc>
          <w:tcPr>
            <w:tcW w:w="0" w:type="auto"/>
            <w:shd w:val="clear" w:color="auto" w:fill="FFFFFF"/>
            <w:tcMar>
              <w:top w:w="40" w:type="dxa"/>
              <w:left w:w="0" w:type="dxa"/>
              <w:bottom w:w="40" w:type="dxa"/>
              <w:right w:w="20" w:type="dxa"/>
            </w:tcMar>
            <w:vAlign w:val="bottom"/>
          </w:tcPr>
          <w:p w14:paraId="7DCFE3BF" w14:textId="77777777" w:rsidR="00C1563E" w:rsidRDefault="00C1563E">
            <w:pPr>
              <w:jc w:val="right"/>
              <w:rPr>
                <w:rFonts w:ascii="宋体"/>
              </w:rPr>
            </w:pPr>
          </w:p>
        </w:tc>
      </w:tr>
      <w:tr w:rsidR="00C1563E" w14:paraId="7DCFE3CA" w14:textId="77777777">
        <w:trPr>
          <w:jc w:val="center"/>
        </w:trPr>
        <w:tc>
          <w:tcPr>
            <w:tcW w:w="0" w:type="auto"/>
            <w:gridSpan w:val="3"/>
            <w:shd w:val="clear" w:color="auto" w:fill="CCEEFF"/>
            <w:tcMar>
              <w:top w:w="40" w:type="dxa"/>
              <w:left w:w="260" w:type="dxa"/>
              <w:bottom w:w="40" w:type="dxa"/>
              <w:right w:w="20" w:type="dxa"/>
            </w:tcMar>
            <w:vAlign w:val="bottom"/>
          </w:tcPr>
          <w:p w14:paraId="7DCFE3C1" w14:textId="77777777" w:rsidR="00C1563E" w:rsidRDefault="000B648B">
            <w:pPr>
              <w:textAlignment w:val="bottom"/>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C2" w14:textId="77777777" w:rsidR="00C1563E" w:rsidRDefault="000B648B">
            <w:pPr>
              <w:jc w:val="right"/>
              <w:textAlignment w:val="bottom"/>
            </w:pPr>
            <w:r>
              <w:rPr>
                <w:rFonts w:ascii="Times New Roman" w:eastAsia="宋体" w:hAnsi="Times New Roman"/>
                <w:color w:val="000000"/>
                <w:sz w:val="20"/>
                <w:szCs w:val="20"/>
              </w:rPr>
              <w:t>10,332 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C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C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C5" w14:textId="77777777" w:rsidR="00C1563E" w:rsidRDefault="000B648B">
            <w:pPr>
              <w:jc w:val="right"/>
              <w:textAlignment w:val="bottom"/>
            </w:pPr>
            <w:r>
              <w:rPr>
                <w:rFonts w:ascii="Times New Roman" w:eastAsia="宋体" w:hAnsi="Times New Roman"/>
                <w:color w:val="000000"/>
                <w:sz w:val="20"/>
                <w:szCs w:val="20"/>
              </w:rPr>
              <w:t>1,072 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C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C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C8" w14:textId="77777777" w:rsidR="00C1563E" w:rsidRDefault="000B648B">
            <w:pPr>
              <w:jc w:val="right"/>
              <w:textAlignment w:val="bottom"/>
            </w:pPr>
            <w:r>
              <w:rPr>
                <w:rFonts w:ascii="Times New Roman" w:eastAsia="宋体" w:hAnsi="Times New Roman"/>
                <w:color w:val="000000"/>
                <w:sz w:val="20"/>
                <w:szCs w:val="20"/>
              </w:rPr>
              <w:t>9,260 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C9" w14:textId="77777777" w:rsidR="00C1563E" w:rsidRDefault="00C1563E">
            <w:pPr>
              <w:jc w:val="right"/>
              <w:rPr>
                <w:rFonts w:ascii="宋体"/>
              </w:rPr>
            </w:pPr>
          </w:p>
        </w:tc>
      </w:tr>
      <w:tr w:rsidR="00C1563E" w14:paraId="7DCFE3D4" w14:textId="77777777">
        <w:trPr>
          <w:jc w:val="center"/>
        </w:trPr>
        <w:tc>
          <w:tcPr>
            <w:tcW w:w="0" w:type="auto"/>
            <w:gridSpan w:val="3"/>
            <w:shd w:val="clear" w:color="auto" w:fill="FFFFFF"/>
            <w:tcMar>
              <w:top w:w="40" w:type="dxa"/>
              <w:left w:w="20" w:type="dxa"/>
              <w:bottom w:w="40" w:type="dxa"/>
              <w:right w:w="20" w:type="dxa"/>
            </w:tcMar>
            <w:vAlign w:val="bottom"/>
          </w:tcPr>
          <w:p w14:paraId="7DCFE3CB" w14:textId="77777777" w:rsidR="00C1563E" w:rsidRDefault="000B648B">
            <w:pPr>
              <w:textAlignment w:val="bottom"/>
            </w:pPr>
            <w:r>
              <w:rPr>
                <w:rFonts w:ascii="Times New Roman" w:eastAsia="宋体" w:hAnsi="Times New Roman"/>
                <w:b/>
                <w:bCs/>
                <w:color w:val="000000"/>
                <w:sz w:val="20"/>
                <w:szCs w:val="20"/>
              </w:rPr>
              <w:t>Margi</w:t>
            </w:r>
            <w:r>
              <w:rPr>
                <w:rFonts w:ascii="Times New Roman" w:eastAsia="宋体" w:hAnsi="Times New Roman"/>
                <w:b/>
                <w:bCs/>
                <w:color w:val="000000"/>
                <w:sz w:val="20"/>
                <w:szCs w:val="20"/>
              </w:rPr>
              <w:t>n Loan Facility and other</w:t>
            </w:r>
          </w:p>
        </w:tc>
        <w:tc>
          <w:tcPr>
            <w:tcW w:w="0" w:type="auto"/>
            <w:gridSpan w:val="2"/>
            <w:shd w:val="clear" w:color="auto" w:fill="FFFFFF"/>
            <w:tcMar>
              <w:top w:w="40" w:type="dxa"/>
              <w:left w:w="20" w:type="dxa"/>
              <w:bottom w:w="40" w:type="dxa"/>
              <w:right w:w="0" w:type="dxa"/>
            </w:tcMar>
            <w:vAlign w:val="bottom"/>
          </w:tcPr>
          <w:p w14:paraId="7DCFE3CC" w14:textId="77777777" w:rsidR="00C1563E" w:rsidRDefault="000B648B">
            <w:pPr>
              <w:jc w:val="right"/>
              <w:textAlignment w:val="bottom"/>
            </w:pPr>
            <w:r>
              <w:rPr>
                <w:rFonts w:ascii="Times New Roman" w:eastAsia="宋体" w:hAnsi="Times New Roman"/>
                <w:color w:val="000000"/>
                <w:sz w:val="20"/>
                <w:szCs w:val="20"/>
              </w:rPr>
              <w:t>4,235 </w:t>
            </w:r>
          </w:p>
        </w:tc>
        <w:tc>
          <w:tcPr>
            <w:tcW w:w="0" w:type="auto"/>
            <w:shd w:val="clear" w:color="auto" w:fill="FFFFFF"/>
            <w:tcMar>
              <w:top w:w="40" w:type="dxa"/>
              <w:left w:w="0" w:type="dxa"/>
              <w:bottom w:w="40" w:type="dxa"/>
              <w:right w:w="20" w:type="dxa"/>
            </w:tcMar>
            <w:vAlign w:val="bottom"/>
          </w:tcPr>
          <w:p w14:paraId="7DCFE3C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C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CF" w14:textId="77777777" w:rsidR="00C1563E" w:rsidRDefault="000B648B">
            <w:pPr>
              <w:jc w:val="right"/>
              <w:textAlignment w:val="bottom"/>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vAlign w:val="bottom"/>
          </w:tcPr>
          <w:p w14:paraId="7DCFE3D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D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D2" w14:textId="77777777" w:rsidR="00C1563E" w:rsidRDefault="000B648B">
            <w:pPr>
              <w:jc w:val="right"/>
              <w:textAlignment w:val="bottom"/>
            </w:pPr>
            <w:r>
              <w:rPr>
                <w:rFonts w:ascii="Times New Roman" w:eastAsia="宋体" w:hAnsi="Times New Roman"/>
                <w:color w:val="000000"/>
                <w:sz w:val="20"/>
                <w:szCs w:val="20"/>
              </w:rPr>
              <w:t>4,084 </w:t>
            </w:r>
          </w:p>
        </w:tc>
        <w:tc>
          <w:tcPr>
            <w:tcW w:w="0" w:type="auto"/>
            <w:shd w:val="clear" w:color="auto" w:fill="FFFFFF"/>
            <w:tcMar>
              <w:top w:w="40" w:type="dxa"/>
              <w:left w:w="0" w:type="dxa"/>
              <w:bottom w:w="40" w:type="dxa"/>
              <w:right w:w="20" w:type="dxa"/>
            </w:tcMar>
            <w:vAlign w:val="bottom"/>
          </w:tcPr>
          <w:p w14:paraId="7DCFE3D3" w14:textId="77777777" w:rsidR="00C1563E" w:rsidRDefault="00C1563E">
            <w:pPr>
              <w:jc w:val="right"/>
              <w:rPr>
                <w:rFonts w:ascii="宋体"/>
              </w:rPr>
            </w:pPr>
          </w:p>
        </w:tc>
      </w:tr>
      <w:tr w:rsidR="00C1563E" w14:paraId="7DCFE3DB" w14:textId="77777777">
        <w:trPr>
          <w:jc w:val="center"/>
        </w:trPr>
        <w:tc>
          <w:tcPr>
            <w:tcW w:w="0" w:type="auto"/>
            <w:gridSpan w:val="3"/>
            <w:shd w:val="clear" w:color="auto" w:fill="CCEEFF"/>
            <w:tcMar>
              <w:top w:w="40" w:type="dxa"/>
              <w:left w:w="20" w:type="dxa"/>
              <w:bottom w:w="40" w:type="dxa"/>
              <w:right w:w="20" w:type="dxa"/>
            </w:tcMar>
            <w:vAlign w:val="bottom"/>
          </w:tcPr>
          <w:p w14:paraId="7DCFE3D5" w14:textId="77777777" w:rsidR="00C1563E" w:rsidRDefault="000B648B">
            <w:pPr>
              <w:textAlignment w:val="bottom"/>
            </w:pPr>
            <w:r>
              <w:rPr>
                <w:rFonts w:ascii="Times New Roman" w:eastAsia="宋体" w:hAnsi="Times New Roman"/>
                <w:b/>
                <w:bCs/>
                <w:color w:val="000000"/>
                <w:sz w:val="20"/>
                <w:szCs w:val="20"/>
              </w:rPr>
              <w:t>Debt of public subsidiary</w:t>
            </w:r>
          </w:p>
        </w:tc>
        <w:tc>
          <w:tcPr>
            <w:tcW w:w="0" w:type="auto"/>
            <w:gridSpan w:val="3"/>
            <w:shd w:val="clear" w:color="auto" w:fill="CCEEFF"/>
            <w:tcMar>
              <w:top w:w="0" w:type="dxa"/>
              <w:left w:w="20" w:type="dxa"/>
              <w:bottom w:w="0" w:type="dxa"/>
              <w:right w:w="20" w:type="dxa"/>
            </w:tcMar>
          </w:tcPr>
          <w:p w14:paraId="7DCFE3D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D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D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D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3DA" w14:textId="77777777" w:rsidR="00C1563E" w:rsidRDefault="00C1563E">
            <w:pPr>
              <w:rPr>
                <w:rFonts w:ascii="宋体"/>
              </w:rPr>
            </w:pPr>
          </w:p>
        </w:tc>
      </w:tr>
      <w:tr w:rsidR="00C1563E" w14:paraId="7DCFE3E5" w14:textId="77777777">
        <w:trPr>
          <w:jc w:val="center"/>
        </w:trPr>
        <w:tc>
          <w:tcPr>
            <w:tcW w:w="0" w:type="auto"/>
            <w:gridSpan w:val="3"/>
            <w:shd w:val="clear" w:color="auto" w:fill="FFFFFF"/>
            <w:tcMar>
              <w:top w:w="40" w:type="dxa"/>
              <w:left w:w="155" w:type="dxa"/>
              <w:bottom w:w="40" w:type="dxa"/>
              <w:right w:w="20" w:type="dxa"/>
            </w:tcMar>
            <w:vAlign w:val="bottom"/>
          </w:tcPr>
          <w:p w14:paraId="7DCFE3DC" w14:textId="77777777" w:rsidR="00C1563E" w:rsidRDefault="000B648B">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7DCFE3DD" w14:textId="77777777" w:rsidR="00C1563E" w:rsidRDefault="000B648B">
            <w:pPr>
              <w:jc w:val="right"/>
              <w:textAlignment w:val="bottom"/>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bottom"/>
          </w:tcPr>
          <w:p w14:paraId="7DCFE3D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D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E0"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DCFE3E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E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3E3" w14:textId="77777777" w:rsidR="00C1563E" w:rsidRDefault="000B648B">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DCFE3E4" w14:textId="77777777" w:rsidR="00C1563E" w:rsidRDefault="00C1563E">
            <w:pPr>
              <w:jc w:val="right"/>
              <w:rPr>
                <w:rFonts w:ascii="宋体"/>
              </w:rPr>
            </w:pPr>
          </w:p>
        </w:tc>
      </w:tr>
      <w:tr w:rsidR="00C1563E" w14:paraId="7DCFE3EF" w14:textId="77777777">
        <w:trPr>
          <w:jc w:val="center"/>
        </w:trPr>
        <w:tc>
          <w:tcPr>
            <w:tcW w:w="0" w:type="auto"/>
            <w:gridSpan w:val="3"/>
            <w:shd w:val="clear" w:color="auto" w:fill="CCEEFF"/>
            <w:tcMar>
              <w:top w:w="40" w:type="dxa"/>
              <w:left w:w="155" w:type="dxa"/>
              <w:bottom w:w="40" w:type="dxa"/>
              <w:right w:w="20" w:type="dxa"/>
            </w:tcMar>
            <w:vAlign w:val="bottom"/>
          </w:tcPr>
          <w:p w14:paraId="7DCFE3E6" w14:textId="77777777" w:rsidR="00C1563E" w:rsidRDefault="000B648B">
            <w:pPr>
              <w:textAlignment w:val="bottom"/>
            </w:pPr>
            <w:r>
              <w:rPr>
                <w:rFonts w:ascii="Times New Roman" w:eastAsia="宋体" w:hAnsi="Times New Roman"/>
                <w:color w:val="000000"/>
                <w:sz w:val="20"/>
                <w:szCs w:val="20"/>
              </w:rPr>
              <w:t>VMware Term Loan Facility</w:t>
            </w:r>
          </w:p>
        </w:tc>
        <w:tc>
          <w:tcPr>
            <w:tcW w:w="0" w:type="auto"/>
            <w:gridSpan w:val="2"/>
            <w:shd w:val="clear" w:color="auto" w:fill="CCEEFF"/>
            <w:tcMar>
              <w:top w:w="40" w:type="dxa"/>
              <w:left w:w="20" w:type="dxa"/>
              <w:bottom w:w="40" w:type="dxa"/>
              <w:right w:w="0" w:type="dxa"/>
            </w:tcMar>
            <w:vAlign w:val="bottom"/>
          </w:tcPr>
          <w:p w14:paraId="7DCFE3E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3E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E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EA" w14:textId="77777777" w:rsidR="00C1563E" w:rsidRDefault="000B648B">
            <w:pPr>
              <w:jc w:val="right"/>
              <w:textAlignment w:val="bottom"/>
            </w:pPr>
            <w:r>
              <w:rPr>
                <w:rFonts w:ascii="Times New Roman" w:eastAsia="宋体" w:hAnsi="Times New Roman"/>
                <w:color w:val="000000"/>
                <w:sz w:val="20"/>
                <w:szCs w:val="20"/>
              </w:rPr>
              <w:t>(1,500)</w:t>
            </w:r>
          </w:p>
        </w:tc>
        <w:tc>
          <w:tcPr>
            <w:tcW w:w="0" w:type="auto"/>
            <w:shd w:val="clear" w:color="auto" w:fill="CCEEFF"/>
            <w:tcMar>
              <w:top w:w="40" w:type="dxa"/>
              <w:left w:w="0" w:type="dxa"/>
              <w:bottom w:w="40" w:type="dxa"/>
              <w:right w:w="20" w:type="dxa"/>
            </w:tcMar>
            <w:vAlign w:val="bottom"/>
          </w:tcPr>
          <w:p w14:paraId="7DCFE3E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E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3ED"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7DCFE3EE" w14:textId="77777777" w:rsidR="00C1563E" w:rsidRDefault="00C1563E">
            <w:pPr>
              <w:jc w:val="right"/>
              <w:rPr>
                <w:rFonts w:ascii="宋体"/>
              </w:rPr>
            </w:pPr>
          </w:p>
        </w:tc>
      </w:tr>
      <w:tr w:rsidR="00C1563E" w14:paraId="7DCFE3F9" w14:textId="77777777">
        <w:trPr>
          <w:jc w:val="center"/>
        </w:trPr>
        <w:tc>
          <w:tcPr>
            <w:tcW w:w="0" w:type="auto"/>
            <w:gridSpan w:val="3"/>
            <w:shd w:val="clear" w:color="auto" w:fill="FFFFFF"/>
            <w:tcMar>
              <w:top w:w="40" w:type="dxa"/>
              <w:left w:w="245" w:type="dxa"/>
              <w:bottom w:w="40" w:type="dxa"/>
              <w:right w:w="20" w:type="dxa"/>
            </w:tcMar>
            <w:vAlign w:val="bottom"/>
          </w:tcPr>
          <w:p w14:paraId="7DCFE3F0" w14:textId="77777777" w:rsidR="00C1563E" w:rsidRDefault="000B648B">
            <w:pPr>
              <w:textAlignment w:val="bottom"/>
            </w:pPr>
            <w:r>
              <w:rPr>
                <w:rFonts w:ascii="Times New Roman" w:eastAsia="宋体" w:hAnsi="Times New Roman"/>
                <w:color w:val="000000"/>
                <w:sz w:val="20"/>
                <w:szCs w:val="20"/>
              </w:rPr>
              <w:t>Total public subsidiary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3F1" w14:textId="77777777" w:rsidR="00C1563E" w:rsidRDefault="000B648B">
            <w:pPr>
              <w:jc w:val="right"/>
              <w:textAlignment w:val="bottom"/>
            </w:pPr>
            <w:r>
              <w:rPr>
                <w:rFonts w:ascii="Times New Roman" w:eastAsia="宋体" w:hAnsi="Times New Roman"/>
                <w:color w:val="000000"/>
                <w:sz w:val="20"/>
                <w:szCs w:val="20"/>
              </w:rPr>
              <w:t>4,750 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3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F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3F4" w14:textId="77777777" w:rsidR="00C1563E" w:rsidRDefault="000B648B">
            <w:pPr>
              <w:jc w:val="right"/>
              <w:textAlignment w:val="bottom"/>
            </w:pPr>
            <w:r>
              <w:rPr>
                <w:rFonts w:ascii="Times New Roman" w:eastAsia="宋体" w:hAnsi="Times New Roman"/>
                <w:color w:val="000000"/>
                <w:sz w:val="20"/>
                <w:szCs w:val="20"/>
              </w:rPr>
              <w:t>(750)</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3F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3F6"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3F7" w14:textId="77777777" w:rsidR="00C1563E" w:rsidRDefault="000B648B">
            <w:pPr>
              <w:jc w:val="right"/>
              <w:textAlignment w:val="bottom"/>
            </w:pPr>
            <w:r>
              <w:rPr>
                <w:rFonts w:ascii="Times New Roman" w:eastAsia="宋体" w:hAnsi="Times New Roman"/>
                <w:color w:val="000000"/>
                <w:sz w:val="20"/>
                <w:szCs w:val="20"/>
              </w:rPr>
              <w:t>5,500 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3F8" w14:textId="77777777" w:rsidR="00C1563E" w:rsidRDefault="00C1563E">
            <w:pPr>
              <w:jc w:val="right"/>
              <w:rPr>
                <w:rFonts w:ascii="宋体"/>
              </w:rPr>
            </w:pPr>
          </w:p>
        </w:tc>
      </w:tr>
      <w:tr w:rsidR="00C1563E" w14:paraId="7DCFE403" w14:textId="77777777">
        <w:trPr>
          <w:jc w:val="center"/>
        </w:trPr>
        <w:tc>
          <w:tcPr>
            <w:tcW w:w="0" w:type="auto"/>
            <w:gridSpan w:val="3"/>
            <w:shd w:val="clear" w:color="auto" w:fill="CCEEFF"/>
            <w:tcMar>
              <w:top w:w="40" w:type="dxa"/>
              <w:left w:w="395" w:type="dxa"/>
              <w:bottom w:w="40" w:type="dxa"/>
              <w:right w:w="20" w:type="dxa"/>
            </w:tcMar>
            <w:vAlign w:val="bottom"/>
          </w:tcPr>
          <w:p w14:paraId="7DCFE3FA" w14:textId="77777777" w:rsidR="00C1563E" w:rsidRDefault="000B648B">
            <w:pPr>
              <w:textAlignment w:val="bottom"/>
            </w:pPr>
            <w:r>
              <w:rPr>
                <w:rFonts w:ascii="Times New Roman" w:eastAsia="宋体" w:hAnsi="Times New Roman"/>
                <w:color w:val="000000"/>
                <w:sz w:val="20"/>
                <w:szCs w:val="20"/>
              </w:rPr>
              <w:t>Total</w:t>
            </w:r>
            <w:r>
              <w:rPr>
                <w:rFonts w:ascii="Times New Roman" w:eastAsia="宋体" w:hAnsi="Times New Roman"/>
                <w:color w:val="000000"/>
                <w:sz w:val="20"/>
                <w:szCs w:val="20"/>
              </w:rPr>
              <w:t xml:space="preserve">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FB" w14:textId="77777777" w:rsidR="00C1563E" w:rsidRDefault="000B648B">
            <w:pPr>
              <w:jc w:val="right"/>
              <w:textAlignment w:val="bottom"/>
            </w:pPr>
            <w:r>
              <w:rPr>
                <w:rFonts w:ascii="Times New Roman" w:eastAsia="宋体" w:hAnsi="Times New Roman"/>
                <w:color w:val="000000"/>
                <w:sz w:val="20"/>
                <w:szCs w:val="20"/>
              </w:rPr>
              <w:t>48,480 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F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3FD"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3FE" w14:textId="77777777" w:rsidR="00C1563E" w:rsidRDefault="000B648B">
            <w:pPr>
              <w:jc w:val="right"/>
              <w:textAlignment w:val="bottom"/>
            </w:pPr>
            <w:r>
              <w:rPr>
                <w:rFonts w:ascii="Times New Roman" w:eastAsia="宋体" w:hAnsi="Times New Roman"/>
                <w:color w:val="000000"/>
                <w:sz w:val="20"/>
                <w:szCs w:val="20"/>
              </w:rPr>
              <w:t>(4,185)</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3F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0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401" w14:textId="77777777" w:rsidR="00C1563E" w:rsidRDefault="000B648B">
            <w:pPr>
              <w:jc w:val="right"/>
              <w:textAlignment w:val="bottom"/>
            </w:pPr>
            <w:r>
              <w:rPr>
                <w:rFonts w:ascii="Times New Roman" w:eastAsia="宋体" w:hAnsi="Times New Roman"/>
                <w:color w:val="000000"/>
                <w:sz w:val="20"/>
                <w:szCs w:val="20"/>
              </w:rPr>
              <w:t>52,665 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402" w14:textId="77777777" w:rsidR="00C1563E" w:rsidRDefault="00C1563E">
            <w:pPr>
              <w:jc w:val="right"/>
              <w:rPr>
                <w:rFonts w:ascii="宋体"/>
              </w:rPr>
            </w:pPr>
          </w:p>
        </w:tc>
      </w:tr>
      <w:tr w:rsidR="00C1563E" w14:paraId="7DCFE40D" w14:textId="77777777">
        <w:trPr>
          <w:jc w:val="center"/>
        </w:trPr>
        <w:tc>
          <w:tcPr>
            <w:tcW w:w="0" w:type="auto"/>
            <w:gridSpan w:val="3"/>
            <w:shd w:val="clear" w:color="auto" w:fill="FFFFFF"/>
            <w:tcMar>
              <w:top w:w="40" w:type="dxa"/>
              <w:left w:w="515" w:type="dxa"/>
              <w:bottom w:w="40" w:type="dxa"/>
              <w:right w:w="20" w:type="dxa"/>
            </w:tcMar>
            <w:vAlign w:val="bottom"/>
          </w:tcPr>
          <w:p w14:paraId="7DCFE404" w14:textId="77777777" w:rsidR="00C1563E" w:rsidRDefault="000B648B">
            <w:pPr>
              <w:textAlignment w:val="bottom"/>
            </w:pPr>
            <w:r>
              <w:rPr>
                <w:rFonts w:ascii="Times New Roman" w:eastAsia="宋体" w:hAnsi="Times New Roman"/>
                <w:color w:val="000000"/>
                <w:sz w:val="20"/>
                <w:szCs w:val="20"/>
              </w:rPr>
              <w:t>Carrying value adjustments</w:t>
            </w:r>
          </w:p>
        </w:tc>
        <w:tc>
          <w:tcPr>
            <w:tcW w:w="0" w:type="auto"/>
            <w:gridSpan w:val="2"/>
            <w:shd w:val="clear" w:color="auto" w:fill="FFFFFF"/>
            <w:tcMar>
              <w:top w:w="40" w:type="dxa"/>
              <w:left w:w="20" w:type="dxa"/>
              <w:bottom w:w="40" w:type="dxa"/>
              <w:right w:w="0" w:type="dxa"/>
            </w:tcMar>
            <w:vAlign w:val="bottom"/>
          </w:tcPr>
          <w:p w14:paraId="7DCFE405" w14:textId="77777777" w:rsidR="00C1563E" w:rsidRDefault="000B648B">
            <w:pPr>
              <w:jc w:val="right"/>
              <w:textAlignment w:val="bottom"/>
            </w:pPr>
            <w:r>
              <w:rPr>
                <w:rFonts w:ascii="Times New Roman" w:eastAsia="宋体" w:hAnsi="Times New Roman"/>
                <w:color w:val="000000"/>
                <w:sz w:val="20"/>
                <w:szCs w:val="20"/>
              </w:rPr>
              <w:t>(496)</w:t>
            </w:r>
          </w:p>
        </w:tc>
        <w:tc>
          <w:tcPr>
            <w:tcW w:w="0" w:type="auto"/>
            <w:shd w:val="clear" w:color="auto" w:fill="FFFFFF"/>
            <w:tcMar>
              <w:top w:w="40" w:type="dxa"/>
              <w:left w:w="0" w:type="dxa"/>
              <w:bottom w:w="40" w:type="dxa"/>
              <w:right w:w="20" w:type="dxa"/>
            </w:tcMar>
            <w:vAlign w:val="bottom"/>
          </w:tcPr>
          <w:p w14:paraId="7DCFE4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0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408" w14:textId="77777777" w:rsidR="00C1563E" w:rsidRDefault="000B648B">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7DCFE4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0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40B" w14:textId="77777777" w:rsidR="00C1563E" w:rsidRDefault="000B648B">
            <w:pPr>
              <w:jc w:val="right"/>
              <w:textAlignment w:val="bottom"/>
            </w:pPr>
            <w:r>
              <w:rPr>
                <w:rFonts w:ascii="Times New Roman" w:eastAsia="宋体" w:hAnsi="Times New Roman"/>
                <w:color w:val="000000"/>
                <w:sz w:val="20"/>
                <w:szCs w:val="20"/>
              </w:rPr>
              <w:t>(609)</w:t>
            </w:r>
          </w:p>
        </w:tc>
        <w:tc>
          <w:tcPr>
            <w:tcW w:w="0" w:type="auto"/>
            <w:shd w:val="clear" w:color="auto" w:fill="FFFFFF"/>
            <w:tcMar>
              <w:top w:w="40" w:type="dxa"/>
              <w:left w:w="0" w:type="dxa"/>
              <w:bottom w:w="40" w:type="dxa"/>
              <w:right w:w="20" w:type="dxa"/>
            </w:tcMar>
            <w:vAlign w:val="bottom"/>
          </w:tcPr>
          <w:p w14:paraId="7DCFE40C" w14:textId="77777777" w:rsidR="00C1563E" w:rsidRDefault="00C1563E">
            <w:pPr>
              <w:jc w:val="right"/>
              <w:rPr>
                <w:rFonts w:ascii="宋体"/>
              </w:rPr>
            </w:pPr>
          </w:p>
        </w:tc>
      </w:tr>
      <w:tr w:rsidR="00C1563E" w14:paraId="7DCFE41A" w14:textId="77777777">
        <w:trPr>
          <w:jc w:val="center"/>
        </w:trPr>
        <w:tc>
          <w:tcPr>
            <w:tcW w:w="0" w:type="auto"/>
            <w:gridSpan w:val="3"/>
            <w:shd w:val="clear" w:color="auto" w:fill="CCEEFF"/>
            <w:tcMar>
              <w:top w:w="40" w:type="dxa"/>
              <w:left w:w="605" w:type="dxa"/>
              <w:bottom w:w="40" w:type="dxa"/>
              <w:right w:w="20" w:type="dxa"/>
            </w:tcMar>
            <w:vAlign w:val="bottom"/>
          </w:tcPr>
          <w:p w14:paraId="7DCFE40E" w14:textId="77777777" w:rsidR="00C1563E" w:rsidRDefault="000B648B">
            <w:pPr>
              <w:textAlignment w:val="bottom"/>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E40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E410" w14:textId="77777777" w:rsidR="00C1563E" w:rsidRDefault="000B648B">
            <w:pPr>
              <w:jc w:val="right"/>
              <w:textAlignment w:val="bottom"/>
            </w:pPr>
            <w:r>
              <w:rPr>
                <w:rFonts w:ascii="Times New Roman" w:eastAsia="宋体" w:hAnsi="Times New Roman"/>
                <w:color w:val="000000"/>
                <w:sz w:val="20"/>
                <w:szCs w:val="20"/>
              </w:rPr>
              <w:t>47,984 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E41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12"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E41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E414" w14:textId="77777777" w:rsidR="00C1563E" w:rsidRDefault="000B648B">
            <w:pPr>
              <w:jc w:val="right"/>
              <w:textAlignment w:val="bottom"/>
            </w:pPr>
            <w:r>
              <w:rPr>
                <w:rFonts w:ascii="Times New Roman" w:eastAsia="宋体" w:hAnsi="Times New Roman"/>
                <w:color w:val="000000"/>
                <w:sz w:val="20"/>
                <w:szCs w:val="20"/>
              </w:rPr>
              <w:t>(4,072)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E41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16"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E41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E418" w14:textId="77777777" w:rsidR="00C1563E" w:rsidRDefault="000B648B">
            <w:pPr>
              <w:jc w:val="right"/>
              <w:textAlignment w:val="bottom"/>
            </w:pPr>
            <w:r>
              <w:rPr>
                <w:rFonts w:ascii="Times New Roman" w:eastAsia="宋体" w:hAnsi="Times New Roman"/>
                <w:color w:val="000000"/>
                <w:sz w:val="20"/>
                <w:szCs w:val="20"/>
              </w:rPr>
              <w:t>52,056 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E419" w14:textId="77777777" w:rsidR="00C1563E" w:rsidRDefault="00C1563E">
            <w:pPr>
              <w:jc w:val="right"/>
              <w:rPr>
                <w:rFonts w:ascii="宋体"/>
              </w:rPr>
            </w:pPr>
          </w:p>
        </w:tc>
      </w:tr>
    </w:tbl>
    <w:p w14:paraId="7DCFE41B" w14:textId="77777777" w:rsidR="00C1563E" w:rsidRDefault="00C1563E"/>
    <w:p w14:paraId="7DCFE41C" w14:textId="77777777" w:rsidR="00C1563E" w:rsidRDefault="000B648B">
      <w:r>
        <w:rPr>
          <w:rFonts w:ascii="Times New Roman" w:eastAsia="宋体" w:hAnsi="Times New Roman"/>
          <w:color w:val="000000"/>
          <w:sz w:val="20"/>
          <w:szCs w:val="20"/>
        </w:rPr>
        <w:t>During Fiscal 2021, the outstanding principal amount of our debt decreased by $4.2 billion to $48.5 billion as of January 29, 2021, primarily driven by net repayments of core debt and VMwa</w:t>
      </w:r>
      <w:r>
        <w:rPr>
          <w:rFonts w:ascii="Times New Roman" w:eastAsia="宋体" w:hAnsi="Times New Roman"/>
          <w:color w:val="000000"/>
          <w:sz w:val="20"/>
          <w:szCs w:val="20"/>
        </w:rPr>
        <w:t>re, Inc. debt, partially offset by a net increase in DFS debt.</w:t>
      </w:r>
    </w:p>
    <w:p w14:paraId="7DCFE41D" w14:textId="77777777" w:rsidR="00C1563E" w:rsidRDefault="00C1563E"/>
    <w:p w14:paraId="7DCFE41E" w14:textId="77777777" w:rsidR="00C1563E" w:rsidRDefault="000B648B">
      <w:r>
        <w:rPr>
          <w:rFonts w:ascii="Times New Roman" w:eastAsia="宋体" w:hAnsi="Times New Roman"/>
          <w:color w:val="000000"/>
          <w:sz w:val="20"/>
          <w:szCs w:val="20"/>
        </w:rPr>
        <w:t>We define core debt as the total principal amount of our debt, less DFS related debt, our Margin Loan Facility and other debt, and public subsidiary debt. Our core debt was $29.2 billion and $</w:t>
      </w:r>
      <w:r>
        <w:rPr>
          <w:rFonts w:ascii="Times New Roman" w:eastAsia="宋体" w:hAnsi="Times New Roman"/>
          <w:color w:val="000000"/>
          <w:sz w:val="20"/>
          <w:szCs w:val="20"/>
        </w:rPr>
        <w:t xml:space="preserve">33.8 billion as of January 29, 2021 and January 31, 2020, respectively. The decrease in our core debt during Fiscal 2021 was driven by principal repayments. Proceeds of $2.082 billion from the sale of RSA Security in Fiscal 2021 were used to pay down core </w:t>
      </w:r>
      <w:r>
        <w:rPr>
          <w:rFonts w:ascii="Times New Roman" w:eastAsia="宋体" w:hAnsi="Times New Roman"/>
          <w:color w:val="000000"/>
          <w:sz w:val="20"/>
          <w:szCs w:val="20"/>
        </w:rPr>
        <w:t>debt. See Note 6 of the Notes to the Consolidated Financial Statements included in this report for more information about our debt.</w:t>
      </w:r>
    </w:p>
    <w:p w14:paraId="7DCFE41F" w14:textId="77777777" w:rsidR="00C1563E" w:rsidRDefault="00C1563E"/>
    <w:p w14:paraId="7DCFE420" w14:textId="77777777" w:rsidR="00C1563E" w:rsidRDefault="000B648B">
      <w:r>
        <w:rPr>
          <w:rFonts w:ascii="Times New Roman" w:eastAsia="宋体" w:hAnsi="Times New Roman"/>
          <w:color w:val="000000"/>
          <w:sz w:val="20"/>
          <w:szCs w:val="20"/>
        </w:rPr>
        <w:t>We will continue to prioritize debt paydown as part of our overall capital allocation strategy, including $1.5 billion of s</w:t>
      </w:r>
      <w:r>
        <w:rPr>
          <w:rFonts w:ascii="Times New Roman" w:eastAsia="宋体" w:hAnsi="Times New Roman"/>
          <w:color w:val="000000"/>
          <w:sz w:val="20"/>
          <w:szCs w:val="20"/>
        </w:rPr>
        <w:t>cheduled maturities due in Fiscal 2022. Subsequent to January 29, 2021, we repaid $400 million principal amount of our 4.625% Unsecured Notes due April 2021 and $600 million principal amount of our 5.875% Senior Notes due June 2021.</w:t>
      </w:r>
    </w:p>
    <w:p w14:paraId="7DCFE421" w14:textId="77777777" w:rsidR="00C1563E" w:rsidRDefault="00C1563E">
      <w:pPr>
        <w:jc w:val="center"/>
      </w:pPr>
    </w:p>
    <w:p w14:paraId="7DCFE422" w14:textId="77777777" w:rsidR="00C1563E" w:rsidRDefault="000B648B">
      <w:pPr>
        <w:jc w:val="center"/>
      </w:pPr>
      <w:r>
        <w:rPr>
          <w:rFonts w:ascii="Times New Roman" w:eastAsia="宋体" w:hAnsi="Times New Roman"/>
          <w:color w:val="000000"/>
          <w:sz w:val="20"/>
          <w:szCs w:val="20"/>
        </w:rPr>
        <w:t>61</w:t>
      </w:r>
    </w:p>
    <w:p w14:paraId="7DCFE423" w14:textId="77777777" w:rsidR="00C1563E" w:rsidRDefault="00C1563E">
      <w:pPr>
        <w:jc w:val="center"/>
      </w:pPr>
    </w:p>
    <w:p w14:paraId="7DCFE424" w14:textId="77777777" w:rsidR="00C1563E" w:rsidRDefault="000B648B">
      <w:r>
        <w:pict w14:anchorId="7DD025A7">
          <v:rect id="_x0000_i1085" style="width:415.3pt;height:1.5pt" o:hralign="center" o:hrstd="t" o:hr="t" fillcolor="#a0a0a0" stroked="f"/>
        </w:pict>
      </w:r>
    </w:p>
    <w:p w14:paraId="7DCFE425" w14:textId="77777777" w:rsidR="00C1563E" w:rsidRDefault="000B648B">
      <w:hyperlink r:id="rId137" w:anchor="i418e32e4a35149ffbf7d3a25d66881b8_10" w:history="1">
        <w:r>
          <w:rPr>
            <w:rStyle w:val="a5"/>
            <w:rFonts w:ascii="Times New Roman" w:eastAsia="宋体" w:hAnsi="Times New Roman"/>
            <w:sz w:val="20"/>
            <w:szCs w:val="20"/>
          </w:rPr>
          <w:t>Table of Contents</w:t>
        </w:r>
      </w:hyperlink>
    </w:p>
    <w:p w14:paraId="7DCFE426" w14:textId="77777777" w:rsidR="00C1563E" w:rsidRDefault="000B648B">
      <w:r>
        <w:rPr>
          <w:rFonts w:ascii="Times New Roman" w:eastAsia="宋体" w:hAnsi="Times New Roman"/>
          <w:color w:val="000000"/>
          <w:sz w:val="20"/>
          <w:szCs w:val="20"/>
        </w:rPr>
        <w:t>During Fiscal 2021, we issued an additional $1.9 billion, net, in DFS debt to suppor</w:t>
      </w:r>
      <w:r>
        <w:rPr>
          <w:rFonts w:ascii="Times New Roman" w:eastAsia="宋体" w:hAnsi="Times New Roman"/>
          <w:color w:val="000000"/>
          <w:sz w:val="20"/>
          <w:szCs w:val="20"/>
        </w:rPr>
        <w:t>t the expansion of its financing receivables portfolio. DFS related debt primarily represents debt from our securitization and structured financing programs. The majority of DFS debt represents borrowings under securitization programs and structured financ</w:t>
      </w:r>
      <w:r>
        <w:rPr>
          <w:rFonts w:ascii="Times New Roman" w:eastAsia="宋体" w:hAnsi="Times New Roman"/>
          <w:color w:val="000000"/>
          <w:sz w:val="20"/>
          <w:szCs w:val="20"/>
        </w:rPr>
        <w:t>ing programs, for which our risk of loss is limited to transferred lease and loan payments and associated equipment, and under which the credit holders have no recourse to Dell Technologies.</w:t>
      </w:r>
    </w:p>
    <w:p w14:paraId="7DCFE427" w14:textId="77777777" w:rsidR="00C1563E" w:rsidRDefault="00C1563E"/>
    <w:p w14:paraId="7DCFE428" w14:textId="77777777" w:rsidR="00C1563E" w:rsidRDefault="000B648B">
      <w:r>
        <w:rPr>
          <w:rFonts w:ascii="Times New Roman" w:eastAsia="宋体" w:hAnsi="Times New Roman"/>
          <w:color w:val="000000"/>
          <w:sz w:val="20"/>
          <w:szCs w:val="20"/>
        </w:rPr>
        <w:t>To fund expansion of the DFS business, we balance the use of the</w:t>
      </w:r>
      <w:r>
        <w:rPr>
          <w:rFonts w:ascii="Times New Roman" w:eastAsia="宋体" w:hAnsi="Times New Roman"/>
          <w:color w:val="000000"/>
          <w:sz w:val="20"/>
          <w:szCs w:val="20"/>
        </w:rPr>
        <w:t xml:space="preserve"> securitization and structured financing programs with other sources of liquidity. We approximate the amount of our debt used to fund the DFS business by applying a 7:1 debt to equity ratio to the sum of our financing receivables balance and equipment unde</w:t>
      </w:r>
      <w:r>
        <w:rPr>
          <w:rFonts w:ascii="Times New Roman" w:eastAsia="宋体" w:hAnsi="Times New Roman"/>
          <w:color w:val="000000"/>
          <w:sz w:val="20"/>
          <w:szCs w:val="20"/>
        </w:rPr>
        <w:t>r our DFS operating leases, net. The debt to equity ratio is based on the underlying credit quality of the assets. See Note 4 of the Notes to the Consolidated Financial Statements included in this report for more information about our DFS debt.</w:t>
      </w:r>
    </w:p>
    <w:p w14:paraId="7DCFE429" w14:textId="77777777" w:rsidR="00C1563E" w:rsidRDefault="00C1563E"/>
    <w:p w14:paraId="7DCFE42A" w14:textId="77777777" w:rsidR="00C1563E" w:rsidRDefault="000B648B">
      <w:r>
        <w:rPr>
          <w:rFonts w:ascii="Times New Roman" w:eastAsia="宋体" w:hAnsi="Times New Roman"/>
          <w:color w:val="000000"/>
          <w:sz w:val="20"/>
          <w:szCs w:val="20"/>
        </w:rPr>
        <w:t>As of Janu</w:t>
      </w:r>
      <w:r>
        <w:rPr>
          <w:rFonts w:ascii="Times New Roman" w:eastAsia="宋体" w:hAnsi="Times New Roman"/>
          <w:color w:val="000000"/>
          <w:sz w:val="20"/>
          <w:szCs w:val="20"/>
        </w:rPr>
        <w:t xml:space="preserve">ary 29, 2021 and January 31, 2020, margin loan and other debt primarily consisted of the $4.0 billion Margin Loan Facility. </w:t>
      </w:r>
    </w:p>
    <w:p w14:paraId="7DCFE42B" w14:textId="77777777" w:rsidR="00C1563E" w:rsidRDefault="00C1563E"/>
    <w:p w14:paraId="7DCFE42C" w14:textId="77777777" w:rsidR="00C1563E" w:rsidRDefault="000B648B">
      <w:r>
        <w:rPr>
          <w:rFonts w:ascii="Times New Roman" w:eastAsia="宋体" w:hAnsi="Times New Roman"/>
          <w:color w:val="000000"/>
          <w:sz w:val="20"/>
          <w:szCs w:val="20"/>
        </w:rPr>
        <w:t>Public subsidiary debt represents VMware, Inc. indebtedness. The decrease in debt of public subsidiary during Fiscal 2021 was driv</w:t>
      </w:r>
      <w:r>
        <w:rPr>
          <w:rFonts w:ascii="Times New Roman" w:eastAsia="宋体" w:hAnsi="Times New Roman"/>
          <w:color w:val="000000"/>
          <w:sz w:val="20"/>
          <w:szCs w:val="20"/>
        </w:rPr>
        <w:t>en by principal repayments by VMware, Inc. VMware, Inc. and its respective subsidiaries are unrestricted subsidiaries for purposes of the core debt of Dell Technologies.  Neither Dell Technologies nor any of its subsidiaries, other than VMware, Inc., is ob</w:t>
      </w:r>
      <w:r>
        <w:rPr>
          <w:rFonts w:ascii="Times New Roman" w:eastAsia="宋体" w:hAnsi="Times New Roman"/>
          <w:color w:val="000000"/>
          <w:sz w:val="20"/>
          <w:szCs w:val="20"/>
        </w:rPr>
        <w:t>ligated to make payment on the VMware Notes.  None of the net proceeds of the VMware Notes are made available to support the operations or satisfy any corporate purposes of Dell Technologies, other than the operations and corporate purposes of VMware, Inc.</w:t>
      </w:r>
      <w:r>
        <w:rPr>
          <w:rFonts w:ascii="Times New Roman" w:eastAsia="宋体" w:hAnsi="Times New Roman"/>
          <w:color w:val="000000"/>
          <w:sz w:val="20"/>
          <w:szCs w:val="20"/>
        </w:rPr>
        <w:t xml:space="preserve"> and its subsidiaries. See Note 6 of the Notes to the Consolidated Financial Statements included in this report for more information about VMware, Inc. debt.</w:t>
      </w:r>
    </w:p>
    <w:p w14:paraId="7DCFE42D" w14:textId="77777777" w:rsidR="00C1563E" w:rsidRDefault="00C1563E"/>
    <w:p w14:paraId="7DCFE42E" w14:textId="77777777" w:rsidR="00C1563E" w:rsidRDefault="000B648B">
      <w:r>
        <w:rPr>
          <w:rFonts w:ascii="Times New Roman" w:eastAsia="宋体" w:hAnsi="Times New Roman"/>
          <w:color w:val="000000"/>
          <w:sz w:val="20"/>
          <w:szCs w:val="20"/>
        </w:rPr>
        <w:t xml:space="preserve">We have made steady progress in paying down core debt. We believe we will continue to be able to </w:t>
      </w:r>
      <w:r>
        <w:rPr>
          <w:rFonts w:ascii="Times New Roman" w:eastAsia="宋体" w:hAnsi="Times New Roman"/>
          <w:color w:val="000000"/>
          <w:sz w:val="20"/>
          <w:szCs w:val="20"/>
        </w:rPr>
        <w:t xml:space="preserve">make our debt principal and interest payments, including the short-term maturities, from existing and expected sources of cash, primarily from operating cash flows. Cash used for debt principal and interest payments may include short-term borrowings under </w:t>
      </w:r>
      <w:r>
        <w:rPr>
          <w:rFonts w:ascii="Times New Roman" w:eastAsia="宋体" w:hAnsi="Times New Roman"/>
          <w:color w:val="000000"/>
          <w:sz w:val="20"/>
          <w:szCs w:val="20"/>
        </w:rPr>
        <w:t>our revolving credit facilities. We will continue to focus on paying down core debt. Under our variable-rate debt, we could experience variations in our future interest expense from potential fluctuations in applicable reference rates, or from possible flu</w:t>
      </w:r>
      <w:r>
        <w:rPr>
          <w:rFonts w:ascii="Times New Roman" w:eastAsia="宋体" w:hAnsi="Times New Roman"/>
          <w:color w:val="000000"/>
          <w:sz w:val="20"/>
          <w:szCs w:val="20"/>
        </w:rPr>
        <w:t>ctuations in the level of DFS debt required to meet future demand for customer financing. We or our affiliates or their related persons, at our or their sole discretion, may purchase, redeem, prepay, refinance, or otherwise retire any amount of our outstan</w:t>
      </w:r>
      <w:r>
        <w:rPr>
          <w:rFonts w:ascii="Times New Roman" w:eastAsia="宋体" w:hAnsi="Times New Roman"/>
          <w:color w:val="000000"/>
          <w:sz w:val="20"/>
          <w:szCs w:val="20"/>
        </w:rPr>
        <w:t>ding indebtedness under the terms of such indebtedness at any time and from time to time, in open market or negotiated transactions with the holders of such indebtedness or otherwise, as appropriate market conditions exist.</w:t>
      </w:r>
    </w:p>
    <w:p w14:paraId="7DCFE42F" w14:textId="77777777" w:rsidR="00C1563E" w:rsidRDefault="00C1563E"/>
    <w:p w14:paraId="7DCFE430" w14:textId="77777777" w:rsidR="00C1563E" w:rsidRDefault="000B648B">
      <w:r>
        <w:rPr>
          <w:rFonts w:ascii="Times New Roman" w:eastAsia="宋体" w:hAnsi="Times New Roman"/>
          <w:b/>
          <w:bCs/>
          <w:color w:val="000000"/>
          <w:sz w:val="20"/>
          <w:szCs w:val="20"/>
          <w:shd w:val="clear" w:color="auto" w:fill="FFFFFF"/>
        </w:rPr>
        <w:t>Cash Flows</w:t>
      </w:r>
    </w:p>
    <w:p w14:paraId="7DCFE431" w14:textId="77777777" w:rsidR="00C1563E" w:rsidRDefault="00C1563E"/>
    <w:p w14:paraId="7DCFE432" w14:textId="77777777" w:rsidR="00C1563E" w:rsidRDefault="000B648B">
      <w:r>
        <w:rPr>
          <w:rFonts w:ascii="Times New Roman" w:eastAsia="宋体" w:hAnsi="Times New Roman"/>
          <w:color w:val="000000"/>
          <w:sz w:val="20"/>
          <w:szCs w:val="20"/>
          <w:shd w:val="clear" w:color="auto" w:fill="FFFFFF"/>
        </w:rPr>
        <w:t>The following table</w:t>
      </w:r>
      <w:r>
        <w:rPr>
          <w:rFonts w:ascii="Times New Roman" w:eastAsia="宋体" w:hAnsi="Times New Roman"/>
          <w:color w:val="000000"/>
          <w:sz w:val="20"/>
          <w:szCs w:val="20"/>
          <w:shd w:val="clear" w:color="auto" w:fill="FFFFFF"/>
        </w:rPr>
        <w:t xml:space="preserve"> presents a summary of our </w:t>
      </w:r>
      <w:r>
        <w:rPr>
          <w:rFonts w:ascii="Times New Roman" w:eastAsia="宋体" w:hAnsi="Times New Roman"/>
          <w:color w:val="000000"/>
          <w:sz w:val="20"/>
          <w:szCs w:val="20"/>
        </w:rPr>
        <w:t>Consolidated Statements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141"/>
        <w:gridCol w:w="39"/>
        <w:gridCol w:w="120"/>
        <w:gridCol w:w="1143"/>
        <w:gridCol w:w="36"/>
        <w:gridCol w:w="36"/>
        <w:gridCol w:w="36"/>
        <w:gridCol w:w="36"/>
        <w:gridCol w:w="121"/>
        <w:gridCol w:w="1143"/>
        <w:gridCol w:w="36"/>
        <w:gridCol w:w="36"/>
        <w:gridCol w:w="36"/>
        <w:gridCol w:w="36"/>
        <w:gridCol w:w="121"/>
        <w:gridCol w:w="1144"/>
        <w:gridCol w:w="36"/>
      </w:tblGrid>
      <w:tr w:rsidR="00C1563E" w14:paraId="7DCFE445" w14:textId="77777777">
        <w:tc>
          <w:tcPr>
            <w:tcW w:w="50" w:type="pct"/>
            <w:shd w:val="clear" w:color="auto" w:fill="auto"/>
          </w:tcPr>
          <w:p w14:paraId="7DCFE433" w14:textId="77777777" w:rsidR="00C1563E" w:rsidRDefault="00C1563E">
            <w:pPr>
              <w:rPr>
                <w:rFonts w:ascii="宋体"/>
              </w:rPr>
            </w:pPr>
          </w:p>
        </w:tc>
        <w:tc>
          <w:tcPr>
            <w:tcW w:w="2540" w:type="pct"/>
            <w:shd w:val="clear" w:color="auto" w:fill="auto"/>
          </w:tcPr>
          <w:p w14:paraId="7DCFE434" w14:textId="77777777" w:rsidR="00C1563E" w:rsidRDefault="00C1563E">
            <w:pPr>
              <w:rPr>
                <w:rFonts w:ascii="宋体"/>
              </w:rPr>
            </w:pPr>
          </w:p>
        </w:tc>
        <w:tc>
          <w:tcPr>
            <w:tcW w:w="5" w:type="pct"/>
            <w:shd w:val="clear" w:color="auto" w:fill="auto"/>
          </w:tcPr>
          <w:p w14:paraId="7DCFE435" w14:textId="77777777" w:rsidR="00C1563E" w:rsidRDefault="00C1563E">
            <w:pPr>
              <w:rPr>
                <w:rFonts w:ascii="宋体"/>
              </w:rPr>
            </w:pPr>
          </w:p>
        </w:tc>
        <w:tc>
          <w:tcPr>
            <w:tcW w:w="50" w:type="pct"/>
            <w:shd w:val="clear" w:color="auto" w:fill="auto"/>
          </w:tcPr>
          <w:p w14:paraId="7DCFE436" w14:textId="77777777" w:rsidR="00C1563E" w:rsidRDefault="00C1563E">
            <w:pPr>
              <w:rPr>
                <w:rFonts w:ascii="宋体"/>
              </w:rPr>
            </w:pPr>
          </w:p>
        </w:tc>
        <w:tc>
          <w:tcPr>
            <w:tcW w:w="727" w:type="pct"/>
            <w:shd w:val="clear" w:color="auto" w:fill="auto"/>
          </w:tcPr>
          <w:p w14:paraId="7DCFE437" w14:textId="77777777" w:rsidR="00C1563E" w:rsidRDefault="00C1563E">
            <w:pPr>
              <w:rPr>
                <w:rFonts w:ascii="宋体"/>
              </w:rPr>
            </w:pPr>
          </w:p>
        </w:tc>
        <w:tc>
          <w:tcPr>
            <w:tcW w:w="5" w:type="pct"/>
            <w:shd w:val="clear" w:color="auto" w:fill="auto"/>
          </w:tcPr>
          <w:p w14:paraId="7DCFE438" w14:textId="77777777" w:rsidR="00C1563E" w:rsidRDefault="00C1563E">
            <w:pPr>
              <w:rPr>
                <w:rFonts w:ascii="宋体"/>
              </w:rPr>
            </w:pPr>
          </w:p>
        </w:tc>
        <w:tc>
          <w:tcPr>
            <w:tcW w:w="5" w:type="pct"/>
            <w:shd w:val="clear" w:color="auto" w:fill="auto"/>
          </w:tcPr>
          <w:p w14:paraId="7DCFE439" w14:textId="77777777" w:rsidR="00C1563E" w:rsidRDefault="00C1563E">
            <w:pPr>
              <w:rPr>
                <w:rFonts w:ascii="宋体"/>
              </w:rPr>
            </w:pPr>
          </w:p>
        </w:tc>
        <w:tc>
          <w:tcPr>
            <w:tcW w:w="19" w:type="pct"/>
            <w:shd w:val="clear" w:color="auto" w:fill="auto"/>
          </w:tcPr>
          <w:p w14:paraId="7DCFE43A" w14:textId="77777777" w:rsidR="00C1563E" w:rsidRDefault="00C1563E">
            <w:pPr>
              <w:rPr>
                <w:rFonts w:ascii="宋体"/>
              </w:rPr>
            </w:pPr>
          </w:p>
        </w:tc>
        <w:tc>
          <w:tcPr>
            <w:tcW w:w="5" w:type="pct"/>
            <w:shd w:val="clear" w:color="auto" w:fill="auto"/>
          </w:tcPr>
          <w:p w14:paraId="7DCFE43B" w14:textId="77777777" w:rsidR="00C1563E" w:rsidRDefault="00C1563E">
            <w:pPr>
              <w:rPr>
                <w:rFonts w:ascii="宋体"/>
              </w:rPr>
            </w:pPr>
          </w:p>
        </w:tc>
        <w:tc>
          <w:tcPr>
            <w:tcW w:w="50" w:type="pct"/>
            <w:shd w:val="clear" w:color="auto" w:fill="auto"/>
          </w:tcPr>
          <w:p w14:paraId="7DCFE43C" w14:textId="77777777" w:rsidR="00C1563E" w:rsidRDefault="00C1563E">
            <w:pPr>
              <w:rPr>
                <w:rFonts w:ascii="宋体"/>
              </w:rPr>
            </w:pPr>
          </w:p>
        </w:tc>
        <w:tc>
          <w:tcPr>
            <w:tcW w:w="727" w:type="pct"/>
            <w:shd w:val="clear" w:color="auto" w:fill="auto"/>
          </w:tcPr>
          <w:p w14:paraId="7DCFE43D" w14:textId="77777777" w:rsidR="00C1563E" w:rsidRDefault="00C1563E">
            <w:pPr>
              <w:rPr>
                <w:rFonts w:ascii="宋体"/>
              </w:rPr>
            </w:pPr>
          </w:p>
        </w:tc>
        <w:tc>
          <w:tcPr>
            <w:tcW w:w="5" w:type="pct"/>
            <w:shd w:val="clear" w:color="auto" w:fill="auto"/>
          </w:tcPr>
          <w:p w14:paraId="7DCFE43E" w14:textId="77777777" w:rsidR="00C1563E" w:rsidRDefault="00C1563E">
            <w:pPr>
              <w:rPr>
                <w:rFonts w:ascii="宋体"/>
              </w:rPr>
            </w:pPr>
          </w:p>
        </w:tc>
        <w:tc>
          <w:tcPr>
            <w:tcW w:w="5" w:type="pct"/>
            <w:shd w:val="clear" w:color="auto" w:fill="auto"/>
          </w:tcPr>
          <w:p w14:paraId="7DCFE43F" w14:textId="77777777" w:rsidR="00C1563E" w:rsidRDefault="00C1563E">
            <w:pPr>
              <w:rPr>
                <w:rFonts w:ascii="宋体"/>
              </w:rPr>
            </w:pPr>
          </w:p>
        </w:tc>
        <w:tc>
          <w:tcPr>
            <w:tcW w:w="19" w:type="pct"/>
            <w:shd w:val="clear" w:color="auto" w:fill="auto"/>
          </w:tcPr>
          <w:p w14:paraId="7DCFE440" w14:textId="77777777" w:rsidR="00C1563E" w:rsidRDefault="00C1563E">
            <w:pPr>
              <w:rPr>
                <w:rFonts w:ascii="宋体"/>
              </w:rPr>
            </w:pPr>
          </w:p>
        </w:tc>
        <w:tc>
          <w:tcPr>
            <w:tcW w:w="5" w:type="pct"/>
            <w:shd w:val="clear" w:color="auto" w:fill="auto"/>
          </w:tcPr>
          <w:p w14:paraId="7DCFE441" w14:textId="77777777" w:rsidR="00C1563E" w:rsidRDefault="00C1563E">
            <w:pPr>
              <w:rPr>
                <w:rFonts w:ascii="宋体"/>
              </w:rPr>
            </w:pPr>
          </w:p>
        </w:tc>
        <w:tc>
          <w:tcPr>
            <w:tcW w:w="50" w:type="pct"/>
            <w:shd w:val="clear" w:color="auto" w:fill="auto"/>
          </w:tcPr>
          <w:p w14:paraId="7DCFE442" w14:textId="77777777" w:rsidR="00C1563E" w:rsidRDefault="00C1563E">
            <w:pPr>
              <w:rPr>
                <w:rFonts w:ascii="宋体"/>
              </w:rPr>
            </w:pPr>
          </w:p>
        </w:tc>
        <w:tc>
          <w:tcPr>
            <w:tcW w:w="727" w:type="pct"/>
            <w:shd w:val="clear" w:color="auto" w:fill="auto"/>
          </w:tcPr>
          <w:p w14:paraId="7DCFE443" w14:textId="77777777" w:rsidR="00C1563E" w:rsidRDefault="00C1563E">
            <w:pPr>
              <w:rPr>
                <w:rFonts w:ascii="宋体"/>
              </w:rPr>
            </w:pPr>
          </w:p>
        </w:tc>
        <w:tc>
          <w:tcPr>
            <w:tcW w:w="5" w:type="pct"/>
            <w:shd w:val="clear" w:color="auto" w:fill="auto"/>
          </w:tcPr>
          <w:p w14:paraId="7DCFE444" w14:textId="77777777" w:rsidR="00C1563E" w:rsidRDefault="00C1563E">
            <w:pPr>
              <w:rPr>
                <w:rFonts w:ascii="宋体"/>
              </w:rPr>
            </w:pPr>
          </w:p>
        </w:tc>
      </w:tr>
      <w:tr w:rsidR="00C1563E" w14:paraId="7DCFE448" w14:textId="77777777">
        <w:tc>
          <w:tcPr>
            <w:tcW w:w="0" w:type="auto"/>
            <w:gridSpan w:val="3"/>
            <w:shd w:val="clear" w:color="auto" w:fill="auto"/>
            <w:tcMar>
              <w:top w:w="0" w:type="dxa"/>
              <w:left w:w="20" w:type="dxa"/>
              <w:bottom w:w="0" w:type="dxa"/>
              <w:right w:w="20" w:type="dxa"/>
            </w:tcMar>
          </w:tcPr>
          <w:p w14:paraId="7DCFE446"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CFE447"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E44F" w14:textId="77777777">
        <w:tc>
          <w:tcPr>
            <w:tcW w:w="0" w:type="auto"/>
            <w:gridSpan w:val="3"/>
            <w:shd w:val="clear" w:color="auto" w:fill="auto"/>
            <w:tcMar>
              <w:top w:w="40" w:type="dxa"/>
              <w:left w:w="20" w:type="dxa"/>
              <w:bottom w:w="40" w:type="dxa"/>
              <w:right w:w="20" w:type="dxa"/>
            </w:tcMar>
            <w:vAlign w:val="bottom"/>
          </w:tcPr>
          <w:p w14:paraId="7DCFE449"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44A"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44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4C"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44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4E"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452" w14:textId="77777777">
        <w:tc>
          <w:tcPr>
            <w:tcW w:w="0" w:type="auto"/>
            <w:gridSpan w:val="3"/>
            <w:shd w:val="clear" w:color="auto" w:fill="auto"/>
            <w:tcMar>
              <w:top w:w="0" w:type="dxa"/>
              <w:left w:w="20" w:type="dxa"/>
              <w:bottom w:w="0" w:type="dxa"/>
              <w:right w:w="20" w:type="dxa"/>
            </w:tcMar>
          </w:tcPr>
          <w:p w14:paraId="7DCFE450"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CFE45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E459" w14:textId="77777777">
        <w:tc>
          <w:tcPr>
            <w:tcW w:w="0" w:type="auto"/>
            <w:gridSpan w:val="3"/>
            <w:shd w:val="clear" w:color="auto" w:fill="CCEEFF"/>
            <w:tcMar>
              <w:top w:w="40" w:type="dxa"/>
              <w:left w:w="20" w:type="dxa"/>
              <w:bottom w:w="40" w:type="dxa"/>
              <w:right w:w="20" w:type="dxa"/>
            </w:tcMar>
            <w:vAlign w:val="bottom"/>
          </w:tcPr>
          <w:p w14:paraId="7DCFE453" w14:textId="77777777" w:rsidR="00C1563E" w:rsidRDefault="000B648B">
            <w:pPr>
              <w:textAlignment w:val="bottom"/>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tcPr>
          <w:p w14:paraId="7DCFE45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5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5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5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58" w14:textId="77777777" w:rsidR="00C1563E" w:rsidRDefault="00C1563E">
            <w:pPr>
              <w:rPr>
                <w:rFonts w:ascii="宋体"/>
              </w:rPr>
            </w:pPr>
          </w:p>
        </w:tc>
      </w:tr>
      <w:tr w:rsidR="00C1563E" w14:paraId="7DCFE466" w14:textId="77777777">
        <w:tc>
          <w:tcPr>
            <w:tcW w:w="0" w:type="auto"/>
            <w:gridSpan w:val="3"/>
            <w:shd w:val="clear" w:color="auto" w:fill="FFFFFF"/>
            <w:tcMar>
              <w:top w:w="40" w:type="dxa"/>
              <w:left w:w="125" w:type="dxa"/>
              <w:bottom w:w="40" w:type="dxa"/>
              <w:right w:w="20" w:type="dxa"/>
            </w:tcMar>
            <w:vAlign w:val="bottom"/>
          </w:tcPr>
          <w:p w14:paraId="7DCFE45A" w14:textId="77777777" w:rsidR="00C1563E" w:rsidRDefault="000B648B">
            <w:pPr>
              <w:textAlignment w:val="bottom"/>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activities</w:t>
            </w:r>
          </w:p>
        </w:tc>
        <w:tc>
          <w:tcPr>
            <w:tcW w:w="0" w:type="auto"/>
            <w:shd w:val="clear" w:color="auto" w:fill="FFFFFF"/>
            <w:tcMar>
              <w:top w:w="40" w:type="dxa"/>
              <w:left w:w="20" w:type="dxa"/>
              <w:bottom w:w="40" w:type="dxa"/>
              <w:right w:w="0" w:type="dxa"/>
            </w:tcMar>
            <w:vAlign w:val="bottom"/>
          </w:tcPr>
          <w:p w14:paraId="7DCFE45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45C" w14:textId="77777777" w:rsidR="00C1563E" w:rsidRDefault="000B648B">
            <w:pPr>
              <w:jc w:val="right"/>
              <w:textAlignment w:val="bottom"/>
            </w:pPr>
            <w:r>
              <w:rPr>
                <w:rFonts w:ascii="Times New Roman" w:eastAsia="宋体" w:hAnsi="Times New Roman"/>
                <w:color w:val="000000"/>
                <w:sz w:val="20"/>
                <w:szCs w:val="20"/>
              </w:rPr>
              <w:t>11,407 </w:t>
            </w:r>
          </w:p>
        </w:tc>
        <w:tc>
          <w:tcPr>
            <w:tcW w:w="0" w:type="auto"/>
            <w:shd w:val="clear" w:color="auto" w:fill="FFFFFF"/>
            <w:tcMar>
              <w:top w:w="40" w:type="dxa"/>
              <w:left w:w="0" w:type="dxa"/>
              <w:bottom w:w="40" w:type="dxa"/>
              <w:right w:w="20" w:type="dxa"/>
            </w:tcMar>
            <w:vAlign w:val="bottom"/>
          </w:tcPr>
          <w:p w14:paraId="7DCFE45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5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45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460" w14:textId="77777777" w:rsidR="00C1563E" w:rsidRDefault="000B648B">
            <w:pPr>
              <w:jc w:val="right"/>
              <w:textAlignment w:val="bottom"/>
            </w:pPr>
            <w:r>
              <w:rPr>
                <w:rFonts w:ascii="Times New Roman" w:eastAsia="宋体" w:hAnsi="Times New Roman"/>
                <w:color w:val="000000"/>
                <w:sz w:val="20"/>
                <w:szCs w:val="20"/>
              </w:rPr>
              <w:t>9,291 </w:t>
            </w:r>
          </w:p>
        </w:tc>
        <w:tc>
          <w:tcPr>
            <w:tcW w:w="0" w:type="auto"/>
            <w:shd w:val="clear" w:color="auto" w:fill="FFFFFF"/>
            <w:tcMar>
              <w:top w:w="40" w:type="dxa"/>
              <w:left w:w="0" w:type="dxa"/>
              <w:bottom w:w="40" w:type="dxa"/>
              <w:right w:w="20" w:type="dxa"/>
            </w:tcMar>
            <w:vAlign w:val="bottom"/>
          </w:tcPr>
          <w:p w14:paraId="7DCFE46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6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46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464" w14:textId="77777777" w:rsidR="00C1563E" w:rsidRDefault="000B648B">
            <w:pPr>
              <w:jc w:val="right"/>
              <w:textAlignment w:val="bottom"/>
            </w:pPr>
            <w:r>
              <w:rPr>
                <w:rFonts w:ascii="Times New Roman" w:eastAsia="宋体" w:hAnsi="Times New Roman"/>
                <w:color w:val="000000"/>
                <w:sz w:val="20"/>
                <w:szCs w:val="20"/>
              </w:rPr>
              <w:t>6,991 </w:t>
            </w:r>
          </w:p>
        </w:tc>
        <w:tc>
          <w:tcPr>
            <w:tcW w:w="0" w:type="auto"/>
            <w:shd w:val="clear" w:color="auto" w:fill="FFFFFF"/>
            <w:tcMar>
              <w:top w:w="40" w:type="dxa"/>
              <w:left w:w="0" w:type="dxa"/>
              <w:bottom w:w="40" w:type="dxa"/>
              <w:right w:w="20" w:type="dxa"/>
            </w:tcMar>
            <w:vAlign w:val="bottom"/>
          </w:tcPr>
          <w:p w14:paraId="7DCFE465" w14:textId="77777777" w:rsidR="00C1563E" w:rsidRDefault="00C1563E">
            <w:pPr>
              <w:jc w:val="right"/>
              <w:rPr>
                <w:rFonts w:ascii="宋体"/>
              </w:rPr>
            </w:pPr>
          </w:p>
        </w:tc>
      </w:tr>
      <w:tr w:rsidR="00C1563E" w14:paraId="7DCFE470" w14:textId="77777777">
        <w:tc>
          <w:tcPr>
            <w:tcW w:w="0" w:type="auto"/>
            <w:gridSpan w:val="3"/>
            <w:shd w:val="clear" w:color="auto" w:fill="CCEEFF"/>
            <w:tcMar>
              <w:top w:w="40" w:type="dxa"/>
              <w:left w:w="125" w:type="dxa"/>
              <w:bottom w:w="40" w:type="dxa"/>
              <w:right w:w="20" w:type="dxa"/>
            </w:tcMar>
            <w:vAlign w:val="bottom"/>
          </w:tcPr>
          <w:p w14:paraId="7DCFE467" w14:textId="77777777" w:rsidR="00C1563E" w:rsidRDefault="000B648B">
            <w:pPr>
              <w:textAlignment w:val="bottom"/>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14:paraId="7DCFE468" w14:textId="77777777" w:rsidR="00C1563E" w:rsidRDefault="000B648B">
            <w:pPr>
              <w:jc w:val="right"/>
              <w:textAlignment w:val="bottom"/>
            </w:pPr>
            <w:r>
              <w:rPr>
                <w:rFonts w:ascii="Times New Roman" w:eastAsia="宋体" w:hAnsi="Times New Roman"/>
                <w:color w:val="000000"/>
                <w:sz w:val="20"/>
                <w:szCs w:val="20"/>
              </w:rPr>
              <w:t>(460)</w:t>
            </w:r>
          </w:p>
        </w:tc>
        <w:tc>
          <w:tcPr>
            <w:tcW w:w="0" w:type="auto"/>
            <w:shd w:val="clear" w:color="auto" w:fill="CCEEFF"/>
            <w:tcMar>
              <w:top w:w="40" w:type="dxa"/>
              <w:left w:w="0" w:type="dxa"/>
              <w:bottom w:w="40" w:type="dxa"/>
              <w:right w:w="20" w:type="dxa"/>
            </w:tcMar>
            <w:vAlign w:val="bottom"/>
          </w:tcPr>
          <w:p w14:paraId="7DCFE46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6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46B" w14:textId="77777777" w:rsidR="00C1563E" w:rsidRDefault="000B648B">
            <w:pPr>
              <w:jc w:val="right"/>
              <w:textAlignment w:val="bottom"/>
            </w:pPr>
            <w:r>
              <w:rPr>
                <w:rFonts w:ascii="Times New Roman" w:eastAsia="宋体" w:hAnsi="Times New Roman"/>
                <w:color w:val="000000"/>
                <w:sz w:val="20"/>
                <w:szCs w:val="20"/>
              </w:rPr>
              <w:t>(4,686)</w:t>
            </w:r>
          </w:p>
        </w:tc>
        <w:tc>
          <w:tcPr>
            <w:tcW w:w="0" w:type="auto"/>
            <w:shd w:val="clear" w:color="auto" w:fill="CCEEFF"/>
            <w:tcMar>
              <w:top w:w="40" w:type="dxa"/>
              <w:left w:w="0" w:type="dxa"/>
              <w:bottom w:w="40" w:type="dxa"/>
              <w:right w:w="20" w:type="dxa"/>
            </w:tcMar>
            <w:vAlign w:val="bottom"/>
          </w:tcPr>
          <w:p w14:paraId="7DCFE4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6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46E" w14:textId="77777777" w:rsidR="00C1563E" w:rsidRDefault="000B648B">
            <w:pPr>
              <w:jc w:val="right"/>
              <w:textAlignment w:val="bottom"/>
            </w:pPr>
            <w:r>
              <w:rPr>
                <w:rFonts w:ascii="Times New Roman" w:eastAsia="宋体" w:hAnsi="Times New Roman"/>
                <w:color w:val="000000"/>
                <w:sz w:val="20"/>
                <w:szCs w:val="20"/>
              </w:rPr>
              <w:t>3,389 </w:t>
            </w:r>
          </w:p>
        </w:tc>
        <w:tc>
          <w:tcPr>
            <w:tcW w:w="0" w:type="auto"/>
            <w:shd w:val="clear" w:color="auto" w:fill="CCEEFF"/>
            <w:tcMar>
              <w:top w:w="40" w:type="dxa"/>
              <w:left w:w="0" w:type="dxa"/>
              <w:bottom w:w="40" w:type="dxa"/>
              <w:right w:w="20" w:type="dxa"/>
            </w:tcMar>
            <w:vAlign w:val="bottom"/>
          </w:tcPr>
          <w:p w14:paraId="7DCFE46F" w14:textId="77777777" w:rsidR="00C1563E" w:rsidRDefault="00C1563E">
            <w:pPr>
              <w:jc w:val="right"/>
              <w:rPr>
                <w:rFonts w:ascii="宋体"/>
              </w:rPr>
            </w:pPr>
          </w:p>
        </w:tc>
      </w:tr>
      <w:tr w:rsidR="00C1563E" w14:paraId="7DCFE47A" w14:textId="77777777">
        <w:tc>
          <w:tcPr>
            <w:tcW w:w="0" w:type="auto"/>
            <w:gridSpan w:val="3"/>
            <w:shd w:val="clear" w:color="auto" w:fill="FFFFFF"/>
            <w:tcMar>
              <w:top w:w="40" w:type="dxa"/>
              <w:left w:w="125" w:type="dxa"/>
              <w:bottom w:w="40" w:type="dxa"/>
              <w:right w:w="20" w:type="dxa"/>
            </w:tcMar>
            <w:vAlign w:val="bottom"/>
          </w:tcPr>
          <w:p w14:paraId="7DCFE471" w14:textId="77777777" w:rsidR="00C1563E" w:rsidRDefault="000B648B">
            <w:pPr>
              <w:textAlignment w:val="bottom"/>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14:paraId="7DCFE472" w14:textId="77777777" w:rsidR="00C1563E" w:rsidRDefault="000B648B">
            <w:pPr>
              <w:jc w:val="right"/>
              <w:textAlignment w:val="bottom"/>
            </w:pPr>
            <w:r>
              <w:rPr>
                <w:rFonts w:ascii="Times New Roman" w:eastAsia="宋体" w:hAnsi="Times New Roman"/>
                <w:color w:val="000000"/>
                <w:sz w:val="20"/>
                <w:szCs w:val="20"/>
              </w:rPr>
              <w:t>(5,950)</w:t>
            </w:r>
          </w:p>
        </w:tc>
        <w:tc>
          <w:tcPr>
            <w:tcW w:w="0" w:type="auto"/>
            <w:shd w:val="clear" w:color="auto" w:fill="FFFFFF"/>
            <w:tcMar>
              <w:top w:w="40" w:type="dxa"/>
              <w:left w:w="0" w:type="dxa"/>
              <w:bottom w:w="40" w:type="dxa"/>
              <w:right w:w="20" w:type="dxa"/>
            </w:tcMar>
            <w:vAlign w:val="bottom"/>
          </w:tcPr>
          <w:p w14:paraId="7DCFE4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7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475" w14:textId="77777777" w:rsidR="00C1563E" w:rsidRDefault="000B648B">
            <w:pPr>
              <w:jc w:val="right"/>
              <w:textAlignment w:val="bottom"/>
            </w:pPr>
            <w:r>
              <w:rPr>
                <w:rFonts w:ascii="Times New Roman" w:eastAsia="宋体" w:hAnsi="Times New Roman"/>
                <w:color w:val="000000"/>
                <w:sz w:val="20"/>
                <w:szCs w:val="20"/>
              </w:rPr>
              <w:t>(4,604)</w:t>
            </w:r>
          </w:p>
        </w:tc>
        <w:tc>
          <w:tcPr>
            <w:tcW w:w="0" w:type="auto"/>
            <w:shd w:val="clear" w:color="auto" w:fill="FFFFFF"/>
            <w:tcMar>
              <w:top w:w="40" w:type="dxa"/>
              <w:left w:w="0" w:type="dxa"/>
              <w:bottom w:w="40" w:type="dxa"/>
              <w:right w:w="20" w:type="dxa"/>
            </w:tcMar>
            <w:vAlign w:val="bottom"/>
          </w:tcPr>
          <w:p w14:paraId="7DCFE4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7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478" w14:textId="77777777" w:rsidR="00C1563E" w:rsidRDefault="000B648B">
            <w:pPr>
              <w:jc w:val="right"/>
              <w:textAlignment w:val="bottom"/>
            </w:pPr>
            <w:r>
              <w:rPr>
                <w:rFonts w:ascii="Times New Roman" w:eastAsia="宋体" w:hAnsi="Times New Roman"/>
                <w:color w:val="000000"/>
                <w:sz w:val="20"/>
                <w:szCs w:val="20"/>
              </w:rPr>
              <w:t>(14,329)</w:t>
            </w:r>
          </w:p>
        </w:tc>
        <w:tc>
          <w:tcPr>
            <w:tcW w:w="0" w:type="auto"/>
            <w:shd w:val="clear" w:color="auto" w:fill="FFFFFF"/>
            <w:tcMar>
              <w:top w:w="40" w:type="dxa"/>
              <w:left w:w="0" w:type="dxa"/>
              <w:bottom w:w="40" w:type="dxa"/>
              <w:right w:w="20" w:type="dxa"/>
            </w:tcMar>
            <w:vAlign w:val="bottom"/>
          </w:tcPr>
          <w:p w14:paraId="7DCFE479" w14:textId="77777777" w:rsidR="00C1563E" w:rsidRDefault="00C1563E">
            <w:pPr>
              <w:jc w:val="right"/>
              <w:rPr>
                <w:rFonts w:ascii="宋体"/>
              </w:rPr>
            </w:pPr>
          </w:p>
        </w:tc>
      </w:tr>
      <w:tr w:rsidR="00C1563E" w14:paraId="7DCFE484" w14:textId="77777777">
        <w:tc>
          <w:tcPr>
            <w:tcW w:w="0" w:type="auto"/>
            <w:gridSpan w:val="3"/>
            <w:shd w:val="clear" w:color="auto" w:fill="CCEEFF"/>
            <w:tcMar>
              <w:top w:w="40" w:type="dxa"/>
              <w:left w:w="125" w:type="dxa"/>
              <w:bottom w:w="40" w:type="dxa"/>
              <w:right w:w="20" w:type="dxa"/>
            </w:tcMar>
            <w:vAlign w:val="bottom"/>
          </w:tcPr>
          <w:p w14:paraId="7DCFE47B" w14:textId="77777777" w:rsidR="00C1563E" w:rsidRDefault="000B648B">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bottom"/>
          </w:tcPr>
          <w:p w14:paraId="7DCFE47C" w14:textId="77777777" w:rsidR="00C1563E" w:rsidRDefault="000B648B">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7DCFE4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7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47F" w14:textId="77777777" w:rsidR="00C1563E" w:rsidRDefault="000B648B">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7DCFE4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48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482" w14:textId="77777777" w:rsidR="00C1563E" w:rsidRDefault="000B648B">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7DCFE483" w14:textId="77777777" w:rsidR="00C1563E" w:rsidRDefault="00C1563E">
            <w:pPr>
              <w:jc w:val="right"/>
              <w:rPr>
                <w:rFonts w:ascii="宋体"/>
              </w:rPr>
            </w:pPr>
          </w:p>
        </w:tc>
      </w:tr>
      <w:tr w:rsidR="00C1563E" w14:paraId="7DCFE491" w14:textId="77777777">
        <w:tc>
          <w:tcPr>
            <w:tcW w:w="0" w:type="auto"/>
            <w:gridSpan w:val="3"/>
            <w:shd w:val="clear" w:color="auto" w:fill="FFFFFF"/>
            <w:tcMar>
              <w:top w:w="40" w:type="dxa"/>
              <w:left w:w="260" w:type="dxa"/>
              <w:bottom w:w="40" w:type="dxa"/>
              <w:right w:w="20" w:type="dxa"/>
            </w:tcMar>
            <w:vAlign w:val="bottom"/>
          </w:tcPr>
          <w:p w14:paraId="7DCFE485" w14:textId="77777777" w:rsidR="00C1563E" w:rsidRDefault="000B648B">
            <w:pPr>
              <w:textAlignment w:val="bottom"/>
            </w:pPr>
            <w:r>
              <w:rPr>
                <w:rFonts w:ascii="Times New Roman" w:eastAsia="宋体" w:hAnsi="Times New Roman"/>
                <w:color w:val="000000"/>
                <w:sz w:val="20"/>
                <w:szCs w:val="20"/>
              </w:rPr>
              <w:t xml:space="preserve">Change in cash, cash </w:t>
            </w:r>
            <w:r>
              <w:rPr>
                <w:rFonts w:ascii="Times New Roman" w:eastAsia="宋体" w:hAnsi="Times New Roman"/>
                <w:color w:val="000000"/>
                <w:sz w:val="20"/>
                <w:szCs w:val="20"/>
              </w:rPr>
              <w:t>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48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487" w14:textId="77777777" w:rsidR="00C1563E" w:rsidRDefault="000B648B">
            <w:pPr>
              <w:jc w:val="right"/>
              <w:textAlignment w:val="bottom"/>
            </w:pPr>
            <w:r>
              <w:rPr>
                <w:rFonts w:ascii="Times New Roman" w:eastAsia="宋体" w:hAnsi="Times New Roman"/>
                <w:color w:val="000000"/>
                <w:sz w:val="20"/>
                <w:szCs w:val="20"/>
              </w:rPr>
              <w:t>5,033 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48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8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48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48B" w14:textId="77777777" w:rsidR="00C1563E" w:rsidRDefault="000B648B">
            <w:pPr>
              <w:jc w:val="right"/>
              <w:textAlignment w:val="bottom"/>
            </w:pPr>
            <w:r>
              <w:rPr>
                <w:rFonts w:ascii="Times New Roman" w:eastAsia="宋体" w:hAnsi="Times New Roman"/>
                <w:color w:val="000000"/>
                <w:sz w:val="20"/>
                <w:szCs w:val="20"/>
              </w:rPr>
              <w:t>(89)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48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48D"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48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48F" w14:textId="77777777" w:rsidR="00C1563E" w:rsidRDefault="000B648B">
            <w:pPr>
              <w:jc w:val="right"/>
              <w:textAlignment w:val="bottom"/>
            </w:pPr>
            <w:r>
              <w:rPr>
                <w:rFonts w:ascii="Times New Roman" w:eastAsia="宋体" w:hAnsi="Times New Roman"/>
                <w:color w:val="000000"/>
                <w:sz w:val="20"/>
                <w:szCs w:val="20"/>
              </w:rPr>
              <w:t>(4,138)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490" w14:textId="77777777" w:rsidR="00C1563E" w:rsidRDefault="00C1563E">
            <w:pPr>
              <w:jc w:val="right"/>
              <w:rPr>
                <w:rFonts w:ascii="宋体"/>
              </w:rPr>
            </w:pPr>
          </w:p>
        </w:tc>
      </w:tr>
    </w:tbl>
    <w:p w14:paraId="7DCFE492" w14:textId="77777777" w:rsidR="00C1563E" w:rsidRDefault="00C1563E"/>
    <w:p w14:paraId="7DCFE493" w14:textId="77777777" w:rsidR="00C1563E" w:rsidRDefault="000B648B">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xml:space="preserve"> — Cash provided by operating activities was $11.4 billion and $9.3 billion during Fiscal 2021 and Fiscal </w:t>
      </w:r>
      <w:r>
        <w:rPr>
          <w:rFonts w:ascii="Times New Roman" w:eastAsia="宋体" w:hAnsi="Times New Roman"/>
          <w:color w:val="000000"/>
          <w:sz w:val="20"/>
          <w:szCs w:val="20"/>
        </w:rPr>
        <w:t xml:space="preserve">2020, respectively. Our record cash flow from operations in Fiscal 2021 was due to strong profitability, revenue growth, and working capital dynamics. COVID-19 impacts to working capital normalized by the end of Fiscal 2021. </w:t>
      </w:r>
    </w:p>
    <w:p w14:paraId="7DCFE494" w14:textId="77777777" w:rsidR="00C1563E" w:rsidRDefault="00C1563E"/>
    <w:p w14:paraId="7DCFE495" w14:textId="77777777" w:rsidR="00C1563E" w:rsidRDefault="000B648B">
      <w:r>
        <w:rPr>
          <w:rFonts w:ascii="Times New Roman" w:eastAsia="宋体" w:hAnsi="Times New Roman"/>
          <w:color w:val="000000"/>
          <w:sz w:val="20"/>
          <w:szCs w:val="20"/>
        </w:rPr>
        <w:t>DFS offerings are initially f</w:t>
      </w:r>
      <w:r>
        <w:rPr>
          <w:rFonts w:ascii="Times New Roman" w:eastAsia="宋体" w:hAnsi="Times New Roman"/>
          <w:color w:val="000000"/>
          <w:sz w:val="20"/>
          <w:szCs w:val="20"/>
        </w:rPr>
        <w:t>unded through cash on hand at the time of origination, most of which is subsequently replaced with third-party financing. For DFS offerings that qualify as sales-type leases, the initial funding of financing receivables is reflected as an impact to cash fl</w:t>
      </w:r>
      <w:r>
        <w:rPr>
          <w:rFonts w:ascii="Times New Roman" w:eastAsia="宋体" w:hAnsi="Times New Roman"/>
          <w:color w:val="000000"/>
          <w:sz w:val="20"/>
          <w:szCs w:val="20"/>
        </w:rPr>
        <w:t xml:space="preserve">ows from operations, and is largely subsequently offset by cash proceeds from financing. For </w:t>
      </w:r>
    </w:p>
    <w:p w14:paraId="7DCFE496" w14:textId="77777777" w:rsidR="00C1563E" w:rsidRDefault="00C1563E">
      <w:pPr>
        <w:jc w:val="center"/>
      </w:pPr>
    </w:p>
    <w:p w14:paraId="7DCFE497" w14:textId="77777777" w:rsidR="00C1563E" w:rsidRDefault="000B648B">
      <w:pPr>
        <w:jc w:val="center"/>
      </w:pPr>
      <w:r>
        <w:rPr>
          <w:rFonts w:ascii="Times New Roman" w:eastAsia="宋体" w:hAnsi="Times New Roman"/>
          <w:color w:val="000000"/>
          <w:sz w:val="20"/>
          <w:szCs w:val="20"/>
        </w:rPr>
        <w:t>62</w:t>
      </w:r>
    </w:p>
    <w:p w14:paraId="7DCFE498" w14:textId="77777777" w:rsidR="00C1563E" w:rsidRDefault="00C1563E">
      <w:pPr>
        <w:jc w:val="center"/>
      </w:pPr>
    </w:p>
    <w:p w14:paraId="7DCFE499" w14:textId="77777777" w:rsidR="00C1563E" w:rsidRDefault="000B648B">
      <w:r>
        <w:pict w14:anchorId="7DD025A8">
          <v:rect id="_x0000_i1086" style="width:415.3pt;height:1.5pt" o:hralign="center" o:hrstd="t" o:hr="t" fillcolor="#a0a0a0" stroked="f"/>
        </w:pict>
      </w:r>
    </w:p>
    <w:p w14:paraId="7DCFE49A" w14:textId="77777777" w:rsidR="00C1563E" w:rsidRDefault="000B648B">
      <w:hyperlink r:id="rId138" w:anchor="i418e32e4a35149ffbf7d3a25d66881b8_10"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7DCFE49B" w14:textId="77777777" w:rsidR="00C1563E" w:rsidRDefault="000B648B">
      <w:r>
        <w:rPr>
          <w:rFonts w:ascii="Times New Roman" w:eastAsia="宋体" w:hAnsi="Times New Roman"/>
          <w:color w:val="000000"/>
          <w:sz w:val="20"/>
          <w:szCs w:val="20"/>
        </w:rPr>
        <w:t xml:space="preserve">DFS operating leases, which have increased under the current lease accounting standard, the initial funding is classified as a capital expenditure and reflected as cash flows used in investing activities. DFS new financing </w:t>
      </w:r>
      <w:r>
        <w:rPr>
          <w:rFonts w:ascii="Times New Roman" w:eastAsia="宋体" w:hAnsi="Times New Roman"/>
          <w:color w:val="000000"/>
          <w:sz w:val="20"/>
          <w:szCs w:val="20"/>
        </w:rPr>
        <w:t>originations were $8.9 billion and $8.5 billion during Fiscal 2021 and Fiscal 2020, respectively. As of January 29, 2021, DFS had $10.5 billion of total net financing receivables and $1.3 billion of equipment under DFS operating leases, net.</w:t>
      </w:r>
    </w:p>
    <w:p w14:paraId="7DCFE49C" w14:textId="77777777" w:rsidR="00C1563E" w:rsidRDefault="00C1563E"/>
    <w:p w14:paraId="7DCFE49D" w14:textId="77777777" w:rsidR="00C1563E" w:rsidRDefault="000B648B">
      <w:r>
        <w:rPr>
          <w:rFonts w:ascii="Times New Roman" w:eastAsia="宋体" w:hAnsi="Times New Roman"/>
          <w:i/>
          <w:iCs/>
          <w:color w:val="000000"/>
          <w:sz w:val="20"/>
          <w:szCs w:val="20"/>
          <w:u w:val="single"/>
        </w:rPr>
        <w:t>Investing Act</w:t>
      </w:r>
      <w:r>
        <w:rPr>
          <w:rFonts w:ascii="Times New Roman" w:eastAsia="宋体" w:hAnsi="Times New Roman"/>
          <w:i/>
          <w:iCs/>
          <w:color w:val="000000"/>
          <w:sz w:val="20"/>
          <w:szCs w:val="20"/>
          <w:u w:val="single"/>
        </w:rPr>
        <w: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capital expenditures for property, plant, and equipment, which includes equipment under DFS operating leases, capitalized software development costs, strategic investments, acquisitions of busine</w:t>
      </w:r>
      <w:r>
        <w:rPr>
          <w:rFonts w:ascii="Times New Roman" w:eastAsia="宋体" w:hAnsi="Times New Roman"/>
          <w:color w:val="000000"/>
          <w:sz w:val="20"/>
          <w:szCs w:val="20"/>
        </w:rPr>
        <w:t>sses, and the maturities, sales, and purchases of investments. During Fiscal 2021, cash used in investing activities was $460 million and was primarily driven by capital expenditures and cash used in acquisition of businesses, largely offset by net cash pr</w:t>
      </w:r>
      <w:r>
        <w:rPr>
          <w:rFonts w:ascii="Times New Roman" w:eastAsia="宋体" w:hAnsi="Times New Roman"/>
          <w:color w:val="000000"/>
          <w:sz w:val="20"/>
          <w:szCs w:val="20"/>
        </w:rPr>
        <w:t xml:space="preserve">oceeds from the divestiture of RSA Security. In comparison, cash used in investing activities was $4.7 billion during Fiscal 2020 and was primarily driven by capital expenditures and acquisitions of businesses. </w:t>
      </w:r>
    </w:p>
    <w:p w14:paraId="7DCFE49E" w14:textId="77777777" w:rsidR="00C1563E" w:rsidRDefault="000B648B">
      <w:r>
        <w:rPr>
          <w:rFonts w:ascii="Times New Roman" w:eastAsia="宋体" w:hAnsi="Times New Roman"/>
          <w:color w:val="000000"/>
          <w:sz w:val="20"/>
          <w:szCs w:val="20"/>
        </w:rPr>
        <w:t> </w:t>
      </w:r>
    </w:p>
    <w:p w14:paraId="7DCFE49F" w14:textId="77777777" w:rsidR="00C1563E" w:rsidRDefault="000B648B">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 Financing activitie</w:t>
      </w:r>
      <w:r>
        <w:rPr>
          <w:rFonts w:ascii="Times New Roman" w:eastAsia="宋体" w:hAnsi="Times New Roman"/>
          <w:color w:val="000000"/>
          <w:sz w:val="20"/>
          <w:szCs w:val="20"/>
        </w:rPr>
        <w:t>s primarily consist of the proceeds and repayments of debt, cash used to repurchase common stock, and proceeds from the issuance of common stock. Cash used in financing activities of $6.0 billion during Fiscal 2021 primarily consisted of debt repayments an</w:t>
      </w:r>
      <w:r>
        <w:rPr>
          <w:rFonts w:ascii="Times New Roman" w:eastAsia="宋体" w:hAnsi="Times New Roman"/>
          <w:color w:val="000000"/>
          <w:sz w:val="20"/>
          <w:szCs w:val="20"/>
        </w:rPr>
        <w:t>d repurchases of common stock by our public subsidiaries, partially offset by cash proceeds from the issuances of multiple series of First Lien Notes and VMware Notes. In comparison, cash used in financing activities of $4.6 billion during Fiscal 2020 prim</w:t>
      </w:r>
      <w:r>
        <w:rPr>
          <w:rFonts w:ascii="Times New Roman" w:eastAsia="宋体" w:hAnsi="Times New Roman"/>
          <w:color w:val="000000"/>
          <w:sz w:val="20"/>
          <w:szCs w:val="20"/>
        </w:rPr>
        <w:t>arily consisted of net repayments of debt and repurchases of common stock by our public subsidiaries, primarily related to VMware Inc.’s acquisition of Pivotal.</w:t>
      </w:r>
    </w:p>
    <w:p w14:paraId="7DCFE4A0" w14:textId="77777777" w:rsidR="00C1563E" w:rsidRDefault="00C1563E"/>
    <w:p w14:paraId="7DCFE4A1" w14:textId="77777777" w:rsidR="00C1563E" w:rsidRDefault="000B648B">
      <w:r>
        <w:rPr>
          <w:rFonts w:ascii="Times New Roman" w:eastAsia="宋体" w:hAnsi="Times New Roman"/>
          <w:b/>
          <w:bCs/>
          <w:color w:val="000000"/>
          <w:sz w:val="20"/>
          <w:szCs w:val="20"/>
        </w:rPr>
        <w:t>Capital Commitments</w:t>
      </w:r>
    </w:p>
    <w:p w14:paraId="7DCFE4A2" w14:textId="77777777" w:rsidR="00C1563E" w:rsidRDefault="00C1563E"/>
    <w:p w14:paraId="7DCFE4A3" w14:textId="77777777" w:rsidR="00C1563E" w:rsidRDefault="000B648B">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During Fiscal 2021 and Fiscal 2020, we spent $1.8 </w:t>
      </w:r>
      <w:r>
        <w:rPr>
          <w:rFonts w:ascii="Times New Roman" w:eastAsia="宋体" w:hAnsi="Times New Roman"/>
          <w:color w:val="000000"/>
          <w:sz w:val="20"/>
          <w:szCs w:val="20"/>
        </w:rPr>
        <w:t>billion and $2.2 billion, respectively, on property, plant, and equipment. These expenditures were incurred in connection with our global expansion efforts and infrastructure investments made to support future growth, and the funding of equipment under DFS</w:t>
      </w:r>
      <w:r>
        <w:rPr>
          <w:rFonts w:ascii="Times New Roman" w:eastAsia="宋体" w:hAnsi="Times New Roman"/>
          <w:color w:val="000000"/>
          <w:sz w:val="20"/>
          <w:szCs w:val="20"/>
        </w:rPr>
        <w:t xml:space="preserve"> operating leases. During Fiscal 2021 and Fiscal 2020, funding of equipment under DFS operating leases was $0.7 billion and $0.9 billion, respectively. Product demand, product mix, and the use of contract manufacturers, as well as ongoing investments in op</w:t>
      </w:r>
      <w:r>
        <w:rPr>
          <w:rFonts w:ascii="Times New Roman" w:eastAsia="宋体" w:hAnsi="Times New Roman"/>
          <w:color w:val="000000"/>
          <w:sz w:val="20"/>
          <w:szCs w:val="20"/>
        </w:rPr>
        <w:t>erating and information technology infrastructure, influence the level and prioritization of our capital expenditures. Aggregate capital expenditures for Fiscal 2022 are currently expected to total between $2.4 billion and $2.6 billion, of which approximat</w:t>
      </w:r>
      <w:r>
        <w:rPr>
          <w:rFonts w:ascii="Times New Roman" w:eastAsia="宋体" w:hAnsi="Times New Roman"/>
          <w:color w:val="000000"/>
          <w:sz w:val="20"/>
          <w:szCs w:val="20"/>
        </w:rPr>
        <w:t xml:space="preserve">ely $0.8 billion is expected for equipment under DFS operating leases. </w:t>
      </w:r>
    </w:p>
    <w:p w14:paraId="7DCFE4A4" w14:textId="77777777" w:rsidR="00C1563E" w:rsidRDefault="00C1563E"/>
    <w:p w14:paraId="7DCFE4A5" w14:textId="77777777" w:rsidR="00C1563E" w:rsidRDefault="000B648B">
      <w:r>
        <w:rPr>
          <w:rFonts w:ascii="Times New Roman" w:eastAsia="宋体" w:hAnsi="Times New Roman"/>
          <w:i/>
          <w:iCs/>
          <w:color w:val="000000"/>
          <w:sz w:val="20"/>
          <w:szCs w:val="20"/>
          <w:u w:val="single"/>
        </w:rPr>
        <w:t>Repurchases of Common Stock</w:t>
      </w:r>
    </w:p>
    <w:p w14:paraId="7DCFE4A6" w14:textId="77777777" w:rsidR="00C1563E" w:rsidRDefault="00C1563E"/>
    <w:p w14:paraId="7DCFE4A7" w14:textId="77777777" w:rsidR="00C1563E" w:rsidRDefault="000B648B">
      <w:r>
        <w:rPr>
          <w:rFonts w:ascii="Times New Roman" w:eastAsia="宋体" w:hAnsi="Times New Roman"/>
          <w:i/>
          <w:iCs/>
          <w:color w:val="000000"/>
          <w:sz w:val="20"/>
          <w:szCs w:val="20"/>
        </w:rPr>
        <w:t>Dell Technologies Common Stock Repurchases by Dell Technologies</w:t>
      </w:r>
    </w:p>
    <w:p w14:paraId="7DCFE4A8" w14:textId="77777777" w:rsidR="00C1563E" w:rsidRDefault="00C1563E"/>
    <w:p w14:paraId="7DCFE4A9" w14:textId="77777777" w:rsidR="00C1563E" w:rsidRDefault="000B648B">
      <w:r>
        <w:rPr>
          <w:rFonts w:ascii="Times New Roman" w:eastAsia="宋体" w:hAnsi="Times New Roman"/>
          <w:color w:val="000000"/>
          <w:sz w:val="20"/>
          <w:szCs w:val="20"/>
        </w:rPr>
        <w:t>On February 24, 2020, our board of directors approved a stock repurchase program under wh</w:t>
      </w:r>
      <w:r>
        <w:rPr>
          <w:rFonts w:ascii="Times New Roman" w:eastAsia="宋体" w:hAnsi="Times New Roman"/>
          <w:color w:val="000000"/>
          <w:sz w:val="20"/>
          <w:szCs w:val="20"/>
        </w:rPr>
        <w:t>ich we are authorized to repurchase up to $1.0 billion of shares of Class C Common Stock over a 24-month period expiring on February 28, 2022, of which approximately $760 million remained available as of January 29, 2021. During Fiscal 2021, we repurchased</w:t>
      </w:r>
      <w:r>
        <w:rPr>
          <w:rFonts w:ascii="Times New Roman" w:eastAsia="宋体" w:hAnsi="Times New Roman"/>
          <w:color w:val="000000"/>
          <w:sz w:val="20"/>
          <w:szCs w:val="20"/>
        </w:rPr>
        <w:t xml:space="preserve"> approximately 6 million shares of Class C Common Stock for approximately $240 million. During the first quarter of Fiscal 2021, we suspended activity under our stock repurchase program. During Fiscal 2020, Dell Technologies Common Stock repurchases were i</w:t>
      </w:r>
      <w:r>
        <w:rPr>
          <w:rFonts w:ascii="Times New Roman" w:eastAsia="宋体" w:hAnsi="Times New Roman"/>
          <w:color w:val="000000"/>
          <w:sz w:val="20"/>
          <w:szCs w:val="20"/>
        </w:rPr>
        <w:t>mmaterial.</w:t>
      </w:r>
    </w:p>
    <w:p w14:paraId="7DCFE4AA" w14:textId="77777777" w:rsidR="00C1563E" w:rsidRDefault="00C1563E"/>
    <w:p w14:paraId="7DCFE4AB" w14:textId="77777777" w:rsidR="00C1563E" w:rsidRDefault="000B648B">
      <w:r>
        <w:rPr>
          <w:rFonts w:ascii="Times New Roman" w:eastAsia="宋体" w:hAnsi="Times New Roman"/>
          <w:i/>
          <w:iCs/>
          <w:color w:val="000000"/>
          <w:sz w:val="20"/>
          <w:szCs w:val="20"/>
        </w:rPr>
        <w:t>VMware, Inc. Class A Common Stock Repurchases by VMware, Inc.</w:t>
      </w:r>
    </w:p>
    <w:p w14:paraId="7DCFE4AC" w14:textId="77777777" w:rsidR="00C1563E" w:rsidRDefault="00C1563E"/>
    <w:p w14:paraId="7DCFE4AD" w14:textId="77777777" w:rsidR="00C1563E" w:rsidRDefault="000B648B">
      <w:r>
        <w:rPr>
          <w:rFonts w:ascii="Times New Roman" w:eastAsia="宋体" w:hAnsi="Times New Roman"/>
          <w:color w:val="000000"/>
          <w:sz w:val="20"/>
          <w:szCs w:val="20"/>
        </w:rPr>
        <w:t>On May 29, 2019, VMware, Inc.’s board of directors authorized the repurchase of up to $1.5 billion of VMware, Inc.’s Class A common stock through January 29, 2021. On July 15, 2020,</w:t>
      </w:r>
      <w:r>
        <w:rPr>
          <w:rFonts w:ascii="Times New Roman" w:eastAsia="宋体" w:hAnsi="Times New Roman"/>
          <w:color w:val="000000"/>
          <w:sz w:val="20"/>
          <w:szCs w:val="20"/>
        </w:rPr>
        <w:t xml:space="preserve"> VMware, Inc.’s board of directors extended authorization of VMware, Inc.’s existing repurchase program and authorized the repurchase of up to an additional $1.0 billion of VMware, Inc.’s Class A common stock through January 28, 2022. As of January 29, 202</w:t>
      </w:r>
      <w:r>
        <w:rPr>
          <w:rFonts w:ascii="Times New Roman" w:eastAsia="宋体" w:hAnsi="Times New Roman"/>
          <w:color w:val="000000"/>
          <w:sz w:val="20"/>
          <w:szCs w:val="20"/>
        </w:rPr>
        <w:t xml:space="preserve">1, the cumulative authorized amount remaining for stock repurchases was $1.1 billion. </w:t>
      </w:r>
    </w:p>
    <w:p w14:paraId="7DCFE4AE" w14:textId="77777777" w:rsidR="00C1563E" w:rsidRDefault="00C1563E"/>
    <w:p w14:paraId="7DCFE4AF" w14:textId="77777777" w:rsidR="00C1563E" w:rsidRDefault="000B648B">
      <w:r>
        <w:rPr>
          <w:rFonts w:ascii="Times New Roman" w:eastAsia="宋体" w:hAnsi="Times New Roman"/>
          <w:color w:val="000000"/>
          <w:sz w:val="20"/>
          <w:szCs w:val="20"/>
        </w:rPr>
        <w:t>During Fiscal 2021, VMware, Inc. repurchased 6.9 million shares of its Class A common stock in the open market for approximately $945 million. During Fiscal 2020, VMwar</w:t>
      </w:r>
      <w:r>
        <w:rPr>
          <w:rFonts w:ascii="Times New Roman" w:eastAsia="宋体" w:hAnsi="Times New Roman"/>
          <w:color w:val="000000"/>
          <w:sz w:val="20"/>
          <w:szCs w:val="20"/>
        </w:rPr>
        <w:t>e, Inc. repurchased 7.7 million shares of its Class A common stock in the open market for approximately $1.3 billion, of which approximately $0.2 billion impacted Dell Technologies’ accumulated deficit balance as of January 31, 2020 as a result of the full</w:t>
      </w:r>
      <w:r>
        <w:rPr>
          <w:rFonts w:ascii="Times New Roman" w:eastAsia="宋体" w:hAnsi="Times New Roman"/>
          <w:color w:val="000000"/>
          <w:sz w:val="20"/>
          <w:szCs w:val="20"/>
        </w:rPr>
        <w:t xml:space="preserve"> depletion of VMware, Inc.’s additional paid-in capital balance in the same period.</w:t>
      </w:r>
    </w:p>
    <w:p w14:paraId="7DCFE4B0" w14:textId="77777777" w:rsidR="00C1563E" w:rsidRDefault="00C1563E"/>
    <w:p w14:paraId="7DCFE4B1" w14:textId="77777777" w:rsidR="00C1563E" w:rsidRDefault="00C1563E">
      <w:pPr>
        <w:jc w:val="center"/>
      </w:pPr>
    </w:p>
    <w:p w14:paraId="7DCFE4B2" w14:textId="77777777" w:rsidR="00C1563E" w:rsidRDefault="000B648B">
      <w:pPr>
        <w:jc w:val="center"/>
      </w:pPr>
      <w:r>
        <w:rPr>
          <w:rFonts w:ascii="Times New Roman" w:eastAsia="宋体" w:hAnsi="Times New Roman"/>
          <w:color w:val="000000"/>
          <w:sz w:val="20"/>
          <w:szCs w:val="20"/>
        </w:rPr>
        <w:t>63</w:t>
      </w:r>
    </w:p>
    <w:p w14:paraId="7DCFE4B3" w14:textId="77777777" w:rsidR="00C1563E" w:rsidRDefault="00C1563E">
      <w:pPr>
        <w:jc w:val="center"/>
      </w:pPr>
    </w:p>
    <w:p w14:paraId="7DCFE4B4" w14:textId="77777777" w:rsidR="00C1563E" w:rsidRDefault="000B648B">
      <w:r>
        <w:pict w14:anchorId="7DD025A9">
          <v:rect id="_x0000_i1087" style="width:415.3pt;height:1.5pt" o:hralign="center" o:hrstd="t" o:hr="t" fillcolor="#a0a0a0" stroked="f"/>
        </w:pict>
      </w:r>
    </w:p>
    <w:p w14:paraId="7DCFE4B5" w14:textId="77777777" w:rsidR="00C1563E" w:rsidRDefault="000B648B">
      <w:hyperlink r:id="rId139" w:anchor="i418e32e4a35149ffbf7d3a25d66881b8_10" w:history="1">
        <w:r>
          <w:rPr>
            <w:rStyle w:val="a5"/>
            <w:rFonts w:ascii="Times New Roman" w:eastAsia="宋体" w:hAnsi="Times New Roman"/>
            <w:sz w:val="20"/>
            <w:szCs w:val="20"/>
          </w:rPr>
          <w:t>Table of Cont</w:t>
        </w:r>
        <w:r>
          <w:rPr>
            <w:rStyle w:val="a5"/>
            <w:rFonts w:ascii="Times New Roman" w:eastAsia="宋体" w:hAnsi="Times New Roman"/>
            <w:sz w:val="20"/>
            <w:szCs w:val="20"/>
          </w:rPr>
          <w:t>ents</w:t>
        </w:r>
      </w:hyperlink>
    </w:p>
    <w:p w14:paraId="7DCFE4B6" w14:textId="77777777" w:rsidR="00C1563E" w:rsidRDefault="000B648B">
      <w:r>
        <w:rPr>
          <w:rFonts w:ascii="Times New Roman" w:eastAsia="宋体" w:hAnsi="Times New Roman"/>
          <w:b/>
          <w:bCs/>
          <w:color w:val="000000"/>
          <w:sz w:val="20"/>
          <w:szCs w:val="20"/>
        </w:rPr>
        <w:t>Contractual Cash Obligations</w:t>
      </w:r>
    </w:p>
    <w:p w14:paraId="7DCFE4B7" w14:textId="77777777" w:rsidR="00C1563E" w:rsidRDefault="00C1563E"/>
    <w:p w14:paraId="7DCFE4B8" w14:textId="77777777" w:rsidR="00C1563E" w:rsidRDefault="000B648B">
      <w:pPr>
        <w:spacing w:after="140"/>
      </w:pPr>
      <w:r>
        <w:rPr>
          <w:rFonts w:ascii="Times New Roman" w:eastAsia="宋体" w:hAnsi="Times New Roman"/>
          <w:color w:val="000000"/>
          <w:sz w:val="20"/>
          <w:szCs w:val="20"/>
        </w:rPr>
        <w:t>The following table presents a summary our contractual cash obligations as of January 29,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3306"/>
        <w:gridCol w:w="37"/>
        <w:gridCol w:w="120"/>
        <w:gridCol w:w="626"/>
        <w:gridCol w:w="36"/>
        <w:gridCol w:w="36"/>
        <w:gridCol w:w="36"/>
        <w:gridCol w:w="36"/>
        <w:gridCol w:w="120"/>
        <w:gridCol w:w="626"/>
        <w:gridCol w:w="36"/>
        <w:gridCol w:w="36"/>
        <w:gridCol w:w="36"/>
        <w:gridCol w:w="36"/>
        <w:gridCol w:w="121"/>
        <w:gridCol w:w="813"/>
        <w:gridCol w:w="36"/>
        <w:gridCol w:w="36"/>
        <w:gridCol w:w="36"/>
        <w:gridCol w:w="36"/>
        <w:gridCol w:w="121"/>
        <w:gridCol w:w="813"/>
        <w:gridCol w:w="36"/>
        <w:gridCol w:w="36"/>
        <w:gridCol w:w="36"/>
        <w:gridCol w:w="36"/>
        <w:gridCol w:w="121"/>
        <w:gridCol w:w="862"/>
        <w:gridCol w:w="36"/>
      </w:tblGrid>
      <w:tr w:rsidR="00C1563E" w14:paraId="7DCFE4D7" w14:textId="77777777">
        <w:tc>
          <w:tcPr>
            <w:tcW w:w="50" w:type="pct"/>
            <w:shd w:val="clear" w:color="auto" w:fill="auto"/>
          </w:tcPr>
          <w:p w14:paraId="7DCFE4B9" w14:textId="77777777" w:rsidR="00C1563E" w:rsidRDefault="00C1563E">
            <w:pPr>
              <w:rPr>
                <w:rFonts w:ascii="宋体"/>
              </w:rPr>
            </w:pPr>
          </w:p>
        </w:tc>
        <w:tc>
          <w:tcPr>
            <w:tcW w:w="2159" w:type="pct"/>
            <w:shd w:val="clear" w:color="auto" w:fill="auto"/>
          </w:tcPr>
          <w:p w14:paraId="7DCFE4BA" w14:textId="77777777" w:rsidR="00C1563E" w:rsidRDefault="00C1563E">
            <w:pPr>
              <w:rPr>
                <w:rFonts w:ascii="宋体"/>
              </w:rPr>
            </w:pPr>
          </w:p>
        </w:tc>
        <w:tc>
          <w:tcPr>
            <w:tcW w:w="5" w:type="pct"/>
            <w:shd w:val="clear" w:color="auto" w:fill="auto"/>
          </w:tcPr>
          <w:p w14:paraId="7DCFE4BB" w14:textId="77777777" w:rsidR="00C1563E" w:rsidRDefault="00C1563E">
            <w:pPr>
              <w:rPr>
                <w:rFonts w:ascii="宋体"/>
              </w:rPr>
            </w:pPr>
          </w:p>
        </w:tc>
        <w:tc>
          <w:tcPr>
            <w:tcW w:w="50" w:type="pct"/>
            <w:shd w:val="clear" w:color="auto" w:fill="auto"/>
          </w:tcPr>
          <w:p w14:paraId="7DCFE4BC" w14:textId="77777777" w:rsidR="00C1563E" w:rsidRDefault="00C1563E">
            <w:pPr>
              <w:rPr>
                <w:rFonts w:ascii="宋体"/>
              </w:rPr>
            </w:pPr>
          </w:p>
        </w:tc>
        <w:tc>
          <w:tcPr>
            <w:tcW w:w="478" w:type="pct"/>
            <w:shd w:val="clear" w:color="auto" w:fill="auto"/>
          </w:tcPr>
          <w:p w14:paraId="7DCFE4BD" w14:textId="77777777" w:rsidR="00C1563E" w:rsidRDefault="00C1563E">
            <w:pPr>
              <w:rPr>
                <w:rFonts w:ascii="宋体"/>
              </w:rPr>
            </w:pPr>
          </w:p>
        </w:tc>
        <w:tc>
          <w:tcPr>
            <w:tcW w:w="5" w:type="pct"/>
            <w:shd w:val="clear" w:color="auto" w:fill="auto"/>
          </w:tcPr>
          <w:p w14:paraId="7DCFE4BE" w14:textId="77777777" w:rsidR="00C1563E" w:rsidRDefault="00C1563E">
            <w:pPr>
              <w:rPr>
                <w:rFonts w:ascii="宋体"/>
              </w:rPr>
            </w:pPr>
          </w:p>
        </w:tc>
        <w:tc>
          <w:tcPr>
            <w:tcW w:w="5" w:type="pct"/>
            <w:shd w:val="clear" w:color="auto" w:fill="auto"/>
          </w:tcPr>
          <w:p w14:paraId="7DCFE4BF" w14:textId="77777777" w:rsidR="00C1563E" w:rsidRDefault="00C1563E">
            <w:pPr>
              <w:rPr>
                <w:rFonts w:ascii="宋体"/>
              </w:rPr>
            </w:pPr>
          </w:p>
        </w:tc>
        <w:tc>
          <w:tcPr>
            <w:tcW w:w="19" w:type="pct"/>
            <w:shd w:val="clear" w:color="auto" w:fill="auto"/>
          </w:tcPr>
          <w:p w14:paraId="7DCFE4C0" w14:textId="77777777" w:rsidR="00C1563E" w:rsidRDefault="00C1563E">
            <w:pPr>
              <w:rPr>
                <w:rFonts w:ascii="宋体"/>
              </w:rPr>
            </w:pPr>
          </w:p>
        </w:tc>
        <w:tc>
          <w:tcPr>
            <w:tcW w:w="5" w:type="pct"/>
            <w:shd w:val="clear" w:color="auto" w:fill="auto"/>
          </w:tcPr>
          <w:p w14:paraId="7DCFE4C1" w14:textId="77777777" w:rsidR="00C1563E" w:rsidRDefault="00C1563E">
            <w:pPr>
              <w:rPr>
                <w:rFonts w:ascii="宋体"/>
              </w:rPr>
            </w:pPr>
          </w:p>
        </w:tc>
        <w:tc>
          <w:tcPr>
            <w:tcW w:w="50" w:type="pct"/>
            <w:shd w:val="clear" w:color="auto" w:fill="auto"/>
          </w:tcPr>
          <w:p w14:paraId="7DCFE4C2" w14:textId="77777777" w:rsidR="00C1563E" w:rsidRDefault="00C1563E">
            <w:pPr>
              <w:rPr>
                <w:rFonts w:ascii="宋体"/>
              </w:rPr>
            </w:pPr>
          </w:p>
        </w:tc>
        <w:tc>
          <w:tcPr>
            <w:tcW w:w="478" w:type="pct"/>
            <w:shd w:val="clear" w:color="auto" w:fill="auto"/>
          </w:tcPr>
          <w:p w14:paraId="7DCFE4C3" w14:textId="77777777" w:rsidR="00C1563E" w:rsidRDefault="00C1563E">
            <w:pPr>
              <w:rPr>
                <w:rFonts w:ascii="宋体"/>
              </w:rPr>
            </w:pPr>
          </w:p>
        </w:tc>
        <w:tc>
          <w:tcPr>
            <w:tcW w:w="5" w:type="pct"/>
            <w:shd w:val="clear" w:color="auto" w:fill="auto"/>
          </w:tcPr>
          <w:p w14:paraId="7DCFE4C4" w14:textId="77777777" w:rsidR="00C1563E" w:rsidRDefault="00C1563E">
            <w:pPr>
              <w:rPr>
                <w:rFonts w:ascii="宋体"/>
              </w:rPr>
            </w:pPr>
          </w:p>
        </w:tc>
        <w:tc>
          <w:tcPr>
            <w:tcW w:w="5" w:type="pct"/>
            <w:shd w:val="clear" w:color="auto" w:fill="auto"/>
          </w:tcPr>
          <w:p w14:paraId="7DCFE4C5" w14:textId="77777777" w:rsidR="00C1563E" w:rsidRDefault="00C1563E">
            <w:pPr>
              <w:rPr>
                <w:rFonts w:ascii="宋体"/>
              </w:rPr>
            </w:pPr>
          </w:p>
        </w:tc>
        <w:tc>
          <w:tcPr>
            <w:tcW w:w="19" w:type="pct"/>
            <w:shd w:val="clear" w:color="auto" w:fill="auto"/>
          </w:tcPr>
          <w:p w14:paraId="7DCFE4C6" w14:textId="77777777" w:rsidR="00C1563E" w:rsidRDefault="00C1563E">
            <w:pPr>
              <w:rPr>
                <w:rFonts w:ascii="宋体"/>
              </w:rPr>
            </w:pPr>
          </w:p>
        </w:tc>
        <w:tc>
          <w:tcPr>
            <w:tcW w:w="5" w:type="pct"/>
            <w:shd w:val="clear" w:color="auto" w:fill="auto"/>
          </w:tcPr>
          <w:p w14:paraId="7DCFE4C7" w14:textId="77777777" w:rsidR="00C1563E" w:rsidRDefault="00C1563E">
            <w:pPr>
              <w:rPr>
                <w:rFonts w:ascii="宋体"/>
              </w:rPr>
            </w:pPr>
          </w:p>
        </w:tc>
        <w:tc>
          <w:tcPr>
            <w:tcW w:w="50" w:type="pct"/>
            <w:shd w:val="clear" w:color="auto" w:fill="auto"/>
          </w:tcPr>
          <w:p w14:paraId="7DCFE4C8" w14:textId="77777777" w:rsidR="00C1563E" w:rsidRDefault="00C1563E">
            <w:pPr>
              <w:rPr>
                <w:rFonts w:ascii="宋体"/>
              </w:rPr>
            </w:pPr>
          </w:p>
        </w:tc>
        <w:tc>
          <w:tcPr>
            <w:tcW w:w="478" w:type="pct"/>
            <w:shd w:val="clear" w:color="auto" w:fill="auto"/>
          </w:tcPr>
          <w:p w14:paraId="7DCFE4C9" w14:textId="77777777" w:rsidR="00C1563E" w:rsidRDefault="00C1563E">
            <w:pPr>
              <w:rPr>
                <w:rFonts w:ascii="宋体"/>
              </w:rPr>
            </w:pPr>
          </w:p>
        </w:tc>
        <w:tc>
          <w:tcPr>
            <w:tcW w:w="5" w:type="pct"/>
            <w:shd w:val="clear" w:color="auto" w:fill="auto"/>
          </w:tcPr>
          <w:p w14:paraId="7DCFE4CA" w14:textId="77777777" w:rsidR="00C1563E" w:rsidRDefault="00C1563E">
            <w:pPr>
              <w:rPr>
                <w:rFonts w:ascii="宋体"/>
              </w:rPr>
            </w:pPr>
          </w:p>
        </w:tc>
        <w:tc>
          <w:tcPr>
            <w:tcW w:w="5" w:type="pct"/>
            <w:shd w:val="clear" w:color="auto" w:fill="auto"/>
          </w:tcPr>
          <w:p w14:paraId="7DCFE4CB" w14:textId="77777777" w:rsidR="00C1563E" w:rsidRDefault="00C1563E">
            <w:pPr>
              <w:rPr>
                <w:rFonts w:ascii="宋体"/>
              </w:rPr>
            </w:pPr>
          </w:p>
        </w:tc>
        <w:tc>
          <w:tcPr>
            <w:tcW w:w="19" w:type="pct"/>
            <w:shd w:val="clear" w:color="auto" w:fill="auto"/>
          </w:tcPr>
          <w:p w14:paraId="7DCFE4CC" w14:textId="77777777" w:rsidR="00C1563E" w:rsidRDefault="00C1563E">
            <w:pPr>
              <w:rPr>
                <w:rFonts w:ascii="宋体"/>
              </w:rPr>
            </w:pPr>
          </w:p>
        </w:tc>
        <w:tc>
          <w:tcPr>
            <w:tcW w:w="5" w:type="pct"/>
            <w:shd w:val="clear" w:color="auto" w:fill="auto"/>
          </w:tcPr>
          <w:p w14:paraId="7DCFE4CD" w14:textId="77777777" w:rsidR="00C1563E" w:rsidRDefault="00C1563E">
            <w:pPr>
              <w:rPr>
                <w:rFonts w:ascii="宋体"/>
              </w:rPr>
            </w:pPr>
          </w:p>
        </w:tc>
        <w:tc>
          <w:tcPr>
            <w:tcW w:w="50" w:type="pct"/>
            <w:shd w:val="clear" w:color="auto" w:fill="auto"/>
          </w:tcPr>
          <w:p w14:paraId="7DCFE4CE" w14:textId="77777777" w:rsidR="00C1563E" w:rsidRDefault="00C1563E">
            <w:pPr>
              <w:rPr>
                <w:rFonts w:ascii="宋体"/>
              </w:rPr>
            </w:pPr>
          </w:p>
        </w:tc>
        <w:tc>
          <w:tcPr>
            <w:tcW w:w="478" w:type="pct"/>
            <w:shd w:val="clear" w:color="auto" w:fill="auto"/>
          </w:tcPr>
          <w:p w14:paraId="7DCFE4CF" w14:textId="77777777" w:rsidR="00C1563E" w:rsidRDefault="00C1563E">
            <w:pPr>
              <w:rPr>
                <w:rFonts w:ascii="宋体"/>
              </w:rPr>
            </w:pPr>
          </w:p>
        </w:tc>
        <w:tc>
          <w:tcPr>
            <w:tcW w:w="5" w:type="pct"/>
            <w:shd w:val="clear" w:color="auto" w:fill="auto"/>
          </w:tcPr>
          <w:p w14:paraId="7DCFE4D0" w14:textId="77777777" w:rsidR="00C1563E" w:rsidRDefault="00C1563E">
            <w:pPr>
              <w:rPr>
                <w:rFonts w:ascii="宋体"/>
              </w:rPr>
            </w:pPr>
          </w:p>
        </w:tc>
        <w:tc>
          <w:tcPr>
            <w:tcW w:w="5" w:type="pct"/>
            <w:shd w:val="clear" w:color="auto" w:fill="auto"/>
          </w:tcPr>
          <w:p w14:paraId="7DCFE4D1" w14:textId="77777777" w:rsidR="00C1563E" w:rsidRDefault="00C1563E">
            <w:pPr>
              <w:rPr>
                <w:rFonts w:ascii="宋体"/>
              </w:rPr>
            </w:pPr>
          </w:p>
        </w:tc>
        <w:tc>
          <w:tcPr>
            <w:tcW w:w="19" w:type="pct"/>
            <w:shd w:val="clear" w:color="auto" w:fill="auto"/>
          </w:tcPr>
          <w:p w14:paraId="7DCFE4D2" w14:textId="77777777" w:rsidR="00C1563E" w:rsidRDefault="00C1563E">
            <w:pPr>
              <w:rPr>
                <w:rFonts w:ascii="宋体"/>
              </w:rPr>
            </w:pPr>
          </w:p>
        </w:tc>
        <w:tc>
          <w:tcPr>
            <w:tcW w:w="5" w:type="pct"/>
            <w:shd w:val="clear" w:color="auto" w:fill="auto"/>
          </w:tcPr>
          <w:p w14:paraId="7DCFE4D3" w14:textId="77777777" w:rsidR="00C1563E" w:rsidRDefault="00C1563E">
            <w:pPr>
              <w:rPr>
                <w:rFonts w:ascii="宋体"/>
              </w:rPr>
            </w:pPr>
          </w:p>
        </w:tc>
        <w:tc>
          <w:tcPr>
            <w:tcW w:w="50" w:type="pct"/>
            <w:shd w:val="clear" w:color="auto" w:fill="auto"/>
          </w:tcPr>
          <w:p w14:paraId="7DCFE4D4" w14:textId="77777777" w:rsidR="00C1563E" w:rsidRDefault="00C1563E">
            <w:pPr>
              <w:rPr>
                <w:rFonts w:ascii="宋体"/>
              </w:rPr>
            </w:pPr>
          </w:p>
        </w:tc>
        <w:tc>
          <w:tcPr>
            <w:tcW w:w="478" w:type="pct"/>
            <w:shd w:val="clear" w:color="auto" w:fill="auto"/>
          </w:tcPr>
          <w:p w14:paraId="7DCFE4D5" w14:textId="77777777" w:rsidR="00C1563E" w:rsidRDefault="00C1563E">
            <w:pPr>
              <w:rPr>
                <w:rFonts w:ascii="宋体"/>
              </w:rPr>
            </w:pPr>
          </w:p>
        </w:tc>
        <w:tc>
          <w:tcPr>
            <w:tcW w:w="5" w:type="pct"/>
            <w:shd w:val="clear" w:color="auto" w:fill="auto"/>
          </w:tcPr>
          <w:p w14:paraId="7DCFE4D6" w14:textId="77777777" w:rsidR="00C1563E" w:rsidRDefault="00C1563E">
            <w:pPr>
              <w:rPr>
                <w:rFonts w:ascii="宋体"/>
              </w:rPr>
            </w:pPr>
          </w:p>
        </w:tc>
      </w:tr>
      <w:tr w:rsidR="00C1563E" w14:paraId="7DCFE4DC" w14:textId="77777777">
        <w:tc>
          <w:tcPr>
            <w:tcW w:w="0" w:type="auto"/>
            <w:gridSpan w:val="3"/>
            <w:shd w:val="clear" w:color="auto" w:fill="auto"/>
            <w:tcMar>
              <w:top w:w="0" w:type="dxa"/>
              <w:left w:w="20" w:type="dxa"/>
              <w:bottom w:w="0" w:type="dxa"/>
              <w:right w:w="20" w:type="dxa"/>
            </w:tcMar>
          </w:tcPr>
          <w:p w14:paraId="7DCFE4D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4D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4DA"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E4DB" w14:textId="77777777" w:rsidR="00C1563E" w:rsidRDefault="000B648B">
            <w:pPr>
              <w:jc w:val="center"/>
              <w:textAlignment w:val="bottom"/>
            </w:pPr>
            <w:r>
              <w:rPr>
                <w:rFonts w:ascii="Times New Roman" w:eastAsia="宋体" w:hAnsi="Times New Roman"/>
                <w:b/>
                <w:bCs/>
                <w:color w:val="000000"/>
                <w:sz w:val="20"/>
                <w:szCs w:val="20"/>
              </w:rPr>
              <w:t>Payments Due by Fiscal Year</w:t>
            </w:r>
          </w:p>
        </w:tc>
      </w:tr>
      <w:tr w:rsidR="00C1563E" w14:paraId="7DCFE4E7" w14:textId="77777777">
        <w:tc>
          <w:tcPr>
            <w:tcW w:w="0" w:type="auto"/>
            <w:gridSpan w:val="3"/>
            <w:shd w:val="clear" w:color="auto" w:fill="auto"/>
            <w:tcMar>
              <w:top w:w="0" w:type="dxa"/>
              <w:left w:w="20" w:type="dxa"/>
              <w:bottom w:w="0" w:type="dxa"/>
              <w:right w:w="20" w:type="dxa"/>
            </w:tcMar>
          </w:tcPr>
          <w:p w14:paraId="7DCFE4D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4DE" w14:textId="77777777" w:rsidR="00C1563E" w:rsidRDefault="000B648B">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DCFE4D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E0" w14:textId="77777777" w:rsidR="00C1563E" w:rsidRDefault="000B648B">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tcPr>
          <w:p w14:paraId="7DCFE4E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E2" w14:textId="77777777" w:rsidR="00C1563E" w:rsidRDefault="000B648B">
            <w:pPr>
              <w:jc w:val="center"/>
              <w:textAlignment w:val="bottom"/>
            </w:pPr>
            <w:r>
              <w:rPr>
                <w:rFonts w:ascii="Times New Roman" w:eastAsia="宋体" w:hAnsi="Times New Roman"/>
                <w:b/>
                <w:bCs/>
                <w:color w:val="000000"/>
                <w:sz w:val="20"/>
                <w:szCs w:val="20"/>
              </w:rPr>
              <w:t>2023-2024</w:t>
            </w:r>
          </w:p>
        </w:tc>
        <w:tc>
          <w:tcPr>
            <w:tcW w:w="0" w:type="auto"/>
            <w:gridSpan w:val="3"/>
            <w:tcBorders>
              <w:top w:val="single" w:sz="8" w:space="0" w:color="000000"/>
            </w:tcBorders>
            <w:shd w:val="clear" w:color="auto" w:fill="auto"/>
            <w:tcMar>
              <w:top w:w="0" w:type="dxa"/>
              <w:left w:w="20" w:type="dxa"/>
              <w:bottom w:w="0" w:type="dxa"/>
              <w:right w:w="20" w:type="dxa"/>
            </w:tcMar>
          </w:tcPr>
          <w:p w14:paraId="7DCFE4E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E4" w14:textId="77777777" w:rsidR="00C1563E" w:rsidRDefault="000B648B">
            <w:pPr>
              <w:jc w:val="center"/>
              <w:textAlignment w:val="bottom"/>
            </w:pPr>
            <w:r>
              <w:rPr>
                <w:rFonts w:ascii="Times New Roman" w:eastAsia="宋体" w:hAnsi="Times New Roman"/>
                <w:b/>
                <w:bCs/>
                <w:color w:val="000000"/>
                <w:sz w:val="20"/>
                <w:szCs w:val="20"/>
              </w:rPr>
              <w:t>2025-2026</w:t>
            </w:r>
          </w:p>
        </w:tc>
        <w:tc>
          <w:tcPr>
            <w:tcW w:w="0" w:type="auto"/>
            <w:gridSpan w:val="3"/>
            <w:tcBorders>
              <w:top w:val="single" w:sz="8" w:space="0" w:color="000000"/>
            </w:tcBorders>
            <w:shd w:val="clear" w:color="auto" w:fill="auto"/>
            <w:tcMar>
              <w:top w:w="0" w:type="dxa"/>
              <w:left w:w="20" w:type="dxa"/>
              <w:bottom w:w="0" w:type="dxa"/>
              <w:right w:w="20" w:type="dxa"/>
            </w:tcMar>
          </w:tcPr>
          <w:p w14:paraId="7DCFE4E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E4E6" w14:textId="77777777" w:rsidR="00C1563E" w:rsidRDefault="000B648B">
            <w:pPr>
              <w:jc w:val="center"/>
              <w:textAlignment w:val="bottom"/>
            </w:pPr>
            <w:r>
              <w:rPr>
                <w:rFonts w:ascii="Times New Roman" w:eastAsia="宋体" w:hAnsi="Times New Roman"/>
                <w:b/>
                <w:bCs/>
                <w:color w:val="000000"/>
                <w:sz w:val="20"/>
                <w:szCs w:val="20"/>
              </w:rPr>
              <w:t>Thereafter</w:t>
            </w:r>
          </w:p>
        </w:tc>
      </w:tr>
      <w:tr w:rsidR="00C1563E" w14:paraId="7DCFE4EA" w14:textId="77777777">
        <w:tc>
          <w:tcPr>
            <w:tcW w:w="0" w:type="auto"/>
            <w:gridSpan w:val="3"/>
            <w:shd w:val="clear" w:color="auto" w:fill="auto"/>
            <w:tcMar>
              <w:top w:w="0" w:type="dxa"/>
              <w:left w:w="20" w:type="dxa"/>
              <w:bottom w:w="0" w:type="dxa"/>
              <w:right w:w="20" w:type="dxa"/>
            </w:tcMar>
          </w:tcPr>
          <w:p w14:paraId="7DCFE4E8" w14:textId="77777777" w:rsidR="00C1563E" w:rsidRDefault="00C1563E">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CFE4E9"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E4F5" w14:textId="77777777">
        <w:tc>
          <w:tcPr>
            <w:tcW w:w="0" w:type="auto"/>
            <w:gridSpan w:val="3"/>
            <w:shd w:val="clear" w:color="auto" w:fill="CCEEFF"/>
            <w:tcMar>
              <w:top w:w="40" w:type="dxa"/>
              <w:left w:w="20" w:type="dxa"/>
              <w:bottom w:w="40" w:type="dxa"/>
              <w:right w:w="20" w:type="dxa"/>
            </w:tcMar>
            <w:vAlign w:val="bottom"/>
          </w:tcPr>
          <w:p w14:paraId="7DCFE4EB" w14:textId="77777777" w:rsidR="00C1563E" w:rsidRDefault="000B648B">
            <w:pPr>
              <w:textAlignment w:val="bottom"/>
            </w:pPr>
            <w:r>
              <w:rPr>
                <w:rFonts w:ascii="Times New Roman" w:eastAsia="宋体" w:hAnsi="Times New Roman"/>
                <w:i/>
                <w:iCs/>
                <w:color w:val="000000"/>
                <w:sz w:val="20"/>
                <w:szCs w:val="20"/>
              </w:rPr>
              <w:t>Contractual cash obligations:</w:t>
            </w:r>
          </w:p>
        </w:tc>
        <w:tc>
          <w:tcPr>
            <w:tcW w:w="0" w:type="auto"/>
            <w:gridSpan w:val="3"/>
            <w:shd w:val="clear" w:color="auto" w:fill="CCEEFF"/>
            <w:tcMar>
              <w:top w:w="0" w:type="dxa"/>
              <w:left w:w="20" w:type="dxa"/>
              <w:bottom w:w="0" w:type="dxa"/>
              <w:right w:w="20" w:type="dxa"/>
            </w:tcMar>
          </w:tcPr>
          <w:p w14:paraId="7DCFE4E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E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E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F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F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F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F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4F4" w14:textId="77777777" w:rsidR="00C1563E" w:rsidRDefault="00C1563E">
            <w:pPr>
              <w:rPr>
                <w:rFonts w:ascii="宋体"/>
              </w:rPr>
            </w:pPr>
          </w:p>
        </w:tc>
      </w:tr>
      <w:tr w:rsidR="00C1563E" w14:paraId="7DCFE500" w14:textId="77777777">
        <w:tc>
          <w:tcPr>
            <w:tcW w:w="0" w:type="auto"/>
            <w:gridSpan w:val="3"/>
            <w:shd w:val="clear" w:color="auto" w:fill="FFFFFF"/>
            <w:tcMar>
              <w:top w:w="40" w:type="dxa"/>
              <w:left w:w="20" w:type="dxa"/>
              <w:bottom w:w="40" w:type="dxa"/>
              <w:right w:w="20" w:type="dxa"/>
            </w:tcMar>
            <w:vAlign w:val="bottom"/>
          </w:tcPr>
          <w:p w14:paraId="7DCFE4F6" w14:textId="77777777" w:rsidR="00C1563E" w:rsidRDefault="000B648B">
            <w:pPr>
              <w:textAlignment w:val="bottom"/>
            </w:pPr>
            <w:r>
              <w:rPr>
                <w:rFonts w:ascii="Times New Roman" w:eastAsia="宋体" w:hAnsi="Times New Roman"/>
                <w:color w:val="000000"/>
                <w:sz w:val="20"/>
                <w:szCs w:val="20"/>
              </w:rPr>
              <w:t>Principal payments on long-term debt:</w:t>
            </w:r>
          </w:p>
        </w:tc>
        <w:tc>
          <w:tcPr>
            <w:tcW w:w="0" w:type="auto"/>
            <w:gridSpan w:val="3"/>
            <w:shd w:val="clear" w:color="auto" w:fill="FFFFFF"/>
            <w:tcMar>
              <w:top w:w="0" w:type="dxa"/>
              <w:left w:w="20" w:type="dxa"/>
              <w:bottom w:w="0" w:type="dxa"/>
              <w:right w:w="20" w:type="dxa"/>
            </w:tcMar>
          </w:tcPr>
          <w:p w14:paraId="7DCFE4F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4FF" w14:textId="77777777" w:rsidR="00C1563E" w:rsidRDefault="00C1563E">
            <w:pPr>
              <w:rPr>
                <w:rFonts w:ascii="宋体"/>
              </w:rPr>
            </w:pPr>
          </w:p>
        </w:tc>
      </w:tr>
      <w:tr w:rsidR="00C1563E" w14:paraId="7DCFE515" w14:textId="77777777">
        <w:tc>
          <w:tcPr>
            <w:tcW w:w="0" w:type="auto"/>
            <w:gridSpan w:val="3"/>
            <w:shd w:val="clear" w:color="auto" w:fill="CCEEFF"/>
            <w:tcMar>
              <w:top w:w="40" w:type="dxa"/>
              <w:left w:w="155" w:type="dxa"/>
              <w:bottom w:w="40" w:type="dxa"/>
              <w:right w:w="20" w:type="dxa"/>
            </w:tcMar>
            <w:vAlign w:val="bottom"/>
          </w:tcPr>
          <w:p w14:paraId="7DCFE501" w14:textId="77777777" w:rsidR="00C1563E" w:rsidRDefault="000B648B">
            <w:pPr>
              <w:textAlignment w:val="bottom"/>
            </w:pPr>
            <w:r>
              <w:rPr>
                <w:rFonts w:ascii="Times New Roman" w:eastAsia="宋体" w:hAnsi="Times New Roman"/>
                <w:color w:val="000000"/>
                <w:sz w:val="20"/>
                <w:szCs w:val="20"/>
              </w:rPr>
              <w:t>Core debt</w:t>
            </w:r>
          </w:p>
        </w:tc>
        <w:tc>
          <w:tcPr>
            <w:tcW w:w="0" w:type="auto"/>
            <w:shd w:val="clear" w:color="auto" w:fill="CCEEFF"/>
            <w:tcMar>
              <w:top w:w="40" w:type="dxa"/>
              <w:left w:w="20" w:type="dxa"/>
              <w:bottom w:w="40" w:type="dxa"/>
              <w:right w:w="0" w:type="dxa"/>
            </w:tcMar>
            <w:vAlign w:val="bottom"/>
          </w:tcPr>
          <w:p w14:paraId="7DCFE50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503" w14:textId="77777777" w:rsidR="00C1563E" w:rsidRDefault="000B648B">
            <w:pPr>
              <w:jc w:val="right"/>
              <w:textAlignment w:val="bottom"/>
            </w:pPr>
            <w:r>
              <w:rPr>
                <w:rFonts w:ascii="Times New Roman" w:eastAsia="宋体" w:hAnsi="Times New Roman"/>
                <w:color w:val="000000"/>
                <w:sz w:val="20"/>
                <w:szCs w:val="20"/>
              </w:rPr>
              <w:t>29,829 </w:t>
            </w:r>
          </w:p>
        </w:tc>
        <w:tc>
          <w:tcPr>
            <w:tcW w:w="0" w:type="auto"/>
            <w:shd w:val="clear" w:color="auto" w:fill="CCEEFF"/>
            <w:tcMar>
              <w:top w:w="40" w:type="dxa"/>
              <w:left w:w="0" w:type="dxa"/>
              <w:bottom w:w="40" w:type="dxa"/>
              <w:right w:w="20" w:type="dxa"/>
            </w:tcMar>
            <w:vAlign w:val="bottom"/>
          </w:tcPr>
          <w:p w14:paraId="7DCFE50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0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50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507" w14:textId="77777777" w:rsidR="00C1563E" w:rsidRDefault="000B648B">
            <w:pPr>
              <w:jc w:val="right"/>
              <w:textAlignment w:val="bottom"/>
            </w:pPr>
            <w:r>
              <w:rPr>
                <w:rFonts w:ascii="Times New Roman" w:eastAsia="宋体" w:hAnsi="Times New Roman"/>
                <w:color w:val="000000"/>
                <w:sz w:val="20"/>
                <w:szCs w:val="20"/>
              </w:rPr>
              <w:t>1,475 </w:t>
            </w:r>
          </w:p>
        </w:tc>
        <w:tc>
          <w:tcPr>
            <w:tcW w:w="0" w:type="auto"/>
            <w:shd w:val="clear" w:color="auto" w:fill="CCEEFF"/>
            <w:tcMar>
              <w:top w:w="40" w:type="dxa"/>
              <w:left w:w="0" w:type="dxa"/>
              <w:bottom w:w="40" w:type="dxa"/>
              <w:right w:w="20" w:type="dxa"/>
            </w:tcMar>
            <w:vAlign w:val="bottom"/>
          </w:tcPr>
          <w:p w14:paraId="7DCFE50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0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50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50B" w14:textId="77777777" w:rsidR="00C1563E" w:rsidRDefault="000B648B">
            <w:pPr>
              <w:jc w:val="right"/>
              <w:textAlignment w:val="bottom"/>
            </w:pPr>
            <w:r>
              <w:rPr>
                <w:rFonts w:ascii="Times New Roman" w:eastAsia="宋体" w:hAnsi="Times New Roman"/>
                <w:color w:val="000000"/>
                <w:sz w:val="20"/>
                <w:szCs w:val="20"/>
              </w:rPr>
              <w:t>7,264 </w:t>
            </w:r>
          </w:p>
        </w:tc>
        <w:tc>
          <w:tcPr>
            <w:tcW w:w="0" w:type="auto"/>
            <w:shd w:val="clear" w:color="auto" w:fill="CCEEFF"/>
            <w:tcMar>
              <w:top w:w="40" w:type="dxa"/>
              <w:left w:w="0" w:type="dxa"/>
              <w:bottom w:w="40" w:type="dxa"/>
              <w:right w:w="20" w:type="dxa"/>
            </w:tcMar>
            <w:vAlign w:val="bottom"/>
          </w:tcPr>
          <w:p w14:paraId="7DCFE5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0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50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50F" w14:textId="77777777" w:rsidR="00C1563E" w:rsidRDefault="000B648B">
            <w:pPr>
              <w:jc w:val="right"/>
              <w:textAlignment w:val="bottom"/>
            </w:pPr>
            <w:r>
              <w:rPr>
                <w:rFonts w:ascii="Times New Roman" w:eastAsia="宋体" w:hAnsi="Times New Roman"/>
                <w:color w:val="000000"/>
                <w:sz w:val="20"/>
                <w:szCs w:val="20"/>
              </w:rPr>
              <w:t>7,388 </w:t>
            </w:r>
          </w:p>
        </w:tc>
        <w:tc>
          <w:tcPr>
            <w:tcW w:w="0" w:type="auto"/>
            <w:shd w:val="clear" w:color="auto" w:fill="CCEEFF"/>
            <w:tcMar>
              <w:top w:w="40" w:type="dxa"/>
              <w:left w:w="0" w:type="dxa"/>
              <w:bottom w:w="40" w:type="dxa"/>
              <w:right w:w="20" w:type="dxa"/>
            </w:tcMar>
            <w:vAlign w:val="bottom"/>
          </w:tcPr>
          <w:p w14:paraId="7DCFE51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1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51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513" w14:textId="77777777" w:rsidR="00C1563E" w:rsidRDefault="000B648B">
            <w:pPr>
              <w:jc w:val="right"/>
              <w:textAlignment w:val="bottom"/>
            </w:pPr>
            <w:r>
              <w:rPr>
                <w:rFonts w:ascii="Times New Roman" w:eastAsia="宋体" w:hAnsi="Times New Roman"/>
                <w:color w:val="000000"/>
                <w:sz w:val="20"/>
                <w:szCs w:val="20"/>
              </w:rPr>
              <w:t>13,702 </w:t>
            </w:r>
          </w:p>
        </w:tc>
        <w:tc>
          <w:tcPr>
            <w:tcW w:w="0" w:type="auto"/>
            <w:shd w:val="clear" w:color="auto" w:fill="CCEEFF"/>
            <w:tcMar>
              <w:top w:w="40" w:type="dxa"/>
              <w:left w:w="0" w:type="dxa"/>
              <w:bottom w:w="40" w:type="dxa"/>
              <w:right w:w="20" w:type="dxa"/>
            </w:tcMar>
            <w:vAlign w:val="bottom"/>
          </w:tcPr>
          <w:p w14:paraId="7DCFE514" w14:textId="77777777" w:rsidR="00C1563E" w:rsidRDefault="00C1563E">
            <w:pPr>
              <w:jc w:val="right"/>
              <w:rPr>
                <w:rFonts w:ascii="宋体"/>
              </w:rPr>
            </w:pPr>
          </w:p>
        </w:tc>
      </w:tr>
      <w:tr w:rsidR="00C1563E" w14:paraId="7DCFE525" w14:textId="77777777">
        <w:tc>
          <w:tcPr>
            <w:tcW w:w="0" w:type="auto"/>
            <w:gridSpan w:val="3"/>
            <w:shd w:val="clear" w:color="auto" w:fill="FFFFFF"/>
            <w:tcMar>
              <w:top w:w="40" w:type="dxa"/>
              <w:left w:w="155" w:type="dxa"/>
              <w:bottom w:w="40" w:type="dxa"/>
              <w:right w:w="20" w:type="dxa"/>
            </w:tcMar>
            <w:vAlign w:val="bottom"/>
          </w:tcPr>
          <w:p w14:paraId="7DCFE516" w14:textId="77777777" w:rsidR="00C1563E" w:rsidRDefault="000B648B">
            <w:pPr>
              <w:textAlignment w:val="bottom"/>
            </w:pPr>
            <w:r>
              <w:rPr>
                <w:rFonts w:ascii="Times New Roman" w:eastAsia="宋体" w:hAnsi="Times New Roman"/>
                <w:color w:val="000000"/>
                <w:sz w:val="20"/>
                <w:szCs w:val="20"/>
              </w:rPr>
              <w:t>DFS debt</w:t>
            </w:r>
          </w:p>
        </w:tc>
        <w:tc>
          <w:tcPr>
            <w:tcW w:w="0" w:type="auto"/>
            <w:gridSpan w:val="2"/>
            <w:shd w:val="clear" w:color="auto" w:fill="FFFFFF"/>
            <w:tcMar>
              <w:top w:w="40" w:type="dxa"/>
              <w:left w:w="20" w:type="dxa"/>
              <w:bottom w:w="40" w:type="dxa"/>
              <w:right w:w="0" w:type="dxa"/>
            </w:tcMar>
            <w:vAlign w:val="bottom"/>
          </w:tcPr>
          <w:p w14:paraId="7DCFE517" w14:textId="77777777" w:rsidR="00C1563E" w:rsidRDefault="000B648B">
            <w:pPr>
              <w:jc w:val="right"/>
              <w:textAlignment w:val="bottom"/>
            </w:pPr>
            <w:r>
              <w:rPr>
                <w:rFonts w:ascii="Times New Roman" w:eastAsia="宋体" w:hAnsi="Times New Roman"/>
                <w:color w:val="000000"/>
                <w:sz w:val="20"/>
                <w:szCs w:val="20"/>
              </w:rPr>
              <w:t>9,666 </w:t>
            </w:r>
          </w:p>
        </w:tc>
        <w:tc>
          <w:tcPr>
            <w:tcW w:w="0" w:type="auto"/>
            <w:shd w:val="clear" w:color="auto" w:fill="FFFFFF"/>
            <w:tcMar>
              <w:top w:w="40" w:type="dxa"/>
              <w:left w:w="0" w:type="dxa"/>
              <w:bottom w:w="40" w:type="dxa"/>
              <w:right w:w="20" w:type="dxa"/>
            </w:tcMar>
            <w:vAlign w:val="bottom"/>
          </w:tcPr>
          <w:p w14:paraId="7DCFE51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1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1A" w14:textId="77777777" w:rsidR="00C1563E" w:rsidRDefault="000B648B">
            <w:pPr>
              <w:jc w:val="right"/>
              <w:textAlignment w:val="bottom"/>
            </w:pPr>
            <w:r>
              <w:rPr>
                <w:rFonts w:ascii="Times New Roman" w:eastAsia="宋体" w:hAnsi="Times New Roman"/>
                <w:color w:val="000000"/>
                <w:sz w:val="20"/>
                <w:szCs w:val="20"/>
              </w:rPr>
              <w:t>4,888 </w:t>
            </w:r>
          </w:p>
        </w:tc>
        <w:tc>
          <w:tcPr>
            <w:tcW w:w="0" w:type="auto"/>
            <w:shd w:val="clear" w:color="auto" w:fill="FFFFFF"/>
            <w:tcMar>
              <w:top w:w="40" w:type="dxa"/>
              <w:left w:w="0" w:type="dxa"/>
              <w:bottom w:w="40" w:type="dxa"/>
              <w:right w:w="20" w:type="dxa"/>
            </w:tcMar>
            <w:vAlign w:val="bottom"/>
          </w:tcPr>
          <w:p w14:paraId="7DCFE51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1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1D" w14:textId="77777777" w:rsidR="00C1563E" w:rsidRDefault="000B648B">
            <w:pPr>
              <w:jc w:val="right"/>
              <w:textAlignment w:val="bottom"/>
            </w:pPr>
            <w:r>
              <w:rPr>
                <w:rFonts w:ascii="Times New Roman" w:eastAsia="宋体" w:hAnsi="Times New Roman"/>
                <w:color w:val="000000"/>
                <w:sz w:val="20"/>
                <w:szCs w:val="20"/>
              </w:rPr>
              <w:t>4,061 </w:t>
            </w:r>
          </w:p>
        </w:tc>
        <w:tc>
          <w:tcPr>
            <w:tcW w:w="0" w:type="auto"/>
            <w:shd w:val="clear" w:color="auto" w:fill="FFFFFF"/>
            <w:tcMar>
              <w:top w:w="40" w:type="dxa"/>
              <w:left w:w="0" w:type="dxa"/>
              <w:bottom w:w="40" w:type="dxa"/>
              <w:right w:w="20" w:type="dxa"/>
            </w:tcMar>
            <w:vAlign w:val="bottom"/>
          </w:tcPr>
          <w:p w14:paraId="7DCFE51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1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20" w14:textId="77777777" w:rsidR="00C1563E" w:rsidRDefault="000B648B">
            <w:pPr>
              <w:jc w:val="right"/>
              <w:textAlignment w:val="bottom"/>
            </w:pPr>
            <w:r>
              <w:rPr>
                <w:rFonts w:ascii="Times New Roman" w:eastAsia="宋体" w:hAnsi="Times New Roman"/>
                <w:color w:val="000000"/>
                <w:sz w:val="20"/>
                <w:szCs w:val="20"/>
              </w:rPr>
              <w:t>717 </w:t>
            </w:r>
          </w:p>
        </w:tc>
        <w:tc>
          <w:tcPr>
            <w:tcW w:w="0" w:type="auto"/>
            <w:shd w:val="clear" w:color="auto" w:fill="FFFFFF"/>
            <w:tcMar>
              <w:top w:w="40" w:type="dxa"/>
              <w:left w:w="0" w:type="dxa"/>
              <w:bottom w:w="40" w:type="dxa"/>
              <w:right w:w="20" w:type="dxa"/>
            </w:tcMar>
            <w:vAlign w:val="bottom"/>
          </w:tcPr>
          <w:p w14:paraId="7DCFE52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2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2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E524" w14:textId="77777777" w:rsidR="00C1563E" w:rsidRDefault="00C1563E">
            <w:pPr>
              <w:jc w:val="right"/>
              <w:rPr>
                <w:rFonts w:ascii="宋体"/>
              </w:rPr>
            </w:pPr>
          </w:p>
        </w:tc>
      </w:tr>
      <w:tr w:rsidR="00C1563E" w14:paraId="7DCFE535" w14:textId="77777777">
        <w:tc>
          <w:tcPr>
            <w:tcW w:w="0" w:type="auto"/>
            <w:gridSpan w:val="3"/>
            <w:shd w:val="clear" w:color="auto" w:fill="CCEEFF"/>
            <w:tcMar>
              <w:top w:w="40" w:type="dxa"/>
              <w:left w:w="155" w:type="dxa"/>
              <w:bottom w:w="40" w:type="dxa"/>
              <w:right w:w="20" w:type="dxa"/>
            </w:tcMar>
            <w:vAlign w:val="bottom"/>
          </w:tcPr>
          <w:p w14:paraId="7DCFE526" w14:textId="77777777" w:rsidR="00C1563E" w:rsidRDefault="000B648B">
            <w:pPr>
              <w:textAlignment w:val="bottom"/>
            </w:pPr>
            <w:r>
              <w:rPr>
                <w:rFonts w:ascii="Times New Roman" w:eastAsia="宋体" w:hAnsi="Times New Roman"/>
                <w:color w:val="000000"/>
                <w:sz w:val="20"/>
                <w:szCs w:val="20"/>
              </w:rPr>
              <w:t>Margin Loan Facility and other</w:t>
            </w:r>
          </w:p>
        </w:tc>
        <w:tc>
          <w:tcPr>
            <w:tcW w:w="0" w:type="auto"/>
            <w:gridSpan w:val="2"/>
            <w:shd w:val="clear" w:color="auto" w:fill="CCEEFF"/>
            <w:tcMar>
              <w:top w:w="40" w:type="dxa"/>
              <w:left w:w="20" w:type="dxa"/>
              <w:bottom w:w="40" w:type="dxa"/>
              <w:right w:w="0" w:type="dxa"/>
            </w:tcMar>
            <w:vAlign w:val="bottom"/>
          </w:tcPr>
          <w:p w14:paraId="7DCFE527" w14:textId="77777777" w:rsidR="00C1563E" w:rsidRDefault="000B648B">
            <w:pPr>
              <w:jc w:val="right"/>
              <w:textAlignment w:val="bottom"/>
            </w:pPr>
            <w:r>
              <w:rPr>
                <w:rFonts w:ascii="Times New Roman" w:eastAsia="宋体" w:hAnsi="Times New Roman"/>
                <w:color w:val="000000"/>
                <w:sz w:val="20"/>
                <w:szCs w:val="20"/>
              </w:rPr>
              <w:t>4,235 </w:t>
            </w:r>
          </w:p>
        </w:tc>
        <w:tc>
          <w:tcPr>
            <w:tcW w:w="0" w:type="auto"/>
            <w:shd w:val="clear" w:color="auto" w:fill="CCEEFF"/>
            <w:tcMar>
              <w:top w:w="40" w:type="dxa"/>
              <w:left w:w="0" w:type="dxa"/>
              <w:bottom w:w="40" w:type="dxa"/>
              <w:right w:w="20" w:type="dxa"/>
            </w:tcMar>
            <w:vAlign w:val="bottom"/>
          </w:tcPr>
          <w:p w14:paraId="7DCFE52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2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2A"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CFE52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2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2D" w14:textId="77777777" w:rsidR="00C1563E" w:rsidRDefault="000B648B">
            <w:pPr>
              <w:jc w:val="right"/>
              <w:textAlignment w:val="bottom"/>
            </w:pPr>
            <w:r>
              <w:rPr>
                <w:rFonts w:ascii="Times New Roman" w:eastAsia="宋体" w:hAnsi="Times New Roman"/>
                <w:color w:val="000000"/>
                <w:sz w:val="20"/>
                <w:szCs w:val="20"/>
              </w:rPr>
              <w:t>4,184 </w:t>
            </w:r>
          </w:p>
        </w:tc>
        <w:tc>
          <w:tcPr>
            <w:tcW w:w="0" w:type="auto"/>
            <w:shd w:val="clear" w:color="auto" w:fill="CCEEFF"/>
            <w:tcMar>
              <w:top w:w="40" w:type="dxa"/>
              <w:left w:w="0" w:type="dxa"/>
              <w:bottom w:w="40" w:type="dxa"/>
              <w:right w:w="20" w:type="dxa"/>
            </w:tcMar>
            <w:vAlign w:val="bottom"/>
          </w:tcPr>
          <w:p w14:paraId="7DCFE52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2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30"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E53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3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33" w14:textId="77777777" w:rsidR="00C1563E" w:rsidRDefault="000B648B">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DCFE534" w14:textId="77777777" w:rsidR="00C1563E" w:rsidRDefault="00C1563E">
            <w:pPr>
              <w:jc w:val="right"/>
              <w:rPr>
                <w:rFonts w:ascii="宋体"/>
              </w:rPr>
            </w:pPr>
          </w:p>
        </w:tc>
      </w:tr>
      <w:tr w:rsidR="00C1563E" w14:paraId="7DCFE545" w14:textId="77777777">
        <w:tc>
          <w:tcPr>
            <w:tcW w:w="0" w:type="auto"/>
            <w:gridSpan w:val="3"/>
            <w:shd w:val="clear" w:color="auto" w:fill="FFFFFF"/>
            <w:tcMar>
              <w:top w:w="40" w:type="dxa"/>
              <w:left w:w="155" w:type="dxa"/>
              <w:bottom w:w="40" w:type="dxa"/>
              <w:right w:w="20" w:type="dxa"/>
            </w:tcMar>
            <w:vAlign w:val="bottom"/>
          </w:tcPr>
          <w:p w14:paraId="7DCFE536" w14:textId="77777777" w:rsidR="00C1563E" w:rsidRDefault="000B648B">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7DCFE537" w14:textId="77777777" w:rsidR="00C1563E" w:rsidRDefault="000B648B">
            <w:pPr>
              <w:jc w:val="right"/>
              <w:textAlignment w:val="bottom"/>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bottom"/>
          </w:tcPr>
          <w:p w14:paraId="7DCFE53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3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3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E5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3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3D"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DCFE53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3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40"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DCFE54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4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43" w14:textId="77777777" w:rsidR="00C1563E" w:rsidRDefault="000B648B">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DCFE544" w14:textId="77777777" w:rsidR="00C1563E" w:rsidRDefault="00C1563E">
            <w:pPr>
              <w:jc w:val="right"/>
              <w:rPr>
                <w:rFonts w:ascii="宋体"/>
              </w:rPr>
            </w:pPr>
          </w:p>
        </w:tc>
      </w:tr>
      <w:tr w:rsidR="00C1563E" w14:paraId="7DCFE555" w14:textId="77777777">
        <w:tc>
          <w:tcPr>
            <w:tcW w:w="0" w:type="auto"/>
            <w:gridSpan w:val="3"/>
            <w:shd w:val="clear" w:color="auto" w:fill="CCEEFF"/>
            <w:tcMar>
              <w:top w:w="40" w:type="dxa"/>
              <w:left w:w="245" w:type="dxa"/>
              <w:bottom w:w="40" w:type="dxa"/>
              <w:right w:w="20" w:type="dxa"/>
            </w:tcMar>
            <w:vAlign w:val="bottom"/>
          </w:tcPr>
          <w:p w14:paraId="7DCFE546" w14:textId="77777777" w:rsidR="00C1563E" w:rsidRDefault="000B648B">
            <w:pPr>
              <w:textAlignment w:val="bottom"/>
            </w:pPr>
            <w:r>
              <w:rPr>
                <w:rFonts w:ascii="Times New Roman" w:eastAsia="宋体" w:hAnsi="Times New Roman"/>
                <w:color w:val="000000"/>
                <w:sz w:val="20"/>
                <w:szCs w:val="20"/>
              </w:rPr>
              <w:t>Total principal payments on long-term debt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547" w14:textId="77777777" w:rsidR="00C1563E" w:rsidRDefault="000B648B">
            <w:pPr>
              <w:jc w:val="right"/>
              <w:textAlignment w:val="bottom"/>
            </w:pPr>
            <w:r>
              <w:rPr>
                <w:rFonts w:ascii="Times New Roman" w:eastAsia="宋体" w:hAnsi="Times New Roman"/>
                <w:color w:val="000000"/>
                <w:sz w:val="20"/>
                <w:szCs w:val="20"/>
              </w:rPr>
              <w:t>48,480 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5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49"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54A" w14:textId="77777777" w:rsidR="00C1563E" w:rsidRDefault="000B648B">
            <w:pPr>
              <w:jc w:val="right"/>
              <w:textAlignment w:val="bottom"/>
            </w:pPr>
            <w:r>
              <w:rPr>
                <w:rFonts w:ascii="Times New Roman" w:eastAsia="宋体" w:hAnsi="Times New Roman"/>
                <w:color w:val="000000"/>
                <w:sz w:val="20"/>
                <w:szCs w:val="20"/>
              </w:rPr>
              <w:t>6,374 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54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4C"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54D" w14:textId="77777777" w:rsidR="00C1563E" w:rsidRDefault="000B648B">
            <w:pPr>
              <w:jc w:val="right"/>
              <w:textAlignment w:val="bottom"/>
            </w:pPr>
            <w:r>
              <w:rPr>
                <w:rFonts w:ascii="Times New Roman" w:eastAsia="宋体" w:hAnsi="Times New Roman"/>
                <w:color w:val="000000"/>
                <w:sz w:val="20"/>
                <w:szCs w:val="20"/>
              </w:rPr>
              <w:t>17,009 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54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4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550" w14:textId="77777777" w:rsidR="00C1563E" w:rsidRDefault="000B648B">
            <w:pPr>
              <w:jc w:val="right"/>
              <w:textAlignment w:val="bottom"/>
            </w:pPr>
            <w:r>
              <w:rPr>
                <w:rFonts w:ascii="Times New Roman" w:eastAsia="宋体" w:hAnsi="Times New Roman"/>
                <w:color w:val="000000"/>
                <w:sz w:val="20"/>
                <w:szCs w:val="20"/>
              </w:rPr>
              <w:t>8,871 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55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5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553" w14:textId="77777777" w:rsidR="00C1563E" w:rsidRDefault="000B648B">
            <w:pPr>
              <w:jc w:val="right"/>
              <w:textAlignment w:val="bottom"/>
            </w:pPr>
            <w:r>
              <w:rPr>
                <w:rFonts w:ascii="Times New Roman" w:eastAsia="宋体" w:hAnsi="Times New Roman"/>
                <w:color w:val="000000"/>
                <w:sz w:val="20"/>
                <w:szCs w:val="20"/>
              </w:rPr>
              <w:t>16,226 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554" w14:textId="77777777" w:rsidR="00C1563E" w:rsidRDefault="00C1563E">
            <w:pPr>
              <w:jc w:val="right"/>
              <w:rPr>
                <w:rFonts w:ascii="宋体"/>
              </w:rPr>
            </w:pPr>
          </w:p>
        </w:tc>
      </w:tr>
      <w:tr w:rsidR="00C1563E" w14:paraId="7DCFE565" w14:textId="77777777">
        <w:tc>
          <w:tcPr>
            <w:tcW w:w="0" w:type="auto"/>
            <w:gridSpan w:val="3"/>
            <w:shd w:val="clear" w:color="auto" w:fill="FFFFFF"/>
            <w:tcMar>
              <w:top w:w="40" w:type="dxa"/>
              <w:left w:w="20" w:type="dxa"/>
              <w:bottom w:w="40" w:type="dxa"/>
              <w:right w:w="20" w:type="dxa"/>
            </w:tcMar>
            <w:vAlign w:val="bottom"/>
          </w:tcPr>
          <w:p w14:paraId="7DCFE556" w14:textId="77777777" w:rsidR="00C1563E" w:rsidRDefault="000B648B">
            <w:pPr>
              <w:textAlignment w:val="bottom"/>
            </w:pPr>
            <w:r>
              <w:rPr>
                <w:rFonts w:ascii="Times New Roman" w:eastAsia="宋体" w:hAnsi="Times New Roman"/>
                <w:color w:val="000000"/>
                <w:sz w:val="20"/>
                <w:szCs w:val="20"/>
              </w:rPr>
              <w:t>Interest</w:t>
            </w:r>
          </w:p>
        </w:tc>
        <w:tc>
          <w:tcPr>
            <w:tcW w:w="0" w:type="auto"/>
            <w:gridSpan w:val="2"/>
            <w:shd w:val="clear" w:color="auto" w:fill="FFFFFF"/>
            <w:tcMar>
              <w:top w:w="40" w:type="dxa"/>
              <w:left w:w="20" w:type="dxa"/>
              <w:bottom w:w="40" w:type="dxa"/>
              <w:right w:w="0" w:type="dxa"/>
            </w:tcMar>
            <w:vAlign w:val="bottom"/>
          </w:tcPr>
          <w:p w14:paraId="7DCFE557" w14:textId="77777777" w:rsidR="00C1563E" w:rsidRDefault="000B648B">
            <w:pPr>
              <w:jc w:val="right"/>
              <w:textAlignment w:val="bottom"/>
            </w:pPr>
            <w:r>
              <w:rPr>
                <w:rFonts w:ascii="Times New Roman" w:eastAsia="宋体" w:hAnsi="Times New Roman"/>
                <w:color w:val="000000"/>
                <w:sz w:val="20"/>
                <w:szCs w:val="20"/>
              </w:rPr>
              <w:t>13,966 </w:t>
            </w:r>
          </w:p>
        </w:tc>
        <w:tc>
          <w:tcPr>
            <w:tcW w:w="0" w:type="auto"/>
            <w:shd w:val="clear" w:color="auto" w:fill="FFFFFF"/>
            <w:tcMar>
              <w:top w:w="40" w:type="dxa"/>
              <w:left w:w="0" w:type="dxa"/>
              <w:bottom w:w="40" w:type="dxa"/>
              <w:right w:w="20" w:type="dxa"/>
            </w:tcMar>
            <w:vAlign w:val="bottom"/>
          </w:tcPr>
          <w:p w14:paraId="7DCFE55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5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5A" w14:textId="77777777" w:rsidR="00C1563E" w:rsidRDefault="000B648B">
            <w:pPr>
              <w:jc w:val="right"/>
              <w:textAlignment w:val="bottom"/>
            </w:pPr>
            <w:r>
              <w:rPr>
                <w:rFonts w:ascii="Times New Roman" w:eastAsia="宋体" w:hAnsi="Times New Roman"/>
                <w:color w:val="000000"/>
                <w:sz w:val="20"/>
                <w:szCs w:val="20"/>
              </w:rPr>
              <w:t>1,911 </w:t>
            </w:r>
          </w:p>
        </w:tc>
        <w:tc>
          <w:tcPr>
            <w:tcW w:w="0" w:type="auto"/>
            <w:shd w:val="clear" w:color="auto" w:fill="FFFFFF"/>
            <w:tcMar>
              <w:top w:w="40" w:type="dxa"/>
              <w:left w:w="0" w:type="dxa"/>
              <w:bottom w:w="40" w:type="dxa"/>
              <w:right w:w="20" w:type="dxa"/>
            </w:tcMar>
            <w:vAlign w:val="bottom"/>
          </w:tcPr>
          <w:p w14:paraId="7DCFE55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5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5D" w14:textId="77777777" w:rsidR="00C1563E" w:rsidRDefault="000B648B">
            <w:pPr>
              <w:jc w:val="right"/>
              <w:textAlignment w:val="bottom"/>
            </w:pPr>
            <w:r>
              <w:rPr>
                <w:rFonts w:ascii="Times New Roman" w:eastAsia="宋体" w:hAnsi="Times New Roman"/>
                <w:color w:val="000000"/>
                <w:sz w:val="20"/>
                <w:szCs w:val="20"/>
              </w:rPr>
              <w:t>3,256 </w:t>
            </w:r>
          </w:p>
        </w:tc>
        <w:tc>
          <w:tcPr>
            <w:tcW w:w="0" w:type="auto"/>
            <w:shd w:val="clear" w:color="auto" w:fill="FFFFFF"/>
            <w:tcMar>
              <w:top w:w="40" w:type="dxa"/>
              <w:left w:w="0" w:type="dxa"/>
              <w:bottom w:w="40" w:type="dxa"/>
              <w:right w:w="20" w:type="dxa"/>
            </w:tcMar>
            <w:vAlign w:val="bottom"/>
          </w:tcPr>
          <w:p w14:paraId="7DCFE55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5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60" w14:textId="77777777" w:rsidR="00C1563E" w:rsidRDefault="000B648B">
            <w:pPr>
              <w:jc w:val="right"/>
              <w:textAlignment w:val="bottom"/>
            </w:pPr>
            <w:r>
              <w:rPr>
                <w:rFonts w:ascii="Times New Roman" w:eastAsia="宋体" w:hAnsi="Times New Roman"/>
                <w:color w:val="000000"/>
                <w:sz w:val="20"/>
                <w:szCs w:val="20"/>
              </w:rPr>
              <w:t>2,368 </w:t>
            </w:r>
          </w:p>
        </w:tc>
        <w:tc>
          <w:tcPr>
            <w:tcW w:w="0" w:type="auto"/>
            <w:shd w:val="clear" w:color="auto" w:fill="FFFFFF"/>
            <w:tcMar>
              <w:top w:w="40" w:type="dxa"/>
              <w:left w:w="0" w:type="dxa"/>
              <w:bottom w:w="40" w:type="dxa"/>
              <w:right w:w="20" w:type="dxa"/>
            </w:tcMar>
            <w:vAlign w:val="bottom"/>
          </w:tcPr>
          <w:p w14:paraId="7DCFE56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6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63" w14:textId="77777777" w:rsidR="00C1563E" w:rsidRDefault="000B648B">
            <w:pPr>
              <w:jc w:val="right"/>
              <w:textAlignment w:val="bottom"/>
            </w:pPr>
            <w:r>
              <w:rPr>
                <w:rFonts w:ascii="Times New Roman" w:eastAsia="宋体" w:hAnsi="Times New Roman"/>
                <w:color w:val="000000"/>
                <w:sz w:val="20"/>
                <w:szCs w:val="20"/>
              </w:rPr>
              <w:t>6,431 </w:t>
            </w:r>
          </w:p>
        </w:tc>
        <w:tc>
          <w:tcPr>
            <w:tcW w:w="0" w:type="auto"/>
            <w:shd w:val="clear" w:color="auto" w:fill="FFFFFF"/>
            <w:tcMar>
              <w:top w:w="40" w:type="dxa"/>
              <w:left w:w="0" w:type="dxa"/>
              <w:bottom w:w="40" w:type="dxa"/>
              <w:right w:w="20" w:type="dxa"/>
            </w:tcMar>
            <w:vAlign w:val="bottom"/>
          </w:tcPr>
          <w:p w14:paraId="7DCFE564" w14:textId="77777777" w:rsidR="00C1563E" w:rsidRDefault="00C1563E">
            <w:pPr>
              <w:jc w:val="right"/>
              <w:rPr>
                <w:rFonts w:ascii="宋体"/>
              </w:rPr>
            </w:pPr>
          </w:p>
        </w:tc>
      </w:tr>
      <w:tr w:rsidR="00C1563E" w14:paraId="7DCFE575" w14:textId="77777777">
        <w:tc>
          <w:tcPr>
            <w:tcW w:w="0" w:type="auto"/>
            <w:gridSpan w:val="3"/>
            <w:shd w:val="clear" w:color="auto" w:fill="CCEEFF"/>
            <w:tcMar>
              <w:top w:w="40" w:type="dxa"/>
              <w:left w:w="20" w:type="dxa"/>
              <w:bottom w:w="40" w:type="dxa"/>
              <w:right w:w="20" w:type="dxa"/>
            </w:tcMar>
            <w:vAlign w:val="bottom"/>
          </w:tcPr>
          <w:p w14:paraId="7DCFE566" w14:textId="77777777" w:rsidR="00C1563E" w:rsidRDefault="000B648B">
            <w:pPr>
              <w:textAlignment w:val="bottom"/>
            </w:pPr>
            <w:r>
              <w:rPr>
                <w:rFonts w:ascii="Times New Roman" w:eastAsia="宋体" w:hAnsi="Times New Roman"/>
                <w:color w:val="000000"/>
                <w:sz w:val="20"/>
                <w:szCs w:val="20"/>
              </w:rPr>
              <w:t>Purchase obligations</w:t>
            </w:r>
          </w:p>
        </w:tc>
        <w:tc>
          <w:tcPr>
            <w:tcW w:w="0" w:type="auto"/>
            <w:gridSpan w:val="2"/>
            <w:shd w:val="clear" w:color="auto" w:fill="CCEEFF"/>
            <w:tcMar>
              <w:top w:w="40" w:type="dxa"/>
              <w:left w:w="20" w:type="dxa"/>
              <w:bottom w:w="40" w:type="dxa"/>
              <w:right w:w="0" w:type="dxa"/>
            </w:tcMar>
            <w:vAlign w:val="bottom"/>
          </w:tcPr>
          <w:p w14:paraId="7DCFE567" w14:textId="77777777" w:rsidR="00C1563E" w:rsidRDefault="000B648B">
            <w:pPr>
              <w:jc w:val="right"/>
              <w:textAlignment w:val="bottom"/>
            </w:pPr>
            <w:r>
              <w:rPr>
                <w:rFonts w:ascii="Times New Roman" w:eastAsia="宋体" w:hAnsi="Times New Roman"/>
                <w:color w:val="000000"/>
                <w:sz w:val="20"/>
                <w:szCs w:val="20"/>
              </w:rPr>
              <w:t>5,878 </w:t>
            </w:r>
          </w:p>
        </w:tc>
        <w:tc>
          <w:tcPr>
            <w:tcW w:w="0" w:type="auto"/>
            <w:shd w:val="clear" w:color="auto" w:fill="CCEEFF"/>
            <w:tcMar>
              <w:top w:w="40" w:type="dxa"/>
              <w:left w:w="0" w:type="dxa"/>
              <w:bottom w:w="40" w:type="dxa"/>
              <w:right w:w="20" w:type="dxa"/>
            </w:tcMar>
            <w:vAlign w:val="bottom"/>
          </w:tcPr>
          <w:p w14:paraId="7DCFE56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6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6A" w14:textId="77777777" w:rsidR="00C1563E" w:rsidRDefault="000B648B">
            <w:pPr>
              <w:jc w:val="right"/>
              <w:textAlignment w:val="bottom"/>
            </w:pPr>
            <w:r>
              <w:rPr>
                <w:rFonts w:ascii="Times New Roman" w:eastAsia="宋体" w:hAnsi="Times New Roman"/>
                <w:color w:val="000000"/>
                <w:sz w:val="20"/>
                <w:szCs w:val="20"/>
              </w:rPr>
              <w:t>4,885 </w:t>
            </w:r>
          </w:p>
        </w:tc>
        <w:tc>
          <w:tcPr>
            <w:tcW w:w="0" w:type="auto"/>
            <w:shd w:val="clear" w:color="auto" w:fill="CCEEFF"/>
            <w:tcMar>
              <w:top w:w="40" w:type="dxa"/>
              <w:left w:w="0" w:type="dxa"/>
              <w:bottom w:w="40" w:type="dxa"/>
              <w:right w:w="20" w:type="dxa"/>
            </w:tcMar>
            <w:vAlign w:val="bottom"/>
          </w:tcPr>
          <w:p w14:paraId="7DCFE56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6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6D" w14:textId="77777777" w:rsidR="00C1563E" w:rsidRDefault="000B648B">
            <w:pPr>
              <w:jc w:val="right"/>
              <w:textAlignment w:val="bottom"/>
            </w:pPr>
            <w:r>
              <w:rPr>
                <w:rFonts w:ascii="Times New Roman" w:eastAsia="宋体" w:hAnsi="Times New Roman"/>
                <w:color w:val="000000"/>
                <w:sz w:val="20"/>
                <w:szCs w:val="20"/>
              </w:rPr>
              <w:t>922 </w:t>
            </w:r>
          </w:p>
        </w:tc>
        <w:tc>
          <w:tcPr>
            <w:tcW w:w="0" w:type="auto"/>
            <w:shd w:val="clear" w:color="auto" w:fill="CCEEFF"/>
            <w:tcMar>
              <w:top w:w="40" w:type="dxa"/>
              <w:left w:w="0" w:type="dxa"/>
              <w:bottom w:w="40" w:type="dxa"/>
              <w:right w:w="20" w:type="dxa"/>
            </w:tcMar>
            <w:vAlign w:val="bottom"/>
          </w:tcPr>
          <w:p w14:paraId="7DCFE5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70" w14:textId="77777777" w:rsidR="00C1563E" w:rsidRDefault="000B648B">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7DCFE57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7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73" w14:textId="77777777" w:rsidR="00C1563E" w:rsidRDefault="000B648B">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DCFE574" w14:textId="77777777" w:rsidR="00C1563E" w:rsidRDefault="00C1563E">
            <w:pPr>
              <w:jc w:val="right"/>
              <w:rPr>
                <w:rFonts w:ascii="宋体"/>
              </w:rPr>
            </w:pPr>
          </w:p>
        </w:tc>
      </w:tr>
      <w:tr w:rsidR="00C1563E" w14:paraId="7DCFE585" w14:textId="77777777">
        <w:tc>
          <w:tcPr>
            <w:tcW w:w="0" w:type="auto"/>
            <w:gridSpan w:val="3"/>
            <w:shd w:val="clear" w:color="auto" w:fill="FFFFFF"/>
            <w:tcMar>
              <w:top w:w="40" w:type="dxa"/>
              <w:left w:w="20" w:type="dxa"/>
              <w:bottom w:w="40" w:type="dxa"/>
              <w:right w:w="20" w:type="dxa"/>
            </w:tcMar>
            <w:vAlign w:val="bottom"/>
          </w:tcPr>
          <w:p w14:paraId="7DCFE576" w14:textId="77777777" w:rsidR="00C1563E" w:rsidRDefault="000B648B">
            <w:pPr>
              <w:textAlignment w:val="bottom"/>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7DCFE577" w14:textId="77777777" w:rsidR="00C1563E" w:rsidRDefault="000B648B">
            <w:pPr>
              <w:jc w:val="right"/>
              <w:textAlignment w:val="bottom"/>
            </w:pPr>
            <w:r>
              <w:rPr>
                <w:rFonts w:ascii="Times New Roman" w:eastAsia="宋体" w:hAnsi="Times New Roman"/>
                <w:color w:val="000000"/>
                <w:sz w:val="20"/>
                <w:szCs w:val="20"/>
              </w:rPr>
              <w:t>2,652 </w:t>
            </w:r>
          </w:p>
        </w:tc>
        <w:tc>
          <w:tcPr>
            <w:tcW w:w="0" w:type="auto"/>
            <w:shd w:val="clear" w:color="auto" w:fill="FFFFFF"/>
            <w:tcMar>
              <w:top w:w="40" w:type="dxa"/>
              <w:left w:w="0" w:type="dxa"/>
              <w:bottom w:w="40" w:type="dxa"/>
              <w:right w:w="20" w:type="dxa"/>
            </w:tcMar>
            <w:vAlign w:val="bottom"/>
          </w:tcPr>
          <w:p w14:paraId="7DCFE57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7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7A" w14:textId="77777777" w:rsidR="00C1563E" w:rsidRDefault="000B648B">
            <w:pPr>
              <w:jc w:val="right"/>
              <w:textAlignment w:val="bottom"/>
            </w:pPr>
            <w:r>
              <w:rPr>
                <w:rFonts w:ascii="Times New Roman" w:eastAsia="宋体" w:hAnsi="Times New Roman"/>
                <w:color w:val="000000"/>
                <w:sz w:val="20"/>
                <w:szCs w:val="20"/>
              </w:rPr>
              <w:t>472 </w:t>
            </w:r>
          </w:p>
        </w:tc>
        <w:tc>
          <w:tcPr>
            <w:tcW w:w="0" w:type="auto"/>
            <w:shd w:val="clear" w:color="auto" w:fill="FFFFFF"/>
            <w:tcMar>
              <w:top w:w="40" w:type="dxa"/>
              <w:left w:w="0" w:type="dxa"/>
              <w:bottom w:w="40" w:type="dxa"/>
              <w:right w:w="20" w:type="dxa"/>
            </w:tcMar>
            <w:vAlign w:val="bottom"/>
          </w:tcPr>
          <w:p w14:paraId="7DCFE57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7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7D" w14:textId="77777777" w:rsidR="00C1563E" w:rsidRDefault="000B648B">
            <w:pPr>
              <w:jc w:val="right"/>
              <w:textAlignment w:val="bottom"/>
            </w:pPr>
            <w:r>
              <w:rPr>
                <w:rFonts w:ascii="Times New Roman" w:eastAsia="宋体" w:hAnsi="Times New Roman"/>
                <w:color w:val="000000"/>
                <w:sz w:val="20"/>
                <w:szCs w:val="20"/>
              </w:rPr>
              <w:t>769 </w:t>
            </w:r>
          </w:p>
        </w:tc>
        <w:tc>
          <w:tcPr>
            <w:tcW w:w="0" w:type="auto"/>
            <w:shd w:val="clear" w:color="auto" w:fill="FFFFFF"/>
            <w:tcMar>
              <w:top w:w="40" w:type="dxa"/>
              <w:left w:w="0" w:type="dxa"/>
              <w:bottom w:w="40" w:type="dxa"/>
              <w:right w:w="20" w:type="dxa"/>
            </w:tcMar>
            <w:vAlign w:val="bottom"/>
          </w:tcPr>
          <w:p w14:paraId="7DCFE57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7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80" w14:textId="77777777" w:rsidR="00C1563E" w:rsidRDefault="000B648B">
            <w:pPr>
              <w:jc w:val="right"/>
              <w:textAlignment w:val="bottom"/>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bottom"/>
          </w:tcPr>
          <w:p w14:paraId="7DCFE58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8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583" w14:textId="77777777" w:rsidR="00C1563E" w:rsidRDefault="000B648B">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7DCFE584" w14:textId="77777777" w:rsidR="00C1563E" w:rsidRDefault="00C1563E">
            <w:pPr>
              <w:jc w:val="right"/>
              <w:rPr>
                <w:rFonts w:ascii="宋体"/>
              </w:rPr>
            </w:pPr>
          </w:p>
        </w:tc>
      </w:tr>
      <w:tr w:rsidR="00C1563E" w14:paraId="7DCFE595" w14:textId="77777777">
        <w:tc>
          <w:tcPr>
            <w:tcW w:w="0" w:type="auto"/>
            <w:gridSpan w:val="3"/>
            <w:shd w:val="clear" w:color="auto" w:fill="CCEEFF"/>
            <w:tcMar>
              <w:top w:w="40" w:type="dxa"/>
              <w:left w:w="20" w:type="dxa"/>
              <w:bottom w:w="40" w:type="dxa"/>
              <w:right w:w="20" w:type="dxa"/>
            </w:tcMar>
            <w:vAlign w:val="bottom"/>
          </w:tcPr>
          <w:p w14:paraId="7DCFE586" w14:textId="77777777" w:rsidR="00C1563E" w:rsidRDefault="000B648B">
            <w:pPr>
              <w:textAlignment w:val="bottom"/>
            </w:pPr>
            <w:r>
              <w:rPr>
                <w:rFonts w:ascii="Times New Roman" w:eastAsia="宋体" w:hAnsi="Times New Roman"/>
                <w:color w:val="000000"/>
                <w:sz w:val="20"/>
                <w:szCs w:val="20"/>
              </w:rPr>
              <w:t>Tax obligations</w:t>
            </w:r>
          </w:p>
        </w:tc>
        <w:tc>
          <w:tcPr>
            <w:tcW w:w="0" w:type="auto"/>
            <w:gridSpan w:val="2"/>
            <w:shd w:val="clear" w:color="auto" w:fill="CCEEFF"/>
            <w:tcMar>
              <w:top w:w="40" w:type="dxa"/>
              <w:left w:w="20" w:type="dxa"/>
              <w:bottom w:w="40" w:type="dxa"/>
              <w:right w:w="0" w:type="dxa"/>
            </w:tcMar>
            <w:vAlign w:val="bottom"/>
          </w:tcPr>
          <w:p w14:paraId="7DCFE587" w14:textId="77777777" w:rsidR="00C1563E" w:rsidRDefault="000B648B">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7DCFE58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8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8A" w14:textId="77777777" w:rsidR="00C1563E" w:rsidRDefault="000B648B">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DCFE58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8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8D" w14:textId="77777777" w:rsidR="00C1563E" w:rsidRDefault="000B648B">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7DCFE5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8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90" w14:textId="77777777" w:rsidR="00C1563E" w:rsidRDefault="000B648B">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DCFE5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59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59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594" w14:textId="77777777" w:rsidR="00C1563E" w:rsidRDefault="00C1563E">
            <w:pPr>
              <w:jc w:val="right"/>
              <w:rPr>
                <w:rFonts w:ascii="宋体"/>
              </w:rPr>
            </w:pPr>
          </w:p>
        </w:tc>
      </w:tr>
      <w:tr w:rsidR="00C1563E" w14:paraId="7DCFE5AA" w14:textId="77777777">
        <w:tc>
          <w:tcPr>
            <w:tcW w:w="0" w:type="auto"/>
            <w:gridSpan w:val="3"/>
            <w:shd w:val="clear" w:color="auto" w:fill="FFFFFF"/>
            <w:tcMar>
              <w:top w:w="40" w:type="dxa"/>
              <w:left w:w="245" w:type="dxa"/>
              <w:bottom w:w="40" w:type="dxa"/>
              <w:right w:w="20" w:type="dxa"/>
            </w:tcMar>
            <w:vAlign w:val="bottom"/>
          </w:tcPr>
          <w:p w14:paraId="7DCFE596" w14:textId="77777777" w:rsidR="00C1563E" w:rsidRDefault="000B648B">
            <w:pPr>
              <w:textAlignment w:val="bottom"/>
            </w:pPr>
            <w:r>
              <w:rPr>
                <w:rFonts w:ascii="Times New Roman" w:eastAsia="宋体" w:hAnsi="Times New Roman"/>
                <w:color w:val="000000"/>
                <w:sz w:val="20"/>
                <w:szCs w:val="20"/>
              </w:rPr>
              <w:t>Contractual cash obligations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59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598" w14:textId="77777777" w:rsidR="00C1563E" w:rsidRDefault="000B648B">
            <w:pPr>
              <w:jc w:val="right"/>
              <w:textAlignment w:val="bottom"/>
            </w:pPr>
            <w:r>
              <w:rPr>
                <w:rFonts w:ascii="Times New Roman" w:eastAsia="宋体" w:hAnsi="Times New Roman"/>
                <w:color w:val="000000"/>
                <w:sz w:val="20"/>
                <w:szCs w:val="20"/>
              </w:rPr>
              <w:t>71,140 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59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9A"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59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59C" w14:textId="77777777" w:rsidR="00C1563E" w:rsidRDefault="000B648B">
            <w:pPr>
              <w:jc w:val="right"/>
              <w:textAlignment w:val="bottom"/>
            </w:pPr>
            <w:r>
              <w:rPr>
                <w:rFonts w:ascii="Times New Roman" w:eastAsia="宋体" w:hAnsi="Times New Roman"/>
                <w:color w:val="000000"/>
                <w:sz w:val="20"/>
                <w:szCs w:val="20"/>
              </w:rPr>
              <w:t>13,661 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59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9E"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59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5A0" w14:textId="77777777" w:rsidR="00C1563E" w:rsidRDefault="000B648B">
            <w:pPr>
              <w:jc w:val="right"/>
              <w:textAlignment w:val="bottom"/>
            </w:pPr>
            <w:r>
              <w:rPr>
                <w:rFonts w:ascii="Times New Roman" w:eastAsia="宋体" w:hAnsi="Times New Roman"/>
                <w:color w:val="000000"/>
                <w:sz w:val="20"/>
                <w:szCs w:val="20"/>
              </w:rPr>
              <w:t>22,040 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5A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A2"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5A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5A4" w14:textId="77777777" w:rsidR="00C1563E" w:rsidRDefault="000B648B">
            <w:pPr>
              <w:jc w:val="right"/>
              <w:textAlignment w:val="bottom"/>
            </w:pPr>
            <w:r>
              <w:rPr>
                <w:rFonts w:ascii="Times New Roman" w:eastAsia="宋体" w:hAnsi="Times New Roman"/>
                <w:color w:val="000000"/>
                <w:sz w:val="20"/>
                <w:szCs w:val="20"/>
              </w:rPr>
              <w:t>11,788 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5A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5A6"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5A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5A8" w14:textId="77777777" w:rsidR="00C1563E" w:rsidRDefault="000B648B">
            <w:pPr>
              <w:jc w:val="right"/>
              <w:textAlignment w:val="bottom"/>
            </w:pPr>
            <w:r>
              <w:rPr>
                <w:rFonts w:ascii="Times New Roman" w:eastAsia="宋体" w:hAnsi="Times New Roman"/>
                <w:color w:val="000000"/>
                <w:sz w:val="20"/>
                <w:szCs w:val="20"/>
              </w:rPr>
              <w:t>23,651 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5A9" w14:textId="77777777" w:rsidR="00C1563E" w:rsidRDefault="00C1563E">
            <w:pPr>
              <w:jc w:val="right"/>
              <w:rPr>
                <w:rFonts w:ascii="宋体"/>
              </w:rPr>
            </w:pPr>
          </w:p>
        </w:tc>
      </w:tr>
    </w:tbl>
    <w:p w14:paraId="7DCFE5AB" w14:textId="77777777" w:rsidR="00C1563E" w:rsidRDefault="00C1563E"/>
    <w:p w14:paraId="7DCFE5AC" w14:textId="77777777" w:rsidR="00C1563E" w:rsidRDefault="000B648B">
      <w:r>
        <w:rPr>
          <w:rFonts w:ascii="Times New Roman" w:eastAsia="宋体" w:hAnsi="Times New Roman"/>
          <w:i/>
          <w:iCs/>
          <w:color w:val="000000"/>
          <w:sz w:val="20"/>
          <w:szCs w:val="20"/>
          <w:u w:val="single"/>
        </w:rPr>
        <w:t>Pr</w:t>
      </w:r>
      <w:r>
        <w:rPr>
          <w:rFonts w:ascii="Times New Roman" w:eastAsia="宋体" w:hAnsi="Times New Roman"/>
          <w:i/>
          <w:iCs/>
          <w:color w:val="000000"/>
          <w:sz w:val="20"/>
          <w:szCs w:val="20"/>
          <w:u w:val="single"/>
        </w:rPr>
        <w:t>incipal Payments on Long-Term Debt</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Our expected principal cash payments on borrowings are exclusive of discounts and premiums. We have outstanding long-term notes with varying maturities. For additional information about our debt, see Note 6 of the Notes</w:t>
      </w:r>
      <w:r>
        <w:rPr>
          <w:rFonts w:ascii="Times New Roman" w:eastAsia="宋体" w:hAnsi="Times New Roman"/>
          <w:color w:val="000000"/>
          <w:sz w:val="20"/>
          <w:szCs w:val="20"/>
        </w:rPr>
        <w:t xml:space="preserve"> to the Consolidated Financial Statements included in this report. </w:t>
      </w:r>
    </w:p>
    <w:p w14:paraId="7DCFE5AD" w14:textId="77777777" w:rsidR="00C1563E" w:rsidRDefault="00C1563E"/>
    <w:p w14:paraId="7DCFE5AE" w14:textId="77777777" w:rsidR="00C1563E" w:rsidRDefault="000B648B">
      <w:r>
        <w:rPr>
          <w:rFonts w:ascii="Times New Roman" w:eastAsia="宋体" w:hAnsi="Times New Roman"/>
          <w:i/>
          <w:iCs/>
          <w:color w:val="000000"/>
          <w:sz w:val="20"/>
          <w:szCs w:val="20"/>
          <w:u w:val="single"/>
        </w:rPr>
        <w:t>Interest</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Of the total cash obligations for interest presented in the table above, the amounts related to our DFS debt were expected to be $105 million in Fiscal 2022, $48 million in Fis</w:t>
      </w:r>
      <w:r>
        <w:rPr>
          <w:rFonts w:ascii="Times New Roman" w:eastAsia="宋体" w:hAnsi="Times New Roman"/>
          <w:color w:val="000000"/>
          <w:sz w:val="20"/>
          <w:szCs w:val="20"/>
        </w:rPr>
        <w:t>cal 2023-2024, and $1 million in Fiscal 2025-2026. See Note 6 of the Notes to the Consolidated Financial Statements included in this report for further discussion of our debt and related interest expense.</w:t>
      </w:r>
    </w:p>
    <w:p w14:paraId="7DCFE5AF" w14:textId="77777777" w:rsidR="00C1563E" w:rsidRDefault="00C1563E"/>
    <w:p w14:paraId="7DCFE5B0" w14:textId="77777777" w:rsidR="00C1563E" w:rsidRDefault="000B648B">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Purchase </w:t>
      </w:r>
      <w:r>
        <w:rPr>
          <w:rFonts w:ascii="Times New Roman" w:eastAsia="宋体" w:hAnsi="Times New Roman"/>
          <w:color w:val="000000"/>
          <w:sz w:val="20"/>
          <w:szCs w:val="20"/>
        </w:rPr>
        <w:t>obligations are defined as contractual obligations to purchase goods or services that are enforceable and legally binding on us. These obligations specify all significant terms, including fixed or minimum quantities to be purchased; fixed, minimum, or vari</w:t>
      </w:r>
      <w:r>
        <w:rPr>
          <w:rFonts w:ascii="Times New Roman" w:eastAsia="宋体" w:hAnsi="Times New Roman"/>
          <w:color w:val="000000"/>
          <w:sz w:val="20"/>
          <w:szCs w:val="20"/>
        </w:rPr>
        <w:t>able price provisions; and the approximate timing of the transaction. Purchase obligations do not include contracts that may be canceled without penalty.</w:t>
      </w:r>
    </w:p>
    <w:p w14:paraId="7DCFE5B1" w14:textId="77777777" w:rsidR="00C1563E" w:rsidRDefault="00C1563E"/>
    <w:p w14:paraId="7DCFE5B2" w14:textId="77777777" w:rsidR="00C1563E" w:rsidRDefault="000B648B">
      <w:r>
        <w:rPr>
          <w:rFonts w:ascii="Times New Roman" w:eastAsia="宋体" w:hAnsi="Times New Roman"/>
          <w:color w:val="000000"/>
          <w:sz w:val="20"/>
          <w:szCs w:val="20"/>
        </w:rPr>
        <w:t>We utilize several suppliers to manufacture sub-assemblies for our products. Our efficient supply cha</w:t>
      </w:r>
      <w:r>
        <w:rPr>
          <w:rFonts w:ascii="Times New Roman" w:eastAsia="宋体" w:hAnsi="Times New Roman"/>
          <w:color w:val="000000"/>
          <w:sz w:val="20"/>
          <w:szCs w:val="20"/>
        </w:rPr>
        <w:t xml:space="preserve">in management allows us to enter into flexible and mutually beneficial purchase arrangements with our suppliers in order to minimize inventory risk. Consistent with industry practice, we acquire raw materials or other goods and services, including product </w:t>
      </w:r>
      <w:r>
        <w:rPr>
          <w:rFonts w:ascii="Times New Roman" w:eastAsia="宋体" w:hAnsi="Times New Roman"/>
          <w:color w:val="000000"/>
          <w:sz w:val="20"/>
          <w:szCs w:val="20"/>
        </w:rPr>
        <w:t>components, by issuing to suppliers authorizations to purchase based on our projected demand and manufacturing needs. These purchase orders are typically fulfilled within 30 days and are entered into during the ordinary course of business in order to estab</w:t>
      </w:r>
      <w:r>
        <w:rPr>
          <w:rFonts w:ascii="Times New Roman" w:eastAsia="宋体" w:hAnsi="Times New Roman"/>
          <w:color w:val="000000"/>
          <w:sz w:val="20"/>
          <w:szCs w:val="20"/>
        </w:rPr>
        <w:t>lish best pricing and continuity of supply for our production. Purchase orders are not included in purchase obligations, as they typically represent our authorization to purchase rather than binding purchase obligations.</w:t>
      </w:r>
    </w:p>
    <w:p w14:paraId="7DCFE5B3" w14:textId="77777777" w:rsidR="00C1563E" w:rsidRDefault="00C1563E"/>
    <w:p w14:paraId="7DCFE5B4" w14:textId="77777777" w:rsidR="00C1563E" w:rsidRDefault="000B648B">
      <w:r>
        <w:rPr>
          <w:rFonts w:ascii="Times New Roman" w:eastAsia="宋体" w:hAnsi="Times New Roman"/>
          <w:i/>
          <w:iCs/>
          <w:color w:val="000000"/>
          <w:sz w:val="20"/>
          <w:szCs w:val="20"/>
          <w:u w:val="single"/>
        </w:rPr>
        <w:t>Operating Leases</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We lease property and equipment, manufacturing facilities, and office space under non-cancelable leases. Certain of these leases obligate us to pay taxes, maintenance, and repair costs. See Note 5 of the Notes to the Consolidated Financial Statements incl</w:t>
      </w:r>
      <w:r>
        <w:rPr>
          <w:rFonts w:ascii="Times New Roman" w:eastAsia="宋体" w:hAnsi="Times New Roman"/>
          <w:color w:val="000000"/>
          <w:sz w:val="20"/>
          <w:szCs w:val="20"/>
        </w:rPr>
        <w:t>uded in this report for additional information about our leasing transactions in which we are the lessee.</w:t>
      </w:r>
    </w:p>
    <w:p w14:paraId="7DCFE5B5" w14:textId="77777777" w:rsidR="00C1563E" w:rsidRDefault="00C1563E"/>
    <w:p w14:paraId="7DCFE5B6" w14:textId="77777777" w:rsidR="00C1563E" w:rsidRDefault="000B648B">
      <w:r>
        <w:rPr>
          <w:rFonts w:ascii="Times New Roman" w:eastAsia="宋体" w:hAnsi="Times New Roman"/>
          <w:i/>
          <w:iCs/>
          <w:color w:val="000000"/>
          <w:sz w:val="20"/>
          <w:szCs w:val="20"/>
          <w:u w:val="single"/>
        </w:rPr>
        <w:t>Tax Obligations</w:t>
      </w:r>
      <w:r>
        <w:rPr>
          <w:rFonts w:ascii="Times New Roman" w:eastAsia="宋体" w:hAnsi="Times New Roman"/>
          <w:i/>
          <w:iCs/>
          <w:color w:val="000000"/>
          <w:sz w:val="20"/>
          <w:szCs w:val="20"/>
        </w:rPr>
        <w:t xml:space="preserve">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Tax obligations represent a one-time mandatory deemed repatriation tax on undistributed earnings of foreign subsidiaries. Excluded </w:t>
      </w:r>
      <w:r>
        <w:rPr>
          <w:rFonts w:ascii="Times New Roman" w:eastAsia="宋体" w:hAnsi="Times New Roman"/>
          <w:color w:val="000000"/>
          <w:sz w:val="20"/>
          <w:szCs w:val="20"/>
        </w:rPr>
        <w:t>from the table above are $1.4 billion in additional liabilities associated with uncertain tax positions as of January 29, 2021. We are unable to reliably estimate the expected payment dates for any liabilities for uncertain tax positions. See Note 11 of th</w:t>
      </w:r>
      <w:r>
        <w:rPr>
          <w:rFonts w:ascii="Times New Roman" w:eastAsia="宋体" w:hAnsi="Times New Roman"/>
          <w:color w:val="000000"/>
          <w:sz w:val="20"/>
          <w:szCs w:val="20"/>
        </w:rPr>
        <w:t>e Notes to the Consolidated Financial Statements included in this report for more information on these tax matters.</w:t>
      </w:r>
    </w:p>
    <w:p w14:paraId="7DCFE5B7" w14:textId="77777777" w:rsidR="00C1563E" w:rsidRDefault="00C1563E">
      <w:pPr>
        <w:jc w:val="center"/>
      </w:pPr>
    </w:p>
    <w:p w14:paraId="7DCFE5B8" w14:textId="77777777" w:rsidR="00C1563E" w:rsidRDefault="000B648B">
      <w:pPr>
        <w:jc w:val="center"/>
      </w:pPr>
      <w:r>
        <w:rPr>
          <w:rFonts w:ascii="Times New Roman" w:eastAsia="宋体" w:hAnsi="Times New Roman"/>
          <w:color w:val="000000"/>
          <w:sz w:val="20"/>
          <w:szCs w:val="20"/>
        </w:rPr>
        <w:t>64</w:t>
      </w:r>
    </w:p>
    <w:p w14:paraId="7DCFE5B9" w14:textId="77777777" w:rsidR="00C1563E" w:rsidRDefault="00C1563E">
      <w:pPr>
        <w:jc w:val="center"/>
      </w:pPr>
    </w:p>
    <w:p w14:paraId="7DCFE5BA" w14:textId="77777777" w:rsidR="00C1563E" w:rsidRDefault="000B648B">
      <w:r>
        <w:pict w14:anchorId="7DD025AA">
          <v:rect id="_x0000_i1088" style="width:415.3pt;height:1.5pt" o:hralign="center" o:hrstd="t" o:hr="t" fillcolor="#a0a0a0" stroked="f"/>
        </w:pict>
      </w:r>
    </w:p>
    <w:p w14:paraId="7DCFE5BB" w14:textId="77777777" w:rsidR="00C1563E" w:rsidRDefault="000B648B">
      <w:hyperlink r:id="rId140" w:anchor="i418e32e4a35149ffbf7d3a25d66881b8_10" w:history="1">
        <w:r>
          <w:rPr>
            <w:rStyle w:val="a5"/>
            <w:rFonts w:ascii="Times New Roman" w:eastAsia="宋体" w:hAnsi="Times New Roman"/>
            <w:sz w:val="20"/>
            <w:szCs w:val="20"/>
          </w:rPr>
          <w:t>Table of Contents</w:t>
        </w:r>
      </w:hyperlink>
    </w:p>
    <w:p w14:paraId="7DCFE5BC" w14:textId="77777777" w:rsidR="00C1563E" w:rsidRDefault="000B648B">
      <w:r>
        <w:rPr>
          <w:rFonts w:ascii="Times New Roman" w:eastAsia="宋体" w:hAnsi="Times New Roman"/>
          <w:b/>
          <w:bCs/>
          <w:color w:val="000000"/>
          <w:sz w:val="20"/>
          <w:szCs w:val="20"/>
        </w:rPr>
        <w:t>Critical Accounting Policies and Estimates</w:t>
      </w:r>
    </w:p>
    <w:p w14:paraId="7DCFE5BD" w14:textId="77777777" w:rsidR="00C1563E" w:rsidRDefault="00C1563E"/>
    <w:p w14:paraId="7DCFE5BE" w14:textId="77777777" w:rsidR="00C1563E" w:rsidRDefault="000B648B">
      <w:r>
        <w:rPr>
          <w:rFonts w:ascii="Times New Roman" w:eastAsia="宋体" w:hAnsi="Times New Roman"/>
          <w:color w:val="000000"/>
          <w:sz w:val="20"/>
          <w:szCs w:val="20"/>
        </w:rPr>
        <w:t>We prepare our financial statements in conformity with GAAP, which requires certain estimates, assumptions, and judgments to be made that may affect our Consolidated Stateme</w:t>
      </w:r>
      <w:r>
        <w:rPr>
          <w:rFonts w:ascii="Times New Roman" w:eastAsia="宋体" w:hAnsi="Times New Roman"/>
          <w:color w:val="000000"/>
          <w:sz w:val="20"/>
          <w:szCs w:val="20"/>
        </w:rPr>
        <w:t>nts of Financial Position and Consolidated Statements of Income (Loss). Accounting policies that have a significant impact on our Consolidated Financial Statements are described in Note 2 of the Notes to the Consolidated Financial Statements included in th</w:t>
      </w:r>
      <w:r>
        <w:rPr>
          <w:rFonts w:ascii="Times New Roman" w:eastAsia="宋体" w:hAnsi="Times New Roman"/>
          <w:color w:val="000000"/>
          <w:sz w:val="20"/>
          <w:szCs w:val="20"/>
        </w:rPr>
        <w:t xml:space="preserve">is report. The accounting estimates and assumptions discussed in this section are those that we consider to be the most critical. We consider an accounting policy to be critical if the nature of the estimate or assumption is subject to a material level of </w:t>
      </w:r>
      <w:r>
        <w:rPr>
          <w:rFonts w:ascii="Times New Roman" w:eastAsia="宋体" w:hAnsi="Times New Roman"/>
          <w:color w:val="000000"/>
          <w:sz w:val="20"/>
          <w:szCs w:val="20"/>
        </w:rPr>
        <w:t>judgment and if changes in those estimates or assumptions are reasonably likely to materially impact our Consolidated Financial Statements. We have discussed the development, selection, and disclosure of our critical accounting policies with the Audit Comm</w:t>
      </w:r>
      <w:r>
        <w:rPr>
          <w:rFonts w:ascii="Times New Roman" w:eastAsia="宋体" w:hAnsi="Times New Roman"/>
          <w:color w:val="000000"/>
          <w:sz w:val="20"/>
          <w:szCs w:val="20"/>
        </w:rPr>
        <w:t>ittee of our board of directors.</w:t>
      </w:r>
    </w:p>
    <w:p w14:paraId="7DCFE5BF" w14:textId="77777777" w:rsidR="00C1563E" w:rsidRDefault="00C1563E"/>
    <w:p w14:paraId="7DCFE5C0" w14:textId="77777777" w:rsidR="00C1563E" w:rsidRDefault="000B648B">
      <w:r>
        <w:rPr>
          <w:rFonts w:ascii="Times New Roman" w:eastAsia="宋体" w:hAnsi="Times New Roman"/>
          <w:i/>
          <w:iCs/>
          <w:color w:val="000000"/>
          <w:sz w:val="20"/>
          <w:szCs w:val="20"/>
        </w:rPr>
        <w:t>Revenue Recognition</w:t>
      </w:r>
      <w:r>
        <w:rPr>
          <w:rFonts w:ascii="Times New Roman" w:eastAsia="宋体" w:hAnsi="Times New Roman"/>
          <w:color w:val="000000"/>
          <w:sz w:val="20"/>
          <w:szCs w:val="20"/>
        </w:rPr>
        <w:t xml:space="preserve"> — We sell a wide portfolio of products and services offerings to our customers. Our agreements have varying requirements depending on the goods and services being sold, the rights and obligations convey</w:t>
      </w:r>
      <w:r>
        <w:rPr>
          <w:rFonts w:ascii="Times New Roman" w:eastAsia="宋体" w:hAnsi="Times New Roman"/>
          <w:color w:val="000000"/>
          <w:sz w:val="20"/>
          <w:szCs w:val="20"/>
        </w:rPr>
        <w:t>ed, and the legal jurisdiction of the arrangement.</w:t>
      </w:r>
    </w:p>
    <w:p w14:paraId="7DCFE5C1" w14:textId="77777777" w:rsidR="00C1563E" w:rsidRDefault="00C1563E"/>
    <w:p w14:paraId="7DCFE5C2" w14:textId="77777777" w:rsidR="00C1563E" w:rsidRDefault="000B648B">
      <w:r>
        <w:rPr>
          <w:rFonts w:ascii="Times New Roman" w:eastAsia="宋体" w:hAnsi="Times New Roman"/>
          <w:color w:val="000000"/>
          <w:sz w:val="20"/>
          <w:szCs w:val="20"/>
        </w:rPr>
        <w:t>Our contracts with customers often include multiple performance obligations for various distinct goods and services such as hardware, software licenses, support and maintenance agreements, and other servi</w:t>
      </w:r>
      <w:r>
        <w:rPr>
          <w:rFonts w:ascii="Times New Roman" w:eastAsia="宋体" w:hAnsi="Times New Roman"/>
          <w:color w:val="000000"/>
          <w:sz w:val="20"/>
          <w:szCs w:val="20"/>
        </w:rPr>
        <w:t>ce offerings and solutions. We use significant judgment to assess whether these promises are distinct performance obligations that should be accounted for separately. In certain hardware solutions, the hardware is highly interdependent on, and interrelated</w:t>
      </w:r>
      <w:r>
        <w:rPr>
          <w:rFonts w:ascii="Times New Roman" w:eastAsia="宋体" w:hAnsi="Times New Roman"/>
          <w:color w:val="000000"/>
          <w:sz w:val="20"/>
          <w:szCs w:val="20"/>
        </w:rPr>
        <w:t xml:space="preserve"> with, the embedded software. In these offerings, the hardware and software licenses are accounted for as a single performance obligation.</w:t>
      </w:r>
    </w:p>
    <w:p w14:paraId="7DCFE5C3" w14:textId="77777777" w:rsidR="00C1563E" w:rsidRDefault="00C1563E">
      <w:pPr>
        <w:ind w:hanging="360"/>
      </w:pPr>
    </w:p>
    <w:p w14:paraId="7DCFE5C4" w14:textId="77777777" w:rsidR="00C1563E" w:rsidRDefault="000B648B">
      <w:r>
        <w:rPr>
          <w:rFonts w:ascii="Times New Roman" w:eastAsia="宋体" w:hAnsi="Times New Roman"/>
          <w:color w:val="000000"/>
          <w:sz w:val="20"/>
          <w:szCs w:val="20"/>
        </w:rPr>
        <w:t>The transaction price reflects the amount of consideration to which we expect to be entitled in exchange for transfe</w:t>
      </w:r>
      <w:r>
        <w:rPr>
          <w:rFonts w:ascii="Times New Roman" w:eastAsia="宋体" w:hAnsi="Times New Roman"/>
          <w:color w:val="000000"/>
          <w:sz w:val="20"/>
          <w:szCs w:val="20"/>
        </w:rPr>
        <w:t>rring goods or services to the customer. If the consideration promised in a contract includes a variable amount, we estimate the amount to which we expect to be entitled using either the expected value or most likely amount method. Estimates are updated ea</w:t>
      </w:r>
      <w:r>
        <w:rPr>
          <w:rFonts w:ascii="Times New Roman" w:eastAsia="宋体" w:hAnsi="Times New Roman"/>
          <w:color w:val="000000"/>
          <w:sz w:val="20"/>
          <w:szCs w:val="20"/>
        </w:rPr>
        <w:t>ch reporting period as the variability is resolved or if additional information becomes available. Generally, volume discounts, rebates, and sales returns reduce the transaction price. When we determine the transaction price, we only include amounts that a</w:t>
      </w:r>
      <w:r>
        <w:rPr>
          <w:rFonts w:ascii="Times New Roman" w:eastAsia="宋体" w:hAnsi="Times New Roman"/>
          <w:color w:val="000000"/>
          <w:sz w:val="20"/>
          <w:szCs w:val="20"/>
        </w:rPr>
        <w:t>re not subject to significant future reversal.</w:t>
      </w:r>
    </w:p>
    <w:p w14:paraId="7DCFE5C5" w14:textId="77777777" w:rsidR="00C1563E" w:rsidRDefault="00C1563E">
      <w:pPr>
        <w:ind w:hanging="360"/>
      </w:pPr>
    </w:p>
    <w:p w14:paraId="7DCFE5C6" w14:textId="77777777" w:rsidR="00C1563E" w:rsidRDefault="000B648B">
      <w:r>
        <w:rPr>
          <w:rFonts w:ascii="Times New Roman" w:eastAsia="宋体" w:hAnsi="Times New Roman"/>
          <w:color w:val="000000"/>
          <w:sz w:val="20"/>
          <w:szCs w:val="20"/>
        </w:rPr>
        <w:t>When a contract includes multiple performance obligations, the transaction price is allocated to each performance obligation in proportion to the standalone selling price (“SSP”) of each performance obligatio</w:t>
      </w:r>
      <w:r>
        <w:rPr>
          <w:rFonts w:ascii="Times New Roman" w:eastAsia="宋体" w:hAnsi="Times New Roman"/>
          <w:color w:val="000000"/>
          <w:sz w:val="20"/>
          <w:szCs w:val="20"/>
        </w:rPr>
        <w:t xml:space="preserve">n. </w:t>
      </w:r>
    </w:p>
    <w:p w14:paraId="7DCFE5C7" w14:textId="77777777" w:rsidR="00C1563E" w:rsidRDefault="00C1563E"/>
    <w:p w14:paraId="7DCFE5C8" w14:textId="77777777" w:rsidR="00C1563E" w:rsidRDefault="000B648B">
      <w:r>
        <w:rPr>
          <w:rFonts w:ascii="Times New Roman" w:eastAsia="宋体" w:hAnsi="Times New Roman"/>
          <w:color w:val="000000"/>
          <w:sz w:val="20"/>
          <w:szCs w:val="20"/>
        </w:rPr>
        <w:t>Judgment is required when determining the SSP of our performance obligations. If the observable price is available, we utilize that price for the SSP. If the observable price is not available, the SSP must be estimated. We estimate SSP by considering multi</w:t>
      </w:r>
      <w:r>
        <w:rPr>
          <w:rFonts w:ascii="Times New Roman" w:eastAsia="宋体" w:hAnsi="Times New Roman"/>
          <w:color w:val="000000"/>
          <w:sz w:val="20"/>
          <w:szCs w:val="20"/>
        </w:rPr>
        <w:t>ple factors, including, but not limited to, pricing practices, internal costs, and profit objectives as well as overall market conditions, which include geographic or regional specific factors, competitive positioning, and competitor actions. SSP for our p</w:t>
      </w:r>
      <w:r>
        <w:rPr>
          <w:rFonts w:ascii="Times New Roman" w:eastAsia="宋体" w:hAnsi="Times New Roman"/>
          <w:color w:val="000000"/>
          <w:sz w:val="20"/>
          <w:szCs w:val="20"/>
        </w:rPr>
        <w:t xml:space="preserve">erformance obligations is periodically reassessed. </w:t>
      </w:r>
    </w:p>
    <w:p w14:paraId="7DCFE5C9" w14:textId="77777777" w:rsidR="00C1563E" w:rsidRDefault="00C1563E"/>
    <w:p w14:paraId="7DCFE5CA" w14:textId="77777777" w:rsidR="00C1563E" w:rsidRDefault="000B648B">
      <w:r>
        <w:rPr>
          <w:rFonts w:ascii="Times New Roman" w:eastAsia="宋体" w:hAnsi="Times New Roman"/>
          <w:i/>
          <w:iCs/>
          <w:color w:val="000000"/>
          <w:sz w:val="20"/>
          <w:szCs w:val="20"/>
        </w:rPr>
        <w:t>Business Combinations</w:t>
      </w:r>
      <w:r>
        <w:rPr>
          <w:rFonts w:ascii="Times New Roman" w:eastAsia="宋体" w:hAnsi="Times New Roman"/>
          <w:color w:val="000000"/>
          <w:sz w:val="20"/>
          <w:szCs w:val="20"/>
        </w:rPr>
        <w:t xml:space="preserve"> — We allocate the purchase price of acquired companies to the identifiable assets acquired and liabilities assumed, which are measured based on acquisition date fair value. Goodwill</w:t>
      </w:r>
      <w:r>
        <w:rPr>
          <w:rFonts w:ascii="Times New Roman" w:eastAsia="宋体" w:hAnsi="Times New Roman"/>
          <w:color w:val="000000"/>
          <w:sz w:val="20"/>
          <w:szCs w:val="20"/>
        </w:rPr>
        <w:t xml:space="preserve"> is measured as the excess of consideration transferred over the net amounts of the identifiable tangible and intangible assets acquired and the liabilities assumed at the acquisition date. The allocation of the purchase price requires us to make significa</w:t>
      </w:r>
      <w:r>
        <w:rPr>
          <w:rFonts w:ascii="Times New Roman" w:eastAsia="宋体" w:hAnsi="Times New Roman"/>
          <w:color w:val="000000"/>
          <w:sz w:val="20"/>
          <w:szCs w:val="20"/>
        </w:rPr>
        <w:t>nt estimates and assumptions, including fair value estimates, to determine the fair value of assets acquired and liabilities assumed and the related useful lives of the acquired assets, when applicable, as of the acquisition date. Although we believe the a</w:t>
      </w:r>
      <w:r>
        <w:rPr>
          <w:rFonts w:ascii="Times New Roman" w:eastAsia="宋体" w:hAnsi="Times New Roman"/>
          <w:color w:val="000000"/>
          <w:sz w:val="20"/>
          <w:szCs w:val="20"/>
        </w:rPr>
        <w:t>ssumptions and estimates we have made are reasonable, they are based in part on historical experience and information obtained from the management of the acquired companies and are inherently uncertain. Examples of critical estimates used in valuing certai</w:t>
      </w:r>
      <w:r>
        <w:rPr>
          <w:rFonts w:ascii="Times New Roman" w:eastAsia="宋体" w:hAnsi="Times New Roman"/>
          <w:color w:val="000000"/>
          <w:sz w:val="20"/>
          <w:szCs w:val="20"/>
        </w:rPr>
        <w:t xml:space="preserve">n of the intangible assets we have acquired or may acquire in the future include but are not limited to: </w:t>
      </w:r>
    </w:p>
    <w:p w14:paraId="7DCFE5CB" w14:textId="77777777" w:rsidR="00C1563E" w:rsidRDefault="00C1563E"/>
    <w:p w14:paraId="7DCFE5CC" w14:textId="77777777" w:rsidR="00C1563E" w:rsidRDefault="000B648B">
      <w:pPr>
        <w:ind w:hanging="360"/>
      </w:pPr>
      <w:r>
        <w:rPr>
          <w:rFonts w:ascii="Times New Roman" w:eastAsia="宋体" w:hAnsi="Times New Roman"/>
          <w:color w:val="000000"/>
          <w:sz w:val="20"/>
          <w:szCs w:val="20"/>
        </w:rPr>
        <w:t xml:space="preserve">•future expected cash flows from sales, maintenance agreements, and acquired developed technologies; </w:t>
      </w:r>
    </w:p>
    <w:p w14:paraId="7DCFE5CD" w14:textId="77777777" w:rsidR="00C1563E" w:rsidRDefault="00C1563E"/>
    <w:p w14:paraId="7DCFE5CE" w14:textId="77777777" w:rsidR="00C1563E" w:rsidRDefault="000B648B">
      <w:pPr>
        <w:ind w:hanging="360"/>
      </w:pPr>
      <w:r>
        <w:rPr>
          <w:rFonts w:ascii="Times New Roman" w:eastAsia="宋体" w:hAnsi="Times New Roman"/>
          <w:color w:val="000000"/>
          <w:sz w:val="20"/>
          <w:szCs w:val="20"/>
        </w:rPr>
        <w:t>•the acquired company’s trade name and custome</w:t>
      </w:r>
      <w:r>
        <w:rPr>
          <w:rFonts w:ascii="Times New Roman" w:eastAsia="宋体" w:hAnsi="Times New Roman"/>
          <w:color w:val="000000"/>
          <w:sz w:val="20"/>
          <w:szCs w:val="20"/>
        </w:rPr>
        <w:t xml:space="preserve">r relationships as well as assumptions about the period of time the acquired trade name and customer relationships will continue to be used in the combined company’s product portfolio; and </w:t>
      </w:r>
    </w:p>
    <w:p w14:paraId="7DCFE5CF" w14:textId="77777777" w:rsidR="00C1563E" w:rsidRDefault="00C1563E"/>
    <w:p w14:paraId="7DCFE5D0" w14:textId="77777777" w:rsidR="00C1563E" w:rsidRDefault="000B648B">
      <w:pPr>
        <w:ind w:hanging="360"/>
      </w:pPr>
      <w:r>
        <w:rPr>
          <w:rFonts w:ascii="Times New Roman" w:eastAsia="宋体" w:hAnsi="Times New Roman"/>
          <w:color w:val="000000"/>
          <w:sz w:val="20"/>
          <w:szCs w:val="20"/>
        </w:rPr>
        <w:t xml:space="preserve">•discount rates used to determine the present value of </w:t>
      </w:r>
      <w:r>
        <w:rPr>
          <w:rFonts w:ascii="Times New Roman" w:eastAsia="宋体" w:hAnsi="Times New Roman"/>
          <w:color w:val="000000"/>
          <w:sz w:val="20"/>
          <w:szCs w:val="20"/>
        </w:rPr>
        <w:t>estimated future cash flows.</w:t>
      </w:r>
    </w:p>
    <w:p w14:paraId="7DCFE5D1" w14:textId="77777777" w:rsidR="00C1563E" w:rsidRDefault="00C1563E"/>
    <w:p w14:paraId="7DCFE5D2" w14:textId="77777777" w:rsidR="00C1563E" w:rsidRDefault="00C1563E"/>
    <w:p w14:paraId="7DCFE5D3" w14:textId="77777777" w:rsidR="00C1563E" w:rsidRDefault="00C1563E">
      <w:pPr>
        <w:jc w:val="center"/>
      </w:pPr>
    </w:p>
    <w:p w14:paraId="7DCFE5D4" w14:textId="77777777" w:rsidR="00C1563E" w:rsidRDefault="000B648B">
      <w:pPr>
        <w:jc w:val="center"/>
      </w:pPr>
      <w:r>
        <w:rPr>
          <w:rFonts w:ascii="Times New Roman" w:eastAsia="宋体" w:hAnsi="Times New Roman"/>
          <w:color w:val="000000"/>
          <w:sz w:val="20"/>
          <w:szCs w:val="20"/>
        </w:rPr>
        <w:t>65</w:t>
      </w:r>
    </w:p>
    <w:p w14:paraId="7DCFE5D5" w14:textId="77777777" w:rsidR="00C1563E" w:rsidRDefault="00C1563E">
      <w:pPr>
        <w:jc w:val="center"/>
      </w:pPr>
    </w:p>
    <w:p w14:paraId="7DCFE5D6" w14:textId="77777777" w:rsidR="00C1563E" w:rsidRDefault="000B648B">
      <w:r>
        <w:pict w14:anchorId="7DD025AB">
          <v:rect id="_x0000_i1089" style="width:415.3pt;height:1.5pt" o:hralign="center" o:hrstd="t" o:hr="t" fillcolor="#a0a0a0" stroked="f"/>
        </w:pict>
      </w:r>
    </w:p>
    <w:p w14:paraId="7DCFE5D7" w14:textId="77777777" w:rsidR="00C1563E" w:rsidRDefault="000B648B">
      <w:hyperlink r:id="rId141" w:anchor="i418e32e4a35149ffbf7d3a25d66881b8_10" w:history="1">
        <w:r>
          <w:rPr>
            <w:rStyle w:val="a5"/>
            <w:rFonts w:ascii="Times New Roman" w:eastAsia="宋体" w:hAnsi="Times New Roman"/>
            <w:sz w:val="20"/>
            <w:szCs w:val="20"/>
          </w:rPr>
          <w:t>Table of Contents</w:t>
        </w:r>
      </w:hyperlink>
    </w:p>
    <w:p w14:paraId="7DCFE5D8" w14:textId="77777777" w:rsidR="00C1563E" w:rsidRDefault="000B648B">
      <w:r>
        <w:rPr>
          <w:rFonts w:ascii="Times New Roman" w:eastAsia="宋体" w:hAnsi="Times New Roman"/>
          <w:color w:val="000000"/>
          <w:sz w:val="20"/>
          <w:szCs w:val="20"/>
        </w:rPr>
        <w:t>These estimates are inherently uncertain and u</w:t>
      </w:r>
      <w:r>
        <w:rPr>
          <w:rFonts w:ascii="Times New Roman" w:eastAsia="宋体" w:hAnsi="Times New Roman"/>
          <w:color w:val="000000"/>
          <w:sz w:val="20"/>
          <w:szCs w:val="20"/>
        </w:rPr>
        <w:t>npredictable, and if different estimates were used, the purchase price for the acquisition could be allocated to the acquired assets and assumed liabilities differently from the allocation that we have made. Additionally, unanticipated events and circumsta</w:t>
      </w:r>
      <w:r>
        <w:rPr>
          <w:rFonts w:ascii="Times New Roman" w:eastAsia="宋体" w:hAnsi="Times New Roman"/>
          <w:color w:val="000000"/>
          <w:sz w:val="20"/>
          <w:szCs w:val="20"/>
        </w:rPr>
        <w:t xml:space="preserve">nces may occur, which may affect the accuracy or validity of such assumptions, estimates, or actual results. </w:t>
      </w:r>
    </w:p>
    <w:p w14:paraId="7DCFE5D9" w14:textId="77777777" w:rsidR="00C1563E" w:rsidRDefault="00C1563E"/>
    <w:p w14:paraId="7DCFE5DA" w14:textId="77777777" w:rsidR="00C1563E" w:rsidRDefault="000B648B">
      <w:r>
        <w:rPr>
          <w:rFonts w:ascii="Times New Roman" w:eastAsia="宋体" w:hAnsi="Times New Roman"/>
          <w:i/>
          <w:iCs/>
          <w:color w:val="000000"/>
          <w:sz w:val="20"/>
          <w:szCs w:val="20"/>
        </w:rPr>
        <w:t xml:space="preserve">Goodwill and Indefinite-Lived Intangible Assets Impairment Assessments </w:t>
      </w:r>
      <w:r>
        <w:rPr>
          <w:rFonts w:ascii="Times New Roman" w:eastAsia="宋体" w:hAnsi="Times New Roman"/>
          <w:color w:val="000000"/>
          <w:sz w:val="20"/>
          <w:szCs w:val="20"/>
        </w:rPr>
        <w:t>— Goodwill and indefinite-lived intangible assets are tested for impairmen</w:t>
      </w:r>
      <w:r>
        <w:rPr>
          <w:rFonts w:ascii="Times New Roman" w:eastAsia="宋体" w:hAnsi="Times New Roman"/>
          <w:color w:val="000000"/>
          <w:sz w:val="20"/>
          <w:szCs w:val="20"/>
        </w:rPr>
        <w:t>t annually during the third fiscal quarter and whenever events or circumstances may indicate that an impairment has occurred. To determine whether goodwill is impaired, we first assess certain qualitative factors. Based on this assessment, if it is determi</w:t>
      </w:r>
      <w:r>
        <w:rPr>
          <w:rFonts w:ascii="Times New Roman" w:eastAsia="宋体" w:hAnsi="Times New Roman"/>
          <w:color w:val="000000"/>
          <w:sz w:val="20"/>
          <w:szCs w:val="20"/>
        </w:rPr>
        <w:t xml:space="preserve">ned more likely than not that the fair value of a goodwill reporting unit is less than its carrying amount, we perform the quantitative analysis of the goodwill impairment test. Significant judgment is exercised in the identification of goodwill reporting </w:t>
      </w:r>
      <w:r>
        <w:rPr>
          <w:rFonts w:ascii="Times New Roman" w:eastAsia="宋体" w:hAnsi="Times New Roman"/>
          <w:color w:val="000000"/>
          <w:sz w:val="20"/>
          <w:szCs w:val="20"/>
        </w:rPr>
        <w:t>units, assignment of assets and liabilities to goodwill reporting units, assignment of goodwill to reporting units, and determination of the fair value of each goodwill reporting unit. The fair value of each of our goodwill reporting units is generally est</w:t>
      </w:r>
      <w:r>
        <w:rPr>
          <w:rFonts w:ascii="Times New Roman" w:eastAsia="宋体" w:hAnsi="Times New Roman"/>
          <w:color w:val="000000"/>
          <w:sz w:val="20"/>
          <w:szCs w:val="20"/>
        </w:rPr>
        <w:t xml:space="preserve">imated using a combination of public company multiples and discounted cash flow methodologies, and then compared to the carrying value of each goodwill reporting unit. The discounted cash flow and public company multiples methodologies require significant </w:t>
      </w:r>
      <w:r>
        <w:rPr>
          <w:rFonts w:ascii="Times New Roman" w:eastAsia="宋体" w:hAnsi="Times New Roman"/>
          <w:color w:val="000000"/>
          <w:sz w:val="20"/>
          <w:szCs w:val="20"/>
        </w:rPr>
        <w:t>judgment, including estimation of future revenues, gross margins, and operating expenses, which are dependent on internal forecasts, current and anticipated economic conditions and trends, selection of market multiples through assessment of the reporting u</w:t>
      </w:r>
      <w:r>
        <w:rPr>
          <w:rFonts w:ascii="Times New Roman" w:eastAsia="宋体" w:hAnsi="Times New Roman"/>
          <w:color w:val="000000"/>
          <w:sz w:val="20"/>
          <w:szCs w:val="20"/>
        </w:rPr>
        <w:t>nit’s performance relative to peer competitors, the estimation of the long-term revenue growth rate and discount rate of our business, and the determination of our weighted average cost of capital. Changes in these estimates and assumptions could materiall</w:t>
      </w:r>
      <w:r>
        <w:rPr>
          <w:rFonts w:ascii="Times New Roman" w:eastAsia="宋体" w:hAnsi="Times New Roman"/>
          <w:color w:val="000000"/>
          <w:sz w:val="20"/>
          <w:szCs w:val="20"/>
        </w:rPr>
        <w:t xml:space="preserve">y affect the fair value of the goodwill reporting unit, potentially resulting in a non-cash impairment charge. </w:t>
      </w:r>
    </w:p>
    <w:p w14:paraId="7DCFE5DB" w14:textId="77777777" w:rsidR="00C1563E" w:rsidRDefault="00C1563E"/>
    <w:p w14:paraId="7DCFE5DC" w14:textId="77777777" w:rsidR="00C1563E" w:rsidRDefault="000B648B">
      <w:r>
        <w:rPr>
          <w:rFonts w:ascii="Times New Roman" w:eastAsia="宋体" w:hAnsi="Times New Roman"/>
          <w:color w:val="000000"/>
          <w:sz w:val="20"/>
          <w:szCs w:val="20"/>
        </w:rPr>
        <w:t>The fair value of the indefinite-lived trade names is generally estimated using discounted cash flow methodologies. The discounted cash flow me</w:t>
      </w:r>
      <w:r>
        <w:rPr>
          <w:rFonts w:ascii="Times New Roman" w:eastAsia="宋体" w:hAnsi="Times New Roman"/>
          <w:color w:val="000000"/>
          <w:sz w:val="20"/>
          <w:szCs w:val="20"/>
        </w:rPr>
        <w:t>thodology requires significant judgment, including estimation of future revenue, the estimation of the long-term revenue growth rate of our business, and the determination of the our weighted average cost of capital and royalty rates. Changes in these esti</w:t>
      </w:r>
      <w:r>
        <w:rPr>
          <w:rFonts w:ascii="Times New Roman" w:eastAsia="宋体" w:hAnsi="Times New Roman"/>
          <w:color w:val="000000"/>
          <w:sz w:val="20"/>
          <w:szCs w:val="20"/>
        </w:rPr>
        <w:t>mates and assumptions could materially affect the fair value of the indefinite-lived intangible assets, potentially resulting in a non-cash impairment charge.</w:t>
      </w:r>
    </w:p>
    <w:p w14:paraId="7DCFE5DD" w14:textId="77777777" w:rsidR="00C1563E" w:rsidRDefault="00C1563E"/>
    <w:p w14:paraId="7DCFE5DE" w14:textId="77777777" w:rsidR="00C1563E" w:rsidRDefault="000B648B">
      <w:r>
        <w:rPr>
          <w:rFonts w:ascii="Times New Roman" w:eastAsia="宋体" w:hAnsi="Times New Roman"/>
          <w:i/>
          <w:iCs/>
          <w:color w:val="000000"/>
          <w:sz w:val="20"/>
          <w:szCs w:val="20"/>
        </w:rPr>
        <w:t xml:space="preserve">Income Taxes </w:t>
      </w:r>
      <w:r>
        <w:rPr>
          <w:rFonts w:ascii="Times New Roman" w:eastAsia="宋体" w:hAnsi="Times New Roman"/>
          <w:color w:val="000000"/>
          <w:sz w:val="20"/>
          <w:szCs w:val="20"/>
        </w:rPr>
        <w:t>— We are subject to income tax in the United States and numerous foreign jurisdicti</w:t>
      </w:r>
      <w:r>
        <w:rPr>
          <w:rFonts w:ascii="Times New Roman" w:eastAsia="宋体" w:hAnsi="Times New Roman"/>
          <w:color w:val="000000"/>
          <w:sz w:val="20"/>
          <w:szCs w:val="20"/>
        </w:rPr>
        <w:t>ons. Significant judgments are required in determining the consolidated provision for income taxes. We calculate a provision for income taxes using the asset and liability method, under which deferred tax assets and liabilities are recognized by identifyin</w:t>
      </w:r>
      <w:r>
        <w:rPr>
          <w:rFonts w:ascii="Times New Roman" w:eastAsia="宋体" w:hAnsi="Times New Roman"/>
          <w:color w:val="000000"/>
          <w:sz w:val="20"/>
          <w:szCs w:val="20"/>
        </w:rPr>
        <w:t>g the temporary differences arising from the different treatment of items for tax and accounting purposes. We account for the tax impact of including Global Intangible Low-Taxed Income (GILTI) in U.S. taxable income as a period cost. We provide related val</w:t>
      </w:r>
      <w:r>
        <w:rPr>
          <w:rFonts w:ascii="Times New Roman" w:eastAsia="宋体" w:hAnsi="Times New Roman"/>
          <w:color w:val="000000"/>
          <w:sz w:val="20"/>
          <w:szCs w:val="20"/>
        </w:rPr>
        <w:t xml:space="preserve">uation allowances for deferred tax assets, where appropriate. Significant judgment is required in determining any valuation allowance against deferred tax assets. In assessing the need for a valuation allowance, we consider all available evidence for each </w:t>
      </w:r>
      <w:r>
        <w:rPr>
          <w:rFonts w:ascii="Times New Roman" w:eastAsia="宋体" w:hAnsi="Times New Roman"/>
          <w:color w:val="000000"/>
          <w:sz w:val="20"/>
          <w:szCs w:val="20"/>
        </w:rPr>
        <w:t xml:space="preserve">jurisdiction, including past operating results, estimates of future taxable income, and the feasibility of ongoing tax planning strategies. In the event we determine that all or part of the net deferred tax assets are not realizable in the future, we will </w:t>
      </w:r>
      <w:r>
        <w:rPr>
          <w:rFonts w:ascii="Times New Roman" w:eastAsia="宋体" w:hAnsi="Times New Roman"/>
          <w:color w:val="000000"/>
          <w:sz w:val="20"/>
          <w:szCs w:val="20"/>
        </w:rPr>
        <w:t>make an adjustment to the valuation allowance that would be charged to earnings in the period such determination is made.</w:t>
      </w:r>
    </w:p>
    <w:p w14:paraId="7DCFE5DF" w14:textId="77777777" w:rsidR="00C1563E" w:rsidRDefault="00C1563E"/>
    <w:p w14:paraId="7DCFE5E0" w14:textId="77777777" w:rsidR="00C1563E" w:rsidRDefault="000B648B">
      <w:r>
        <w:rPr>
          <w:rFonts w:ascii="Times New Roman" w:eastAsia="宋体" w:hAnsi="Times New Roman"/>
          <w:color w:val="000000"/>
          <w:sz w:val="20"/>
          <w:szCs w:val="20"/>
        </w:rPr>
        <w:t>Significant judgment is also required in evaluating our uncertain tax positions. Although we believe our tax return positions are sus</w:t>
      </w:r>
      <w:r>
        <w:rPr>
          <w:rFonts w:ascii="Times New Roman" w:eastAsia="宋体" w:hAnsi="Times New Roman"/>
          <w:color w:val="000000"/>
          <w:sz w:val="20"/>
          <w:szCs w:val="20"/>
        </w:rPr>
        <w:t>tainable, we recognize tax benefits from uncertain tax positions in the financial statements only when it is more likely than not that the positions will be sustained upon examination, including resolution of any related appeals or litigation processes, ba</w:t>
      </w:r>
      <w:r>
        <w:rPr>
          <w:rFonts w:ascii="Times New Roman" w:eastAsia="宋体" w:hAnsi="Times New Roman"/>
          <w:color w:val="000000"/>
          <w:sz w:val="20"/>
          <w:szCs w:val="20"/>
        </w:rPr>
        <w:t>sed on the technical merits and a consideration of the relevant taxing authority’s administrative practices and precedents. To the extent that the final tax outcome of these matters is different from the amounts recorded, such differences will impact the p</w:t>
      </w:r>
      <w:r>
        <w:rPr>
          <w:rFonts w:ascii="Times New Roman" w:eastAsia="宋体" w:hAnsi="Times New Roman"/>
          <w:color w:val="000000"/>
          <w:sz w:val="20"/>
          <w:szCs w:val="20"/>
        </w:rPr>
        <w:t>rovision for income taxes in the period in which such determination is made. The provision for income taxes includes the impact of reserve provisions and changes to reserves that are considered appropriate, as well as the related net interest and penalties</w:t>
      </w:r>
      <w:r>
        <w:rPr>
          <w:rFonts w:ascii="Times New Roman" w:eastAsia="宋体" w:hAnsi="Times New Roman"/>
          <w:color w:val="000000"/>
          <w:sz w:val="20"/>
          <w:szCs w:val="20"/>
        </w:rPr>
        <w:t>. We believe we have provided adequate reserves for all uncertain tax positions.</w:t>
      </w:r>
    </w:p>
    <w:p w14:paraId="7DCFE5E1" w14:textId="77777777" w:rsidR="00C1563E" w:rsidRDefault="00C1563E"/>
    <w:p w14:paraId="7DCFE5E2" w14:textId="77777777" w:rsidR="00C1563E" w:rsidRDefault="000B648B">
      <w:r>
        <w:rPr>
          <w:rFonts w:ascii="Times New Roman" w:eastAsia="宋体" w:hAnsi="Times New Roman"/>
          <w:i/>
          <w:iCs/>
          <w:color w:val="000000"/>
          <w:sz w:val="20"/>
          <w:szCs w:val="20"/>
        </w:rPr>
        <w:t xml:space="preserve">Legal and Other Contingencies </w:t>
      </w:r>
      <w:r>
        <w:rPr>
          <w:rFonts w:ascii="Times New Roman" w:eastAsia="宋体" w:hAnsi="Times New Roman"/>
          <w:color w:val="000000"/>
          <w:sz w:val="20"/>
          <w:szCs w:val="20"/>
        </w:rPr>
        <w:t>— The outcomes of legal proceedings and claims brought against us are subject to significant uncertainty. An estimated loss from a loss continge</w:t>
      </w:r>
      <w:r>
        <w:rPr>
          <w:rFonts w:ascii="Times New Roman" w:eastAsia="宋体" w:hAnsi="Times New Roman"/>
          <w:color w:val="000000"/>
          <w:sz w:val="20"/>
          <w:szCs w:val="20"/>
        </w:rPr>
        <w:t>ncy such as a legal proceeding or claim is accrued by a charge to income if it is probable that an asset has been impaired or a liability has been incurred and the amount of the loss can be reasonably estimated. In determining whether a loss should be accr</w:t>
      </w:r>
      <w:r>
        <w:rPr>
          <w:rFonts w:ascii="Times New Roman" w:eastAsia="宋体" w:hAnsi="Times New Roman"/>
          <w:color w:val="000000"/>
          <w:sz w:val="20"/>
          <w:szCs w:val="20"/>
        </w:rPr>
        <w:t>ued we evaluate, among other factors, the degree of probability of an unfavorable outcome and the ability to make a reasonable estimate of the amount of loss. Changes in these factors could materially impact our consolidated financial statements.</w:t>
      </w:r>
    </w:p>
    <w:p w14:paraId="7DCFE5E3" w14:textId="77777777" w:rsidR="00C1563E" w:rsidRDefault="00C1563E"/>
    <w:p w14:paraId="7DCFE5E4" w14:textId="77777777" w:rsidR="00C1563E" w:rsidRDefault="00C1563E"/>
    <w:p w14:paraId="7DCFE5E5" w14:textId="77777777" w:rsidR="00C1563E" w:rsidRDefault="00C1563E">
      <w:pPr>
        <w:jc w:val="center"/>
      </w:pPr>
    </w:p>
    <w:p w14:paraId="7DCFE5E6" w14:textId="77777777" w:rsidR="00C1563E" w:rsidRDefault="000B648B">
      <w:pPr>
        <w:jc w:val="center"/>
      </w:pPr>
      <w:r>
        <w:rPr>
          <w:rFonts w:ascii="Times New Roman" w:eastAsia="宋体" w:hAnsi="Times New Roman"/>
          <w:color w:val="000000"/>
          <w:sz w:val="20"/>
          <w:szCs w:val="20"/>
        </w:rPr>
        <w:t>66</w:t>
      </w:r>
    </w:p>
    <w:p w14:paraId="7DCFE5E7" w14:textId="77777777" w:rsidR="00C1563E" w:rsidRDefault="00C1563E">
      <w:pPr>
        <w:jc w:val="center"/>
      </w:pPr>
    </w:p>
    <w:p w14:paraId="7DCFE5E8" w14:textId="77777777" w:rsidR="00C1563E" w:rsidRDefault="000B648B">
      <w:r>
        <w:pict w14:anchorId="7DD025AC">
          <v:rect id="_x0000_i1090" style="width:415.3pt;height:1.5pt" o:hralign="center" o:hrstd="t" o:hr="t" fillcolor="#a0a0a0" stroked="f"/>
        </w:pict>
      </w:r>
    </w:p>
    <w:p w14:paraId="7DCFE5E9" w14:textId="77777777" w:rsidR="00C1563E" w:rsidRDefault="000B648B">
      <w:hyperlink r:id="rId142" w:anchor="i418e32e4a35149ffbf7d3a25d66881b8_10" w:history="1">
        <w:r>
          <w:rPr>
            <w:rStyle w:val="a5"/>
            <w:rFonts w:ascii="Times New Roman" w:eastAsia="宋体" w:hAnsi="Times New Roman"/>
            <w:sz w:val="20"/>
            <w:szCs w:val="20"/>
          </w:rPr>
          <w:t>Table of Contents</w:t>
        </w:r>
      </w:hyperlink>
    </w:p>
    <w:p w14:paraId="7DCFE5EA" w14:textId="77777777" w:rsidR="00C1563E" w:rsidRDefault="000B648B">
      <w:r>
        <w:rPr>
          <w:rFonts w:ascii="Times New Roman" w:eastAsia="宋体" w:hAnsi="Times New Roman"/>
          <w:i/>
          <w:iCs/>
          <w:color w:val="000000"/>
          <w:sz w:val="20"/>
          <w:szCs w:val="20"/>
        </w:rPr>
        <w:t xml:space="preserve">Inventories </w:t>
      </w:r>
      <w:r>
        <w:rPr>
          <w:rFonts w:ascii="Times New Roman" w:eastAsia="宋体" w:hAnsi="Times New Roman"/>
          <w:color w:val="000000"/>
          <w:sz w:val="20"/>
          <w:szCs w:val="20"/>
        </w:rPr>
        <w:t>— We state our inventory at the lower of cost or net realizable value. W</w:t>
      </w:r>
      <w:r>
        <w:rPr>
          <w:rFonts w:ascii="Times New Roman" w:eastAsia="宋体" w:hAnsi="Times New Roman"/>
          <w:color w:val="000000"/>
          <w:sz w:val="20"/>
          <w:szCs w:val="20"/>
        </w:rPr>
        <w:t>e record a write-down for inventories of components and products, including third-party products held for resale, which have become obsolete or are in excess of anticipated demand or net realizable value. We perform a detailed review of inventory each fisc</w:t>
      </w:r>
      <w:r>
        <w:rPr>
          <w:rFonts w:ascii="Times New Roman" w:eastAsia="宋体" w:hAnsi="Times New Roman"/>
          <w:color w:val="000000"/>
          <w:sz w:val="20"/>
          <w:szCs w:val="20"/>
        </w:rPr>
        <w:t>al</w:t>
      </w:r>
      <w:r>
        <w:rPr>
          <w:rFonts w:ascii="Times New Roman" w:eastAsia="宋体" w:hAnsi="Times New Roman"/>
          <w:i/>
          <w:iCs/>
          <w:color w:val="000000"/>
          <w:sz w:val="20"/>
          <w:szCs w:val="20"/>
        </w:rPr>
        <w:t> </w:t>
      </w:r>
      <w:r>
        <w:rPr>
          <w:rFonts w:ascii="Times New Roman" w:eastAsia="宋体" w:hAnsi="Times New Roman"/>
          <w:color w:val="000000"/>
          <w:sz w:val="20"/>
          <w:szCs w:val="20"/>
        </w:rPr>
        <w:t>quarter that considers multiple factors, including demand forecasts, product life cycle status, product development plans, current sales levels, product pricing, and component cost trends. The industries in which we compete are subject to demand changes</w:t>
      </w:r>
      <w:r>
        <w:rPr>
          <w:rFonts w:ascii="Times New Roman" w:eastAsia="宋体" w:hAnsi="Times New Roman"/>
          <w:color w:val="000000"/>
          <w:sz w:val="20"/>
          <w:szCs w:val="20"/>
        </w:rPr>
        <w:t>. If future demand or market conditions for our products are less favorable than</w:t>
      </w:r>
      <w:r>
        <w:rPr>
          <w:rFonts w:ascii="Times New Roman" w:eastAsia="宋体" w:hAnsi="Times New Roman"/>
          <w:i/>
          <w:iCs/>
          <w:color w:val="000000"/>
          <w:sz w:val="20"/>
          <w:szCs w:val="20"/>
        </w:rPr>
        <w:t> </w:t>
      </w:r>
      <w:r>
        <w:rPr>
          <w:rFonts w:ascii="Times New Roman" w:eastAsia="宋体" w:hAnsi="Times New Roman"/>
          <w:color w:val="000000"/>
          <w:sz w:val="20"/>
          <w:szCs w:val="20"/>
        </w:rPr>
        <w:t>forecasted or if unforeseen technological changes negatively impact the utility of component inventory, we may be required to record additional write-downs, which would advers</w:t>
      </w:r>
      <w:r>
        <w:rPr>
          <w:rFonts w:ascii="Times New Roman" w:eastAsia="宋体" w:hAnsi="Times New Roman"/>
          <w:color w:val="000000"/>
          <w:sz w:val="20"/>
          <w:szCs w:val="20"/>
        </w:rPr>
        <w:t>ely affect our gross margin.</w:t>
      </w:r>
    </w:p>
    <w:p w14:paraId="7DCFE5EB" w14:textId="77777777" w:rsidR="00C1563E" w:rsidRDefault="00C1563E"/>
    <w:p w14:paraId="7DCFE5EC" w14:textId="77777777" w:rsidR="00C1563E" w:rsidRDefault="000B648B">
      <w:r>
        <w:rPr>
          <w:rFonts w:ascii="Times New Roman" w:eastAsia="宋体" w:hAnsi="Times New Roman"/>
          <w:b/>
          <w:bCs/>
          <w:color w:val="000000"/>
          <w:sz w:val="20"/>
          <w:szCs w:val="20"/>
        </w:rPr>
        <w:t>Recently Issued Accounting Pronouncements</w:t>
      </w:r>
    </w:p>
    <w:p w14:paraId="7DCFE5ED" w14:textId="77777777" w:rsidR="00C1563E" w:rsidRDefault="00C1563E"/>
    <w:p w14:paraId="7DCFE5EE" w14:textId="77777777" w:rsidR="00C1563E" w:rsidRDefault="000B648B">
      <w:r>
        <w:rPr>
          <w:rFonts w:ascii="Times New Roman" w:eastAsia="宋体" w:hAnsi="Times New Roman"/>
          <w:color w:val="000000"/>
          <w:sz w:val="20"/>
          <w:szCs w:val="20"/>
        </w:rPr>
        <w:t xml:space="preserve">See Note 2 of the Notes to the Consolidated Financial Statements included in this report for a summary of recently issued accounting pronouncements that are applicable to our </w:t>
      </w:r>
      <w:r>
        <w:rPr>
          <w:rFonts w:ascii="Times New Roman" w:eastAsia="宋体" w:hAnsi="Times New Roman"/>
          <w:color w:val="000000"/>
          <w:sz w:val="20"/>
          <w:szCs w:val="20"/>
        </w:rPr>
        <w:t>Consolidated Financial Statements.</w:t>
      </w:r>
    </w:p>
    <w:p w14:paraId="7DCFE5EF" w14:textId="77777777" w:rsidR="00C1563E" w:rsidRDefault="00C1563E"/>
    <w:p w14:paraId="7DCFE5F0" w14:textId="77777777" w:rsidR="00C1563E" w:rsidRDefault="00C1563E">
      <w:pPr>
        <w:jc w:val="center"/>
      </w:pPr>
    </w:p>
    <w:p w14:paraId="7DCFE5F1" w14:textId="77777777" w:rsidR="00C1563E" w:rsidRDefault="000B648B">
      <w:pPr>
        <w:jc w:val="center"/>
      </w:pPr>
      <w:r>
        <w:rPr>
          <w:rFonts w:ascii="Times New Roman" w:eastAsia="宋体" w:hAnsi="Times New Roman"/>
          <w:color w:val="000000"/>
          <w:sz w:val="20"/>
          <w:szCs w:val="20"/>
        </w:rPr>
        <w:t>67</w:t>
      </w:r>
    </w:p>
    <w:p w14:paraId="7DCFE5F2" w14:textId="77777777" w:rsidR="00C1563E" w:rsidRDefault="00C1563E">
      <w:pPr>
        <w:jc w:val="center"/>
      </w:pPr>
    </w:p>
    <w:p w14:paraId="7DCFE5F3" w14:textId="77777777" w:rsidR="00C1563E" w:rsidRDefault="000B648B">
      <w:r>
        <w:pict w14:anchorId="7DD025AD">
          <v:rect id="_x0000_i1091" style="width:415.3pt;height:1.5pt" o:hralign="center" o:hrstd="t" o:hr="t" fillcolor="#a0a0a0" stroked="f"/>
        </w:pict>
      </w:r>
    </w:p>
    <w:p w14:paraId="7DCFE5F4" w14:textId="77777777" w:rsidR="00C1563E" w:rsidRDefault="000B648B">
      <w:hyperlink r:id="rId143" w:anchor="i418e32e4a35149ffbf7d3a25d66881b8_10" w:history="1">
        <w:r>
          <w:rPr>
            <w:rStyle w:val="a5"/>
            <w:rFonts w:ascii="Times New Roman" w:eastAsia="宋体" w:hAnsi="Times New Roman"/>
            <w:sz w:val="20"/>
            <w:szCs w:val="20"/>
          </w:rPr>
          <w:t>Table of Contents</w:t>
        </w:r>
      </w:hyperlink>
    </w:p>
    <w:p w14:paraId="7DCFE5F5" w14:textId="77777777" w:rsidR="00C1563E" w:rsidRDefault="000B648B">
      <w:r>
        <w:rPr>
          <w:rFonts w:ascii="Times New Roman" w:eastAsia="宋体" w:hAnsi="Times New Roman"/>
          <w:b/>
          <w:bCs/>
          <w:color w:val="000000"/>
          <w:sz w:val="20"/>
          <w:szCs w:val="20"/>
        </w:rPr>
        <w:t>ITEM 7A — QUANTITATIVE AND QUALITATIVE DI</w:t>
      </w:r>
      <w:r>
        <w:rPr>
          <w:rFonts w:ascii="Times New Roman" w:eastAsia="宋体" w:hAnsi="Times New Roman"/>
          <w:b/>
          <w:bCs/>
          <w:color w:val="000000"/>
          <w:sz w:val="20"/>
          <w:szCs w:val="20"/>
        </w:rPr>
        <w:t>SCLOSURES ABOUT MARKET RISK</w:t>
      </w:r>
    </w:p>
    <w:p w14:paraId="7DCFE5F6" w14:textId="77777777" w:rsidR="00C1563E" w:rsidRDefault="00C1563E"/>
    <w:p w14:paraId="7DCFE5F7" w14:textId="77777777" w:rsidR="00C1563E" w:rsidRDefault="000B648B">
      <w:r>
        <w:rPr>
          <w:rFonts w:ascii="Times New Roman" w:eastAsia="宋体" w:hAnsi="Times New Roman"/>
          <w:color w:val="000000"/>
          <w:sz w:val="20"/>
          <w:szCs w:val="20"/>
        </w:rPr>
        <w:t xml:space="preserve">Dell Technologies is exposed to a variety of market risks, including risks associated with foreign currency exchange rate fluctuations, interest rate changes affecting its variable-rate debt, and changes in the market value of </w:t>
      </w:r>
      <w:r>
        <w:rPr>
          <w:rFonts w:ascii="Times New Roman" w:eastAsia="宋体" w:hAnsi="Times New Roman"/>
          <w:color w:val="000000"/>
          <w:sz w:val="20"/>
          <w:szCs w:val="20"/>
        </w:rPr>
        <w:t>equity investments. In the normal course of business, Dell Technologies employs established policies and procedures to manage these risks.</w:t>
      </w:r>
    </w:p>
    <w:p w14:paraId="7DCFE5F8" w14:textId="77777777" w:rsidR="00C1563E" w:rsidRDefault="00C1563E"/>
    <w:p w14:paraId="7DCFE5F9" w14:textId="77777777" w:rsidR="00C1563E" w:rsidRDefault="000B648B">
      <w:r>
        <w:rPr>
          <w:rFonts w:ascii="Times New Roman" w:eastAsia="宋体" w:hAnsi="Times New Roman"/>
          <w:b/>
          <w:bCs/>
          <w:color w:val="000000"/>
          <w:sz w:val="20"/>
          <w:szCs w:val="20"/>
        </w:rPr>
        <w:t>Foreign Currency Risk</w:t>
      </w:r>
    </w:p>
    <w:p w14:paraId="7DCFE5FA" w14:textId="77777777" w:rsidR="00C1563E" w:rsidRDefault="00C1563E"/>
    <w:p w14:paraId="7DCFE5FB" w14:textId="77777777" w:rsidR="00C1563E" w:rsidRDefault="000B648B">
      <w:r>
        <w:rPr>
          <w:rFonts w:ascii="Times New Roman" w:eastAsia="宋体" w:hAnsi="Times New Roman"/>
          <w:color w:val="000000"/>
          <w:sz w:val="20"/>
          <w:szCs w:val="20"/>
        </w:rPr>
        <w:t>During Fiscal 2021 and Fiscal 2020, the principal foreign currencies in which Dell Technologi</w:t>
      </w:r>
      <w:r>
        <w:rPr>
          <w:rFonts w:ascii="Times New Roman" w:eastAsia="宋体" w:hAnsi="Times New Roman"/>
          <w:color w:val="000000"/>
          <w:sz w:val="20"/>
          <w:szCs w:val="20"/>
        </w:rPr>
        <w:t>es transacted business were the Euro, Chinese Renminbi, Japanese Yen, British Pound, and Canadian Dollar. The objective of Dell Technologies in managing its exposures to foreign currency exchange rate fluctuations is to reduce the impact of adverse fluctua</w:t>
      </w:r>
      <w:r>
        <w:rPr>
          <w:rFonts w:ascii="Times New Roman" w:eastAsia="宋体" w:hAnsi="Times New Roman"/>
          <w:color w:val="000000"/>
          <w:sz w:val="20"/>
          <w:szCs w:val="20"/>
        </w:rPr>
        <w:t>tions associated with foreign currency exchange rate changes on earnings and cash flows. Accordingly, Dell Technologies utilizes foreign currency option contracts and forward contracts to hedge its exposure on forecasted transactions and firm commitments f</w:t>
      </w:r>
      <w:r>
        <w:rPr>
          <w:rFonts w:ascii="Times New Roman" w:eastAsia="宋体" w:hAnsi="Times New Roman"/>
          <w:color w:val="000000"/>
          <w:sz w:val="20"/>
          <w:szCs w:val="20"/>
        </w:rPr>
        <w:t>or certain currencies. Dell Technologies monitors its foreign currency exchange exposures to ensure the overall effectiveness of its foreign currency hedge positions. However, there can be no assurance that the foreign currency hedging activities will cont</w:t>
      </w:r>
      <w:r>
        <w:rPr>
          <w:rFonts w:ascii="Times New Roman" w:eastAsia="宋体" w:hAnsi="Times New Roman"/>
          <w:color w:val="000000"/>
          <w:sz w:val="20"/>
          <w:szCs w:val="20"/>
        </w:rPr>
        <w:t>inue to substantially offset the impact of fluctuations in currency exchange rates on Dell Technologies’ results of operations and financial position in the future.</w:t>
      </w:r>
    </w:p>
    <w:p w14:paraId="7DCFE5FC" w14:textId="77777777" w:rsidR="00C1563E" w:rsidRDefault="00C1563E"/>
    <w:p w14:paraId="7DCFE5FD" w14:textId="77777777" w:rsidR="00C1563E" w:rsidRDefault="000B648B">
      <w:r>
        <w:rPr>
          <w:rFonts w:ascii="Times New Roman" w:eastAsia="宋体" w:hAnsi="Times New Roman"/>
          <w:color w:val="000000"/>
          <w:sz w:val="20"/>
          <w:szCs w:val="20"/>
        </w:rPr>
        <w:t>Based on the outstanding foreign currency hedge instruments of Dell Technologies, which in</w:t>
      </w:r>
      <w:r>
        <w:rPr>
          <w:rFonts w:ascii="Times New Roman" w:eastAsia="宋体" w:hAnsi="Times New Roman"/>
          <w:color w:val="000000"/>
          <w:sz w:val="20"/>
          <w:szCs w:val="20"/>
        </w:rPr>
        <w:t>clude designated and non-designated instruments, there was a maximum potential one-day loss in fair value at</w:t>
      </w:r>
      <w:r>
        <w:rPr>
          <w:rFonts w:ascii="Times New Roman" w:eastAsia="宋体" w:hAnsi="Times New Roman"/>
          <w:color w:val="000000"/>
          <w:sz w:val="20"/>
          <w:szCs w:val="20"/>
          <w:shd w:val="clear" w:color="auto" w:fill="FFFFFF"/>
        </w:rPr>
        <w:t xml:space="preserve"> a </w:t>
      </w:r>
      <w:r>
        <w:rPr>
          <w:rFonts w:ascii="Times New Roman" w:eastAsia="宋体" w:hAnsi="Times New Roman"/>
          <w:color w:val="000000"/>
          <w:sz w:val="20"/>
          <w:szCs w:val="20"/>
        </w:rPr>
        <w:t>95%</w:t>
      </w:r>
      <w:r>
        <w:rPr>
          <w:rFonts w:ascii="Times New Roman" w:eastAsia="宋体" w:hAnsi="Times New Roman"/>
          <w:color w:val="000000"/>
          <w:sz w:val="20"/>
          <w:szCs w:val="20"/>
          <w:shd w:val="clear" w:color="auto" w:fill="FFFFFF"/>
        </w:rPr>
        <w:t xml:space="preserve"> confidence level of approximately </w:t>
      </w:r>
      <w:r>
        <w:rPr>
          <w:rFonts w:ascii="Times New Roman" w:eastAsia="宋体" w:hAnsi="Times New Roman"/>
          <w:color w:val="000000"/>
          <w:sz w:val="20"/>
          <w:szCs w:val="20"/>
        </w:rPr>
        <w:t xml:space="preserve">$15 million </w:t>
      </w:r>
      <w:r>
        <w:rPr>
          <w:rFonts w:ascii="Times New Roman" w:eastAsia="宋体" w:hAnsi="Times New Roman"/>
          <w:color w:val="000000"/>
          <w:sz w:val="20"/>
          <w:szCs w:val="20"/>
          <w:shd w:val="clear" w:color="auto" w:fill="FFFFFF"/>
        </w:rPr>
        <w:t>as of January 29, 2021</w:t>
      </w:r>
      <w:r>
        <w:rPr>
          <w:rFonts w:ascii="Times New Roman" w:eastAsia="宋体" w:hAnsi="Times New Roman"/>
          <w:color w:val="000000"/>
          <w:sz w:val="20"/>
          <w:szCs w:val="20"/>
        </w:rPr>
        <w:t xml:space="preserve"> and $24 million as of January 31, 2020 using a Value-at-Risk (“VAR”) mod</w:t>
      </w:r>
      <w:r>
        <w:rPr>
          <w:rFonts w:ascii="Times New Roman" w:eastAsia="宋体" w:hAnsi="Times New Roman"/>
          <w:color w:val="000000"/>
          <w:sz w:val="20"/>
          <w:szCs w:val="20"/>
        </w:rPr>
        <w:t>el. By using market implied rates and incorporating volatility and correlation among the currencies of a portfolio, the VAR model simulates 10,000 randomly generated market prices and calculates the difference between the fifth percentile and the average a</w:t>
      </w:r>
      <w:r>
        <w:rPr>
          <w:rFonts w:ascii="Times New Roman" w:eastAsia="宋体" w:hAnsi="Times New Roman"/>
          <w:color w:val="000000"/>
          <w:sz w:val="20"/>
          <w:szCs w:val="20"/>
        </w:rPr>
        <w:t>s the Value-at-Risk. The VAR model is a risk estimation tool and is not intended to represent actual losses in fair value that could be incurred. Additionally, as Dell Technologies utilizes foreign currency instruments for hedging forecasted and firmly com</w:t>
      </w:r>
      <w:r>
        <w:rPr>
          <w:rFonts w:ascii="Times New Roman" w:eastAsia="宋体" w:hAnsi="Times New Roman"/>
          <w:color w:val="000000"/>
          <w:sz w:val="20"/>
          <w:szCs w:val="20"/>
        </w:rPr>
        <w:t>mitted transactions, a loss in fair value for those instruments is generally offset by increases in the value of the underlying exposure.</w:t>
      </w:r>
    </w:p>
    <w:p w14:paraId="7DCFE5FE" w14:textId="77777777" w:rsidR="00C1563E" w:rsidRDefault="00C1563E"/>
    <w:p w14:paraId="7DCFE5FF" w14:textId="77777777" w:rsidR="00C1563E" w:rsidRDefault="000B648B">
      <w:r>
        <w:rPr>
          <w:rFonts w:ascii="Times New Roman" w:eastAsia="宋体" w:hAnsi="Times New Roman"/>
          <w:b/>
          <w:bCs/>
          <w:color w:val="000000"/>
          <w:sz w:val="20"/>
          <w:szCs w:val="20"/>
        </w:rPr>
        <w:t>Interest Rate Risk</w:t>
      </w:r>
    </w:p>
    <w:p w14:paraId="7DCFE600" w14:textId="77777777" w:rsidR="00C1563E" w:rsidRDefault="00C1563E"/>
    <w:p w14:paraId="7DCFE601" w14:textId="77777777" w:rsidR="00C1563E" w:rsidRDefault="000B648B">
      <w:r>
        <w:rPr>
          <w:rFonts w:ascii="Times New Roman" w:eastAsia="宋体" w:hAnsi="Times New Roman"/>
          <w:color w:val="000000"/>
          <w:sz w:val="20"/>
          <w:szCs w:val="20"/>
        </w:rPr>
        <w:t>Dell Technologies is primarily exposed to interest rate risk related to its variable-rate debt po</w:t>
      </w:r>
      <w:r>
        <w:rPr>
          <w:rFonts w:ascii="Times New Roman" w:eastAsia="宋体" w:hAnsi="Times New Roman"/>
          <w:color w:val="000000"/>
          <w:sz w:val="20"/>
          <w:szCs w:val="20"/>
        </w:rPr>
        <w:t>rtfolio.</w:t>
      </w:r>
    </w:p>
    <w:p w14:paraId="7DCFE602" w14:textId="77777777" w:rsidR="00C1563E" w:rsidRDefault="00C1563E"/>
    <w:p w14:paraId="7DCFE603" w14:textId="77777777" w:rsidR="00C1563E" w:rsidRDefault="000B648B">
      <w:r>
        <w:rPr>
          <w:rFonts w:ascii="Times New Roman" w:eastAsia="宋体" w:hAnsi="Times New Roman"/>
          <w:i/>
          <w:iCs/>
          <w:color w:val="000000"/>
          <w:sz w:val="20"/>
          <w:szCs w:val="20"/>
        </w:rPr>
        <w:t xml:space="preserve">Variable-Rate Debt </w:t>
      </w:r>
      <w:r>
        <w:rPr>
          <w:rFonts w:ascii="Times New Roman" w:eastAsia="宋体" w:hAnsi="Times New Roman"/>
          <w:color w:val="000000"/>
          <w:sz w:val="20"/>
          <w:szCs w:val="20"/>
        </w:rPr>
        <w:t>— As of January 29, 2021, Dell Technologies’ variable-rate debt consisted of $6.3 billion of outstanding borrowings under its Senior Secured Credit Facilities, $4.0 billion of outstanding borrowings under its Margin Loan Facili</w:t>
      </w:r>
      <w:r>
        <w:rPr>
          <w:rFonts w:ascii="Times New Roman" w:eastAsia="宋体" w:hAnsi="Times New Roman"/>
          <w:color w:val="000000"/>
          <w:sz w:val="20"/>
          <w:szCs w:val="20"/>
        </w:rPr>
        <w:t xml:space="preserve">ty, and $1.0 billion of unhedged outstanding DFS borrowings. Amounts outstanding under these facilities generally bear interest at variable rates equal to applicable margins plus specified base rates or LIBOR-based rates. Accordingly, Dell Technologies is </w:t>
      </w:r>
      <w:r>
        <w:rPr>
          <w:rFonts w:ascii="Times New Roman" w:eastAsia="宋体" w:hAnsi="Times New Roman"/>
          <w:color w:val="000000"/>
          <w:sz w:val="20"/>
          <w:szCs w:val="20"/>
        </w:rPr>
        <w:t>exposed to market risk based on fluctuations in interest rates on borrowings under the facilities where we do not mitigate the interest rate risk through the use of interest rate swaps. As of January 29, 2021, outstanding borrowings under the Senior Secure</w:t>
      </w:r>
      <w:r>
        <w:rPr>
          <w:rFonts w:ascii="Times New Roman" w:eastAsia="宋体" w:hAnsi="Times New Roman"/>
          <w:color w:val="000000"/>
          <w:sz w:val="20"/>
          <w:szCs w:val="20"/>
        </w:rPr>
        <w:t xml:space="preserve">d Credit and Margin Loan facilities accrued interest at an annual rate between 1.90% and 2.75%, whereas unhedged DFS borrowings accrued interest at an annual rate between 1.26% and 4.17%. </w:t>
      </w:r>
    </w:p>
    <w:p w14:paraId="7DCFE604" w14:textId="77777777" w:rsidR="00C1563E" w:rsidRDefault="00C1563E"/>
    <w:p w14:paraId="7DCFE605" w14:textId="77777777" w:rsidR="00C1563E" w:rsidRDefault="000B648B">
      <w:r>
        <w:rPr>
          <w:rFonts w:ascii="Times New Roman" w:eastAsia="宋体" w:hAnsi="Times New Roman"/>
          <w:color w:val="000000"/>
          <w:sz w:val="20"/>
          <w:szCs w:val="20"/>
        </w:rPr>
        <w:t>Based on the variable-rate debt outstanding as of January 29, 2021</w:t>
      </w:r>
      <w:r>
        <w:rPr>
          <w:rFonts w:ascii="Times New Roman" w:eastAsia="宋体" w:hAnsi="Times New Roman"/>
          <w:color w:val="000000"/>
          <w:sz w:val="20"/>
          <w:szCs w:val="20"/>
        </w:rPr>
        <w:t>, a 100 basis point increase in interest rates would have resulted in an increase of approximately $93 million in annual interest expense. For more information about our debt, see Note 6 of the Notes to the Consolidated Financial Statements included in thi</w:t>
      </w:r>
      <w:r>
        <w:rPr>
          <w:rFonts w:ascii="Times New Roman" w:eastAsia="宋体" w:hAnsi="Times New Roman"/>
          <w:color w:val="000000"/>
          <w:sz w:val="20"/>
          <w:szCs w:val="20"/>
        </w:rPr>
        <w:t>s report.</w:t>
      </w:r>
    </w:p>
    <w:p w14:paraId="7DCFE606" w14:textId="77777777" w:rsidR="00C1563E" w:rsidRDefault="00C1563E"/>
    <w:p w14:paraId="7DCFE607" w14:textId="77777777" w:rsidR="00C1563E" w:rsidRDefault="000B648B">
      <w:r>
        <w:rPr>
          <w:rFonts w:ascii="Times New Roman" w:eastAsia="宋体" w:hAnsi="Times New Roman"/>
          <w:color w:val="000000"/>
          <w:sz w:val="20"/>
          <w:szCs w:val="20"/>
        </w:rPr>
        <w:t xml:space="preserve">By comparison, as of January 31, 2020, Dell Technologies had $8.9 billion of outstanding borrowings under its Senior Secured Credit Facilities, $4.0 billion of outstanding borrowings under its Margin Loan Facility, $1.5 billion of </w:t>
      </w:r>
      <w:r>
        <w:rPr>
          <w:rFonts w:ascii="Times New Roman" w:eastAsia="宋体" w:hAnsi="Times New Roman"/>
          <w:color w:val="000000"/>
          <w:sz w:val="20"/>
          <w:szCs w:val="20"/>
        </w:rPr>
        <w:t>outstanding DFS borrowings, and $1.5 billion outstanding under the VMware Term Loan Facility. Based on this variable-rate debt outstanding as of January 31, 2020, a 100 basis point increase in interest rates would have resulted in an increase of approximat</w:t>
      </w:r>
      <w:r>
        <w:rPr>
          <w:rFonts w:ascii="Times New Roman" w:eastAsia="宋体" w:hAnsi="Times New Roman"/>
          <w:color w:val="000000"/>
          <w:sz w:val="20"/>
          <w:szCs w:val="20"/>
        </w:rPr>
        <w:t>ely $160 million in annual interest expense.</w:t>
      </w:r>
    </w:p>
    <w:p w14:paraId="7DCFE608" w14:textId="77777777" w:rsidR="00C1563E" w:rsidRDefault="00C1563E"/>
    <w:p w14:paraId="7DCFE609" w14:textId="77777777" w:rsidR="00C1563E" w:rsidRDefault="00C1563E">
      <w:pPr>
        <w:jc w:val="center"/>
      </w:pPr>
    </w:p>
    <w:p w14:paraId="7DCFE60A" w14:textId="77777777" w:rsidR="00C1563E" w:rsidRDefault="000B648B">
      <w:pPr>
        <w:jc w:val="center"/>
      </w:pPr>
      <w:r>
        <w:rPr>
          <w:rFonts w:ascii="Times New Roman" w:eastAsia="宋体" w:hAnsi="Times New Roman"/>
          <w:color w:val="000000"/>
          <w:sz w:val="20"/>
          <w:szCs w:val="20"/>
        </w:rPr>
        <w:t>68</w:t>
      </w:r>
    </w:p>
    <w:p w14:paraId="7DCFE60B" w14:textId="77777777" w:rsidR="00C1563E" w:rsidRDefault="00C1563E">
      <w:pPr>
        <w:jc w:val="center"/>
      </w:pPr>
    </w:p>
    <w:p w14:paraId="7DCFE60C" w14:textId="77777777" w:rsidR="00C1563E" w:rsidRDefault="000B648B">
      <w:r>
        <w:pict w14:anchorId="7DD025AE">
          <v:rect id="_x0000_i1092" style="width:415.3pt;height:1.5pt" o:hralign="center" o:hrstd="t" o:hr="t" fillcolor="#a0a0a0" stroked="f"/>
        </w:pict>
      </w:r>
    </w:p>
    <w:p w14:paraId="7DCFE60D" w14:textId="77777777" w:rsidR="00C1563E" w:rsidRDefault="000B648B">
      <w:hyperlink r:id="rId144" w:anchor="i418e32e4a35149ffbf7d3a25d66881b8_10" w:history="1">
        <w:r>
          <w:rPr>
            <w:rStyle w:val="a5"/>
            <w:rFonts w:ascii="Times New Roman" w:eastAsia="宋体" w:hAnsi="Times New Roman"/>
            <w:sz w:val="20"/>
            <w:szCs w:val="20"/>
          </w:rPr>
          <w:t>Table of Contents</w:t>
        </w:r>
      </w:hyperlink>
    </w:p>
    <w:p w14:paraId="7DCFE60E" w14:textId="77777777" w:rsidR="00C1563E" w:rsidRDefault="000B648B">
      <w:r>
        <w:rPr>
          <w:rFonts w:ascii="Times New Roman" w:eastAsia="宋体" w:hAnsi="Times New Roman"/>
          <w:b/>
          <w:bCs/>
          <w:color w:val="000000"/>
          <w:sz w:val="20"/>
          <w:szCs w:val="20"/>
        </w:rPr>
        <w:t>Equity Price Risk</w:t>
      </w:r>
    </w:p>
    <w:p w14:paraId="7DCFE60F" w14:textId="77777777" w:rsidR="00C1563E" w:rsidRDefault="00C1563E"/>
    <w:p w14:paraId="7DCFE610" w14:textId="77777777" w:rsidR="00C1563E" w:rsidRDefault="000B648B">
      <w:r>
        <w:rPr>
          <w:rFonts w:ascii="Times New Roman" w:eastAsia="宋体" w:hAnsi="Times New Roman"/>
          <w:i/>
          <w:iCs/>
          <w:color w:val="000000"/>
          <w:sz w:val="20"/>
          <w:szCs w:val="20"/>
        </w:rPr>
        <w:t>Strategic Investments</w:t>
      </w:r>
      <w:r>
        <w:rPr>
          <w:rFonts w:ascii="Times New Roman" w:eastAsia="宋体" w:hAnsi="Times New Roman"/>
          <w:color w:val="000000"/>
          <w:sz w:val="20"/>
          <w:szCs w:val="20"/>
        </w:rPr>
        <w:t xml:space="preserve"> — Our strategic investments include early-s</w:t>
      </w:r>
      <w:r>
        <w:rPr>
          <w:rFonts w:ascii="Times New Roman" w:eastAsia="宋体" w:hAnsi="Times New Roman"/>
          <w:color w:val="000000"/>
          <w:sz w:val="20"/>
          <w:szCs w:val="20"/>
        </w:rPr>
        <w:t xml:space="preserve">tage, privately-held companies that are considered to be in the start-up or development stages and are inherently risky. The technologies or products these companies have under development are typically in the early stages and may never materialize, which </w:t>
      </w:r>
      <w:r>
        <w:rPr>
          <w:rFonts w:ascii="Times New Roman" w:eastAsia="宋体" w:hAnsi="Times New Roman"/>
          <w:color w:val="000000"/>
          <w:sz w:val="20"/>
          <w:szCs w:val="20"/>
        </w:rPr>
        <w:t>could result in a loss of a substantial part of our initial investment in the companies. We account for these investments at cost minus impairment, if any, plus or minus changes resulting from observable price changes in orderly transactions for the identi</w:t>
      </w:r>
      <w:r>
        <w:rPr>
          <w:rFonts w:ascii="Times New Roman" w:eastAsia="宋体" w:hAnsi="Times New Roman"/>
          <w:color w:val="000000"/>
          <w:sz w:val="20"/>
          <w:szCs w:val="20"/>
        </w:rPr>
        <w:t>cal or a similar security of the same issuer. The evaluation is based on information provided by these companies, which are not subject to the same disclosure obligations as U.S. publicly-traded companies, and as such, the basis for these evaluations is su</w:t>
      </w:r>
      <w:r>
        <w:rPr>
          <w:rFonts w:ascii="Times New Roman" w:eastAsia="宋体" w:hAnsi="Times New Roman"/>
          <w:color w:val="000000"/>
          <w:sz w:val="20"/>
          <w:szCs w:val="20"/>
        </w:rPr>
        <w:t>bject to the timing and accuracy of the data provided. The carrying value of our strategic investments without readily determinable fair values was $990 million and $852 million as of January 29, 2021 and January 31, 2020, respectively.</w:t>
      </w:r>
    </w:p>
    <w:p w14:paraId="7DCFE611" w14:textId="77777777" w:rsidR="00C1563E" w:rsidRDefault="00C1563E">
      <w:pPr>
        <w:jc w:val="center"/>
      </w:pPr>
    </w:p>
    <w:p w14:paraId="7DCFE612" w14:textId="77777777" w:rsidR="00C1563E" w:rsidRDefault="000B648B">
      <w:pPr>
        <w:jc w:val="center"/>
      </w:pPr>
      <w:r>
        <w:rPr>
          <w:rFonts w:ascii="Times New Roman" w:eastAsia="宋体" w:hAnsi="Times New Roman"/>
          <w:color w:val="000000"/>
          <w:sz w:val="20"/>
          <w:szCs w:val="20"/>
        </w:rPr>
        <w:t>69</w:t>
      </w:r>
    </w:p>
    <w:p w14:paraId="7DCFE613" w14:textId="77777777" w:rsidR="00C1563E" w:rsidRDefault="00C1563E">
      <w:pPr>
        <w:jc w:val="center"/>
      </w:pPr>
    </w:p>
    <w:p w14:paraId="7DCFE614" w14:textId="77777777" w:rsidR="00C1563E" w:rsidRDefault="000B648B">
      <w:r>
        <w:pict w14:anchorId="7DD025AF">
          <v:rect id="_x0000_i1093" style="width:415.3pt;height:1.5pt" o:hralign="center" o:hrstd="t" o:hr="t" fillcolor="#a0a0a0" stroked="f"/>
        </w:pict>
      </w:r>
    </w:p>
    <w:p w14:paraId="7DCFE615" w14:textId="77777777" w:rsidR="00C1563E" w:rsidRDefault="000B648B">
      <w:hyperlink r:id="rId145" w:anchor="i418e32e4a35149ffbf7d3a25d66881b8_10" w:history="1">
        <w:r>
          <w:rPr>
            <w:rStyle w:val="a5"/>
            <w:rFonts w:ascii="Times New Roman" w:eastAsia="宋体" w:hAnsi="Times New Roman"/>
            <w:sz w:val="20"/>
            <w:szCs w:val="20"/>
          </w:rPr>
          <w:t>Table of Contents</w:t>
        </w:r>
      </w:hyperlink>
    </w:p>
    <w:p w14:paraId="7DCFE616" w14:textId="77777777" w:rsidR="00C1563E" w:rsidRDefault="000B648B">
      <w:r>
        <w:rPr>
          <w:rFonts w:ascii="Times New Roman" w:eastAsia="宋体" w:hAnsi="Times New Roman"/>
          <w:b/>
          <w:bCs/>
          <w:color w:val="000000"/>
          <w:sz w:val="20"/>
          <w:szCs w:val="20"/>
        </w:rPr>
        <w:t xml:space="preserve">ITEM 8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AND SUPPLEMENTARY DATA</w:t>
      </w:r>
    </w:p>
    <w:p w14:paraId="7DCFE617" w14:textId="77777777" w:rsidR="00C1563E" w:rsidRDefault="00C1563E"/>
    <w:p w14:paraId="7DCFE618" w14:textId="77777777" w:rsidR="00C1563E" w:rsidRDefault="000B648B">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6"/>
        <w:gridCol w:w="39"/>
        <w:gridCol w:w="72"/>
        <w:gridCol w:w="415"/>
        <w:gridCol w:w="36"/>
      </w:tblGrid>
      <w:tr w:rsidR="00C1563E" w14:paraId="7DCFE61F" w14:textId="77777777">
        <w:trPr>
          <w:jc w:val="center"/>
        </w:trPr>
        <w:tc>
          <w:tcPr>
            <w:tcW w:w="50" w:type="pct"/>
            <w:shd w:val="clear" w:color="auto" w:fill="auto"/>
          </w:tcPr>
          <w:p w14:paraId="7DCFE619" w14:textId="77777777" w:rsidR="00C1563E" w:rsidRDefault="00C1563E">
            <w:pPr>
              <w:rPr>
                <w:rFonts w:ascii="宋体"/>
              </w:rPr>
            </w:pPr>
          </w:p>
        </w:tc>
        <w:tc>
          <w:tcPr>
            <w:tcW w:w="4630" w:type="pct"/>
            <w:shd w:val="clear" w:color="auto" w:fill="auto"/>
          </w:tcPr>
          <w:p w14:paraId="7DCFE61A" w14:textId="77777777" w:rsidR="00C1563E" w:rsidRDefault="00C1563E">
            <w:pPr>
              <w:rPr>
                <w:rFonts w:ascii="宋体"/>
              </w:rPr>
            </w:pPr>
          </w:p>
        </w:tc>
        <w:tc>
          <w:tcPr>
            <w:tcW w:w="5" w:type="pct"/>
            <w:shd w:val="clear" w:color="auto" w:fill="auto"/>
          </w:tcPr>
          <w:p w14:paraId="7DCFE61B" w14:textId="77777777" w:rsidR="00C1563E" w:rsidRDefault="00C1563E">
            <w:pPr>
              <w:rPr>
                <w:rFonts w:ascii="宋体"/>
              </w:rPr>
            </w:pPr>
          </w:p>
        </w:tc>
        <w:tc>
          <w:tcPr>
            <w:tcW w:w="50" w:type="pct"/>
            <w:shd w:val="clear" w:color="auto" w:fill="auto"/>
          </w:tcPr>
          <w:p w14:paraId="7DCFE61C" w14:textId="77777777" w:rsidR="00C1563E" w:rsidRDefault="00C1563E">
            <w:pPr>
              <w:rPr>
                <w:rFonts w:ascii="宋体"/>
              </w:rPr>
            </w:pPr>
          </w:p>
        </w:tc>
        <w:tc>
          <w:tcPr>
            <w:tcW w:w="259" w:type="pct"/>
            <w:shd w:val="clear" w:color="auto" w:fill="auto"/>
          </w:tcPr>
          <w:p w14:paraId="7DCFE61D" w14:textId="77777777" w:rsidR="00C1563E" w:rsidRDefault="00C1563E">
            <w:pPr>
              <w:rPr>
                <w:rFonts w:ascii="宋体"/>
              </w:rPr>
            </w:pPr>
          </w:p>
        </w:tc>
        <w:tc>
          <w:tcPr>
            <w:tcW w:w="5" w:type="pct"/>
            <w:shd w:val="clear" w:color="auto" w:fill="auto"/>
          </w:tcPr>
          <w:p w14:paraId="7DCFE61E" w14:textId="77777777" w:rsidR="00C1563E" w:rsidRDefault="00C1563E">
            <w:pPr>
              <w:rPr>
                <w:rFonts w:ascii="宋体"/>
              </w:rPr>
            </w:pPr>
          </w:p>
        </w:tc>
      </w:tr>
      <w:tr w:rsidR="00C1563E" w14:paraId="7DCFE622" w14:textId="77777777">
        <w:trPr>
          <w:jc w:val="center"/>
        </w:trPr>
        <w:tc>
          <w:tcPr>
            <w:tcW w:w="0" w:type="auto"/>
            <w:gridSpan w:val="3"/>
            <w:shd w:val="clear" w:color="auto" w:fill="auto"/>
            <w:tcMar>
              <w:top w:w="0" w:type="dxa"/>
              <w:left w:w="20" w:type="dxa"/>
              <w:bottom w:w="0" w:type="dxa"/>
              <w:right w:w="20" w:type="dxa"/>
            </w:tcMar>
          </w:tcPr>
          <w:p w14:paraId="7DCFE62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621" w14:textId="77777777" w:rsidR="00C1563E" w:rsidRDefault="000B648B">
            <w:pPr>
              <w:jc w:val="center"/>
              <w:textAlignment w:val="bottom"/>
            </w:pPr>
            <w:r>
              <w:rPr>
                <w:rFonts w:ascii="Times New Roman" w:eastAsia="宋体" w:hAnsi="Times New Roman"/>
                <w:b/>
                <w:bCs/>
                <w:color w:val="000000"/>
                <w:sz w:val="20"/>
                <w:szCs w:val="20"/>
              </w:rPr>
              <w:t>Page</w:t>
            </w:r>
          </w:p>
        </w:tc>
      </w:tr>
      <w:tr w:rsidR="00C1563E" w14:paraId="7DCFE625" w14:textId="77777777">
        <w:trPr>
          <w:jc w:val="center"/>
        </w:trPr>
        <w:tc>
          <w:tcPr>
            <w:tcW w:w="0" w:type="auto"/>
            <w:gridSpan w:val="3"/>
            <w:shd w:val="clear" w:color="auto" w:fill="auto"/>
            <w:tcMar>
              <w:top w:w="40" w:type="dxa"/>
              <w:left w:w="20" w:type="dxa"/>
              <w:bottom w:w="40" w:type="dxa"/>
              <w:right w:w="20" w:type="dxa"/>
            </w:tcMar>
            <w:vAlign w:val="bottom"/>
          </w:tcPr>
          <w:p w14:paraId="7DCFE623" w14:textId="77777777" w:rsidR="00C1563E" w:rsidRDefault="000B648B">
            <w:pPr>
              <w:textAlignment w:val="bottom"/>
            </w:pPr>
            <w:hyperlink r:id="rId146" w:anchor="i418e32e4a35149ffbf7d3a25d66881b8_70" w:history="1">
              <w:r>
                <w:rPr>
                  <w:rStyle w:val="a5"/>
                  <w:rFonts w:ascii="Times New Roman" w:eastAsia="宋体" w:hAnsi="Times New Roman"/>
                  <w:sz w:val="20"/>
                  <w:szCs w:val="20"/>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7DCFE624" w14:textId="77777777" w:rsidR="00C1563E" w:rsidRDefault="000B648B">
            <w:pPr>
              <w:jc w:val="center"/>
              <w:textAlignment w:val="bottom"/>
            </w:pPr>
            <w:hyperlink r:id="rId147" w:anchor="i418e32e4a35149ffbf7d3a25d66881b8_70" w:history="1">
              <w:r>
                <w:rPr>
                  <w:rStyle w:val="a5"/>
                  <w:rFonts w:ascii="Times New Roman" w:eastAsia="宋体" w:hAnsi="Times New Roman"/>
                  <w:sz w:val="20"/>
                  <w:szCs w:val="20"/>
                </w:rPr>
                <w:t>71</w:t>
              </w:r>
            </w:hyperlink>
          </w:p>
        </w:tc>
      </w:tr>
      <w:tr w:rsidR="00C1563E" w14:paraId="7DCFE628" w14:textId="77777777">
        <w:trPr>
          <w:jc w:val="center"/>
        </w:trPr>
        <w:tc>
          <w:tcPr>
            <w:tcW w:w="0" w:type="auto"/>
            <w:gridSpan w:val="3"/>
            <w:shd w:val="clear" w:color="auto" w:fill="auto"/>
            <w:tcMar>
              <w:top w:w="40" w:type="dxa"/>
              <w:left w:w="20" w:type="dxa"/>
              <w:bottom w:w="40" w:type="dxa"/>
              <w:right w:w="20" w:type="dxa"/>
            </w:tcMar>
            <w:vAlign w:val="bottom"/>
          </w:tcPr>
          <w:p w14:paraId="7DCFE626" w14:textId="77777777" w:rsidR="00C1563E" w:rsidRDefault="000B648B">
            <w:pPr>
              <w:textAlignment w:val="bottom"/>
            </w:pPr>
            <w:hyperlink r:id="rId148" w:anchor="i418e32e4a35149ffbf7d3a25d66881b8_73" w:history="1">
              <w:r>
                <w:rPr>
                  <w:rStyle w:val="a5"/>
                  <w:rFonts w:ascii="Times New Roman" w:eastAsia="宋体" w:hAnsi="Times New Roman"/>
                  <w:sz w:val="20"/>
                  <w:szCs w:val="20"/>
                </w:rPr>
                <w:t xml:space="preserve">Consolidated Statements of Financial Position as of </w:t>
              </w:r>
            </w:hyperlink>
            <w:hyperlink r:id="rId149" w:anchor="i418e32e4a35149ffbf7d3a25d66881b8_73" w:history="1">
              <w:r>
                <w:rPr>
                  <w:rStyle w:val="a5"/>
                  <w:rFonts w:ascii="Times New Roman" w:eastAsia="宋体" w:hAnsi="Times New Roman"/>
                  <w:sz w:val="20"/>
                  <w:szCs w:val="20"/>
                </w:rPr>
                <w:t>January 29, 2021</w:t>
              </w:r>
            </w:hyperlink>
            <w:hyperlink r:id="rId150" w:anchor="i418e32e4a35149ffbf7d3a25d66881b8_73" w:history="1">
              <w:r>
                <w:rPr>
                  <w:rStyle w:val="a5"/>
                  <w:rFonts w:ascii="Times New Roman" w:eastAsia="宋体" w:hAnsi="Times New Roman"/>
                  <w:sz w:val="20"/>
                  <w:szCs w:val="20"/>
                </w:rPr>
                <w:t xml:space="preserve"> and</w:t>
              </w:r>
            </w:hyperlink>
            <w:hyperlink r:id="rId151" w:anchor="i418e32e4a35149ffbf7d3a25d66881b8_73" w:history="1">
              <w:r>
                <w:rPr>
                  <w:rStyle w:val="a5"/>
                  <w:rFonts w:ascii="Times New Roman" w:eastAsia="宋体" w:hAnsi="Times New Roman"/>
                  <w:sz w:val="20"/>
                  <w:szCs w:val="20"/>
                </w:rPr>
                <w:t xml:space="preserve"> </w:t>
              </w:r>
            </w:hyperlink>
            <w:hyperlink r:id="rId152" w:anchor="i418e32e4a35149ffbf7d3a25d66881b8_73" w:history="1">
              <w:r>
                <w:rPr>
                  <w:rStyle w:val="a5"/>
                  <w:rFonts w:ascii="Times New Roman" w:eastAsia="宋体" w:hAnsi="Times New Roman"/>
                  <w:sz w:val="20"/>
                  <w:szCs w:val="20"/>
                </w:rPr>
                <w:t>January 31, 2020</w:t>
              </w:r>
            </w:hyperlink>
          </w:p>
        </w:tc>
        <w:tc>
          <w:tcPr>
            <w:tcW w:w="0" w:type="auto"/>
            <w:gridSpan w:val="3"/>
            <w:shd w:val="clear" w:color="auto" w:fill="auto"/>
            <w:tcMar>
              <w:top w:w="40" w:type="dxa"/>
              <w:left w:w="20" w:type="dxa"/>
              <w:bottom w:w="40" w:type="dxa"/>
              <w:right w:w="20" w:type="dxa"/>
            </w:tcMar>
            <w:vAlign w:val="bottom"/>
          </w:tcPr>
          <w:p w14:paraId="7DCFE627" w14:textId="77777777" w:rsidR="00C1563E" w:rsidRDefault="000B648B">
            <w:pPr>
              <w:jc w:val="center"/>
              <w:textAlignment w:val="bottom"/>
            </w:pPr>
            <w:hyperlink r:id="rId153" w:anchor="i418e32e4a35149ffbf7d3a25d66881b8_73" w:history="1">
              <w:r>
                <w:rPr>
                  <w:rStyle w:val="a5"/>
                  <w:rFonts w:ascii="Times New Roman" w:eastAsia="宋体" w:hAnsi="Times New Roman"/>
                  <w:sz w:val="20"/>
                  <w:szCs w:val="20"/>
                </w:rPr>
                <w:t>74</w:t>
              </w:r>
            </w:hyperlink>
          </w:p>
        </w:tc>
      </w:tr>
      <w:tr w:rsidR="00C1563E" w14:paraId="7DCFE62B" w14:textId="77777777">
        <w:trPr>
          <w:jc w:val="center"/>
        </w:trPr>
        <w:tc>
          <w:tcPr>
            <w:tcW w:w="0" w:type="auto"/>
            <w:gridSpan w:val="3"/>
            <w:shd w:val="clear" w:color="auto" w:fill="auto"/>
            <w:tcMar>
              <w:top w:w="40" w:type="dxa"/>
              <w:left w:w="20" w:type="dxa"/>
              <w:bottom w:w="40" w:type="dxa"/>
              <w:right w:w="20" w:type="dxa"/>
            </w:tcMar>
            <w:vAlign w:val="bottom"/>
          </w:tcPr>
          <w:p w14:paraId="7DCFE629" w14:textId="77777777" w:rsidR="00C1563E" w:rsidRDefault="000B648B">
            <w:pPr>
              <w:textAlignment w:val="bottom"/>
            </w:pPr>
            <w:hyperlink r:id="rId154" w:anchor="i418e32e4a35149ffbf7d3a25d66881b8_79" w:history="1">
              <w:r>
                <w:rPr>
                  <w:rStyle w:val="a5"/>
                  <w:rFonts w:ascii="Times New Roman" w:eastAsia="宋体" w:hAnsi="Times New Roman"/>
                  <w:sz w:val="20"/>
                  <w:szCs w:val="20"/>
                </w:rPr>
                <w:t xml:space="preserve">Consolidated Statements of Income (Loss) for the fiscal years ended </w:t>
              </w:r>
            </w:hyperlink>
            <w:hyperlink r:id="rId155" w:anchor="i418e32e4a35149ffbf7d3a25d66881b8_73" w:history="1">
              <w:r>
                <w:rPr>
                  <w:rStyle w:val="a5"/>
                  <w:rFonts w:ascii="Times New Roman" w:eastAsia="宋体" w:hAnsi="Times New Roman"/>
                  <w:sz w:val="20"/>
                  <w:szCs w:val="20"/>
                </w:rPr>
                <w:t>January 29, 2021</w:t>
              </w:r>
            </w:hyperlink>
            <w:r>
              <w:rPr>
                <w:rFonts w:ascii="Times New Roman" w:eastAsia="宋体" w:hAnsi="Times New Roman"/>
                <w:color w:val="000000"/>
                <w:sz w:val="20"/>
                <w:szCs w:val="20"/>
              </w:rPr>
              <w:t xml:space="preserve">, </w:t>
            </w:r>
            <w:hyperlink r:id="rId156" w:anchor="i418e32e4a35149ffbf7d3a25d66881b8_79" w:history="1">
              <w:r>
                <w:rPr>
                  <w:rStyle w:val="a5"/>
                  <w:rFonts w:ascii="Times New Roman" w:eastAsia="宋体" w:hAnsi="Times New Roman"/>
                  <w:sz w:val="20"/>
                  <w:szCs w:val="20"/>
                </w:rPr>
                <w:t xml:space="preserve">January 31 2020, </w:t>
              </w:r>
            </w:hyperlink>
            <w:hyperlink r:id="rId157" w:anchor="i418e32e4a35149ffbf7d3a25d66881b8_79" w:history="1">
              <w:r>
                <w:rPr>
                  <w:rStyle w:val="a5"/>
                  <w:rFonts w:ascii="Times New Roman" w:eastAsia="宋体" w:hAnsi="Times New Roman"/>
                  <w:sz w:val="20"/>
                  <w:szCs w:val="20"/>
                </w:rPr>
                <w:t xml:space="preserve">and </w:t>
              </w:r>
            </w:hyperlink>
            <w:hyperlink r:id="rId158" w:anchor="i418e32e4a35149ffbf7d3a25d66881b8_79" w:history="1">
              <w:r>
                <w:rPr>
                  <w:rStyle w:val="a5"/>
                  <w:rFonts w:ascii="Times New Roman" w:eastAsia="宋体" w:hAnsi="Times New Roman"/>
                  <w:sz w:val="20"/>
                  <w:szCs w:val="20"/>
                </w:rPr>
                <w:t>February 1, 2019</w:t>
              </w:r>
            </w:hyperlink>
          </w:p>
        </w:tc>
        <w:tc>
          <w:tcPr>
            <w:tcW w:w="0" w:type="auto"/>
            <w:gridSpan w:val="3"/>
            <w:shd w:val="clear" w:color="auto" w:fill="auto"/>
            <w:tcMar>
              <w:top w:w="40" w:type="dxa"/>
              <w:left w:w="20" w:type="dxa"/>
              <w:bottom w:w="40" w:type="dxa"/>
              <w:right w:w="20" w:type="dxa"/>
            </w:tcMar>
            <w:vAlign w:val="bottom"/>
          </w:tcPr>
          <w:p w14:paraId="7DCFE62A" w14:textId="77777777" w:rsidR="00C1563E" w:rsidRDefault="000B648B">
            <w:pPr>
              <w:jc w:val="center"/>
              <w:textAlignment w:val="bottom"/>
            </w:pPr>
            <w:hyperlink r:id="rId159" w:anchor="i418e32e4a35149ffbf7d3a25d66881b8_79" w:history="1">
              <w:r>
                <w:rPr>
                  <w:rStyle w:val="a5"/>
                  <w:rFonts w:ascii="Times New Roman" w:eastAsia="宋体" w:hAnsi="Times New Roman"/>
                  <w:sz w:val="20"/>
                  <w:szCs w:val="20"/>
                </w:rPr>
                <w:t>75</w:t>
              </w:r>
            </w:hyperlink>
          </w:p>
        </w:tc>
      </w:tr>
      <w:tr w:rsidR="00C1563E" w14:paraId="7DCFE62E" w14:textId="77777777">
        <w:trPr>
          <w:jc w:val="center"/>
        </w:trPr>
        <w:tc>
          <w:tcPr>
            <w:tcW w:w="0" w:type="auto"/>
            <w:gridSpan w:val="3"/>
            <w:shd w:val="clear" w:color="auto" w:fill="auto"/>
            <w:tcMar>
              <w:top w:w="40" w:type="dxa"/>
              <w:left w:w="20" w:type="dxa"/>
              <w:bottom w:w="40" w:type="dxa"/>
              <w:right w:w="20" w:type="dxa"/>
            </w:tcMar>
            <w:vAlign w:val="bottom"/>
          </w:tcPr>
          <w:p w14:paraId="7DCFE62C" w14:textId="77777777" w:rsidR="00C1563E" w:rsidRDefault="000B648B">
            <w:pPr>
              <w:textAlignment w:val="bottom"/>
            </w:pPr>
            <w:hyperlink r:id="rId160" w:anchor="i418e32e4a35149ffbf7d3a25d66881b8_82" w:history="1">
              <w:r>
                <w:rPr>
                  <w:rStyle w:val="a5"/>
                  <w:rFonts w:ascii="Times New Roman" w:eastAsia="宋体" w:hAnsi="Times New Roman"/>
                  <w:sz w:val="20"/>
                  <w:szCs w:val="20"/>
                </w:rPr>
                <w:t xml:space="preserve">Consolidated Statements of Comprehensive Income (Loss) for the fiscal years ended </w:t>
              </w:r>
            </w:hyperlink>
            <w:hyperlink r:id="rId161" w:anchor="i418e32e4a35149ffbf7d3a25d66881b8_73" w:history="1">
              <w:r>
                <w:rPr>
                  <w:rStyle w:val="a5"/>
                  <w:rFonts w:ascii="Times New Roman" w:eastAsia="宋体" w:hAnsi="Times New Roman"/>
                  <w:sz w:val="20"/>
                  <w:szCs w:val="20"/>
                </w:rPr>
                <w:t>January 29, 2021</w:t>
              </w:r>
            </w:hyperlink>
            <w:r>
              <w:rPr>
                <w:rFonts w:ascii="Times New Roman" w:eastAsia="宋体" w:hAnsi="Times New Roman"/>
                <w:color w:val="000000"/>
                <w:sz w:val="20"/>
                <w:szCs w:val="20"/>
              </w:rPr>
              <w:t xml:space="preserve">, </w:t>
            </w:r>
            <w:hyperlink r:id="rId162" w:anchor="i418e32e4a35149ffbf7d3a25d66881b8_82" w:history="1">
              <w:r>
                <w:rPr>
                  <w:rStyle w:val="a5"/>
                  <w:rFonts w:ascii="Times New Roman" w:eastAsia="宋体" w:hAnsi="Times New Roman"/>
                  <w:sz w:val="20"/>
                  <w:szCs w:val="20"/>
                </w:rPr>
                <w:t xml:space="preserve">January 31 2020, </w:t>
              </w:r>
            </w:hyperlink>
            <w:hyperlink r:id="rId163" w:anchor="i418e32e4a35149ffbf7d3a25d66881b8_82" w:history="1">
              <w:r>
                <w:rPr>
                  <w:rStyle w:val="a5"/>
                  <w:rFonts w:ascii="Times New Roman" w:eastAsia="宋体" w:hAnsi="Times New Roman"/>
                  <w:sz w:val="20"/>
                  <w:szCs w:val="20"/>
                </w:rPr>
                <w:t xml:space="preserve">and </w:t>
              </w:r>
            </w:hyperlink>
            <w:hyperlink r:id="rId164" w:anchor="i418e32e4a35149ffbf7d3a25d66881b8_82" w:history="1">
              <w:r>
                <w:rPr>
                  <w:rStyle w:val="a5"/>
                  <w:rFonts w:ascii="Times New Roman" w:eastAsia="宋体" w:hAnsi="Times New Roman"/>
                  <w:sz w:val="20"/>
                  <w:szCs w:val="20"/>
                </w:rPr>
                <w:t>February 1, 2019</w:t>
              </w:r>
            </w:hyperlink>
          </w:p>
        </w:tc>
        <w:tc>
          <w:tcPr>
            <w:tcW w:w="0" w:type="auto"/>
            <w:gridSpan w:val="3"/>
            <w:shd w:val="clear" w:color="auto" w:fill="auto"/>
            <w:tcMar>
              <w:top w:w="40" w:type="dxa"/>
              <w:left w:w="20" w:type="dxa"/>
              <w:bottom w:w="40" w:type="dxa"/>
              <w:right w:w="20" w:type="dxa"/>
            </w:tcMar>
            <w:vAlign w:val="bottom"/>
          </w:tcPr>
          <w:p w14:paraId="7DCFE62D" w14:textId="77777777" w:rsidR="00C1563E" w:rsidRDefault="000B648B">
            <w:pPr>
              <w:jc w:val="center"/>
              <w:textAlignment w:val="bottom"/>
            </w:pPr>
            <w:hyperlink r:id="rId165" w:anchor="i418e32e4a35149ffbf7d3a25d66881b8_82" w:history="1">
              <w:r>
                <w:rPr>
                  <w:rStyle w:val="a5"/>
                  <w:rFonts w:ascii="Times New Roman" w:eastAsia="宋体" w:hAnsi="Times New Roman"/>
                  <w:sz w:val="20"/>
                  <w:szCs w:val="20"/>
                </w:rPr>
                <w:t>76</w:t>
              </w:r>
            </w:hyperlink>
          </w:p>
        </w:tc>
      </w:tr>
      <w:tr w:rsidR="00C1563E" w14:paraId="7DCFE631" w14:textId="77777777">
        <w:trPr>
          <w:jc w:val="center"/>
        </w:trPr>
        <w:tc>
          <w:tcPr>
            <w:tcW w:w="0" w:type="auto"/>
            <w:gridSpan w:val="3"/>
            <w:shd w:val="clear" w:color="auto" w:fill="auto"/>
            <w:tcMar>
              <w:top w:w="40" w:type="dxa"/>
              <w:left w:w="20" w:type="dxa"/>
              <w:bottom w:w="40" w:type="dxa"/>
              <w:right w:w="20" w:type="dxa"/>
            </w:tcMar>
            <w:vAlign w:val="bottom"/>
          </w:tcPr>
          <w:p w14:paraId="7DCFE62F" w14:textId="77777777" w:rsidR="00C1563E" w:rsidRDefault="000B648B">
            <w:pPr>
              <w:textAlignment w:val="bottom"/>
            </w:pPr>
            <w:hyperlink r:id="rId166" w:anchor="i418e32e4a35149ffbf7d3a25d66881b8_88" w:history="1">
              <w:r>
                <w:rPr>
                  <w:rStyle w:val="a5"/>
                  <w:rFonts w:ascii="Times New Roman" w:eastAsia="宋体" w:hAnsi="Times New Roman"/>
                  <w:sz w:val="20"/>
                  <w:szCs w:val="20"/>
                </w:rPr>
                <w:t xml:space="preserve">Consolidated Statements of Cash Flows for the fiscal years ended </w:t>
              </w:r>
            </w:hyperlink>
            <w:hyperlink r:id="rId167" w:anchor="i418e32e4a35149ffbf7d3a25d66881b8_73" w:history="1">
              <w:r>
                <w:rPr>
                  <w:rStyle w:val="a5"/>
                  <w:rFonts w:ascii="Times New Roman" w:eastAsia="宋体" w:hAnsi="Times New Roman"/>
                  <w:sz w:val="20"/>
                  <w:szCs w:val="20"/>
                </w:rPr>
                <w:t>January 29, 2021</w:t>
              </w:r>
            </w:hyperlink>
            <w:r>
              <w:rPr>
                <w:rFonts w:ascii="Times New Roman" w:eastAsia="宋体" w:hAnsi="Times New Roman"/>
                <w:color w:val="000000"/>
                <w:sz w:val="20"/>
                <w:szCs w:val="20"/>
              </w:rPr>
              <w:t xml:space="preserve">, </w:t>
            </w:r>
            <w:hyperlink r:id="rId168" w:anchor="i418e32e4a35149ffbf7d3a25d66881b8_88" w:history="1">
              <w:r>
                <w:rPr>
                  <w:rStyle w:val="a5"/>
                  <w:rFonts w:ascii="Times New Roman" w:eastAsia="宋体" w:hAnsi="Times New Roman"/>
                  <w:sz w:val="20"/>
                  <w:szCs w:val="20"/>
                </w:rPr>
                <w:t xml:space="preserve">January 31 2020, </w:t>
              </w:r>
            </w:hyperlink>
            <w:hyperlink r:id="rId169" w:anchor="i418e32e4a35149ffbf7d3a25d66881b8_88" w:history="1">
              <w:r>
                <w:rPr>
                  <w:rStyle w:val="a5"/>
                  <w:rFonts w:ascii="Times New Roman" w:eastAsia="宋体" w:hAnsi="Times New Roman"/>
                  <w:sz w:val="20"/>
                  <w:szCs w:val="20"/>
                </w:rPr>
                <w:t xml:space="preserve">and </w:t>
              </w:r>
            </w:hyperlink>
            <w:hyperlink r:id="rId170" w:anchor="i418e32e4a35149ffbf7d3a25d66881b8_88" w:history="1">
              <w:r>
                <w:rPr>
                  <w:rStyle w:val="a5"/>
                  <w:rFonts w:ascii="Times New Roman" w:eastAsia="宋体" w:hAnsi="Times New Roman"/>
                  <w:sz w:val="20"/>
                  <w:szCs w:val="20"/>
                </w:rPr>
                <w:t>Februar</w:t>
              </w:r>
              <w:r>
                <w:rPr>
                  <w:rStyle w:val="a5"/>
                  <w:rFonts w:ascii="Times New Roman" w:eastAsia="宋体" w:hAnsi="Times New Roman"/>
                  <w:sz w:val="20"/>
                  <w:szCs w:val="20"/>
                </w:rPr>
                <w:t>y 1, 2019</w:t>
              </w:r>
            </w:hyperlink>
          </w:p>
        </w:tc>
        <w:tc>
          <w:tcPr>
            <w:tcW w:w="0" w:type="auto"/>
            <w:gridSpan w:val="3"/>
            <w:shd w:val="clear" w:color="auto" w:fill="auto"/>
            <w:tcMar>
              <w:top w:w="40" w:type="dxa"/>
              <w:left w:w="20" w:type="dxa"/>
              <w:bottom w:w="40" w:type="dxa"/>
              <w:right w:w="20" w:type="dxa"/>
            </w:tcMar>
            <w:vAlign w:val="bottom"/>
          </w:tcPr>
          <w:p w14:paraId="7DCFE630" w14:textId="77777777" w:rsidR="00C1563E" w:rsidRDefault="000B648B">
            <w:pPr>
              <w:jc w:val="center"/>
              <w:textAlignment w:val="bottom"/>
            </w:pPr>
            <w:hyperlink r:id="rId171" w:anchor="i418e32e4a35149ffbf7d3a25d66881b8_88" w:history="1">
              <w:r>
                <w:rPr>
                  <w:rStyle w:val="a5"/>
                  <w:rFonts w:ascii="Times New Roman" w:eastAsia="宋体" w:hAnsi="Times New Roman"/>
                  <w:sz w:val="20"/>
                  <w:szCs w:val="20"/>
                </w:rPr>
                <w:t>77</w:t>
              </w:r>
            </w:hyperlink>
          </w:p>
        </w:tc>
      </w:tr>
      <w:tr w:rsidR="00C1563E" w14:paraId="7DCFE634" w14:textId="77777777">
        <w:trPr>
          <w:jc w:val="center"/>
        </w:trPr>
        <w:tc>
          <w:tcPr>
            <w:tcW w:w="0" w:type="auto"/>
            <w:gridSpan w:val="3"/>
            <w:shd w:val="clear" w:color="auto" w:fill="auto"/>
            <w:tcMar>
              <w:top w:w="40" w:type="dxa"/>
              <w:left w:w="20" w:type="dxa"/>
              <w:bottom w:w="40" w:type="dxa"/>
              <w:right w:w="20" w:type="dxa"/>
            </w:tcMar>
            <w:vAlign w:val="bottom"/>
          </w:tcPr>
          <w:p w14:paraId="7DCFE632" w14:textId="77777777" w:rsidR="00C1563E" w:rsidRDefault="000B648B">
            <w:pPr>
              <w:textAlignment w:val="bottom"/>
            </w:pPr>
            <w:hyperlink r:id="rId172" w:anchor="i418e32e4a35149ffbf7d3a25d66881b8_91" w:history="1">
              <w:r>
                <w:rPr>
                  <w:rStyle w:val="a5"/>
                  <w:rFonts w:ascii="Times New Roman" w:eastAsia="宋体" w:hAnsi="Times New Roman"/>
                  <w:sz w:val="20"/>
                  <w:szCs w:val="20"/>
                </w:rPr>
                <w:t xml:space="preserve">Consolidated Statements of Stockholders’ Equity (Deficit) for the fiscal years ended </w:t>
              </w:r>
            </w:hyperlink>
            <w:hyperlink r:id="rId173" w:anchor="i418e32e4a35149ffbf7d3a25d66881b8_73" w:history="1">
              <w:r>
                <w:rPr>
                  <w:rStyle w:val="a5"/>
                  <w:rFonts w:ascii="Times New Roman" w:eastAsia="宋体" w:hAnsi="Times New Roman"/>
                  <w:sz w:val="20"/>
                  <w:szCs w:val="20"/>
                </w:rPr>
                <w:t>January 29, 2021</w:t>
              </w:r>
            </w:hyperlink>
            <w:r>
              <w:rPr>
                <w:rFonts w:ascii="Times New Roman" w:eastAsia="宋体" w:hAnsi="Times New Roman"/>
                <w:color w:val="000000"/>
                <w:sz w:val="20"/>
                <w:szCs w:val="20"/>
              </w:rPr>
              <w:t xml:space="preserve">, </w:t>
            </w:r>
            <w:hyperlink r:id="rId174" w:anchor="i418e32e4a35149ffbf7d3a25d66881b8_91" w:history="1">
              <w:r>
                <w:rPr>
                  <w:rStyle w:val="a5"/>
                  <w:rFonts w:ascii="Times New Roman" w:eastAsia="宋体" w:hAnsi="Times New Roman"/>
                  <w:sz w:val="20"/>
                  <w:szCs w:val="20"/>
                </w:rPr>
                <w:t xml:space="preserve">January 31 2020, </w:t>
              </w:r>
            </w:hyperlink>
            <w:hyperlink r:id="rId175" w:anchor="i418e32e4a35149ffbf7d3a25d66881b8_91" w:history="1">
              <w:r>
                <w:rPr>
                  <w:rStyle w:val="a5"/>
                  <w:rFonts w:ascii="Times New Roman" w:eastAsia="宋体" w:hAnsi="Times New Roman"/>
                  <w:sz w:val="20"/>
                  <w:szCs w:val="20"/>
                </w:rPr>
                <w:t xml:space="preserve">and </w:t>
              </w:r>
            </w:hyperlink>
            <w:hyperlink r:id="rId176" w:anchor="i418e32e4a35149ffbf7d3a25d66881b8_91" w:history="1">
              <w:r>
                <w:rPr>
                  <w:rStyle w:val="a5"/>
                  <w:rFonts w:ascii="Times New Roman" w:eastAsia="宋体" w:hAnsi="Times New Roman"/>
                  <w:sz w:val="20"/>
                  <w:szCs w:val="20"/>
                </w:rPr>
                <w:t>February 1, 2019</w:t>
              </w:r>
            </w:hyperlink>
          </w:p>
        </w:tc>
        <w:tc>
          <w:tcPr>
            <w:tcW w:w="0" w:type="auto"/>
            <w:gridSpan w:val="3"/>
            <w:shd w:val="clear" w:color="auto" w:fill="auto"/>
            <w:tcMar>
              <w:top w:w="40" w:type="dxa"/>
              <w:left w:w="20" w:type="dxa"/>
              <w:bottom w:w="40" w:type="dxa"/>
              <w:right w:w="20" w:type="dxa"/>
            </w:tcMar>
            <w:vAlign w:val="bottom"/>
          </w:tcPr>
          <w:p w14:paraId="7DCFE633" w14:textId="77777777" w:rsidR="00C1563E" w:rsidRDefault="000B648B">
            <w:pPr>
              <w:jc w:val="center"/>
              <w:textAlignment w:val="bottom"/>
            </w:pPr>
            <w:hyperlink r:id="rId177" w:anchor="i418e32e4a35149ffbf7d3a25d66881b8_91" w:history="1">
              <w:r>
                <w:rPr>
                  <w:rStyle w:val="a5"/>
                  <w:rFonts w:ascii="Times New Roman" w:eastAsia="宋体" w:hAnsi="Times New Roman"/>
                  <w:sz w:val="20"/>
                  <w:szCs w:val="20"/>
                </w:rPr>
                <w:t>78</w:t>
              </w:r>
            </w:hyperlink>
          </w:p>
        </w:tc>
      </w:tr>
      <w:tr w:rsidR="00C1563E" w14:paraId="7DCFE637" w14:textId="77777777">
        <w:trPr>
          <w:jc w:val="center"/>
        </w:trPr>
        <w:tc>
          <w:tcPr>
            <w:tcW w:w="0" w:type="auto"/>
            <w:gridSpan w:val="3"/>
            <w:shd w:val="clear" w:color="auto" w:fill="auto"/>
            <w:tcMar>
              <w:top w:w="40" w:type="dxa"/>
              <w:left w:w="20" w:type="dxa"/>
              <w:bottom w:w="40" w:type="dxa"/>
              <w:right w:w="20" w:type="dxa"/>
            </w:tcMar>
            <w:vAlign w:val="bottom"/>
          </w:tcPr>
          <w:p w14:paraId="7DCFE635" w14:textId="77777777" w:rsidR="00C1563E" w:rsidRDefault="000B648B">
            <w:pPr>
              <w:textAlignment w:val="bottom"/>
            </w:pPr>
            <w:hyperlink r:id="rId178" w:anchor="i418e32e4a35149ffbf7d3a25d66881b8_94" w:history="1">
              <w:r>
                <w:rPr>
                  <w:rStyle w:val="a5"/>
                  <w:rFonts w:ascii="Times New Roman" w:eastAsia="宋体" w:hAnsi="Times New Roman"/>
                  <w:sz w:val="20"/>
                  <w:szCs w:val="20"/>
                </w:rPr>
                <w:t>Notes to the Consolidated Financial Statements</w:t>
              </w:r>
            </w:hyperlink>
          </w:p>
        </w:tc>
        <w:tc>
          <w:tcPr>
            <w:tcW w:w="0" w:type="auto"/>
            <w:gridSpan w:val="3"/>
            <w:shd w:val="clear" w:color="auto" w:fill="auto"/>
            <w:tcMar>
              <w:top w:w="40" w:type="dxa"/>
              <w:left w:w="20" w:type="dxa"/>
              <w:bottom w:w="40" w:type="dxa"/>
              <w:right w:w="20" w:type="dxa"/>
            </w:tcMar>
            <w:vAlign w:val="bottom"/>
          </w:tcPr>
          <w:p w14:paraId="7DCFE636" w14:textId="77777777" w:rsidR="00C1563E" w:rsidRDefault="000B648B">
            <w:pPr>
              <w:jc w:val="center"/>
              <w:textAlignment w:val="bottom"/>
            </w:pPr>
            <w:hyperlink r:id="rId179" w:anchor="i418e32e4a35149ffbf7d3a25d66881b8_94" w:history="1">
              <w:r>
                <w:rPr>
                  <w:rStyle w:val="a5"/>
                  <w:rFonts w:ascii="Times New Roman" w:eastAsia="宋体" w:hAnsi="Times New Roman"/>
                  <w:sz w:val="20"/>
                  <w:szCs w:val="20"/>
                </w:rPr>
                <w:t>81</w:t>
              </w:r>
            </w:hyperlink>
          </w:p>
        </w:tc>
      </w:tr>
      <w:tr w:rsidR="00C1563E" w14:paraId="7DCFE63A" w14:textId="77777777">
        <w:trPr>
          <w:jc w:val="center"/>
        </w:trPr>
        <w:tc>
          <w:tcPr>
            <w:tcW w:w="0" w:type="auto"/>
            <w:gridSpan w:val="3"/>
            <w:shd w:val="clear" w:color="auto" w:fill="auto"/>
            <w:tcMar>
              <w:top w:w="40" w:type="dxa"/>
              <w:left w:w="20" w:type="dxa"/>
              <w:bottom w:w="40" w:type="dxa"/>
              <w:right w:w="20" w:type="dxa"/>
            </w:tcMar>
            <w:vAlign w:val="bottom"/>
          </w:tcPr>
          <w:p w14:paraId="7DCFE638" w14:textId="77777777" w:rsidR="00C1563E" w:rsidRDefault="000B648B">
            <w:pPr>
              <w:textAlignment w:val="bottom"/>
            </w:pPr>
            <w:hyperlink r:id="rId180" w:anchor="i418e32e4a35149ffbf7d3a25d66881b8_97" w:history="1">
              <w:r>
                <w:rPr>
                  <w:rStyle w:val="a5"/>
                  <w:rFonts w:ascii="Times New Roman" w:eastAsia="宋体" w:hAnsi="Times New Roman"/>
                  <w:sz w:val="20"/>
                  <w:szCs w:val="20"/>
                </w:rPr>
                <w:t>Note 1 — Basis of Presentation</w:t>
              </w:r>
            </w:hyperlink>
          </w:p>
        </w:tc>
        <w:tc>
          <w:tcPr>
            <w:tcW w:w="0" w:type="auto"/>
            <w:gridSpan w:val="3"/>
            <w:shd w:val="clear" w:color="auto" w:fill="auto"/>
            <w:tcMar>
              <w:top w:w="40" w:type="dxa"/>
              <w:left w:w="20" w:type="dxa"/>
              <w:bottom w:w="40" w:type="dxa"/>
              <w:right w:w="20" w:type="dxa"/>
            </w:tcMar>
            <w:vAlign w:val="bottom"/>
          </w:tcPr>
          <w:p w14:paraId="7DCFE639" w14:textId="77777777" w:rsidR="00C1563E" w:rsidRDefault="000B648B">
            <w:pPr>
              <w:jc w:val="center"/>
              <w:textAlignment w:val="bottom"/>
            </w:pPr>
            <w:hyperlink r:id="rId181" w:anchor="i418e32e4a35149ffbf7d3a25d66881b8_97" w:history="1">
              <w:r>
                <w:rPr>
                  <w:rStyle w:val="a5"/>
                  <w:rFonts w:ascii="Times New Roman" w:eastAsia="宋体" w:hAnsi="Times New Roman"/>
                  <w:sz w:val="20"/>
                  <w:szCs w:val="20"/>
                </w:rPr>
                <w:t>81</w:t>
              </w:r>
            </w:hyperlink>
          </w:p>
        </w:tc>
      </w:tr>
      <w:tr w:rsidR="00C1563E" w14:paraId="7DCFE63D" w14:textId="77777777">
        <w:trPr>
          <w:jc w:val="center"/>
        </w:trPr>
        <w:tc>
          <w:tcPr>
            <w:tcW w:w="0" w:type="auto"/>
            <w:gridSpan w:val="3"/>
            <w:shd w:val="clear" w:color="auto" w:fill="auto"/>
            <w:tcMar>
              <w:top w:w="40" w:type="dxa"/>
              <w:left w:w="20" w:type="dxa"/>
              <w:bottom w:w="40" w:type="dxa"/>
              <w:right w:w="20" w:type="dxa"/>
            </w:tcMar>
            <w:vAlign w:val="bottom"/>
          </w:tcPr>
          <w:p w14:paraId="7DCFE63B" w14:textId="77777777" w:rsidR="00C1563E" w:rsidRDefault="000B648B">
            <w:pPr>
              <w:textAlignment w:val="bottom"/>
            </w:pPr>
            <w:hyperlink r:id="rId182" w:anchor="i418e32e4a35149ffbf7d3a25d66881b8_100" w:history="1">
              <w:r>
                <w:rPr>
                  <w:rStyle w:val="a5"/>
                  <w:rFonts w:ascii="Times New Roman" w:eastAsia="宋体" w:hAnsi="Times New Roman"/>
                  <w:sz w:val="20"/>
                  <w:szCs w:val="20"/>
                </w:rPr>
                <w:t>Note 2 — Descript</w:t>
              </w:r>
              <w:r>
                <w:rPr>
                  <w:rStyle w:val="a5"/>
                  <w:rFonts w:ascii="Times New Roman" w:eastAsia="宋体" w:hAnsi="Times New Roman"/>
                  <w:sz w:val="20"/>
                  <w:szCs w:val="20"/>
                </w:rPr>
                <w:t>ion of Business and 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7DCFE63C" w14:textId="77777777" w:rsidR="00C1563E" w:rsidRDefault="000B648B">
            <w:pPr>
              <w:jc w:val="center"/>
              <w:textAlignment w:val="bottom"/>
            </w:pPr>
            <w:hyperlink r:id="rId183" w:anchor="i418e32e4a35149ffbf7d3a25d66881b8_100" w:history="1">
              <w:r>
                <w:rPr>
                  <w:rStyle w:val="a5"/>
                  <w:rFonts w:ascii="Times New Roman" w:eastAsia="宋体" w:hAnsi="Times New Roman"/>
                  <w:sz w:val="20"/>
                  <w:szCs w:val="20"/>
                </w:rPr>
                <w:t>83</w:t>
              </w:r>
            </w:hyperlink>
          </w:p>
        </w:tc>
      </w:tr>
      <w:tr w:rsidR="00C1563E" w14:paraId="7DCFE640" w14:textId="77777777">
        <w:trPr>
          <w:jc w:val="center"/>
        </w:trPr>
        <w:tc>
          <w:tcPr>
            <w:tcW w:w="0" w:type="auto"/>
            <w:gridSpan w:val="3"/>
            <w:shd w:val="clear" w:color="auto" w:fill="auto"/>
            <w:tcMar>
              <w:top w:w="40" w:type="dxa"/>
              <w:left w:w="20" w:type="dxa"/>
              <w:bottom w:w="40" w:type="dxa"/>
              <w:right w:w="20" w:type="dxa"/>
            </w:tcMar>
            <w:vAlign w:val="bottom"/>
          </w:tcPr>
          <w:p w14:paraId="7DCFE63E" w14:textId="77777777" w:rsidR="00C1563E" w:rsidRDefault="000B648B">
            <w:pPr>
              <w:textAlignment w:val="bottom"/>
            </w:pPr>
            <w:hyperlink r:id="rId184" w:anchor="i418e32e4a35149ffbf7d3a25d66881b8_106" w:history="1">
              <w:r>
                <w:rPr>
                  <w:rStyle w:val="a5"/>
                  <w:rFonts w:ascii="Times New Roman" w:eastAsia="宋体" w:hAnsi="Times New Roman"/>
                  <w:sz w:val="20"/>
                  <w:szCs w:val="20"/>
                </w:rPr>
                <w:t>Note 3 — Fair Value Measurements and Investments</w:t>
              </w:r>
            </w:hyperlink>
          </w:p>
        </w:tc>
        <w:tc>
          <w:tcPr>
            <w:tcW w:w="0" w:type="auto"/>
            <w:gridSpan w:val="3"/>
            <w:shd w:val="clear" w:color="auto" w:fill="auto"/>
            <w:tcMar>
              <w:top w:w="40" w:type="dxa"/>
              <w:left w:w="20" w:type="dxa"/>
              <w:bottom w:w="40" w:type="dxa"/>
              <w:right w:w="20" w:type="dxa"/>
            </w:tcMar>
            <w:vAlign w:val="bottom"/>
          </w:tcPr>
          <w:p w14:paraId="7DCFE63F" w14:textId="77777777" w:rsidR="00C1563E" w:rsidRDefault="000B648B">
            <w:pPr>
              <w:jc w:val="center"/>
              <w:textAlignment w:val="bottom"/>
            </w:pPr>
            <w:hyperlink r:id="rId185" w:anchor="i418e32e4a35149ffbf7d3a25d66881b8_106" w:history="1">
              <w:r>
                <w:rPr>
                  <w:rStyle w:val="a5"/>
                  <w:rFonts w:ascii="Times New Roman" w:eastAsia="宋体" w:hAnsi="Times New Roman"/>
                  <w:sz w:val="20"/>
                  <w:szCs w:val="20"/>
                </w:rPr>
                <w:t>95</w:t>
              </w:r>
            </w:hyperlink>
          </w:p>
        </w:tc>
      </w:tr>
      <w:tr w:rsidR="00C1563E" w14:paraId="7DCFE643" w14:textId="77777777">
        <w:trPr>
          <w:jc w:val="center"/>
        </w:trPr>
        <w:tc>
          <w:tcPr>
            <w:tcW w:w="0" w:type="auto"/>
            <w:gridSpan w:val="3"/>
            <w:shd w:val="clear" w:color="auto" w:fill="auto"/>
            <w:tcMar>
              <w:top w:w="40" w:type="dxa"/>
              <w:left w:w="20" w:type="dxa"/>
              <w:bottom w:w="40" w:type="dxa"/>
              <w:right w:w="20" w:type="dxa"/>
            </w:tcMar>
            <w:vAlign w:val="bottom"/>
          </w:tcPr>
          <w:p w14:paraId="7DCFE641" w14:textId="77777777" w:rsidR="00C1563E" w:rsidRDefault="000B648B">
            <w:pPr>
              <w:textAlignment w:val="bottom"/>
            </w:pPr>
            <w:hyperlink r:id="rId186" w:anchor="i418e32e4a35149ffbf7d3a25d66881b8_109" w:history="1">
              <w:r>
                <w:rPr>
                  <w:rStyle w:val="a5"/>
                  <w:rFonts w:ascii="Times New Roman" w:eastAsia="宋体" w:hAnsi="Times New Roman"/>
                  <w:sz w:val="20"/>
                  <w:szCs w:val="20"/>
                </w:rPr>
                <w:t>Note 4 — Financial Services</w:t>
              </w:r>
            </w:hyperlink>
          </w:p>
        </w:tc>
        <w:tc>
          <w:tcPr>
            <w:tcW w:w="0" w:type="auto"/>
            <w:gridSpan w:val="3"/>
            <w:shd w:val="clear" w:color="auto" w:fill="auto"/>
            <w:tcMar>
              <w:top w:w="40" w:type="dxa"/>
              <w:left w:w="20" w:type="dxa"/>
              <w:bottom w:w="40" w:type="dxa"/>
              <w:right w:w="20" w:type="dxa"/>
            </w:tcMar>
            <w:vAlign w:val="bottom"/>
          </w:tcPr>
          <w:p w14:paraId="7DCFE642" w14:textId="77777777" w:rsidR="00C1563E" w:rsidRDefault="000B648B">
            <w:pPr>
              <w:jc w:val="center"/>
              <w:textAlignment w:val="bottom"/>
            </w:pPr>
            <w:hyperlink r:id="rId187" w:anchor="i418e32e4a35149ffbf7d3a25d66881b8_109" w:history="1">
              <w:r>
                <w:rPr>
                  <w:rStyle w:val="a5"/>
                  <w:rFonts w:ascii="Times New Roman" w:eastAsia="宋体" w:hAnsi="Times New Roman"/>
                  <w:sz w:val="20"/>
                  <w:szCs w:val="20"/>
                </w:rPr>
                <w:t>98</w:t>
              </w:r>
            </w:hyperlink>
          </w:p>
        </w:tc>
      </w:tr>
      <w:tr w:rsidR="00C1563E" w14:paraId="7DCFE646" w14:textId="77777777">
        <w:trPr>
          <w:jc w:val="center"/>
        </w:trPr>
        <w:tc>
          <w:tcPr>
            <w:tcW w:w="0" w:type="auto"/>
            <w:gridSpan w:val="3"/>
            <w:shd w:val="clear" w:color="auto" w:fill="auto"/>
            <w:tcMar>
              <w:top w:w="40" w:type="dxa"/>
              <w:left w:w="20" w:type="dxa"/>
              <w:bottom w:w="40" w:type="dxa"/>
              <w:right w:w="20" w:type="dxa"/>
            </w:tcMar>
            <w:vAlign w:val="bottom"/>
          </w:tcPr>
          <w:p w14:paraId="7DCFE644" w14:textId="77777777" w:rsidR="00C1563E" w:rsidRDefault="000B648B">
            <w:pPr>
              <w:textAlignment w:val="bottom"/>
            </w:pPr>
            <w:hyperlink r:id="rId188" w:anchor="i418e32e4a35149ffbf7d3a25d66881b8_115" w:history="1">
              <w:r>
                <w:rPr>
                  <w:rStyle w:val="a5"/>
                  <w:rFonts w:ascii="Times New Roman" w:eastAsia="宋体" w:hAnsi="Times New Roman"/>
                  <w:sz w:val="20"/>
                  <w:szCs w:val="20"/>
                </w:rPr>
                <w:t>Note 5 — Leases</w:t>
              </w:r>
            </w:hyperlink>
          </w:p>
        </w:tc>
        <w:tc>
          <w:tcPr>
            <w:tcW w:w="0" w:type="auto"/>
            <w:gridSpan w:val="3"/>
            <w:shd w:val="clear" w:color="auto" w:fill="auto"/>
            <w:tcMar>
              <w:top w:w="40" w:type="dxa"/>
              <w:left w:w="20" w:type="dxa"/>
              <w:bottom w:w="40" w:type="dxa"/>
              <w:right w:w="20" w:type="dxa"/>
            </w:tcMar>
            <w:vAlign w:val="bottom"/>
          </w:tcPr>
          <w:p w14:paraId="7DCFE645" w14:textId="77777777" w:rsidR="00C1563E" w:rsidRDefault="000B648B">
            <w:pPr>
              <w:jc w:val="center"/>
              <w:textAlignment w:val="bottom"/>
            </w:pPr>
            <w:hyperlink r:id="rId189" w:anchor="i418e32e4a35149ffbf7d3a25d66881b8_115" w:history="1">
              <w:r>
                <w:rPr>
                  <w:rStyle w:val="a5"/>
                  <w:rFonts w:ascii="Times New Roman" w:eastAsia="宋体" w:hAnsi="Times New Roman"/>
                  <w:sz w:val="20"/>
                  <w:szCs w:val="20"/>
                </w:rPr>
                <w:t>107</w:t>
              </w:r>
            </w:hyperlink>
          </w:p>
        </w:tc>
      </w:tr>
      <w:tr w:rsidR="00C1563E" w14:paraId="7DCFE649" w14:textId="77777777">
        <w:trPr>
          <w:jc w:val="center"/>
        </w:trPr>
        <w:tc>
          <w:tcPr>
            <w:tcW w:w="0" w:type="auto"/>
            <w:gridSpan w:val="3"/>
            <w:shd w:val="clear" w:color="auto" w:fill="auto"/>
            <w:tcMar>
              <w:top w:w="40" w:type="dxa"/>
              <w:left w:w="20" w:type="dxa"/>
              <w:bottom w:w="40" w:type="dxa"/>
              <w:right w:w="20" w:type="dxa"/>
            </w:tcMar>
            <w:vAlign w:val="bottom"/>
          </w:tcPr>
          <w:p w14:paraId="7DCFE647" w14:textId="77777777" w:rsidR="00C1563E" w:rsidRDefault="000B648B">
            <w:pPr>
              <w:textAlignment w:val="bottom"/>
            </w:pPr>
            <w:hyperlink r:id="rId190" w:anchor="i418e32e4a35149ffbf7d3a25d66881b8_118" w:history="1">
              <w:r>
                <w:rPr>
                  <w:rStyle w:val="a5"/>
                  <w:rFonts w:ascii="Times New Roman" w:eastAsia="宋体" w:hAnsi="Times New Roman"/>
                  <w:sz w:val="20"/>
                  <w:szCs w:val="20"/>
                </w:rPr>
                <w:t>Note 6 — Debt</w:t>
              </w:r>
            </w:hyperlink>
          </w:p>
        </w:tc>
        <w:tc>
          <w:tcPr>
            <w:tcW w:w="0" w:type="auto"/>
            <w:gridSpan w:val="3"/>
            <w:shd w:val="clear" w:color="auto" w:fill="auto"/>
            <w:tcMar>
              <w:top w:w="40" w:type="dxa"/>
              <w:left w:w="20" w:type="dxa"/>
              <w:bottom w:w="40" w:type="dxa"/>
              <w:right w:w="20" w:type="dxa"/>
            </w:tcMar>
            <w:vAlign w:val="bottom"/>
          </w:tcPr>
          <w:p w14:paraId="7DCFE648" w14:textId="77777777" w:rsidR="00C1563E" w:rsidRDefault="000B648B">
            <w:pPr>
              <w:jc w:val="center"/>
              <w:textAlignment w:val="bottom"/>
            </w:pPr>
            <w:hyperlink r:id="rId191" w:anchor="i418e32e4a35149ffbf7d3a25d66881b8_118" w:history="1">
              <w:r>
                <w:rPr>
                  <w:rStyle w:val="a5"/>
                  <w:rFonts w:ascii="Times New Roman" w:eastAsia="宋体" w:hAnsi="Times New Roman"/>
                  <w:sz w:val="20"/>
                  <w:szCs w:val="20"/>
                </w:rPr>
                <w:t>109</w:t>
              </w:r>
            </w:hyperlink>
          </w:p>
        </w:tc>
      </w:tr>
      <w:tr w:rsidR="00C1563E" w14:paraId="7DCFE64C" w14:textId="77777777">
        <w:trPr>
          <w:jc w:val="center"/>
        </w:trPr>
        <w:tc>
          <w:tcPr>
            <w:tcW w:w="0" w:type="auto"/>
            <w:gridSpan w:val="3"/>
            <w:shd w:val="clear" w:color="auto" w:fill="auto"/>
            <w:tcMar>
              <w:top w:w="40" w:type="dxa"/>
              <w:left w:w="20" w:type="dxa"/>
              <w:bottom w:w="40" w:type="dxa"/>
              <w:right w:w="20" w:type="dxa"/>
            </w:tcMar>
            <w:vAlign w:val="bottom"/>
          </w:tcPr>
          <w:p w14:paraId="7DCFE64A" w14:textId="77777777" w:rsidR="00C1563E" w:rsidRDefault="000B648B">
            <w:pPr>
              <w:textAlignment w:val="bottom"/>
            </w:pPr>
            <w:hyperlink r:id="rId192" w:anchor="i418e32e4a35149ffbf7d3a25d66881b8_124" w:history="1">
              <w:r>
                <w:rPr>
                  <w:rStyle w:val="a5"/>
                  <w:rFonts w:ascii="Times New Roman" w:eastAsia="宋体" w:hAnsi="Times New Roman"/>
                  <w:sz w:val="20"/>
                  <w:szCs w:val="20"/>
                </w:rPr>
                <w:t>Note 7 — Derivative Instruments</w:t>
              </w:r>
              <w:r>
                <w:rPr>
                  <w:rStyle w:val="a5"/>
                  <w:rFonts w:ascii="Times New Roman" w:eastAsia="宋体" w:hAnsi="Times New Roman"/>
                  <w:sz w:val="20"/>
                  <w:szCs w:val="20"/>
                </w:rPr>
                <w:t xml:space="preserve"> and Hedging Activities</w:t>
              </w:r>
            </w:hyperlink>
          </w:p>
        </w:tc>
        <w:tc>
          <w:tcPr>
            <w:tcW w:w="0" w:type="auto"/>
            <w:gridSpan w:val="3"/>
            <w:shd w:val="clear" w:color="auto" w:fill="auto"/>
            <w:tcMar>
              <w:top w:w="40" w:type="dxa"/>
              <w:left w:w="20" w:type="dxa"/>
              <w:bottom w:w="40" w:type="dxa"/>
              <w:right w:w="20" w:type="dxa"/>
            </w:tcMar>
            <w:vAlign w:val="bottom"/>
          </w:tcPr>
          <w:p w14:paraId="7DCFE64B" w14:textId="77777777" w:rsidR="00C1563E" w:rsidRDefault="000B648B">
            <w:pPr>
              <w:jc w:val="center"/>
              <w:textAlignment w:val="bottom"/>
            </w:pPr>
            <w:hyperlink r:id="rId193" w:anchor="i418e32e4a35149ffbf7d3a25d66881b8_124" w:history="1">
              <w:r>
                <w:rPr>
                  <w:rStyle w:val="a5"/>
                  <w:rFonts w:ascii="Times New Roman" w:eastAsia="宋体" w:hAnsi="Times New Roman"/>
                  <w:sz w:val="20"/>
                  <w:szCs w:val="20"/>
                </w:rPr>
                <w:t>115</w:t>
              </w:r>
            </w:hyperlink>
          </w:p>
        </w:tc>
      </w:tr>
      <w:tr w:rsidR="00C1563E" w14:paraId="7DCFE64F" w14:textId="77777777">
        <w:trPr>
          <w:jc w:val="center"/>
        </w:trPr>
        <w:tc>
          <w:tcPr>
            <w:tcW w:w="0" w:type="auto"/>
            <w:gridSpan w:val="3"/>
            <w:shd w:val="clear" w:color="auto" w:fill="auto"/>
            <w:tcMar>
              <w:top w:w="40" w:type="dxa"/>
              <w:left w:w="20" w:type="dxa"/>
              <w:bottom w:w="40" w:type="dxa"/>
              <w:right w:w="20" w:type="dxa"/>
            </w:tcMar>
            <w:vAlign w:val="bottom"/>
          </w:tcPr>
          <w:p w14:paraId="7DCFE64D" w14:textId="77777777" w:rsidR="00C1563E" w:rsidRDefault="000B648B">
            <w:pPr>
              <w:textAlignment w:val="bottom"/>
            </w:pPr>
            <w:hyperlink r:id="rId194" w:anchor="i418e32e4a35149ffbf7d3a25d66881b8_130" w:history="1">
              <w:r>
                <w:rPr>
                  <w:rStyle w:val="a5"/>
                  <w:rFonts w:ascii="Times New Roman" w:eastAsia="宋体" w:hAnsi="Times New Roman"/>
                  <w:sz w:val="20"/>
                  <w:szCs w:val="20"/>
                </w:rPr>
                <w:t>Note 8 — Business Combinations, Goodwill and Intangible Assets</w:t>
              </w:r>
            </w:hyperlink>
          </w:p>
        </w:tc>
        <w:tc>
          <w:tcPr>
            <w:tcW w:w="0" w:type="auto"/>
            <w:gridSpan w:val="3"/>
            <w:shd w:val="clear" w:color="auto" w:fill="auto"/>
            <w:tcMar>
              <w:top w:w="40" w:type="dxa"/>
              <w:left w:w="20" w:type="dxa"/>
              <w:bottom w:w="40" w:type="dxa"/>
              <w:right w:w="20" w:type="dxa"/>
            </w:tcMar>
            <w:vAlign w:val="bottom"/>
          </w:tcPr>
          <w:p w14:paraId="7DCFE64E" w14:textId="77777777" w:rsidR="00C1563E" w:rsidRDefault="000B648B">
            <w:pPr>
              <w:jc w:val="center"/>
              <w:textAlignment w:val="bottom"/>
            </w:pPr>
            <w:hyperlink r:id="rId195" w:anchor="i418e32e4a35149ffbf7d3a25d66881b8_130" w:history="1">
              <w:r>
                <w:rPr>
                  <w:rStyle w:val="a5"/>
                  <w:rFonts w:ascii="Times New Roman" w:eastAsia="宋体" w:hAnsi="Times New Roman"/>
                  <w:sz w:val="20"/>
                  <w:szCs w:val="20"/>
                </w:rPr>
                <w:t>119</w:t>
              </w:r>
            </w:hyperlink>
          </w:p>
        </w:tc>
      </w:tr>
      <w:tr w:rsidR="00C1563E" w14:paraId="7DCFE652" w14:textId="77777777">
        <w:trPr>
          <w:jc w:val="center"/>
        </w:trPr>
        <w:tc>
          <w:tcPr>
            <w:tcW w:w="0" w:type="auto"/>
            <w:gridSpan w:val="3"/>
            <w:shd w:val="clear" w:color="auto" w:fill="auto"/>
            <w:tcMar>
              <w:top w:w="40" w:type="dxa"/>
              <w:left w:w="20" w:type="dxa"/>
              <w:bottom w:w="40" w:type="dxa"/>
              <w:right w:w="20" w:type="dxa"/>
            </w:tcMar>
            <w:vAlign w:val="bottom"/>
          </w:tcPr>
          <w:p w14:paraId="7DCFE650" w14:textId="77777777" w:rsidR="00C1563E" w:rsidRDefault="000B648B">
            <w:pPr>
              <w:textAlignment w:val="bottom"/>
            </w:pPr>
            <w:hyperlink r:id="rId196" w:anchor="i418e32e4a35149ffbf7d3a25d66881b8_136" w:history="1">
              <w:r>
                <w:rPr>
                  <w:rStyle w:val="a5"/>
                  <w:rFonts w:ascii="Times New Roman" w:eastAsia="宋体" w:hAnsi="Times New Roman"/>
                  <w:sz w:val="20"/>
                  <w:szCs w:val="20"/>
                </w:rPr>
                <w:t>Note 9 — Deferred Revenue</w:t>
              </w:r>
            </w:hyperlink>
          </w:p>
        </w:tc>
        <w:tc>
          <w:tcPr>
            <w:tcW w:w="0" w:type="auto"/>
            <w:gridSpan w:val="3"/>
            <w:shd w:val="clear" w:color="auto" w:fill="auto"/>
            <w:tcMar>
              <w:top w:w="40" w:type="dxa"/>
              <w:left w:w="20" w:type="dxa"/>
              <w:bottom w:w="40" w:type="dxa"/>
              <w:right w:w="20" w:type="dxa"/>
            </w:tcMar>
            <w:vAlign w:val="bottom"/>
          </w:tcPr>
          <w:p w14:paraId="7DCFE651" w14:textId="77777777" w:rsidR="00C1563E" w:rsidRDefault="000B648B">
            <w:pPr>
              <w:jc w:val="center"/>
              <w:textAlignment w:val="bottom"/>
            </w:pPr>
            <w:hyperlink r:id="rId197" w:anchor="i418e32e4a35149ffbf7d3a25d66881b8_136" w:history="1">
              <w:r>
                <w:rPr>
                  <w:rStyle w:val="a5"/>
                  <w:rFonts w:ascii="Times New Roman" w:eastAsia="宋体" w:hAnsi="Times New Roman"/>
                  <w:sz w:val="20"/>
                  <w:szCs w:val="20"/>
                </w:rPr>
                <w:t>125</w:t>
              </w:r>
            </w:hyperlink>
          </w:p>
        </w:tc>
      </w:tr>
      <w:tr w:rsidR="00C1563E" w14:paraId="7DCFE655" w14:textId="77777777">
        <w:trPr>
          <w:jc w:val="center"/>
        </w:trPr>
        <w:tc>
          <w:tcPr>
            <w:tcW w:w="0" w:type="auto"/>
            <w:gridSpan w:val="3"/>
            <w:shd w:val="clear" w:color="auto" w:fill="auto"/>
            <w:tcMar>
              <w:top w:w="40" w:type="dxa"/>
              <w:left w:w="20" w:type="dxa"/>
              <w:bottom w:w="40" w:type="dxa"/>
              <w:right w:w="20" w:type="dxa"/>
            </w:tcMar>
            <w:vAlign w:val="bottom"/>
          </w:tcPr>
          <w:p w14:paraId="7DCFE653" w14:textId="77777777" w:rsidR="00C1563E" w:rsidRDefault="000B648B">
            <w:pPr>
              <w:textAlignment w:val="bottom"/>
            </w:pPr>
            <w:hyperlink r:id="rId198" w:anchor="i418e32e4a35149ffbf7d3a25d66881b8_139" w:history="1">
              <w:r>
                <w:rPr>
                  <w:rStyle w:val="a5"/>
                  <w:rFonts w:ascii="Times New Roman" w:eastAsia="宋体" w:hAnsi="Times New Roman"/>
                  <w:sz w:val="20"/>
                  <w:szCs w:val="20"/>
                </w:rPr>
                <w:t>Note 10 — Commitments and Contingencies</w:t>
              </w:r>
            </w:hyperlink>
          </w:p>
        </w:tc>
        <w:tc>
          <w:tcPr>
            <w:tcW w:w="0" w:type="auto"/>
            <w:gridSpan w:val="3"/>
            <w:shd w:val="clear" w:color="auto" w:fill="auto"/>
            <w:tcMar>
              <w:top w:w="40" w:type="dxa"/>
              <w:left w:w="20" w:type="dxa"/>
              <w:bottom w:w="40" w:type="dxa"/>
              <w:right w:w="20" w:type="dxa"/>
            </w:tcMar>
            <w:vAlign w:val="bottom"/>
          </w:tcPr>
          <w:p w14:paraId="7DCFE654" w14:textId="77777777" w:rsidR="00C1563E" w:rsidRDefault="000B648B">
            <w:pPr>
              <w:jc w:val="center"/>
              <w:textAlignment w:val="bottom"/>
            </w:pPr>
            <w:hyperlink r:id="rId199" w:anchor="i418e32e4a35149ffbf7d3a25d66881b8_139" w:history="1">
              <w:r>
                <w:rPr>
                  <w:rStyle w:val="a5"/>
                  <w:rFonts w:ascii="Times New Roman" w:eastAsia="宋体" w:hAnsi="Times New Roman"/>
                  <w:sz w:val="20"/>
                  <w:szCs w:val="20"/>
                </w:rPr>
                <w:t>126</w:t>
              </w:r>
            </w:hyperlink>
          </w:p>
        </w:tc>
      </w:tr>
      <w:tr w:rsidR="00C1563E" w14:paraId="7DCFE658" w14:textId="77777777">
        <w:trPr>
          <w:jc w:val="center"/>
        </w:trPr>
        <w:tc>
          <w:tcPr>
            <w:tcW w:w="0" w:type="auto"/>
            <w:gridSpan w:val="3"/>
            <w:shd w:val="clear" w:color="auto" w:fill="auto"/>
            <w:tcMar>
              <w:top w:w="40" w:type="dxa"/>
              <w:left w:w="20" w:type="dxa"/>
              <w:bottom w:w="40" w:type="dxa"/>
              <w:right w:w="20" w:type="dxa"/>
            </w:tcMar>
            <w:vAlign w:val="bottom"/>
          </w:tcPr>
          <w:p w14:paraId="7DCFE656" w14:textId="77777777" w:rsidR="00C1563E" w:rsidRDefault="000B648B">
            <w:pPr>
              <w:textAlignment w:val="bottom"/>
            </w:pPr>
            <w:hyperlink r:id="rId200" w:anchor="i418e32e4a35149ffbf7d3a25d66881b8_145" w:history="1">
              <w:r>
                <w:rPr>
                  <w:rStyle w:val="a5"/>
                  <w:rFonts w:ascii="Times New Roman" w:eastAsia="宋体" w:hAnsi="Times New Roman"/>
                  <w:sz w:val="20"/>
                  <w:szCs w:val="20"/>
                </w:rPr>
                <w:t>Note 11 — Income and Other Taxes</w:t>
              </w:r>
            </w:hyperlink>
          </w:p>
        </w:tc>
        <w:tc>
          <w:tcPr>
            <w:tcW w:w="0" w:type="auto"/>
            <w:gridSpan w:val="3"/>
            <w:shd w:val="clear" w:color="auto" w:fill="auto"/>
            <w:tcMar>
              <w:top w:w="40" w:type="dxa"/>
              <w:left w:w="20" w:type="dxa"/>
              <w:bottom w:w="40" w:type="dxa"/>
              <w:right w:w="20" w:type="dxa"/>
            </w:tcMar>
            <w:vAlign w:val="bottom"/>
          </w:tcPr>
          <w:p w14:paraId="7DCFE657" w14:textId="77777777" w:rsidR="00C1563E" w:rsidRDefault="000B648B">
            <w:pPr>
              <w:jc w:val="center"/>
              <w:textAlignment w:val="bottom"/>
            </w:pPr>
            <w:hyperlink r:id="rId201" w:anchor="i418e32e4a35149ffbf7d3a25d66881b8_145" w:history="1">
              <w:r>
                <w:rPr>
                  <w:rStyle w:val="a5"/>
                  <w:rFonts w:ascii="Times New Roman" w:eastAsia="宋体" w:hAnsi="Times New Roman"/>
                  <w:sz w:val="20"/>
                  <w:szCs w:val="20"/>
                </w:rPr>
                <w:t>129</w:t>
              </w:r>
            </w:hyperlink>
          </w:p>
        </w:tc>
      </w:tr>
      <w:tr w:rsidR="00C1563E" w14:paraId="7DCFE65B" w14:textId="77777777">
        <w:trPr>
          <w:jc w:val="center"/>
        </w:trPr>
        <w:tc>
          <w:tcPr>
            <w:tcW w:w="0" w:type="auto"/>
            <w:gridSpan w:val="3"/>
            <w:shd w:val="clear" w:color="auto" w:fill="auto"/>
            <w:tcMar>
              <w:top w:w="40" w:type="dxa"/>
              <w:left w:w="20" w:type="dxa"/>
              <w:bottom w:w="40" w:type="dxa"/>
              <w:right w:w="20" w:type="dxa"/>
            </w:tcMar>
            <w:vAlign w:val="bottom"/>
          </w:tcPr>
          <w:p w14:paraId="7DCFE659" w14:textId="77777777" w:rsidR="00C1563E" w:rsidRDefault="000B648B">
            <w:pPr>
              <w:textAlignment w:val="bottom"/>
            </w:pPr>
            <w:hyperlink r:id="rId202" w:anchor="i418e32e4a35149ffbf7d3a25d66881b8_148" w:history="1">
              <w:r>
                <w:rPr>
                  <w:rStyle w:val="a5"/>
                  <w:rFonts w:ascii="Times New Roman" w:eastAsia="宋体" w:hAnsi="Times New Roman"/>
                  <w:sz w:val="20"/>
                  <w:szCs w:val="20"/>
                </w:rPr>
                <w:t>Note 12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7DCFE65A" w14:textId="77777777" w:rsidR="00C1563E" w:rsidRDefault="000B648B">
            <w:pPr>
              <w:jc w:val="center"/>
              <w:textAlignment w:val="bottom"/>
            </w:pPr>
            <w:hyperlink r:id="rId203" w:anchor="i418e32e4a35149ffbf7d3a25d66881b8_148" w:history="1">
              <w:r>
                <w:rPr>
                  <w:rStyle w:val="a5"/>
                  <w:rFonts w:ascii="Times New Roman" w:eastAsia="宋体" w:hAnsi="Times New Roman"/>
                  <w:sz w:val="20"/>
                  <w:szCs w:val="20"/>
                </w:rPr>
                <w:t>134</w:t>
              </w:r>
            </w:hyperlink>
          </w:p>
        </w:tc>
      </w:tr>
      <w:tr w:rsidR="00C1563E" w14:paraId="7DCFE65E" w14:textId="77777777">
        <w:trPr>
          <w:jc w:val="center"/>
        </w:trPr>
        <w:tc>
          <w:tcPr>
            <w:tcW w:w="0" w:type="auto"/>
            <w:gridSpan w:val="3"/>
            <w:shd w:val="clear" w:color="auto" w:fill="auto"/>
            <w:tcMar>
              <w:top w:w="40" w:type="dxa"/>
              <w:left w:w="20" w:type="dxa"/>
              <w:bottom w:w="40" w:type="dxa"/>
              <w:right w:w="20" w:type="dxa"/>
            </w:tcMar>
            <w:vAlign w:val="bottom"/>
          </w:tcPr>
          <w:p w14:paraId="7DCFE65C" w14:textId="77777777" w:rsidR="00C1563E" w:rsidRDefault="000B648B">
            <w:pPr>
              <w:textAlignment w:val="bottom"/>
            </w:pPr>
            <w:hyperlink r:id="rId204" w:anchor="i418e32e4a35149ffbf7d3a25d66881b8_151" w:history="1">
              <w:r>
                <w:rPr>
                  <w:rStyle w:val="a5"/>
                  <w:rFonts w:ascii="Times New Roman" w:eastAsia="宋体" w:hAnsi="Times New Roman"/>
                  <w:sz w:val="20"/>
                  <w:szCs w:val="20"/>
                </w:rPr>
                <w:t>Note 13 — Non-Controlling Interests</w:t>
              </w:r>
            </w:hyperlink>
          </w:p>
        </w:tc>
        <w:tc>
          <w:tcPr>
            <w:tcW w:w="0" w:type="auto"/>
            <w:gridSpan w:val="3"/>
            <w:shd w:val="clear" w:color="auto" w:fill="auto"/>
            <w:tcMar>
              <w:top w:w="40" w:type="dxa"/>
              <w:left w:w="20" w:type="dxa"/>
              <w:bottom w:w="40" w:type="dxa"/>
              <w:right w:w="20" w:type="dxa"/>
            </w:tcMar>
            <w:vAlign w:val="bottom"/>
          </w:tcPr>
          <w:p w14:paraId="7DCFE65D" w14:textId="77777777" w:rsidR="00C1563E" w:rsidRDefault="000B648B">
            <w:pPr>
              <w:jc w:val="center"/>
              <w:textAlignment w:val="bottom"/>
            </w:pPr>
            <w:hyperlink r:id="rId205" w:anchor="i418e32e4a35149ffbf7d3a25d66881b8_151" w:history="1">
              <w:r>
                <w:rPr>
                  <w:rStyle w:val="a5"/>
                  <w:rFonts w:ascii="Times New Roman" w:eastAsia="宋体" w:hAnsi="Times New Roman"/>
                  <w:sz w:val="20"/>
                  <w:szCs w:val="20"/>
                </w:rPr>
                <w:t>136</w:t>
              </w:r>
            </w:hyperlink>
          </w:p>
        </w:tc>
      </w:tr>
      <w:tr w:rsidR="00C1563E" w14:paraId="7DCFE661" w14:textId="77777777">
        <w:trPr>
          <w:jc w:val="center"/>
        </w:trPr>
        <w:tc>
          <w:tcPr>
            <w:tcW w:w="0" w:type="auto"/>
            <w:gridSpan w:val="3"/>
            <w:shd w:val="clear" w:color="auto" w:fill="auto"/>
            <w:tcMar>
              <w:top w:w="40" w:type="dxa"/>
              <w:left w:w="20" w:type="dxa"/>
              <w:bottom w:w="40" w:type="dxa"/>
              <w:right w:w="20" w:type="dxa"/>
            </w:tcMar>
            <w:vAlign w:val="bottom"/>
          </w:tcPr>
          <w:p w14:paraId="7DCFE65F" w14:textId="77777777" w:rsidR="00C1563E" w:rsidRDefault="000B648B">
            <w:pPr>
              <w:textAlignment w:val="bottom"/>
            </w:pPr>
            <w:hyperlink r:id="rId206" w:anchor="i418e32e4a35149ffbf7d3a25d66881b8_154" w:history="1">
              <w:r>
                <w:rPr>
                  <w:rStyle w:val="a5"/>
                  <w:rFonts w:ascii="Times New Roman" w:eastAsia="宋体" w:hAnsi="Times New Roman"/>
                  <w:sz w:val="20"/>
                  <w:szCs w:val="20"/>
                </w:rPr>
                <w:t>Note 14 — Capitalization</w:t>
              </w:r>
            </w:hyperlink>
          </w:p>
        </w:tc>
        <w:tc>
          <w:tcPr>
            <w:tcW w:w="0" w:type="auto"/>
            <w:gridSpan w:val="3"/>
            <w:shd w:val="clear" w:color="auto" w:fill="auto"/>
            <w:tcMar>
              <w:top w:w="40" w:type="dxa"/>
              <w:left w:w="20" w:type="dxa"/>
              <w:bottom w:w="40" w:type="dxa"/>
              <w:right w:w="20" w:type="dxa"/>
            </w:tcMar>
            <w:vAlign w:val="bottom"/>
          </w:tcPr>
          <w:p w14:paraId="7DCFE660" w14:textId="77777777" w:rsidR="00C1563E" w:rsidRDefault="000B648B">
            <w:pPr>
              <w:jc w:val="center"/>
              <w:textAlignment w:val="bottom"/>
            </w:pPr>
            <w:hyperlink r:id="rId207" w:anchor="i418e32e4a35149ffbf7d3a25d66881b8_154" w:history="1">
              <w:r>
                <w:rPr>
                  <w:rStyle w:val="a5"/>
                  <w:rFonts w:ascii="Times New Roman" w:eastAsia="宋体" w:hAnsi="Times New Roman"/>
                  <w:sz w:val="20"/>
                  <w:szCs w:val="20"/>
                </w:rPr>
                <w:t>137</w:t>
              </w:r>
            </w:hyperlink>
          </w:p>
        </w:tc>
      </w:tr>
      <w:tr w:rsidR="00C1563E" w14:paraId="7DCFE664" w14:textId="77777777">
        <w:trPr>
          <w:jc w:val="center"/>
        </w:trPr>
        <w:tc>
          <w:tcPr>
            <w:tcW w:w="0" w:type="auto"/>
            <w:gridSpan w:val="3"/>
            <w:shd w:val="clear" w:color="auto" w:fill="auto"/>
            <w:tcMar>
              <w:top w:w="40" w:type="dxa"/>
              <w:left w:w="20" w:type="dxa"/>
              <w:bottom w:w="40" w:type="dxa"/>
              <w:right w:w="20" w:type="dxa"/>
            </w:tcMar>
            <w:vAlign w:val="bottom"/>
          </w:tcPr>
          <w:p w14:paraId="7DCFE662" w14:textId="77777777" w:rsidR="00C1563E" w:rsidRDefault="000B648B">
            <w:pPr>
              <w:textAlignment w:val="bottom"/>
            </w:pPr>
            <w:hyperlink r:id="rId208" w:anchor="i418e32e4a35149ffbf7d3a25d66881b8_160" w:history="1">
              <w:r>
                <w:rPr>
                  <w:rStyle w:val="a5"/>
                  <w:rFonts w:ascii="Times New Roman" w:eastAsia="宋体" w:hAnsi="Times New Roman"/>
                  <w:sz w:val="20"/>
                  <w:szCs w:val="20"/>
                </w:rPr>
                <w:t>Note 15 — Earnings (Loss) Per Share</w:t>
              </w:r>
            </w:hyperlink>
          </w:p>
        </w:tc>
        <w:tc>
          <w:tcPr>
            <w:tcW w:w="0" w:type="auto"/>
            <w:gridSpan w:val="3"/>
            <w:shd w:val="clear" w:color="auto" w:fill="auto"/>
            <w:tcMar>
              <w:top w:w="40" w:type="dxa"/>
              <w:left w:w="20" w:type="dxa"/>
              <w:bottom w:w="40" w:type="dxa"/>
              <w:right w:w="20" w:type="dxa"/>
            </w:tcMar>
            <w:vAlign w:val="bottom"/>
          </w:tcPr>
          <w:p w14:paraId="7DCFE663" w14:textId="77777777" w:rsidR="00C1563E" w:rsidRDefault="000B648B">
            <w:pPr>
              <w:jc w:val="center"/>
              <w:textAlignment w:val="bottom"/>
            </w:pPr>
            <w:hyperlink r:id="rId209" w:anchor="i418e32e4a35149ffbf7d3a25d66881b8_160" w:history="1">
              <w:r>
                <w:rPr>
                  <w:rStyle w:val="a5"/>
                  <w:rFonts w:ascii="Times New Roman" w:eastAsia="宋体" w:hAnsi="Times New Roman"/>
                  <w:sz w:val="20"/>
                  <w:szCs w:val="20"/>
                </w:rPr>
                <w:t>140</w:t>
              </w:r>
            </w:hyperlink>
          </w:p>
        </w:tc>
      </w:tr>
      <w:tr w:rsidR="00C1563E" w14:paraId="7DCFE667" w14:textId="77777777">
        <w:trPr>
          <w:jc w:val="center"/>
        </w:trPr>
        <w:tc>
          <w:tcPr>
            <w:tcW w:w="0" w:type="auto"/>
            <w:gridSpan w:val="3"/>
            <w:shd w:val="clear" w:color="auto" w:fill="auto"/>
            <w:tcMar>
              <w:top w:w="40" w:type="dxa"/>
              <w:left w:w="20" w:type="dxa"/>
              <w:bottom w:w="40" w:type="dxa"/>
              <w:right w:w="20" w:type="dxa"/>
            </w:tcMar>
            <w:vAlign w:val="bottom"/>
          </w:tcPr>
          <w:p w14:paraId="7DCFE665" w14:textId="77777777" w:rsidR="00C1563E" w:rsidRDefault="000B648B">
            <w:pPr>
              <w:textAlignment w:val="bottom"/>
            </w:pPr>
            <w:hyperlink r:id="rId210" w:anchor="i418e32e4a35149ffbf7d3a25d66881b8_166" w:history="1">
              <w:r>
                <w:rPr>
                  <w:rStyle w:val="a5"/>
                  <w:rFonts w:ascii="Times New Roman" w:eastAsia="宋体" w:hAnsi="Times New Roman"/>
                  <w:sz w:val="20"/>
                  <w:szCs w:val="20"/>
                </w:rPr>
                <w:t>Note 16 — Stock-Based Compensation</w:t>
              </w:r>
            </w:hyperlink>
          </w:p>
        </w:tc>
        <w:tc>
          <w:tcPr>
            <w:tcW w:w="0" w:type="auto"/>
            <w:gridSpan w:val="3"/>
            <w:shd w:val="clear" w:color="auto" w:fill="auto"/>
            <w:tcMar>
              <w:top w:w="40" w:type="dxa"/>
              <w:left w:w="20" w:type="dxa"/>
              <w:bottom w:w="40" w:type="dxa"/>
              <w:right w:w="20" w:type="dxa"/>
            </w:tcMar>
            <w:vAlign w:val="bottom"/>
          </w:tcPr>
          <w:p w14:paraId="7DCFE666" w14:textId="77777777" w:rsidR="00C1563E" w:rsidRDefault="000B648B">
            <w:pPr>
              <w:jc w:val="center"/>
              <w:textAlignment w:val="bottom"/>
            </w:pPr>
            <w:hyperlink r:id="rId211" w:anchor="i418e32e4a35149ffbf7d3a25d66881b8_166" w:history="1">
              <w:r>
                <w:rPr>
                  <w:rStyle w:val="a5"/>
                  <w:rFonts w:ascii="Times New Roman" w:eastAsia="宋体" w:hAnsi="Times New Roman"/>
                  <w:sz w:val="20"/>
                  <w:szCs w:val="20"/>
                </w:rPr>
                <w:t>145</w:t>
              </w:r>
            </w:hyperlink>
          </w:p>
        </w:tc>
      </w:tr>
      <w:tr w:rsidR="00C1563E" w14:paraId="7DCFE66A" w14:textId="77777777">
        <w:trPr>
          <w:jc w:val="center"/>
        </w:trPr>
        <w:tc>
          <w:tcPr>
            <w:tcW w:w="0" w:type="auto"/>
            <w:gridSpan w:val="3"/>
            <w:shd w:val="clear" w:color="auto" w:fill="auto"/>
            <w:tcMar>
              <w:top w:w="40" w:type="dxa"/>
              <w:left w:w="20" w:type="dxa"/>
              <w:bottom w:w="40" w:type="dxa"/>
              <w:right w:w="20" w:type="dxa"/>
            </w:tcMar>
            <w:vAlign w:val="bottom"/>
          </w:tcPr>
          <w:p w14:paraId="7DCFE668" w14:textId="77777777" w:rsidR="00C1563E" w:rsidRDefault="000B648B">
            <w:pPr>
              <w:textAlignment w:val="bottom"/>
            </w:pPr>
            <w:hyperlink r:id="rId212" w:anchor="i418e32e4a35149ffbf7d3a25d66881b8_172" w:history="1">
              <w:r>
                <w:rPr>
                  <w:rStyle w:val="a5"/>
                  <w:rFonts w:ascii="Times New Roman" w:eastAsia="宋体" w:hAnsi="Times New Roman"/>
                  <w:sz w:val="20"/>
                  <w:szCs w:val="20"/>
                </w:rPr>
                <w:t>Note 17 — Redeemable Shares</w:t>
              </w:r>
            </w:hyperlink>
          </w:p>
        </w:tc>
        <w:tc>
          <w:tcPr>
            <w:tcW w:w="0" w:type="auto"/>
            <w:gridSpan w:val="3"/>
            <w:shd w:val="clear" w:color="auto" w:fill="auto"/>
            <w:tcMar>
              <w:top w:w="40" w:type="dxa"/>
              <w:left w:w="20" w:type="dxa"/>
              <w:bottom w:w="40" w:type="dxa"/>
              <w:right w:w="20" w:type="dxa"/>
            </w:tcMar>
            <w:vAlign w:val="bottom"/>
          </w:tcPr>
          <w:p w14:paraId="7DCFE669" w14:textId="77777777" w:rsidR="00C1563E" w:rsidRDefault="000B648B">
            <w:pPr>
              <w:jc w:val="center"/>
              <w:textAlignment w:val="bottom"/>
            </w:pPr>
            <w:hyperlink r:id="rId213" w:anchor="i418e32e4a35149ffbf7d3a25d66881b8_172" w:history="1">
              <w:r>
                <w:rPr>
                  <w:rStyle w:val="a5"/>
                  <w:rFonts w:ascii="Times New Roman" w:eastAsia="宋体" w:hAnsi="Times New Roman"/>
                  <w:sz w:val="20"/>
                  <w:szCs w:val="20"/>
                </w:rPr>
                <w:t>154</w:t>
              </w:r>
            </w:hyperlink>
          </w:p>
        </w:tc>
      </w:tr>
      <w:tr w:rsidR="00C1563E" w14:paraId="7DCFE66D" w14:textId="77777777">
        <w:trPr>
          <w:jc w:val="center"/>
        </w:trPr>
        <w:tc>
          <w:tcPr>
            <w:tcW w:w="0" w:type="auto"/>
            <w:gridSpan w:val="3"/>
            <w:shd w:val="clear" w:color="auto" w:fill="auto"/>
            <w:tcMar>
              <w:top w:w="40" w:type="dxa"/>
              <w:left w:w="20" w:type="dxa"/>
              <w:bottom w:w="40" w:type="dxa"/>
              <w:right w:w="20" w:type="dxa"/>
            </w:tcMar>
            <w:vAlign w:val="bottom"/>
          </w:tcPr>
          <w:p w14:paraId="7DCFE66B" w14:textId="77777777" w:rsidR="00C1563E" w:rsidRDefault="000B648B">
            <w:pPr>
              <w:textAlignment w:val="bottom"/>
            </w:pPr>
            <w:hyperlink r:id="rId214" w:anchor="i418e32e4a35149ffbf7d3a25d66881b8_178" w:history="1">
              <w:r>
                <w:rPr>
                  <w:rStyle w:val="a5"/>
                  <w:rFonts w:ascii="Times New Roman" w:eastAsia="宋体" w:hAnsi="Times New Roman"/>
                  <w:sz w:val="20"/>
                  <w:szCs w:val="20"/>
                </w:rPr>
                <w:t>Note 18 — Retirement Plan Benefits</w:t>
              </w:r>
            </w:hyperlink>
          </w:p>
        </w:tc>
        <w:tc>
          <w:tcPr>
            <w:tcW w:w="0" w:type="auto"/>
            <w:gridSpan w:val="3"/>
            <w:shd w:val="clear" w:color="auto" w:fill="auto"/>
            <w:tcMar>
              <w:top w:w="40" w:type="dxa"/>
              <w:left w:w="20" w:type="dxa"/>
              <w:bottom w:w="40" w:type="dxa"/>
              <w:right w:w="20" w:type="dxa"/>
            </w:tcMar>
            <w:vAlign w:val="bottom"/>
          </w:tcPr>
          <w:p w14:paraId="7DCFE66C" w14:textId="77777777" w:rsidR="00C1563E" w:rsidRDefault="000B648B">
            <w:pPr>
              <w:jc w:val="center"/>
              <w:textAlignment w:val="bottom"/>
            </w:pPr>
            <w:hyperlink r:id="rId215" w:anchor="i418e32e4a35149ffbf7d3a25d66881b8_178" w:history="1">
              <w:r>
                <w:rPr>
                  <w:rStyle w:val="a5"/>
                  <w:rFonts w:ascii="Times New Roman" w:eastAsia="宋体" w:hAnsi="Times New Roman"/>
                  <w:sz w:val="20"/>
                  <w:szCs w:val="20"/>
                </w:rPr>
                <w:t>155</w:t>
              </w:r>
            </w:hyperlink>
          </w:p>
        </w:tc>
      </w:tr>
      <w:tr w:rsidR="00C1563E" w14:paraId="7DCFE670" w14:textId="77777777">
        <w:trPr>
          <w:jc w:val="center"/>
        </w:trPr>
        <w:tc>
          <w:tcPr>
            <w:tcW w:w="0" w:type="auto"/>
            <w:gridSpan w:val="3"/>
            <w:shd w:val="clear" w:color="auto" w:fill="auto"/>
            <w:tcMar>
              <w:top w:w="40" w:type="dxa"/>
              <w:left w:w="20" w:type="dxa"/>
              <w:bottom w:w="40" w:type="dxa"/>
              <w:right w:w="20" w:type="dxa"/>
            </w:tcMar>
            <w:vAlign w:val="bottom"/>
          </w:tcPr>
          <w:p w14:paraId="7DCFE66E" w14:textId="77777777" w:rsidR="00C1563E" w:rsidRDefault="000B648B">
            <w:pPr>
              <w:textAlignment w:val="bottom"/>
            </w:pPr>
            <w:hyperlink r:id="rId216" w:anchor="i418e32e4a35149ffbf7d3a25d66881b8_181" w:history="1">
              <w:r>
                <w:rPr>
                  <w:rStyle w:val="a5"/>
                  <w:rFonts w:ascii="Times New Roman" w:eastAsia="宋体" w:hAnsi="Times New Roman"/>
                  <w:sz w:val="20"/>
                  <w:szCs w:val="20"/>
                </w:rPr>
                <w:t xml:space="preserve">Note 19 — </w:t>
              </w:r>
              <w:r>
                <w:rPr>
                  <w:rStyle w:val="a5"/>
                  <w:rFonts w:ascii="Times New Roman" w:eastAsia="宋体" w:hAnsi="Times New Roman"/>
                  <w:sz w:val="20"/>
                  <w:szCs w:val="20"/>
                </w:rPr>
                <w:t>Segment Information</w:t>
              </w:r>
            </w:hyperlink>
          </w:p>
        </w:tc>
        <w:tc>
          <w:tcPr>
            <w:tcW w:w="0" w:type="auto"/>
            <w:gridSpan w:val="3"/>
            <w:shd w:val="clear" w:color="auto" w:fill="auto"/>
            <w:tcMar>
              <w:top w:w="40" w:type="dxa"/>
              <w:left w:w="20" w:type="dxa"/>
              <w:bottom w:w="40" w:type="dxa"/>
              <w:right w:w="20" w:type="dxa"/>
            </w:tcMar>
            <w:vAlign w:val="bottom"/>
          </w:tcPr>
          <w:p w14:paraId="7DCFE66F" w14:textId="77777777" w:rsidR="00C1563E" w:rsidRDefault="000B648B">
            <w:pPr>
              <w:jc w:val="center"/>
              <w:textAlignment w:val="bottom"/>
            </w:pPr>
            <w:hyperlink r:id="rId217" w:anchor="i418e32e4a35149ffbf7d3a25d66881b8_181" w:history="1">
              <w:r>
                <w:rPr>
                  <w:rStyle w:val="a5"/>
                  <w:rFonts w:ascii="Times New Roman" w:eastAsia="宋体" w:hAnsi="Times New Roman"/>
                  <w:sz w:val="20"/>
                  <w:szCs w:val="20"/>
                </w:rPr>
                <w:t>157</w:t>
              </w:r>
            </w:hyperlink>
          </w:p>
        </w:tc>
      </w:tr>
      <w:tr w:rsidR="00C1563E" w14:paraId="7DCFE673" w14:textId="77777777">
        <w:trPr>
          <w:jc w:val="center"/>
        </w:trPr>
        <w:tc>
          <w:tcPr>
            <w:tcW w:w="0" w:type="auto"/>
            <w:gridSpan w:val="3"/>
            <w:shd w:val="clear" w:color="auto" w:fill="auto"/>
            <w:tcMar>
              <w:top w:w="40" w:type="dxa"/>
              <w:left w:w="20" w:type="dxa"/>
              <w:bottom w:w="40" w:type="dxa"/>
              <w:right w:w="20" w:type="dxa"/>
            </w:tcMar>
            <w:vAlign w:val="bottom"/>
          </w:tcPr>
          <w:p w14:paraId="7DCFE671" w14:textId="77777777" w:rsidR="00C1563E" w:rsidRDefault="000B648B">
            <w:pPr>
              <w:textAlignment w:val="bottom"/>
            </w:pPr>
            <w:hyperlink r:id="rId218" w:anchor="i418e32e4a35149ffbf7d3a25d66881b8_184" w:history="1">
              <w:r>
                <w:rPr>
                  <w:rStyle w:val="a5"/>
                  <w:rFonts w:ascii="Times New Roman" w:eastAsia="宋体" w:hAnsi="Times New Roman"/>
                  <w:sz w:val="20"/>
                  <w:szCs w:val="20"/>
                </w:rPr>
                <w:t>Note 20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7DCFE672" w14:textId="77777777" w:rsidR="00C1563E" w:rsidRDefault="000B648B">
            <w:pPr>
              <w:jc w:val="center"/>
              <w:textAlignment w:val="bottom"/>
            </w:pPr>
            <w:hyperlink r:id="rId219" w:anchor="i418e32e4a35149ffbf7d3a25d66881b8_184" w:history="1">
              <w:r>
                <w:rPr>
                  <w:rStyle w:val="a5"/>
                  <w:rFonts w:ascii="Times New Roman" w:eastAsia="宋体" w:hAnsi="Times New Roman"/>
                  <w:sz w:val="20"/>
                  <w:szCs w:val="20"/>
                </w:rPr>
                <w:t>160</w:t>
              </w:r>
            </w:hyperlink>
          </w:p>
        </w:tc>
      </w:tr>
      <w:tr w:rsidR="00C1563E" w14:paraId="7DCFE676" w14:textId="77777777">
        <w:trPr>
          <w:jc w:val="center"/>
        </w:trPr>
        <w:tc>
          <w:tcPr>
            <w:tcW w:w="0" w:type="auto"/>
            <w:gridSpan w:val="3"/>
            <w:shd w:val="clear" w:color="auto" w:fill="auto"/>
            <w:tcMar>
              <w:top w:w="40" w:type="dxa"/>
              <w:left w:w="20" w:type="dxa"/>
              <w:bottom w:w="40" w:type="dxa"/>
              <w:right w:w="20" w:type="dxa"/>
            </w:tcMar>
            <w:vAlign w:val="bottom"/>
          </w:tcPr>
          <w:p w14:paraId="7DCFE674" w14:textId="77777777" w:rsidR="00C1563E" w:rsidRDefault="000B648B">
            <w:pPr>
              <w:textAlignment w:val="bottom"/>
            </w:pPr>
            <w:hyperlink r:id="rId220" w:anchor="i418e32e4a35149ffbf7d3a25d66881b8_187" w:history="1">
              <w:r>
                <w:rPr>
                  <w:rStyle w:val="a5"/>
                  <w:rFonts w:ascii="Times New Roman" w:eastAsia="宋体" w:hAnsi="Times New Roman"/>
                  <w:sz w:val="20"/>
                  <w:szCs w:val="20"/>
                </w:rPr>
                <w:t>Note 21 — Condensed Financial Information of Parent Company</w:t>
              </w:r>
            </w:hyperlink>
          </w:p>
        </w:tc>
        <w:tc>
          <w:tcPr>
            <w:tcW w:w="0" w:type="auto"/>
            <w:gridSpan w:val="3"/>
            <w:shd w:val="clear" w:color="auto" w:fill="auto"/>
            <w:tcMar>
              <w:top w:w="40" w:type="dxa"/>
              <w:left w:w="20" w:type="dxa"/>
              <w:bottom w:w="40" w:type="dxa"/>
              <w:right w:w="20" w:type="dxa"/>
            </w:tcMar>
            <w:vAlign w:val="bottom"/>
          </w:tcPr>
          <w:p w14:paraId="7DCFE675" w14:textId="77777777" w:rsidR="00C1563E" w:rsidRDefault="000B648B">
            <w:pPr>
              <w:jc w:val="center"/>
              <w:textAlignment w:val="bottom"/>
            </w:pPr>
            <w:hyperlink r:id="rId221" w:anchor="i418e32e4a35149ffbf7d3a25d66881b8_187" w:history="1">
              <w:r>
                <w:rPr>
                  <w:rStyle w:val="a5"/>
                  <w:rFonts w:ascii="Times New Roman" w:eastAsia="宋体" w:hAnsi="Times New Roman"/>
                  <w:sz w:val="20"/>
                  <w:szCs w:val="20"/>
                </w:rPr>
                <w:t>165</w:t>
              </w:r>
            </w:hyperlink>
          </w:p>
        </w:tc>
      </w:tr>
      <w:tr w:rsidR="00C1563E" w14:paraId="7DCFE679" w14:textId="77777777">
        <w:trPr>
          <w:jc w:val="center"/>
          <w:hidden/>
        </w:trPr>
        <w:tc>
          <w:tcPr>
            <w:tcW w:w="0" w:type="auto"/>
            <w:gridSpan w:val="3"/>
            <w:shd w:val="clear" w:color="auto" w:fill="auto"/>
          </w:tcPr>
          <w:p w14:paraId="7DCFE677" w14:textId="77777777" w:rsidR="00C1563E" w:rsidRDefault="00C1563E">
            <w:pPr>
              <w:rPr>
                <w:rFonts w:ascii="宋体"/>
                <w:vanish/>
              </w:rPr>
            </w:pPr>
          </w:p>
        </w:tc>
        <w:tc>
          <w:tcPr>
            <w:tcW w:w="0" w:type="auto"/>
            <w:gridSpan w:val="3"/>
            <w:shd w:val="clear" w:color="auto" w:fill="auto"/>
          </w:tcPr>
          <w:p w14:paraId="7DCFE678" w14:textId="77777777" w:rsidR="00C1563E" w:rsidRDefault="00C1563E">
            <w:pPr>
              <w:rPr>
                <w:rFonts w:ascii="宋体"/>
                <w:vanish/>
              </w:rPr>
            </w:pPr>
          </w:p>
        </w:tc>
      </w:tr>
      <w:tr w:rsidR="00C1563E" w14:paraId="7DCFE67C" w14:textId="77777777">
        <w:trPr>
          <w:jc w:val="center"/>
        </w:trPr>
        <w:tc>
          <w:tcPr>
            <w:tcW w:w="0" w:type="auto"/>
            <w:gridSpan w:val="3"/>
            <w:shd w:val="clear" w:color="auto" w:fill="auto"/>
            <w:tcMar>
              <w:top w:w="40" w:type="dxa"/>
              <w:left w:w="20" w:type="dxa"/>
              <w:bottom w:w="40" w:type="dxa"/>
              <w:right w:w="20" w:type="dxa"/>
            </w:tcMar>
            <w:vAlign w:val="bottom"/>
          </w:tcPr>
          <w:p w14:paraId="7DCFE67A" w14:textId="77777777" w:rsidR="00C1563E" w:rsidRDefault="000B648B">
            <w:pPr>
              <w:textAlignment w:val="bottom"/>
            </w:pPr>
            <w:hyperlink r:id="rId222" w:anchor="i418e32e4a35149ffbf7d3a25d66881b8_193" w:history="1">
              <w:r>
                <w:rPr>
                  <w:rStyle w:val="a5"/>
                  <w:rFonts w:ascii="Times New Roman" w:eastAsia="宋体" w:hAnsi="Times New Roman"/>
                  <w:sz w:val="20"/>
                  <w:szCs w:val="20"/>
                </w:rPr>
                <w:t>Note 2</w:t>
              </w:r>
            </w:hyperlink>
            <w:hyperlink r:id="rId223" w:anchor="i418e32e4a35149ffbf7d3a25d66881b8_193" w:history="1">
              <w:r>
                <w:rPr>
                  <w:rStyle w:val="a5"/>
                  <w:rFonts w:ascii="Times New Roman" w:eastAsia="宋体" w:hAnsi="Times New Roman"/>
                  <w:sz w:val="20"/>
                  <w:szCs w:val="20"/>
                </w:rPr>
                <w:t>2</w:t>
              </w:r>
            </w:hyperlink>
            <w:hyperlink r:id="rId224" w:anchor="i418e32e4a35149ffbf7d3a25d66881b8_193" w:history="1">
              <w:r>
                <w:rPr>
                  <w:rStyle w:val="a5"/>
                  <w:rFonts w:ascii="Times New Roman" w:eastAsia="宋体" w:hAnsi="Times New Roman"/>
                  <w:sz w:val="20"/>
                  <w:szCs w:val="20"/>
                </w:rPr>
                <w:t xml:space="preserve"> — Related Party Transactions</w:t>
              </w:r>
            </w:hyperlink>
          </w:p>
        </w:tc>
        <w:tc>
          <w:tcPr>
            <w:tcW w:w="0" w:type="auto"/>
            <w:gridSpan w:val="3"/>
            <w:shd w:val="clear" w:color="auto" w:fill="auto"/>
            <w:tcMar>
              <w:top w:w="40" w:type="dxa"/>
              <w:left w:w="20" w:type="dxa"/>
              <w:bottom w:w="40" w:type="dxa"/>
              <w:right w:w="20" w:type="dxa"/>
            </w:tcMar>
            <w:vAlign w:val="bottom"/>
          </w:tcPr>
          <w:p w14:paraId="7DCFE67B" w14:textId="77777777" w:rsidR="00C1563E" w:rsidRDefault="000B648B">
            <w:pPr>
              <w:jc w:val="center"/>
              <w:textAlignment w:val="bottom"/>
            </w:pPr>
            <w:hyperlink r:id="rId225" w:anchor="i418e32e4a35149ffbf7d3a25d66881b8_193" w:history="1">
              <w:r>
                <w:rPr>
                  <w:rStyle w:val="a5"/>
                  <w:rFonts w:ascii="Times New Roman" w:eastAsia="宋体" w:hAnsi="Times New Roman"/>
                  <w:sz w:val="20"/>
                  <w:szCs w:val="20"/>
                </w:rPr>
                <w:t>167</w:t>
              </w:r>
            </w:hyperlink>
          </w:p>
        </w:tc>
      </w:tr>
      <w:tr w:rsidR="00C1563E" w14:paraId="7DCFE67F" w14:textId="77777777">
        <w:trPr>
          <w:jc w:val="center"/>
        </w:trPr>
        <w:tc>
          <w:tcPr>
            <w:tcW w:w="0" w:type="auto"/>
            <w:gridSpan w:val="3"/>
            <w:shd w:val="clear" w:color="auto" w:fill="auto"/>
            <w:tcMar>
              <w:top w:w="40" w:type="dxa"/>
              <w:left w:w="20" w:type="dxa"/>
              <w:bottom w:w="40" w:type="dxa"/>
              <w:right w:w="20" w:type="dxa"/>
            </w:tcMar>
            <w:vAlign w:val="bottom"/>
          </w:tcPr>
          <w:p w14:paraId="7DCFE67D" w14:textId="77777777" w:rsidR="00C1563E" w:rsidRDefault="000B648B">
            <w:pPr>
              <w:textAlignment w:val="bottom"/>
            </w:pPr>
            <w:hyperlink r:id="rId226" w:anchor="i418e32e4a35149ffbf7d3a25d66881b8_196" w:history="1">
              <w:r>
                <w:rPr>
                  <w:rStyle w:val="a5"/>
                  <w:rFonts w:ascii="Times New Roman" w:eastAsia="宋体" w:hAnsi="Times New Roman"/>
                  <w:sz w:val="20"/>
                  <w:szCs w:val="20"/>
                </w:rPr>
                <w:t>Note 2</w:t>
              </w:r>
            </w:hyperlink>
            <w:hyperlink r:id="rId227" w:anchor="i418e32e4a35149ffbf7d3a25d66881b8_196" w:history="1">
              <w:r>
                <w:rPr>
                  <w:rStyle w:val="a5"/>
                  <w:rFonts w:ascii="Times New Roman" w:eastAsia="宋体" w:hAnsi="Times New Roman"/>
                  <w:sz w:val="20"/>
                  <w:szCs w:val="20"/>
                </w:rPr>
                <w:t>3</w:t>
              </w:r>
            </w:hyperlink>
            <w:hyperlink r:id="rId228" w:anchor="i418e32e4a35149ffbf7d3a25d66881b8_196" w:history="1">
              <w:r>
                <w:rPr>
                  <w:rStyle w:val="a5"/>
                  <w:rFonts w:ascii="Times New Roman" w:eastAsia="宋体" w:hAnsi="Times New Roman"/>
                  <w:sz w:val="20"/>
                  <w:szCs w:val="20"/>
                </w:rPr>
                <w:t xml:space="preserve"> — Subsequent Events</w:t>
              </w:r>
            </w:hyperlink>
          </w:p>
        </w:tc>
        <w:tc>
          <w:tcPr>
            <w:tcW w:w="0" w:type="auto"/>
            <w:gridSpan w:val="3"/>
            <w:shd w:val="clear" w:color="auto" w:fill="auto"/>
            <w:tcMar>
              <w:top w:w="40" w:type="dxa"/>
              <w:left w:w="20" w:type="dxa"/>
              <w:bottom w:w="40" w:type="dxa"/>
              <w:right w:w="20" w:type="dxa"/>
            </w:tcMar>
            <w:vAlign w:val="bottom"/>
          </w:tcPr>
          <w:p w14:paraId="7DCFE67E" w14:textId="77777777" w:rsidR="00C1563E" w:rsidRDefault="000B648B">
            <w:pPr>
              <w:jc w:val="center"/>
              <w:textAlignment w:val="bottom"/>
            </w:pPr>
            <w:hyperlink r:id="rId229" w:anchor="i418e32e4a35149ffbf7d3a25d66881b8_196" w:history="1">
              <w:r>
                <w:rPr>
                  <w:rStyle w:val="a5"/>
                  <w:rFonts w:ascii="Times New Roman" w:eastAsia="宋体" w:hAnsi="Times New Roman"/>
                  <w:sz w:val="20"/>
                  <w:szCs w:val="20"/>
                </w:rPr>
                <w:t>167</w:t>
              </w:r>
            </w:hyperlink>
          </w:p>
        </w:tc>
      </w:tr>
    </w:tbl>
    <w:p w14:paraId="7DCFE680" w14:textId="77777777" w:rsidR="00C1563E" w:rsidRDefault="00C1563E"/>
    <w:p w14:paraId="7DCFE681" w14:textId="77777777" w:rsidR="00C1563E" w:rsidRDefault="00C1563E">
      <w:pPr>
        <w:jc w:val="center"/>
      </w:pPr>
    </w:p>
    <w:p w14:paraId="7DCFE682" w14:textId="77777777" w:rsidR="00C1563E" w:rsidRDefault="000B648B">
      <w:pPr>
        <w:jc w:val="center"/>
      </w:pPr>
      <w:r>
        <w:rPr>
          <w:rFonts w:ascii="Times New Roman" w:eastAsia="宋体" w:hAnsi="Times New Roman"/>
          <w:color w:val="000000"/>
          <w:sz w:val="20"/>
          <w:szCs w:val="20"/>
        </w:rPr>
        <w:t>70</w:t>
      </w:r>
    </w:p>
    <w:p w14:paraId="7DCFE683" w14:textId="77777777" w:rsidR="00C1563E" w:rsidRDefault="00C1563E">
      <w:pPr>
        <w:jc w:val="center"/>
      </w:pPr>
    </w:p>
    <w:p w14:paraId="7DCFE684" w14:textId="77777777" w:rsidR="00C1563E" w:rsidRDefault="000B648B">
      <w:r>
        <w:pict w14:anchorId="7DD025B0">
          <v:rect id="_x0000_i1094" style="width:415.3pt;height:1.5pt" o:hralign="center" o:hrstd="t" o:hr="t" fillcolor="#a0a0a0" stroked="f"/>
        </w:pict>
      </w:r>
    </w:p>
    <w:p w14:paraId="7DCFE685" w14:textId="77777777" w:rsidR="00C1563E" w:rsidRDefault="000B648B">
      <w:hyperlink r:id="rId230" w:anchor="i418e32e4a35149ffbf7d3a25d66881b8_10" w:history="1">
        <w:r>
          <w:rPr>
            <w:rStyle w:val="a5"/>
            <w:rFonts w:ascii="Times New Roman" w:eastAsia="宋体" w:hAnsi="Times New Roman"/>
            <w:sz w:val="20"/>
            <w:szCs w:val="20"/>
          </w:rPr>
          <w:t>Table of Contents</w:t>
        </w:r>
      </w:hyperlink>
    </w:p>
    <w:p w14:paraId="7DCFE686" w14:textId="77777777" w:rsidR="00C1563E" w:rsidRDefault="00C1563E">
      <w:pPr>
        <w:jc w:val="center"/>
      </w:pPr>
    </w:p>
    <w:p w14:paraId="7DCFE687" w14:textId="77777777" w:rsidR="00C1563E" w:rsidRDefault="000B648B">
      <w:pPr>
        <w:jc w:val="center"/>
      </w:pPr>
      <w:r>
        <w:rPr>
          <w:rFonts w:ascii="Times New Roman" w:eastAsia="宋体" w:hAnsi="Times New Roman"/>
          <w:b/>
          <w:bCs/>
          <w:color w:val="000000"/>
          <w:sz w:val="20"/>
          <w:szCs w:val="20"/>
        </w:rPr>
        <w:t>Report of Independent Registered Public Accounting Firm</w:t>
      </w:r>
    </w:p>
    <w:p w14:paraId="7DCFE688" w14:textId="77777777" w:rsidR="00C1563E" w:rsidRDefault="00C1563E"/>
    <w:p w14:paraId="7DCFE689" w14:textId="77777777" w:rsidR="00C1563E" w:rsidRDefault="000B648B">
      <w:r>
        <w:rPr>
          <w:rFonts w:ascii="Times New Roman" w:eastAsia="宋体" w:hAnsi="Times New Roman"/>
          <w:color w:val="000000"/>
          <w:sz w:val="20"/>
          <w:szCs w:val="20"/>
        </w:rPr>
        <w:t xml:space="preserve">To the Board of Directors </w:t>
      </w:r>
      <w:r>
        <w:rPr>
          <w:rFonts w:ascii="Times New Roman" w:eastAsia="宋体" w:hAnsi="Times New Roman"/>
          <w:color w:val="000000"/>
          <w:sz w:val="20"/>
          <w:szCs w:val="20"/>
        </w:rPr>
        <w:t>and Stockholders of Dell Technologies Inc.</w:t>
      </w:r>
    </w:p>
    <w:p w14:paraId="7DCFE68A" w14:textId="77777777" w:rsidR="00C1563E" w:rsidRDefault="00C1563E"/>
    <w:p w14:paraId="7DCFE68B" w14:textId="77777777" w:rsidR="00C1563E" w:rsidRDefault="000B648B">
      <w:r>
        <w:rPr>
          <w:rFonts w:ascii="Times New Roman" w:eastAsia="宋体" w:hAnsi="Times New Roman"/>
          <w:b/>
          <w:bCs/>
          <w:i/>
          <w:iCs/>
          <w:color w:val="000000"/>
          <w:sz w:val="20"/>
          <w:szCs w:val="20"/>
        </w:rPr>
        <w:t>Opinions on the Financial Statements and Internal Control over Financial Reporting</w:t>
      </w:r>
    </w:p>
    <w:p w14:paraId="7DCFE68C" w14:textId="77777777" w:rsidR="00C1563E" w:rsidRDefault="00C1563E"/>
    <w:p w14:paraId="7DCFE68D" w14:textId="77777777" w:rsidR="00C1563E" w:rsidRDefault="000B648B">
      <w:r>
        <w:rPr>
          <w:rFonts w:ascii="Times New Roman" w:eastAsia="宋体" w:hAnsi="Times New Roman"/>
          <w:color w:val="000000"/>
          <w:sz w:val="20"/>
          <w:szCs w:val="20"/>
        </w:rPr>
        <w:t>We have audited the accompanying consolidated statements of financial position of Dell Technologies Inc. and its subsidiaries (t</w:t>
      </w:r>
      <w:r>
        <w:rPr>
          <w:rFonts w:ascii="Times New Roman" w:eastAsia="宋体" w:hAnsi="Times New Roman"/>
          <w:color w:val="000000"/>
          <w:sz w:val="20"/>
          <w:szCs w:val="20"/>
        </w:rPr>
        <w:t>he “Company”) as of January 29, 2021 and January 31, 2020, and the related consolidated statements of income (loss), of comprehensive income (loss), of stockholders' equity (deficit) and of cash flows for each of the three years in the period ended January</w:t>
      </w:r>
      <w:r>
        <w:rPr>
          <w:rFonts w:ascii="Times New Roman" w:eastAsia="宋体" w:hAnsi="Times New Roman"/>
          <w:color w:val="000000"/>
          <w:sz w:val="20"/>
          <w:szCs w:val="20"/>
        </w:rPr>
        <w:t xml:space="preserve"> 29, 2021, including the related notes (collectively referred to as the “consolidated financial statements”). We also have audited the Company's internal control over financial reporting as of January 29, 2021, based on criteria established in Internal Con</w:t>
      </w:r>
      <w:r>
        <w:rPr>
          <w:rFonts w:ascii="Times New Roman" w:eastAsia="宋体" w:hAnsi="Times New Roman"/>
          <w:color w:val="000000"/>
          <w:sz w:val="20"/>
          <w:szCs w:val="20"/>
        </w:rPr>
        <w:t>trol - Integrated Framework (2013) issued by the Committee of Sponsoring Organizations of the Treadway Commission (COSO).</w:t>
      </w:r>
    </w:p>
    <w:p w14:paraId="7DCFE68E" w14:textId="77777777" w:rsidR="00C1563E" w:rsidRDefault="00C1563E"/>
    <w:p w14:paraId="7DCFE68F" w14:textId="77777777" w:rsidR="00C1563E" w:rsidRDefault="000B648B">
      <w:r>
        <w:rPr>
          <w:rFonts w:ascii="Times New Roman" w:eastAsia="宋体" w:hAnsi="Times New Roman"/>
          <w:color w:val="000000"/>
          <w:sz w:val="20"/>
          <w:szCs w:val="20"/>
        </w:rPr>
        <w:t>In our opinion, the consolidated financial statements referred to above present fairly, in all material respects, the financial posit</w:t>
      </w:r>
      <w:r>
        <w:rPr>
          <w:rFonts w:ascii="Times New Roman" w:eastAsia="宋体" w:hAnsi="Times New Roman"/>
          <w:color w:val="000000"/>
          <w:sz w:val="20"/>
          <w:szCs w:val="20"/>
        </w:rPr>
        <w:t xml:space="preserve">ion of the Company as of January 29, 2021 and January 31, 2020, and the results of its operations and its cash flows for each of the three years in the period ended January 29, 2021 in conformity with accounting principles generally accepted in the United </w:t>
      </w:r>
      <w:r>
        <w:rPr>
          <w:rFonts w:ascii="Times New Roman" w:eastAsia="宋体" w:hAnsi="Times New Roman"/>
          <w:color w:val="000000"/>
          <w:sz w:val="20"/>
          <w:szCs w:val="20"/>
        </w:rPr>
        <w:t xml:space="preserve">States of America. Also in our opinion, the Company maintained, in all material respects, effective internal control over financial reporting as of January 29, 2021, based on criteria established in Internal Control - Integrated Framework (2013) issued by </w:t>
      </w:r>
      <w:r>
        <w:rPr>
          <w:rFonts w:ascii="Times New Roman" w:eastAsia="宋体" w:hAnsi="Times New Roman"/>
          <w:color w:val="000000"/>
          <w:sz w:val="20"/>
          <w:szCs w:val="20"/>
        </w:rPr>
        <w:t xml:space="preserve">the COSO. </w:t>
      </w:r>
    </w:p>
    <w:p w14:paraId="7DCFE690" w14:textId="77777777" w:rsidR="00C1563E" w:rsidRDefault="00C1563E"/>
    <w:p w14:paraId="7DCFE691" w14:textId="77777777" w:rsidR="00C1563E" w:rsidRDefault="000B648B">
      <w:r>
        <w:rPr>
          <w:rFonts w:ascii="Times New Roman" w:eastAsia="宋体" w:hAnsi="Times New Roman"/>
          <w:i/>
          <w:iCs/>
          <w:color w:val="000000"/>
          <w:sz w:val="20"/>
          <w:szCs w:val="20"/>
        </w:rPr>
        <w:t xml:space="preserve">Change in Accounting Principle </w:t>
      </w:r>
    </w:p>
    <w:p w14:paraId="7DCFE692" w14:textId="77777777" w:rsidR="00C1563E" w:rsidRDefault="00C1563E"/>
    <w:p w14:paraId="7DCFE693" w14:textId="77777777" w:rsidR="00C1563E" w:rsidRDefault="000B648B">
      <w:r>
        <w:rPr>
          <w:rFonts w:ascii="Times New Roman" w:eastAsia="宋体" w:hAnsi="Times New Roman"/>
          <w:color w:val="000000"/>
          <w:sz w:val="20"/>
          <w:szCs w:val="20"/>
        </w:rPr>
        <w:t>As discussed in Note 2 to the consolidated financial statements, the Company changed the manner in which it accounts for leases as of February 2, 2019.</w:t>
      </w:r>
    </w:p>
    <w:p w14:paraId="7DCFE694" w14:textId="77777777" w:rsidR="00C1563E" w:rsidRDefault="00C1563E"/>
    <w:p w14:paraId="7DCFE695" w14:textId="77777777" w:rsidR="00C1563E" w:rsidRDefault="000B648B">
      <w:r>
        <w:rPr>
          <w:rFonts w:ascii="Times New Roman" w:eastAsia="宋体" w:hAnsi="Times New Roman"/>
          <w:b/>
          <w:bCs/>
          <w:i/>
          <w:iCs/>
          <w:color w:val="000000"/>
          <w:sz w:val="20"/>
          <w:szCs w:val="20"/>
        </w:rPr>
        <w:t>Basis for Opinions</w:t>
      </w:r>
    </w:p>
    <w:p w14:paraId="7DCFE696" w14:textId="77777777" w:rsidR="00C1563E" w:rsidRDefault="00C1563E"/>
    <w:p w14:paraId="7DCFE697" w14:textId="77777777" w:rsidR="00C1563E" w:rsidRDefault="000B648B">
      <w:r>
        <w:rPr>
          <w:rFonts w:ascii="Times New Roman" w:eastAsia="宋体" w:hAnsi="Times New Roman"/>
          <w:color w:val="000000"/>
          <w:sz w:val="20"/>
          <w:szCs w:val="20"/>
        </w:rPr>
        <w:t>The Company's management is responsibl</w:t>
      </w:r>
      <w:r>
        <w:rPr>
          <w:rFonts w:ascii="Times New Roman" w:eastAsia="宋体" w:hAnsi="Times New Roman"/>
          <w:color w:val="000000"/>
          <w:sz w:val="20"/>
          <w:szCs w:val="20"/>
        </w:rPr>
        <w:t>e for these consolidated financial statements, for maintaining effective internal control over financial reporting, and for its assessment of the effectiveness of internal control over financial reporting, included in Management’s Annual Report on Internal</w:t>
      </w:r>
      <w:r>
        <w:rPr>
          <w:rFonts w:ascii="Times New Roman" w:eastAsia="宋体" w:hAnsi="Times New Roman"/>
          <w:color w:val="000000"/>
          <w:sz w:val="20"/>
          <w:szCs w:val="20"/>
        </w:rPr>
        <w:t xml:space="preserve"> Control Over Financial Reporting appearing under Item 9A. Our responsibility is to express opinions on the Company’s consolidated financial statements and on the Company's internal control over financial reporting based on our audits. We are a public acco</w:t>
      </w:r>
      <w:r>
        <w:rPr>
          <w:rFonts w:ascii="Times New Roman" w:eastAsia="宋体" w:hAnsi="Times New Roman"/>
          <w:color w:val="000000"/>
          <w:sz w:val="20"/>
          <w:szCs w:val="20"/>
        </w:rPr>
        <w:t>unting firm registered with the Public Company Accounting Oversight Board (United States) (PCAOB) and are required to be independent with respect to the Company in accordance with the U.S. federal securities laws and the applicable rules and regulations of</w:t>
      </w:r>
      <w:r>
        <w:rPr>
          <w:rFonts w:ascii="Times New Roman" w:eastAsia="宋体" w:hAnsi="Times New Roman"/>
          <w:color w:val="000000"/>
          <w:sz w:val="20"/>
          <w:szCs w:val="20"/>
        </w:rPr>
        <w:t xml:space="preserve"> the Securities and Exchange Commission and the PCAOB.</w:t>
      </w:r>
    </w:p>
    <w:p w14:paraId="7DCFE698" w14:textId="77777777" w:rsidR="00C1563E" w:rsidRDefault="00C1563E"/>
    <w:p w14:paraId="7DCFE699" w14:textId="77777777" w:rsidR="00C1563E" w:rsidRDefault="000B648B">
      <w:r>
        <w:rPr>
          <w:rFonts w:ascii="Times New Roman" w:eastAsia="宋体" w:hAnsi="Times New Roman"/>
          <w:color w:val="000000"/>
          <w:sz w:val="20"/>
          <w:szCs w:val="20"/>
        </w:rPr>
        <w:t>We conducted our audits in accordance with the standards of the PCAOB. Those standards require that we plan and perform the audits to obtain reasonable assurance about whether the consolidated financi</w:t>
      </w:r>
      <w:r>
        <w:rPr>
          <w:rFonts w:ascii="Times New Roman" w:eastAsia="宋体" w:hAnsi="Times New Roman"/>
          <w:color w:val="000000"/>
          <w:sz w:val="20"/>
          <w:szCs w:val="20"/>
        </w:rPr>
        <w:t xml:space="preserve">al statements are free of material misstatement, whether due to error or fraud, and whether effective internal control over financial reporting was maintained in all material respects. </w:t>
      </w:r>
    </w:p>
    <w:p w14:paraId="7DCFE69A" w14:textId="77777777" w:rsidR="00C1563E" w:rsidRDefault="00C1563E"/>
    <w:p w14:paraId="7DCFE69B" w14:textId="77777777" w:rsidR="00C1563E" w:rsidRDefault="000B648B">
      <w:r>
        <w:rPr>
          <w:rFonts w:ascii="Times New Roman" w:eastAsia="宋体" w:hAnsi="Times New Roman"/>
          <w:color w:val="000000"/>
          <w:sz w:val="20"/>
          <w:szCs w:val="20"/>
        </w:rPr>
        <w:t>Our audits of the consolidated financial statements included performi</w:t>
      </w:r>
      <w:r>
        <w:rPr>
          <w:rFonts w:ascii="Times New Roman" w:eastAsia="宋体" w:hAnsi="Times New Roman"/>
          <w:color w:val="000000"/>
          <w:sz w:val="20"/>
          <w:szCs w:val="20"/>
        </w:rPr>
        <w:t>ng procedures to assess the risks of material misstatement of the consolidated financial statements, whether due to error or fraud, and performing procedures that respond to those risks. Such procedures included examining, on a test basis, evidence regardi</w:t>
      </w:r>
      <w:r>
        <w:rPr>
          <w:rFonts w:ascii="Times New Roman" w:eastAsia="宋体" w:hAnsi="Times New Roman"/>
          <w:color w:val="000000"/>
          <w:sz w:val="20"/>
          <w:szCs w:val="20"/>
        </w:rPr>
        <w:t>ng the amounts and disclosures in the consolidated financial statements. Our audits also included evaluating the accounting principles used and significant estimates made by management, as well as evaluating the overall presentation of the consolidated fin</w:t>
      </w:r>
      <w:r>
        <w:rPr>
          <w:rFonts w:ascii="Times New Roman" w:eastAsia="宋体" w:hAnsi="Times New Roman"/>
          <w:color w:val="000000"/>
          <w:sz w:val="20"/>
          <w:szCs w:val="20"/>
        </w:rPr>
        <w:t>ancial statements. Our audit of internal control over financial reporting included obtaining an understanding of internal control over financial reporting, assessing the risk that a material weakness exists, and testing and evaluating the design and operat</w:t>
      </w:r>
      <w:r>
        <w:rPr>
          <w:rFonts w:ascii="Times New Roman" w:eastAsia="宋体" w:hAnsi="Times New Roman"/>
          <w:color w:val="000000"/>
          <w:sz w:val="20"/>
          <w:szCs w:val="20"/>
        </w:rPr>
        <w:t>ing effectiveness of internal control based on the assessed risk. Our audits also included performing such other procedures as we considered necessary in the circumstances. We believe that our audits provide a reasonable basis for our opinions.</w:t>
      </w:r>
    </w:p>
    <w:p w14:paraId="7DCFE69C" w14:textId="77777777" w:rsidR="00C1563E" w:rsidRDefault="00C1563E"/>
    <w:p w14:paraId="7DCFE69D" w14:textId="77777777" w:rsidR="00C1563E" w:rsidRDefault="00C1563E">
      <w:pPr>
        <w:jc w:val="center"/>
      </w:pPr>
    </w:p>
    <w:p w14:paraId="7DCFE69E" w14:textId="77777777" w:rsidR="00C1563E" w:rsidRDefault="000B648B">
      <w:pPr>
        <w:jc w:val="center"/>
      </w:pPr>
      <w:r>
        <w:rPr>
          <w:rFonts w:ascii="Times New Roman" w:eastAsia="宋体" w:hAnsi="Times New Roman"/>
          <w:color w:val="000000"/>
          <w:sz w:val="20"/>
          <w:szCs w:val="20"/>
        </w:rPr>
        <w:t>71</w:t>
      </w:r>
    </w:p>
    <w:p w14:paraId="7DCFE69F" w14:textId="77777777" w:rsidR="00C1563E" w:rsidRDefault="00C1563E">
      <w:pPr>
        <w:jc w:val="center"/>
      </w:pPr>
    </w:p>
    <w:p w14:paraId="7DCFE6A0" w14:textId="77777777" w:rsidR="00C1563E" w:rsidRDefault="000B648B">
      <w:r>
        <w:pict w14:anchorId="7DD025B1">
          <v:rect id="_x0000_i1095" style="width:415.3pt;height:1.5pt" o:hralign="center" o:hrstd="t" o:hr="t" fillcolor="#a0a0a0" stroked="f"/>
        </w:pict>
      </w:r>
    </w:p>
    <w:p w14:paraId="7DCFE6A1" w14:textId="77777777" w:rsidR="00C1563E" w:rsidRDefault="000B648B">
      <w:hyperlink r:id="rId231" w:anchor="i418e32e4a35149ffbf7d3a25d66881b8_10" w:history="1">
        <w:r>
          <w:rPr>
            <w:rStyle w:val="a5"/>
            <w:rFonts w:ascii="Times New Roman" w:eastAsia="宋体" w:hAnsi="Times New Roman"/>
            <w:sz w:val="20"/>
            <w:szCs w:val="20"/>
          </w:rPr>
          <w:t>Table of Contents</w:t>
        </w:r>
      </w:hyperlink>
    </w:p>
    <w:p w14:paraId="7DCFE6A2" w14:textId="77777777" w:rsidR="00C1563E" w:rsidRDefault="000B648B">
      <w:r>
        <w:rPr>
          <w:rFonts w:ascii="Times New Roman" w:eastAsia="宋体" w:hAnsi="Times New Roman"/>
          <w:b/>
          <w:bCs/>
          <w:i/>
          <w:iCs/>
          <w:color w:val="000000"/>
          <w:sz w:val="20"/>
          <w:szCs w:val="20"/>
        </w:rPr>
        <w:t>Definition and Limitations of Internal Control over Financial Reporting</w:t>
      </w:r>
      <w:r>
        <w:rPr>
          <w:rFonts w:ascii="Times New Roman" w:eastAsia="宋体" w:hAnsi="Times New Roman"/>
          <w:i/>
          <w:iCs/>
          <w:color w:val="000000"/>
          <w:sz w:val="20"/>
          <w:szCs w:val="20"/>
        </w:rPr>
        <w:t xml:space="preserve"> </w:t>
      </w:r>
    </w:p>
    <w:p w14:paraId="7DCFE6A3" w14:textId="77777777" w:rsidR="00C1563E" w:rsidRDefault="00C1563E"/>
    <w:p w14:paraId="7DCFE6A4" w14:textId="77777777" w:rsidR="00C1563E" w:rsidRDefault="000B648B">
      <w:r>
        <w:rPr>
          <w:rFonts w:ascii="Times New Roman" w:eastAsia="宋体" w:hAnsi="Times New Roman"/>
          <w:color w:val="000000"/>
          <w:sz w:val="20"/>
          <w:szCs w:val="20"/>
        </w:rPr>
        <w:t xml:space="preserve">A </w:t>
      </w:r>
      <w:r>
        <w:rPr>
          <w:rFonts w:ascii="Times New Roman" w:eastAsia="宋体" w:hAnsi="Times New Roman"/>
          <w:color w:val="000000"/>
          <w:sz w:val="20"/>
          <w:szCs w:val="20"/>
        </w:rPr>
        <w:t>company’s internal control over financial reporting is a process designed to provide reasonable assurance regarding the reliability of financial reporting and the preparation of financial statements for external purposes in accordance with generally accept</w:t>
      </w:r>
      <w:r>
        <w:rPr>
          <w:rFonts w:ascii="Times New Roman" w:eastAsia="宋体" w:hAnsi="Times New Roman"/>
          <w:color w:val="000000"/>
          <w:sz w:val="20"/>
          <w:szCs w:val="20"/>
        </w:rPr>
        <w:t>ed accounting principles. A company’s internal control over financial reporting includes those policies and procedures that (i) pertain to the maintenance of records that, in reasonable detail, accurately and fairly reflect the transactions and disposition</w:t>
      </w:r>
      <w:r>
        <w:rPr>
          <w:rFonts w:ascii="Times New Roman" w:eastAsia="宋体" w:hAnsi="Times New Roman"/>
          <w:color w:val="000000"/>
          <w:sz w:val="20"/>
          <w:szCs w:val="20"/>
        </w:rPr>
        <w:t>s of the assets of the company; (ii) provide reasonable assurance that transactions are recorded as necessary to permit preparation of financial statements in accordance with generally accepted accounting principles, and that receipts and expenditures of t</w:t>
      </w:r>
      <w:r>
        <w:rPr>
          <w:rFonts w:ascii="Times New Roman" w:eastAsia="宋体" w:hAnsi="Times New Roman"/>
          <w:color w:val="000000"/>
          <w:sz w:val="20"/>
          <w:szCs w:val="20"/>
        </w:rPr>
        <w:t>he company are being made only in accordance with authorizations of management and directors of the company; and (iii) provide reasonable assurance regarding prevention or timely detection of unauthorized acquisition, use, or disposition of the company’s a</w:t>
      </w:r>
      <w:r>
        <w:rPr>
          <w:rFonts w:ascii="Times New Roman" w:eastAsia="宋体" w:hAnsi="Times New Roman"/>
          <w:color w:val="000000"/>
          <w:sz w:val="20"/>
          <w:szCs w:val="20"/>
        </w:rPr>
        <w:t>ssets that could have a material effect on the financial statements.</w:t>
      </w:r>
    </w:p>
    <w:p w14:paraId="7DCFE6A5" w14:textId="77777777" w:rsidR="00C1563E" w:rsidRDefault="00C1563E"/>
    <w:p w14:paraId="7DCFE6A6" w14:textId="77777777" w:rsidR="00C1563E" w:rsidRDefault="000B648B">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 to future per</w:t>
      </w:r>
      <w:r>
        <w:rPr>
          <w:rFonts w:ascii="Times New Roman" w:eastAsia="宋体" w:hAnsi="Times New Roman"/>
          <w:color w:val="000000"/>
          <w:sz w:val="20"/>
          <w:szCs w:val="20"/>
        </w:rPr>
        <w:t>iods are subject to the risk that controls may become inadequate because of changes in conditions, or that the degree of compliance with the policies or procedures may deteriorate.</w:t>
      </w:r>
    </w:p>
    <w:p w14:paraId="7DCFE6A7" w14:textId="77777777" w:rsidR="00C1563E" w:rsidRDefault="00C1563E"/>
    <w:p w14:paraId="7DCFE6A8" w14:textId="77777777" w:rsidR="00C1563E" w:rsidRDefault="000B648B">
      <w:r>
        <w:rPr>
          <w:rFonts w:ascii="Times New Roman" w:eastAsia="宋体" w:hAnsi="Times New Roman"/>
          <w:b/>
          <w:bCs/>
          <w:i/>
          <w:iCs/>
          <w:color w:val="000000"/>
          <w:sz w:val="20"/>
          <w:szCs w:val="20"/>
        </w:rPr>
        <w:t>Critical Audit Matters</w:t>
      </w:r>
    </w:p>
    <w:p w14:paraId="7DCFE6A9" w14:textId="77777777" w:rsidR="00C1563E" w:rsidRDefault="00C1563E"/>
    <w:p w14:paraId="7DCFE6AA" w14:textId="77777777" w:rsidR="00C1563E" w:rsidRDefault="000B648B">
      <w:r>
        <w:rPr>
          <w:rFonts w:ascii="Times New Roman" w:eastAsia="宋体" w:hAnsi="Times New Roman"/>
          <w:color w:val="000000"/>
          <w:sz w:val="20"/>
          <w:szCs w:val="20"/>
        </w:rPr>
        <w:t xml:space="preserve">The critical audit matters communicated below are </w:t>
      </w:r>
      <w:r>
        <w:rPr>
          <w:rFonts w:ascii="Times New Roman" w:eastAsia="宋体" w:hAnsi="Times New Roman"/>
          <w:color w:val="000000"/>
          <w:sz w:val="20"/>
          <w:szCs w:val="20"/>
        </w:rPr>
        <w:t>matters arising from the current period audit of the consolidated financial statements that were communicated or required to be communicated to the audit committee and that (i) relate to accounts or disclosures that are material to the consolidated financi</w:t>
      </w:r>
      <w:r>
        <w:rPr>
          <w:rFonts w:ascii="Times New Roman" w:eastAsia="宋体" w:hAnsi="Times New Roman"/>
          <w:color w:val="000000"/>
          <w:sz w:val="20"/>
          <w:szCs w:val="20"/>
        </w:rPr>
        <w:t>al statements and (ii) involved our especially challenging, subjective, or complex judgments. The communication of critical audit matters does not alter in any way our opinion on the consolidated financial statements, taken as a whole, and we are not, by c</w:t>
      </w:r>
      <w:r>
        <w:rPr>
          <w:rFonts w:ascii="Times New Roman" w:eastAsia="宋体" w:hAnsi="Times New Roman"/>
          <w:color w:val="000000"/>
          <w:sz w:val="20"/>
          <w:szCs w:val="20"/>
        </w:rPr>
        <w:t>ommunicating the critical audit matters below, providing separate opinions on the critical audit matters or on the accounts or disclosures to which they relate.</w:t>
      </w:r>
    </w:p>
    <w:p w14:paraId="7DCFE6AB" w14:textId="77777777" w:rsidR="00C1563E" w:rsidRDefault="00C1563E"/>
    <w:p w14:paraId="7DCFE6AC" w14:textId="77777777" w:rsidR="00C1563E" w:rsidRDefault="000B648B">
      <w:r>
        <w:rPr>
          <w:rFonts w:ascii="Times New Roman" w:eastAsia="宋体" w:hAnsi="Times New Roman"/>
          <w:i/>
          <w:iCs/>
          <w:color w:val="000000"/>
          <w:sz w:val="20"/>
          <w:szCs w:val="20"/>
        </w:rPr>
        <w:t>Revenue Recognition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Identification of Performance Obligations in Revenue Contracts</w:t>
      </w:r>
      <w:r>
        <w:rPr>
          <w:rFonts w:ascii="Times New Roman" w:eastAsia="宋体" w:hAnsi="Times New Roman"/>
          <w:color w:val="000000"/>
          <w:sz w:val="20"/>
          <w:szCs w:val="20"/>
        </w:rPr>
        <w:t xml:space="preserve"> </w:t>
      </w:r>
    </w:p>
    <w:p w14:paraId="7DCFE6AD" w14:textId="77777777" w:rsidR="00C1563E" w:rsidRDefault="00C1563E"/>
    <w:p w14:paraId="7DCFE6AE" w14:textId="77777777" w:rsidR="00C1563E" w:rsidRDefault="000B648B">
      <w:r>
        <w:rPr>
          <w:rFonts w:ascii="Times New Roman" w:eastAsia="宋体" w:hAnsi="Times New Roman"/>
          <w:color w:val="000000"/>
          <w:sz w:val="20"/>
          <w:szCs w:val="20"/>
        </w:rPr>
        <w:t>As desc</w:t>
      </w:r>
      <w:r>
        <w:rPr>
          <w:rFonts w:ascii="Times New Roman" w:eastAsia="宋体" w:hAnsi="Times New Roman"/>
          <w:color w:val="000000"/>
          <w:sz w:val="20"/>
          <w:szCs w:val="20"/>
        </w:rPr>
        <w:t>ribed in Notes 2 and 19 to the consolidated financial statements, the Company’s contracts with customers often include the promise to transfer multiple goods and services to a customer. Distinct promises within a contract are referred to as performance obl</w:t>
      </w:r>
      <w:r>
        <w:rPr>
          <w:rFonts w:ascii="Times New Roman" w:eastAsia="宋体" w:hAnsi="Times New Roman"/>
          <w:color w:val="000000"/>
          <w:sz w:val="20"/>
          <w:szCs w:val="20"/>
        </w:rPr>
        <w:t>igations and are accounted for as separate units of account. Management assesses whether each promised good or service is distinct for the purpose of identifying the performance obligations in the contract. This assessment involves subjective determination</w:t>
      </w:r>
      <w:r>
        <w:rPr>
          <w:rFonts w:ascii="Times New Roman" w:eastAsia="宋体" w:hAnsi="Times New Roman"/>
          <w:color w:val="000000"/>
          <w:sz w:val="20"/>
          <w:szCs w:val="20"/>
        </w:rPr>
        <w:t>s and requires management to make judgments about the individual promised goods or services and whether such goods or services are separable from the other aspects of the contractual relationship. The Company’s performance obligations include various disti</w:t>
      </w:r>
      <w:r>
        <w:rPr>
          <w:rFonts w:ascii="Times New Roman" w:eastAsia="宋体" w:hAnsi="Times New Roman"/>
          <w:color w:val="000000"/>
          <w:sz w:val="20"/>
          <w:szCs w:val="20"/>
        </w:rPr>
        <w:t>nct goods and services such as hardware, software licenses, support and maintenance agreements, and other service offerings and solutions. For the year ended January 29, 2021, a significant portion of the $32.6 billion Infrastructure Solutions Group (“ISG”</w:t>
      </w:r>
      <w:r>
        <w:rPr>
          <w:rFonts w:ascii="Times New Roman" w:eastAsia="宋体" w:hAnsi="Times New Roman"/>
          <w:color w:val="000000"/>
          <w:sz w:val="20"/>
          <w:szCs w:val="20"/>
        </w:rPr>
        <w:t xml:space="preserve">) and $11.9 billion VMware reportable segment net revenues relate to contracts with multiple performance obligations. </w:t>
      </w:r>
    </w:p>
    <w:p w14:paraId="7DCFE6AF" w14:textId="77777777" w:rsidR="00C1563E" w:rsidRDefault="00C1563E"/>
    <w:p w14:paraId="7DCFE6B0" w14:textId="77777777" w:rsidR="00C1563E" w:rsidRDefault="000B648B">
      <w:r>
        <w:rPr>
          <w:rFonts w:ascii="Times New Roman" w:eastAsia="宋体" w:hAnsi="Times New Roman"/>
          <w:color w:val="000000"/>
          <w:sz w:val="20"/>
          <w:szCs w:val="20"/>
        </w:rPr>
        <w:t xml:space="preserve">The principal considerations for our determination that performing procedures relating to the identification of performance obligations </w:t>
      </w:r>
      <w:r>
        <w:rPr>
          <w:rFonts w:ascii="Times New Roman" w:eastAsia="宋体" w:hAnsi="Times New Roman"/>
          <w:color w:val="000000"/>
          <w:sz w:val="20"/>
          <w:szCs w:val="20"/>
        </w:rPr>
        <w:t>in revenue contracts is a critical audit matter are the significant judgment by management in identifying performance obligations in revenue contracts, which in turn led to a high degree of auditor judgment, subjectivity and effort in performing procedures</w:t>
      </w:r>
      <w:r>
        <w:rPr>
          <w:rFonts w:ascii="Times New Roman" w:eastAsia="宋体" w:hAnsi="Times New Roman"/>
          <w:color w:val="000000"/>
          <w:sz w:val="20"/>
          <w:szCs w:val="20"/>
        </w:rPr>
        <w:t xml:space="preserve"> to evaluate whether performance obligations in revenue contracts were appropriately identified by management. </w:t>
      </w:r>
    </w:p>
    <w:p w14:paraId="7DCFE6B1" w14:textId="77777777" w:rsidR="00C1563E" w:rsidRDefault="00C1563E"/>
    <w:p w14:paraId="7DCFE6B2" w14:textId="77777777" w:rsidR="00C1563E" w:rsidRDefault="000B648B">
      <w:r>
        <w:rPr>
          <w:rFonts w:ascii="Times New Roman" w:eastAsia="宋体" w:hAnsi="Times New Roman"/>
          <w:color w:val="000000"/>
          <w:sz w:val="20"/>
          <w:szCs w:val="20"/>
        </w:rPr>
        <w:t>Addressing the matter involved performing procedures and evaluating audit evidence in connection with forming our overall opinion on the consol</w:t>
      </w:r>
      <w:r>
        <w:rPr>
          <w:rFonts w:ascii="Times New Roman" w:eastAsia="宋体" w:hAnsi="Times New Roman"/>
          <w:color w:val="000000"/>
          <w:sz w:val="20"/>
          <w:szCs w:val="20"/>
        </w:rPr>
        <w:t>idated financial statements. These procedures included testing the effectiveness of controls relating to the revenue recognition process, including controls related to the proper identification of performance obligations in revenue contracts. These procedu</w:t>
      </w:r>
      <w:r>
        <w:rPr>
          <w:rFonts w:ascii="Times New Roman" w:eastAsia="宋体" w:hAnsi="Times New Roman"/>
          <w:color w:val="000000"/>
          <w:sz w:val="20"/>
          <w:szCs w:val="20"/>
        </w:rPr>
        <w:t>res also included, among others, testing the completeness and accuracy of management’s identification of performance obligations by examining revenue contracts on a test basis.</w:t>
      </w:r>
    </w:p>
    <w:p w14:paraId="7DCFE6B3" w14:textId="77777777" w:rsidR="00C1563E" w:rsidRDefault="00C1563E"/>
    <w:p w14:paraId="7DCFE6B4" w14:textId="77777777" w:rsidR="00C1563E" w:rsidRDefault="00C1563E">
      <w:pPr>
        <w:jc w:val="center"/>
      </w:pPr>
    </w:p>
    <w:p w14:paraId="7DCFE6B5" w14:textId="77777777" w:rsidR="00C1563E" w:rsidRDefault="000B648B">
      <w:pPr>
        <w:jc w:val="center"/>
      </w:pPr>
      <w:r>
        <w:rPr>
          <w:rFonts w:ascii="Times New Roman" w:eastAsia="宋体" w:hAnsi="Times New Roman"/>
          <w:color w:val="000000"/>
          <w:sz w:val="20"/>
          <w:szCs w:val="20"/>
        </w:rPr>
        <w:t>72</w:t>
      </w:r>
    </w:p>
    <w:p w14:paraId="7DCFE6B6" w14:textId="77777777" w:rsidR="00C1563E" w:rsidRDefault="00C1563E">
      <w:pPr>
        <w:jc w:val="center"/>
      </w:pPr>
    </w:p>
    <w:p w14:paraId="7DCFE6B7" w14:textId="77777777" w:rsidR="00C1563E" w:rsidRDefault="000B648B">
      <w:r>
        <w:pict w14:anchorId="7DD025B2">
          <v:rect id="_x0000_i1096" style="width:415.3pt;height:1.5pt" o:hralign="center" o:hrstd="t" o:hr="t" fillcolor="#a0a0a0" stroked="f"/>
        </w:pict>
      </w:r>
    </w:p>
    <w:p w14:paraId="7DCFE6B8" w14:textId="77777777" w:rsidR="00C1563E" w:rsidRDefault="000B648B">
      <w:hyperlink r:id="rId232" w:anchor="i418e32e4a35149ffbf7d3a25d66881b8_10" w:history="1">
        <w:r>
          <w:rPr>
            <w:rStyle w:val="a5"/>
            <w:rFonts w:ascii="Times New Roman" w:eastAsia="宋体" w:hAnsi="Times New Roman"/>
            <w:sz w:val="20"/>
            <w:szCs w:val="20"/>
          </w:rPr>
          <w:t>Table of Contents</w:t>
        </w:r>
      </w:hyperlink>
    </w:p>
    <w:p w14:paraId="7DCFE6B9" w14:textId="77777777" w:rsidR="00C1563E" w:rsidRDefault="000B648B">
      <w:r>
        <w:rPr>
          <w:rFonts w:ascii="Times New Roman" w:eastAsia="宋体" w:hAnsi="Times New Roman"/>
          <w:i/>
          <w:iCs/>
          <w:color w:val="000000"/>
          <w:sz w:val="20"/>
          <w:szCs w:val="20"/>
        </w:rPr>
        <w:t>Goodwill and Indefinite-lived Trade Names Impairment Assessments</w:t>
      </w:r>
    </w:p>
    <w:p w14:paraId="7DCFE6BA" w14:textId="77777777" w:rsidR="00C1563E" w:rsidRDefault="00C1563E"/>
    <w:p w14:paraId="7DCFE6BB" w14:textId="77777777" w:rsidR="00C1563E" w:rsidRDefault="000B648B">
      <w:r>
        <w:rPr>
          <w:rFonts w:ascii="Times New Roman" w:eastAsia="宋体" w:hAnsi="Times New Roman"/>
          <w:color w:val="000000"/>
          <w:sz w:val="20"/>
          <w:szCs w:val="20"/>
        </w:rPr>
        <w:t>As described in Note 8 to the consolidated financial statements, the Company’s consolidat</w:t>
      </w:r>
      <w:r>
        <w:rPr>
          <w:rFonts w:ascii="Times New Roman" w:eastAsia="宋体" w:hAnsi="Times New Roman"/>
          <w:color w:val="000000"/>
          <w:sz w:val="20"/>
          <w:szCs w:val="20"/>
        </w:rPr>
        <w:t>ed goodwill and indefinite-lived trade names balances were $40.8 billion and $3.8 billion as of January 29, 2021, respectively. The goodwill associated with the Infrastructure Solutions Group (“ISG”) goodwill reporting unit represents a portion of the tota</w:t>
      </w:r>
      <w:r>
        <w:rPr>
          <w:rFonts w:ascii="Times New Roman" w:eastAsia="宋体" w:hAnsi="Times New Roman"/>
          <w:color w:val="000000"/>
          <w:sz w:val="20"/>
          <w:szCs w:val="20"/>
        </w:rPr>
        <w:t>l goodwill balance. Goodwill and indefinite-lived intangible assets are tested for impairment annually during the third fiscal quarter and whenever events or circumstances may indicate that an impairment has occurred. Management performs a quantitative goo</w:t>
      </w:r>
      <w:r>
        <w:rPr>
          <w:rFonts w:ascii="Times New Roman" w:eastAsia="宋体" w:hAnsi="Times New Roman"/>
          <w:color w:val="000000"/>
          <w:sz w:val="20"/>
          <w:szCs w:val="20"/>
        </w:rPr>
        <w:t xml:space="preserve">dwill impairment test to measure the fair value of each goodwill reporting unit relative to its carrying amount, and to determine the amount of goodwill impairment loss to be recognized, if any. The fair value of the goodwill reporting units are generally </w:t>
      </w:r>
      <w:r>
        <w:rPr>
          <w:rFonts w:ascii="Times New Roman" w:eastAsia="宋体" w:hAnsi="Times New Roman"/>
          <w:color w:val="000000"/>
          <w:sz w:val="20"/>
          <w:szCs w:val="20"/>
        </w:rPr>
        <w:t>estimated using a combination of public company multiples and discounted cash flow methodologies which require significant judgment, including estimation of future revenues, gross margins and operating expenses, which are dependent on internal forecasts, c</w:t>
      </w:r>
      <w:r>
        <w:rPr>
          <w:rFonts w:ascii="Times New Roman" w:eastAsia="宋体" w:hAnsi="Times New Roman"/>
          <w:color w:val="000000"/>
          <w:sz w:val="20"/>
          <w:szCs w:val="20"/>
        </w:rPr>
        <w:t>urrent and anticipated economic conditions and trends, selection of market multiples through assessment of the reporting unit’s performance relative to peer competitors, the estimation of the long-term revenue growth rate and discount rate of the Company’s</w:t>
      </w:r>
      <w:r>
        <w:rPr>
          <w:rFonts w:ascii="Times New Roman" w:eastAsia="宋体" w:hAnsi="Times New Roman"/>
          <w:color w:val="000000"/>
          <w:sz w:val="20"/>
          <w:szCs w:val="20"/>
        </w:rPr>
        <w:t xml:space="preserve"> business, and the determination of the Company’s weighted average cost of capital. The fair value of the indefinite-lived trade names is generally estimated using discounted cash flow methodologies. The discounted cash flow methodology requires significan</w:t>
      </w:r>
      <w:r>
        <w:rPr>
          <w:rFonts w:ascii="Times New Roman" w:eastAsia="宋体" w:hAnsi="Times New Roman"/>
          <w:color w:val="000000"/>
          <w:sz w:val="20"/>
          <w:szCs w:val="20"/>
        </w:rPr>
        <w:t>t judgment, including estimation of future revenue, the estimation of the long-term revenue growth rate of the Company’s business and the determination of the Company’s weighted average cost of capital and royalty rates.</w:t>
      </w:r>
    </w:p>
    <w:p w14:paraId="7DCFE6BC" w14:textId="77777777" w:rsidR="00C1563E" w:rsidRDefault="00C1563E"/>
    <w:p w14:paraId="7DCFE6BD" w14:textId="77777777" w:rsidR="00C1563E" w:rsidRDefault="000B648B">
      <w:r>
        <w:rPr>
          <w:rFonts w:ascii="Times New Roman" w:eastAsia="宋体" w:hAnsi="Times New Roman"/>
          <w:color w:val="000000"/>
          <w:sz w:val="20"/>
          <w:szCs w:val="20"/>
        </w:rPr>
        <w:t xml:space="preserve">The principal </w:t>
      </w:r>
      <w:r>
        <w:rPr>
          <w:rFonts w:ascii="Times New Roman" w:eastAsia="宋体" w:hAnsi="Times New Roman"/>
          <w:color w:val="000000"/>
          <w:sz w:val="20"/>
          <w:szCs w:val="20"/>
        </w:rPr>
        <w:t>considerations for our determination that performing procedures relating to goodwill and indefinite-lived trade names impairment assessments is a critical audit matter are the significant judgment by management when developing the fair value measurement of</w:t>
      </w:r>
      <w:r>
        <w:rPr>
          <w:rFonts w:ascii="Times New Roman" w:eastAsia="宋体" w:hAnsi="Times New Roman"/>
          <w:color w:val="000000"/>
          <w:sz w:val="20"/>
          <w:szCs w:val="20"/>
        </w:rPr>
        <w:t xml:space="preserve"> the ISG reporting unit and certain of its indefinite-lived trade names, which in turn led to a high degree of auditor judgment, subjectivity and effort in performing procedures and evaluating audit evidence related to management’s selection of market mult</w:t>
      </w:r>
      <w:r>
        <w:rPr>
          <w:rFonts w:ascii="Times New Roman" w:eastAsia="宋体" w:hAnsi="Times New Roman"/>
          <w:color w:val="000000"/>
          <w:sz w:val="20"/>
          <w:szCs w:val="20"/>
        </w:rPr>
        <w:t>iples and cash flow projections, including significant assumptions related to the estimation of future revenues, gross margins and operating expenses. In addition, the audit effort involved the use of professionals with specialized skill and knowledge to a</w:t>
      </w:r>
      <w:r>
        <w:rPr>
          <w:rFonts w:ascii="Times New Roman" w:eastAsia="宋体" w:hAnsi="Times New Roman"/>
          <w:color w:val="000000"/>
          <w:sz w:val="20"/>
          <w:szCs w:val="20"/>
        </w:rPr>
        <w:t>ssist in evaluating the audit evidence obtained from these procedures.</w:t>
      </w:r>
    </w:p>
    <w:p w14:paraId="7DCFE6BE" w14:textId="77777777" w:rsidR="00C1563E" w:rsidRDefault="00C1563E"/>
    <w:p w14:paraId="7DCFE6BF" w14:textId="77777777" w:rsidR="00C1563E" w:rsidRDefault="000B648B">
      <w:r>
        <w:rPr>
          <w:rFonts w:ascii="Times New Roman" w:eastAsia="宋体" w:hAnsi="Times New Roman"/>
          <w:color w:val="000000"/>
          <w:sz w:val="20"/>
          <w:szCs w:val="20"/>
        </w:rPr>
        <w:t>Addressing the matter involved performing procedures and evaluating audit evidence in connection with forming our overall opinion on the consolidated financial statements. These proced</w:t>
      </w:r>
      <w:r>
        <w:rPr>
          <w:rFonts w:ascii="Times New Roman" w:eastAsia="宋体" w:hAnsi="Times New Roman"/>
          <w:color w:val="000000"/>
          <w:sz w:val="20"/>
          <w:szCs w:val="20"/>
        </w:rPr>
        <w:t>ures included testing the effectiveness of controls relating to management’s goodwill and indefinite-lived trade names impairment assessments, including controls over the fair value of the ISG reporting unit and indefinite-lived trade names. These procedur</w:t>
      </w:r>
      <w:r>
        <w:rPr>
          <w:rFonts w:ascii="Times New Roman" w:eastAsia="宋体" w:hAnsi="Times New Roman"/>
          <w:color w:val="000000"/>
          <w:sz w:val="20"/>
          <w:szCs w:val="20"/>
        </w:rPr>
        <w:t>es also included, among others, testing management’s process for developing the fair value estimates, evaluating the appropriateness of the public company multiples and discounted cash flow methodologies, testing completeness and accuracy of underlying dat</w:t>
      </w:r>
      <w:r>
        <w:rPr>
          <w:rFonts w:ascii="Times New Roman" w:eastAsia="宋体" w:hAnsi="Times New Roman"/>
          <w:color w:val="000000"/>
          <w:sz w:val="20"/>
          <w:szCs w:val="20"/>
        </w:rPr>
        <w:t>a used in the methodologies, and evaluating the reasonableness of management’s selection of market multiples, and significant assumptions used by management in estimating the fair value of the ISG reporting unit and certain of the indefinite-lived trade na</w:t>
      </w:r>
      <w:r>
        <w:rPr>
          <w:rFonts w:ascii="Times New Roman" w:eastAsia="宋体" w:hAnsi="Times New Roman"/>
          <w:color w:val="000000"/>
          <w:sz w:val="20"/>
          <w:szCs w:val="20"/>
        </w:rPr>
        <w:t>mes related to the estimation of future revenues, gross margins and operating expenses. Evaluating the assumptions related to the estimation of future revenues, gross margins and operating expenses involved evaluating whether assumptions used by management</w:t>
      </w:r>
      <w:r>
        <w:rPr>
          <w:rFonts w:ascii="Times New Roman" w:eastAsia="宋体" w:hAnsi="Times New Roman"/>
          <w:color w:val="000000"/>
          <w:sz w:val="20"/>
          <w:szCs w:val="20"/>
        </w:rPr>
        <w:t xml:space="preserve"> were reasonable considering the past performance of the ISG reporting unit and certain of the indefinite-lived trade names, consistency with third-party industry data, and whether the assumptions were consistent with evidence obtained in other areas of th</w:t>
      </w:r>
      <w:r>
        <w:rPr>
          <w:rFonts w:ascii="Times New Roman" w:eastAsia="宋体" w:hAnsi="Times New Roman"/>
          <w:color w:val="000000"/>
          <w:sz w:val="20"/>
          <w:szCs w:val="20"/>
        </w:rPr>
        <w:t>e audit. Professionals with specialized skill and knowledge were used to assist in the evaluation of the Company’s public company multiples and discounted cash flow methodologies and the significant assumption related to the selection of market multiples u</w:t>
      </w:r>
      <w:r>
        <w:rPr>
          <w:rFonts w:ascii="Times New Roman" w:eastAsia="宋体" w:hAnsi="Times New Roman"/>
          <w:color w:val="000000"/>
          <w:sz w:val="20"/>
          <w:szCs w:val="20"/>
        </w:rPr>
        <w:t>sed.</w:t>
      </w:r>
    </w:p>
    <w:p w14:paraId="7DCFE6C0" w14:textId="77777777" w:rsidR="00C1563E" w:rsidRDefault="00C1563E"/>
    <w:p w14:paraId="7DCFE6C1" w14:textId="77777777" w:rsidR="00C1563E" w:rsidRDefault="00C1563E"/>
    <w:p w14:paraId="7DCFE6C2" w14:textId="77777777" w:rsidR="00C1563E" w:rsidRDefault="000B648B">
      <w:r>
        <w:rPr>
          <w:rFonts w:ascii="Times New Roman" w:eastAsia="宋体" w:hAnsi="Times New Roman"/>
          <w:color w:val="000000"/>
          <w:sz w:val="20"/>
          <w:szCs w:val="20"/>
        </w:rPr>
        <w:t>/s/ PricewaterhouseCoopers LLP</w:t>
      </w:r>
    </w:p>
    <w:p w14:paraId="7DCFE6C3" w14:textId="77777777" w:rsidR="00C1563E" w:rsidRDefault="00C1563E"/>
    <w:p w14:paraId="7DCFE6C4" w14:textId="77777777" w:rsidR="00C1563E" w:rsidRDefault="000B648B">
      <w:r>
        <w:rPr>
          <w:rFonts w:ascii="Times New Roman" w:eastAsia="宋体" w:hAnsi="Times New Roman"/>
          <w:color w:val="000000"/>
          <w:sz w:val="20"/>
          <w:szCs w:val="20"/>
        </w:rPr>
        <w:t>Austin, Texas</w:t>
      </w:r>
    </w:p>
    <w:p w14:paraId="7DCFE6C5" w14:textId="77777777" w:rsidR="00C1563E" w:rsidRDefault="000B648B">
      <w:r>
        <w:rPr>
          <w:rFonts w:ascii="Times New Roman" w:eastAsia="宋体" w:hAnsi="Times New Roman"/>
          <w:color w:val="000000"/>
          <w:sz w:val="20"/>
          <w:szCs w:val="20"/>
        </w:rPr>
        <w:t>March 26, 2021</w:t>
      </w:r>
    </w:p>
    <w:p w14:paraId="7DCFE6C6" w14:textId="77777777" w:rsidR="00C1563E" w:rsidRDefault="00C1563E"/>
    <w:p w14:paraId="7DCFE6C7" w14:textId="77777777" w:rsidR="00C1563E" w:rsidRDefault="000B648B">
      <w:r>
        <w:rPr>
          <w:rFonts w:ascii="Times New Roman" w:eastAsia="宋体" w:hAnsi="Times New Roman"/>
          <w:color w:val="000000"/>
          <w:sz w:val="20"/>
          <w:szCs w:val="20"/>
        </w:rPr>
        <w:t>We have served as the Company’s auditor since 1986.</w:t>
      </w:r>
    </w:p>
    <w:p w14:paraId="7DCFE6C8" w14:textId="77777777" w:rsidR="00C1563E" w:rsidRDefault="00C1563E"/>
    <w:p w14:paraId="7DCFE6C9" w14:textId="77777777" w:rsidR="00C1563E" w:rsidRDefault="00C1563E">
      <w:pPr>
        <w:jc w:val="center"/>
      </w:pPr>
    </w:p>
    <w:p w14:paraId="7DCFE6CA" w14:textId="77777777" w:rsidR="00C1563E" w:rsidRDefault="000B648B">
      <w:pPr>
        <w:jc w:val="center"/>
      </w:pPr>
      <w:r>
        <w:rPr>
          <w:rFonts w:ascii="Times New Roman" w:eastAsia="宋体" w:hAnsi="Times New Roman"/>
          <w:color w:val="000000"/>
          <w:sz w:val="20"/>
          <w:szCs w:val="20"/>
        </w:rPr>
        <w:t>73</w:t>
      </w:r>
    </w:p>
    <w:p w14:paraId="7DCFE6CB" w14:textId="77777777" w:rsidR="00C1563E" w:rsidRDefault="00C1563E">
      <w:pPr>
        <w:jc w:val="center"/>
      </w:pPr>
    </w:p>
    <w:p w14:paraId="7DCFE6CC" w14:textId="77777777" w:rsidR="00C1563E" w:rsidRDefault="000B648B">
      <w:r>
        <w:pict w14:anchorId="7DD025B3">
          <v:rect id="_x0000_i1097" style="width:415.3pt;height:1.5pt" o:hralign="center" o:hrstd="t" o:hr="t" fillcolor="#a0a0a0" stroked="f"/>
        </w:pict>
      </w:r>
    </w:p>
    <w:p w14:paraId="7DCFE6CD" w14:textId="77777777" w:rsidR="00C1563E" w:rsidRDefault="000B648B">
      <w:hyperlink r:id="rId233" w:anchor="i418e32e4a35149ffbf7d3a25d66881b8_10" w:history="1">
        <w:r>
          <w:rPr>
            <w:rStyle w:val="a5"/>
            <w:rFonts w:ascii="Times New Roman" w:eastAsia="宋体" w:hAnsi="Times New Roman"/>
            <w:sz w:val="20"/>
            <w:szCs w:val="20"/>
          </w:rPr>
          <w:t>Table of Contents</w:t>
        </w:r>
      </w:hyperlink>
    </w:p>
    <w:p w14:paraId="7DCFE6CE"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6CF" w14:textId="77777777" w:rsidR="00C1563E" w:rsidRDefault="000B648B">
      <w:pPr>
        <w:spacing w:after="60"/>
        <w:jc w:val="center"/>
      </w:pPr>
      <w:r>
        <w:rPr>
          <w:rFonts w:ascii="Times New Roman" w:eastAsia="宋体" w:hAnsi="Times New Roman"/>
          <w:b/>
          <w:bCs/>
          <w:color w:val="000000"/>
          <w:sz w:val="20"/>
          <w:szCs w:val="20"/>
        </w:rPr>
        <w:t>CONSOLIDATED STATEMENTS OF FINANCIAL POSITION</w:t>
      </w:r>
    </w:p>
    <w:p w14:paraId="7DCFE6D0" w14:textId="77777777" w:rsidR="00C1563E" w:rsidRDefault="000B648B">
      <w:pPr>
        <w:jc w:val="center"/>
      </w:pPr>
      <w:r>
        <w:rPr>
          <w:rFonts w:ascii="Times New Roman" w:eastAsia="宋体" w:hAnsi="Times New Roman"/>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73"/>
        <w:gridCol w:w="40"/>
        <w:gridCol w:w="120"/>
        <w:gridCol w:w="1181"/>
        <w:gridCol w:w="36"/>
        <w:gridCol w:w="36"/>
        <w:gridCol w:w="36"/>
        <w:gridCol w:w="36"/>
        <w:gridCol w:w="120"/>
        <w:gridCol w:w="1181"/>
        <w:gridCol w:w="36"/>
      </w:tblGrid>
      <w:tr w:rsidR="00C1563E" w14:paraId="7DCFE6DD" w14:textId="77777777">
        <w:trPr>
          <w:jc w:val="center"/>
        </w:trPr>
        <w:tc>
          <w:tcPr>
            <w:tcW w:w="50" w:type="pct"/>
            <w:shd w:val="clear" w:color="auto" w:fill="auto"/>
          </w:tcPr>
          <w:p w14:paraId="7DCFE6D1" w14:textId="77777777" w:rsidR="00C1563E" w:rsidRDefault="00C1563E">
            <w:pPr>
              <w:rPr>
                <w:rFonts w:ascii="宋体"/>
              </w:rPr>
            </w:pPr>
          </w:p>
        </w:tc>
        <w:tc>
          <w:tcPr>
            <w:tcW w:w="3322" w:type="pct"/>
            <w:shd w:val="clear" w:color="auto" w:fill="auto"/>
          </w:tcPr>
          <w:p w14:paraId="7DCFE6D2" w14:textId="77777777" w:rsidR="00C1563E" w:rsidRDefault="00C1563E">
            <w:pPr>
              <w:rPr>
                <w:rFonts w:ascii="宋体"/>
              </w:rPr>
            </w:pPr>
          </w:p>
        </w:tc>
        <w:tc>
          <w:tcPr>
            <w:tcW w:w="5" w:type="pct"/>
            <w:shd w:val="clear" w:color="auto" w:fill="auto"/>
          </w:tcPr>
          <w:p w14:paraId="7DCFE6D3" w14:textId="77777777" w:rsidR="00C1563E" w:rsidRDefault="00C1563E">
            <w:pPr>
              <w:rPr>
                <w:rFonts w:ascii="宋体"/>
              </w:rPr>
            </w:pPr>
          </w:p>
        </w:tc>
        <w:tc>
          <w:tcPr>
            <w:tcW w:w="50" w:type="pct"/>
            <w:shd w:val="clear" w:color="auto" w:fill="auto"/>
          </w:tcPr>
          <w:p w14:paraId="7DCFE6D4" w14:textId="77777777" w:rsidR="00C1563E" w:rsidRDefault="00C1563E">
            <w:pPr>
              <w:rPr>
                <w:rFonts w:ascii="宋体"/>
              </w:rPr>
            </w:pPr>
          </w:p>
        </w:tc>
        <w:tc>
          <w:tcPr>
            <w:tcW w:w="741" w:type="pct"/>
            <w:shd w:val="clear" w:color="auto" w:fill="auto"/>
          </w:tcPr>
          <w:p w14:paraId="7DCFE6D5" w14:textId="77777777" w:rsidR="00C1563E" w:rsidRDefault="00C1563E">
            <w:pPr>
              <w:rPr>
                <w:rFonts w:ascii="宋体"/>
              </w:rPr>
            </w:pPr>
          </w:p>
        </w:tc>
        <w:tc>
          <w:tcPr>
            <w:tcW w:w="5" w:type="pct"/>
            <w:shd w:val="clear" w:color="auto" w:fill="auto"/>
          </w:tcPr>
          <w:p w14:paraId="7DCFE6D6" w14:textId="77777777" w:rsidR="00C1563E" w:rsidRDefault="00C1563E">
            <w:pPr>
              <w:rPr>
                <w:rFonts w:ascii="宋体"/>
              </w:rPr>
            </w:pPr>
          </w:p>
        </w:tc>
        <w:tc>
          <w:tcPr>
            <w:tcW w:w="5" w:type="pct"/>
            <w:shd w:val="clear" w:color="auto" w:fill="auto"/>
          </w:tcPr>
          <w:p w14:paraId="7DCFE6D7" w14:textId="77777777" w:rsidR="00C1563E" w:rsidRDefault="00C1563E">
            <w:pPr>
              <w:rPr>
                <w:rFonts w:ascii="宋体"/>
              </w:rPr>
            </w:pPr>
          </w:p>
        </w:tc>
        <w:tc>
          <w:tcPr>
            <w:tcW w:w="19" w:type="pct"/>
            <w:shd w:val="clear" w:color="auto" w:fill="auto"/>
          </w:tcPr>
          <w:p w14:paraId="7DCFE6D8" w14:textId="77777777" w:rsidR="00C1563E" w:rsidRDefault="00C1563E">
            <w:pPr>
              <w:rPr>
                <w:rFonts w:ascii="宋体"/>
              </w:rPr>
            </w:pPr>
          </w:p>
        </w:tc>
        <w:tc>
          <w:tcPr>
            <w:tcW w:w="5" w:type="pct"/>
            <w:shd w:val="clear" w:color="auto" w:fill="auto"/>
          </w:tcPr>
          <w:p w14:paraId="7DCFE6D9" w14:textId="77777777" w:rsidR="00C1563E" w:rsidRDefault="00C1563E">
            <w:pPr>
              <w:rPr>
                <w:rFonts w:ascii="宋体"/>
              </w:rPr>
            </w:pPr>
          </w:p>
        </w:tc>
        <w:tc>
          <w:tcPr>
            <w:tcW w:w="50" w:type="pct"/>
            <w:shd w:val="clear" w:color="auto" w:fill="auto"/>
          </w:tcPr>
          <w:p w14:paraId="7DCFE6DA" w14:textId="77777777" w:rsidR="00C1563E" w:rsidRDefault="00C1563E">
            <w:pPr>
              <w:rPr>
                <w:rFonts w:ascii="宋体"/>
              </w:rPr>
            </w:pPr>
          </w:p>
        </w:tc>
        <w:tc>
          <w:tcPr>
            <w:tcW w:w="741" w:type="pct"/>
            <w:shd w:val="clear" w:color="auto" w:fill="auto"/>
          </w:tcPr>
          <w:p w14:paraId="7DCFE6DB" w14:textId="77777777" w:rsidR="00C1563E" w:rsidRDefault="00C1563E">
            <w:pPr>
              <w:rPr>
                <w:rFonts w:ascii="宋体"/>
              </w:rPr>
            </w:pPr>
          </w:p>
        </w:tc>
        <w:tc>
          <w:tcPr>
            <w:tcW w:w="5" w:type="pct"/>
            <w:shd w:val="clear" w:color="auto" w:fill="auto"/>
          </w:tcPr>
          <w:p w14:paraId="7DCFE6DC" w14:textId="77777777" w:rsidR="00C1563E" w:rsidRDefault="00C1563E">
            <w:pPr>
              <w:rPr>
                <w:rFonts w:ascii="宋体"/>
              </w:rPr>
            </w:pPr>
          </w:p>
        </w:tc>
      </w:tr>
      <w:tr w:rsidR="00C1563E" w14:paraId="7DCFE6E2" w14:textId="77777777">
        <w:trPr>
          <w:jc w:val="center"/>
        </w:trPr>
        <w:tc>
          <w:tcPr>
            <w:tcW w:w="0" w:type="auto"/>
            <w:gridSpan w:val="3"/>
            <w:shd w:val="clear" w:color="auto" w:fill="auto"/>
            <w:tcMar>
              <w:top w:w="0" w:type="dxa"/>
              <w:left w:w="20" w:type="dxa"/>
              <w:bottom w:w="0" w:type="dxa"/>
              <w:right w:w="20" w:type="dxa"/>
            </w:tcMar>
          </w:tcPr>
          <w:p w14:paraId="7DCFE6DE"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E6DF"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E6E0"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E6E1"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E6E4" w14:textId="77777777">
        <w:trPr>
          <w:jc w:val="center"/>
        </w:trPr>
        <w:tc>
          <w:tcPr>
            <w:tcW w:w="0" w:type="auto"/>
            <w:gridSpan w:val="12"/>
            <w:shd w:val="clear" w:color="auto" w:fill="auto"/>
            <w:tcMar>
              <w:top w:w="40" w:type="dxa"/>
              <w:left w:w="20" w:type="dxa"/>
              <w:bottom w:w="40" w:type="dxa"/>
              <w:right w:w="20" w:type="dxa"/>
            </w:tcMar>
            <w:vAlign w:val="bottom"/>
          </w:tcPr>
          <w:p w14:paraId="7DCFE6E3" w14:textId="77777777" w:rsidR="00C1563E" w:rsidRDefault="000B648B">
            <w:pPr>
              <w:jc w:val="center"/>
              <w:textAlignment w:val="bottom"/>
            </w:pPr>
            <w:r>
              <w:rPr>
                <w:rFonts w:ascii="Times New Roman" w:eastAsia="宋体" w:hAnsi="Times New Roman"/>
                <w:b/>
                <w:bCs/>
                <w:color w:val="000000"/>
                <w:sz w:val="20"/>
                <w:szCs w:val="20"/>
              </w:rPr>
              <w:t>ASSETS</w:t>
            </w:r>
          </w:p>
        </w:tc>
      </w:tr>
      <w:tr w:rsidR="00C1563E" w14:paraId="7DCFE6E9" w14:textId="77777777">
        <w:trPr>
          <w:jc w:val="center"/>
        </w:trPr>
        <w:tc>
          <w:tcPr>
            <w:tcW w:w="0" w:type="auto"/>
            <w:gridSpan w:val="3"/>
            <w:shd w:val="clear" w:color="auto" w:fill="CCEEFF"/>
            <w:tcMar>
              <w:top w:w="40" w:type="dxa"/>
              <w:left w:w="20" w:type="dxa"/>
              <w:bottom w:w="40" w:type="dxa"/>
              <w:right w:w="20" w:type="dxa"/>
            </w:tcMar>
            <w:vAlign w:val="bottom"/>
          </w:tcPr>
          <w:p w14:paraId="7DCFE6E5" w14:textId="77777777" w:rsidR="00C1563E" w:rsidRDefault="000B648B">
            <w:pPr>
              <w:textAlignment w:val="bottom"/>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bottom"/>
          </w:tcPr>
          <w:p w14:paraId="7DCFE6E6"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E6E7"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E6E8" w14:textId="77777777" w:rsidR="00C1563E" w:rsidRDefault="000B648B">
            <w:pPr>
              <w:jc w:val="right"/>
              <w:textAlignment w:val="bottom"/>
            </w:pPr>
            <w:r>
              <w:rPr>
                <w:rFonts w:ascii="Times New Roman" w:eastAsia="宋体" w:hAnsi="Times New Roman"/>
                <w:color w:val="000000"/>
                <w:sz w:val="20"/>
                <w:szCs w:val="20"/>
              </w:rPr>
              <w:t> </w:t>
            </w:r>
          </w:p>
        </w:tc>
      </w:tr>
      <w:tr w:rsidR="00C1563E" w14:paraId="7DCFE6F2" w14:textId="77777777">
        <w:trPr>
          <w:jc w:val="center"/>
        </w:trPr>
        <w:tc>
          <w:tcPr>
            <w:tcW w:w="0" w:type="auto"/>
            <w:gridSpan w:val="3"/>
            <w:shd w:val="clear" w:color="auto" w:fill="FFFFFF"/>
            <w:tcMar>
              <w:top w:w="40" w:type="dxa"/>
              <w:left w:w="245" w:type="dxa"/>
              <w:bottom w:w="40" w:type="dxa"/>
              <w:right w:w="20" w:type="dxa"/>
            </w:tcMar>
            <w:vAlign w:val="bottom"/>
          </w:tcPr>
          <w:p w14:paraId="7DCFE6EA" w14:textId="77777777" w:rsidR="00C1563E" w:rsidRDefault="000B648B">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DCFE6E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6EC" w14:textId="77777777" w:rsidR="00C1563E" w:rsidRDefault="000B648B">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7DCFE6E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6E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6E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6F0" w14:textId="77777777" w:rsidR="00C1563E" w:rsidRDefault="000B648B">
            <w:pPr>
              <w:jc w:val="right"/>
              <w:textAlignment w:val="bottom"/>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bottom"/>
          </w:tcPr>
          <w:p w14:paraId="7DCFE6F1" w14:textId="77777777" w:rsidR="00C1563E" w:rsidRDefault="00C1563E">
            <w:pPr>
              <w:jc w:val="right"/>
              <w:rPr>
                <w:rFonts w:ascii="宋体"/>
              </w:rPr>
            </w:pPr>
          </w:p>
        </w:tc>
      </w:tr>
      <w:tr w:rsidR="00C1563E" w14:paraId="7DCFE6F7" w14:textId="77777777">
        <w:trPr>
          <w:jc w:val="center"/>
          <w:hidden/>
        </w:trPr>
        <w:tc>
          <w:tcPr>
            <w:tcW w:w="0" w:type="auto"/>
            <w:gridSpan w:val="3"/>
            <w:shd w:val="clear" w:color="auto" w:fill="auto"/>
          </w:tcPr>
          <w:p w14:paraId="7DCFE6F3" w14:textId="77777777" w:rsidR="00C1563E" w:rsidRDefault="00C1563E">
            <w:pPr>
              <w:rPr>
                <w:rFonts w:ascii="宋体"/>
                <w:vanish/>
              </w:rPr>
            </w:pPr>
          </w:p>
        </w:tc>
        <w:tc>
          <w:tcPr>
            <w:tcW w:w="0" w:type="auto"/>
            <w:gridSpan w:val="3"/>
            <w:shd w:val="clear" w:color="auto" w:fill="auto"/>
          </w:tcPr>
          <w:p w14:paraId="7DCFE6F4" w14:textId="77777777" w:rsidR="00C1563E" w:rsidRDefault="00C1563E">
            <w:pPr>
              <w:rPr>
                <w:rFonts w:ascii="宋体"/>
                <w:vanish/>
              </w:rPr>
            </w:pPr>
          </w:p>
        </w:tc>
        <w:tc>
          <w:tcPr>
            <w:tcW w:w="0" w:type="auto"/>
            <w:gridSpan w:val="3"/>
            <w:shd w:val="clear" w:color="auto" w:fill="auto"/>
          </w:tcPr>
          <w:p w14:paraId="7DCFE6F5" w14:textId="77777777" w:rsidR="00C1563E" w:rsidRDefault="00C1563E">
            <w:pPr>
              <w:rPr>
                <w:rFonts w:ascii="宋体"/>
                <w:vanish/>
              </w:rPr>
            </w:pPr>
          </w:p>
        </w:tc>
        <w:tc>
          <w:tcPr>
            <w:tcW w:w="0" w:type="auto"/>
            <w:gridSpan w:val="3"/>
            <w:shd w:val="clear" w:color="auto" w:fill="auto"/>
          </w:tcPr>
          <w:p w14:paraId="7DCFE6F6" w14:textId="77777777" w:rsidR="00C1563E" w:rsidRDefault="00C1563E">
            <w:pPr>
              <w:rPr>
                <w:rFonts w:ascii="宋体"/>
                <w:vanish/>
              </w:rPr>
            </w:pPr>
          </w:p>
        </w:tc>
      </w:tr>
      <w:tr w:rsidR="00C1563E" w14:paraId="7DCFE6FE" w14:textId="77777777">
        <w:trPr>
          <w:jc w:val="center"/>
        </w:trPr>
        <w:tc>
          <w:tcPr>
            <w:tcW w:w="0" w:type="auto"/>
            <w:gridSpan w:val="3"/>
            <w:shd w:val="clear" w:color="auto" w:fill="CCEEFF"/>
            <w:tcMar>
              <w:top w:w="40" w:type="dxa"/>
              <w:left w:w="20" w:type="dxa"/>
              <w:bottom w:w="40" w:type="dxa"/>
              <w:right w:w="20" w:type="dxa"/>
            </w:tcMar>
            <w:vAlign w:val="bottom"/>
          </w:tcPr>
          <w:p w14:paraId="7DCFE6F8" w14:textId="77777777" w:rsidR="00C1563E" w:rsidRDefault="000B648B">
            <w:pPr>
              <w:textAlignment w:val="bottom"/>
            </w:pPr>
            <w:r>
              <w:rPr>
                <w:rFonts w:ascii="Times New Roman" w:eastAsia="宋体" w:hAnsi="Times New Roman"/>
                <w:color w:val="000000"/>
                <w:sz w:val="20"/>
                <w:szCs w:val="20"/>
              </w:rPr>
              <w:t>Accounts receivable, net of allowance of $104 and $94 (Note 20)</w:t>
            </w:r>
          </w:p>
        </w:tc>
        <w:tc>
          <w:tcPr>
            <w:tcW w:w="0" w:type="auto"/>
            <w:gridSpan w:val="2"/>
            <w:shd w:val="clear" w:color="auto" w:fill="CCEEFF"/>
            <w:tcMar>
              <w:top w:w="40" w:type="dxa"/>
              <w:left w:w="20" w:type="dxa"/>
              <w:bottom w:w="40" w:type="dxa"/>
              <w:right w:w="0" w:type="dxa"/>
            </w:tcMar>
            <w:vAlign w:val="bottom"/>
          </w:tcPr>
          <w:p w14:paraId="7DCFE6F9" w14:textId="77777777" w:rsidR="00C1563E" w:rsidRDefault="000B648B">
            <w:pPr>
              <w:jc w:val="right"/>
              <w:textAlignment w:val="bottom"/>
            </w:pPr>
            <w:r>
              <w:rPr>
                <w:rFonts w:ascii="Times New Roman" w:eastAsia="宋体" w:hAnsi="Times New Roman"/>
                <w:color w:val="000000"/>
                <w:sz w:val="20"/>
                <w:szCs w:val="20"/>
              </w:rPr>
              <w:t>12,788 </w:t>
            </w:r>
          </w:p>
        </w:tc>
        <w:tc>
          <w:tcPr>
            <w:tcW w:w="0" w:type="auto"/>
            <w:shd w:val="clear" w:color="auto" w:fill="CCEEFF"/>
            <w:tcMar>
              <w:top w:w="40" w:type="dxa"/>
              <w:left w:w="0" w:type="dxa"/>
              <w:bottom w:w="40" w:type="dxa"/>
              <w:right w:w="20" w:type="dxa"/>
            </w:tcMar>
            <w:vAlign w:val="bottom"/>
          </w:tcPr>
          <w:p w14:paraId="7DCFE6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6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6FC" w14:textId="77777777" w:rsidR="00C1563E" w:rsidRDefault="000B648B">
            <w:pPr>
              <w:jc w:val="right"/>
              <w:textAlignment w:val="bottom"/>
            </w:pPr>
            <w:r>
              <w:rPr>
                <w:rFonts w:ascii="Times New Roman" w:eastAsia="宋体" w:hAnsi="Times New Roman"/>
                <w:color w:val="000000"/>
                <w:sz w:val="20"/>
                <w:szCs w:val="20"/>
              </w:rPr>
              <w:t>12,484 </w:t>
            </w:r>
          </w:p>
        </w:tc>
        <w:tc>
          <w:tcPr>
            <w:tcW w:w="0" w:type="auto"/>
            <w:shd w:val="clear" w:color="auto" w:fill="CCEEFF"/>
            <w:tcMar>
              <w:top w:w="40" w:type="dxa"/>
              <w:left w:w="0" w:type="dxa"/>
              <w:bottom w:w="40" w:type="dxa"/>
              <w:right w:w="20" w:type="dxa"/>
            </w:tcMar>
            <w:vAlign w:val="bottom"/>
          </w:tcPr>
          <w:p w14:paraId="7DCFE6FD" w14:textId="77777777" w:rsidR="00C1563E" w:rsidRDefault="00C1563E">
            <w:pPr>
              <w:jc w:val="right"/>
              <w:rPr>
                <w:rFonts w:ascii="宋体"/>
              </w:rPr>
            </w:pPr>
          </w:p>
        </w:tc>
      </w:tr>
      <w:tr w:rsidR="00C1563E" w14:paraId="7DCFE705" w14:textId="77777777">
        <w:trPr>
          <w:jc w:val="center"/>
        </w:trPr>
        <w:tc>
          <w:tcPr>
            <w:tcW w:w="0" w:type="auto"/>
            <w:gridSpan w:val="3"/>
            <w:shd w:val="clear" w:color="auto" w:fill="FFFFFF"/>
            <w:tcMar>
              <w:top w:w="40" w:type="dxa"/>
              <w:left w:w="20" w:type="dxa"/>
              <w:bottom w:w="40" w:type="dxa"/>
              <w:right w:w="20" w:type="dxa"/>
            </w:tcMar>
            <w:vAlign w:val="bottom"/>
          </w:tcPr>
          <w:p w14:paraId="7DCFE6FF" w14:textId="77777777" w:rsidR="00C1563E" w:rsidRDefault="000B648B">
            <w:pPr>
              <w:textAlignment w:val="bottom"/>
            </w:pPr>
            <w:r>
              <w:rPr>
                <w:rFonts w:ascii="Times New Roman" w:eastAsia="宋体" w:hAnsi="Times New Roman"/>
                <w:color w:val="000000"/>
                <w:sz w:val="20"/>
                <w:szCs w:val="20"/>
              </w:rPr>
              <w:t xml:space="preserve">Short-term financing </w:t>
            </w:r>
            <w:r>
              <w:rPr>
                <w:rFonts w:ascii="Times New Roman" w:eastAsia="宋体" w:hAnsi="Times New Roman"/>
                <w:color w:val="000000"/>
                <w:sz w:val="20"/>
                <w:szCs w:val="20"/>
              </w:rPr>
              <w:t>receivables, net of allowance of $228 and $109 (Note 4)</w:t>
            </w:r>
          </w:p>
        </w:tc>
        <w:tc>
          <w:tcPr>
            <w:tcW w:w="0" w:type="auto"/>
            <w:gridSpan w:val="2"/>
            <w:shd w:val="clear" w:color="auto" w:fill="FFFFFF"/>
            <w:tcMar>
              <w:top w:w="40" w:type="dxa"/>
              <w:left w:w="20" w:type="dxa"/>
              <w:bottom w:w="40" w:type="dxa"/>
              <w:right w:w="0" w:type="dxa"/>
            </w:tcMar>
            <w:vAlign w:val="bottom"/>
          </w:tcPr>
          <w:p w14:paraId="7DCFE700" w14:textId="77777777" w:rsidR="00C1563E" w:rsidRDefault="000B648B">
            <w:pPr>
              <w:jc w:val="right"/>
              <w:textAlignment w:val="bottom"/>
            </w:pPr>
            <w:r>
              <w:rPr>
                <w:rFonts w:ascii="Times New Roman" w:eastAsia="宋体" w:hAnsi="Times New Roman"/>
                <w:color w:val="000000"/>
                <w:sz w:val="20"/>
                <w:szCs w:val="20"/>
              </w:rPr>
              <w:t>5,155 </w:t>
            </w:r>
          </w:p>
        </w:tc>
        <w:tc>
          <w:tcPr>
            <w:tcW w:w="0" w:type="auto"/>
            <w:shd w:val="clear" w:color="auto" w:fill="FFFFFF"/>
            <w:tcMar>
              <w:top w:w="40" w:type="dxa"/>
              <w:left w:w="0" w:type="dxa"/>
              <w:bottom w:w="40" w:type="dxa"/>
              <w:right w:w="20" w:type="dxa"/>
            </w:tcMar>
            <w:vAlign w:val="bottom"/>
          </w:tcPr>
          <w:p w14:paraId="7DCFE70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0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03" w14:textId="77777777" w:rsidR="00C1563E" w:rsidRDefault="000B648B">
            <w:pPr>
              <w:jc w:val="right"/>
              <w:textAlignment w:val="bottom"/>
            </w:pPr>
            <w:r>
              <w:rPr>
                <w:rFonts w:ascii="Times New Roman" w:eastAsia="宋体" w:hAnsi="Times New Roman"/>
                <w:color w:val="000000"/>
                <w:sz w:val="20"/>
                <w:szCs w:val="20"/>
              </w:rPr>
              <w:t>4,895 </w:t>
            </w:r>
          </w:p>
        </w:tc>
        <w:tc>
          <w:tcPr>
            <w:tcW w:w="0" w:type="auto"/>
            <w:shd w:val="clear" w:color="auto" w:fill="FFFFFF"/>
            <w:tcMar>
              <w:top w:w="40" w:type="dxa"/>
              <w:left w:w="0" w:type="dxa"/>
              <w:bottom w:w="40" w:type="dxa"/>
              <w:right w:w="20" w:type="dxa"/>
            </w:tcMar>
            <w:vAlign w:val="bottom"/>
          </w:tcPr>
          <w:p w14:paraId="7DCFE704" w14:textId="77777777" w:rsidR="00C1563E" w:rsidRDefault="00C1563E">
            <w:pPr>
              <w:jc w:val="right"/>
              <w:rPr>
                <w:rFonts w:ascii="宋体"/>
              </w:rPr>
            </w:pPr>
          </w:p>
        </w:tc>
      </w:tr>
      <w:tr w:rsidR="00C1563E" w14:paraId="7DCFE70C" w14:textId="77777777">
        <w:trPr>
          <w:jc w:val="center"/>
        </w:trPr>
        <w:tc>
          <w:tcPr>
            <w:tcW w:w="0" w:type="auto"/>
            <w:gridSpan w:val="3"/>
            <w:shd w:val="clear" w:color="auto" w:fill="CCEEFF"/>
            <w:tcMar>
              <w:top w:w="40" w:type="dxa"/>
              <w:left w:w="260" w:type="dxa"/>
              <w:bottom w:w="40" w:type="dxa"/>
              <w:right w:w="20" w:type="dxa"/>
            </w:tcMar>
            <w:vAlign w:val="bottom"/>
          </w:tcPr>
          <w:p w14:paraId="7DCFE706" w14:textId="77777777" w:rsidR="00C1563E" w:rsidRDefault="000B648B">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7DCFE707" w14:textId="77777777" w:rsidR="00C1563E" w:rsidRDefault="000B648B">
            <w:pPr>
              <w:jc w:val="right"/>
              <w:textAlignment w:val="bottom"/>
            </w:pPr>
            <w:r>
              <w:rPr>
                <w:rFonts w:ascii="Times New Roman" w:eastAsia="宋体" w:hAnsi="Times New Roman"/>
                <w:color w:val="000000"/>
                <w:sz w:val="20"/>
                <w:szCs w:val="20"/>
              </w:rPr>
              <w:t>3,402 </w:t>
            </w:r>
          </w:p>
        </w:tc>
        <w:tc>
          <w:tcPr>
            <w:tcW w:w="0" w:type="auto"/>
            <w:shd w:val="clear" w:color="auto" w:fill="CCEEFF"/>
            <w:tcMar>
              <w:top w:w="40" w:type="dxa"/>
              <w:left w:w="0" w:type="dxa"/>
              <w:bottom w:w="40" w:type="dxa"/>
              <w:right w:w="20" w:type="dxa"/>
            </w:tcMar>
            <w:vAlign w:val="bottom"/>
          </w:tcPr>
          <w:p w14:paraId="7DCFE70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0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0A" w14:textId="77777777" w:rsidR="00C1563E" w:rsidRDefault="000B648B">
            <w:pPr>
              <w:jc w:val="right"/>
              <w:textAlignment w:val="bottom"/>
            </w:pPr>
            <w:r>
              <w:rPr>
                <w:rFonts w:ascii="Times New Roman" w:eastAsia="宋体" w:hAnsi="Times New Roman"/>
                <w:color w:val="000000"/>
                <w:sz w:val="20"/>
                <w:szCs w:val="20"/>
              </w:rPr>
              <w:t>3,281 </w:t>
            </w:r>
          </w:p>
        </w:tc>
        <w:tc>
          <w:tcPr>
            <w:tcW w:w="0" w:type="auto"/>
            <w:shd w:val="clear" w:color="auto" w:fill="CCEEFF"/>
            <w:tcMar>
              <w:top w:w="40" w:type="dxa"/>
              <w:left w:w="0" w:type="dxa"/>
              <w:bottom w:w="40" w:type="dxa"/>
              <w:right w:w="20" w:type="dxa"/>
            </w:tcMar>
            <w:vAlign w:val="bottom"/>
          </w:tcPr>
          <w:p w14:paraId="7DCFE70B" w14:textId="77777777" w:rsidR="00C1563E" w:rsidRDefault="00C1563E">
            <w:pPr>
              <w:jc w:val="right"/>
              <w:rPr>
                <w:rFonts w:ascii="宋体"/>
              </w:rPr>
            </w:pPr>
          </w:p>
        </w:tc>
      </w:tr>
      <w:tr w:rsidR="00C1563E" w14:paraId="7DCFE713" w14:textId="77777777">
        <w:trPr>
          <w:jc w:val="center"/>
        </w:trPr>
        <w:tc>
          <w:tcPr>
            <w:tcW w:w="0" w:type="auto"/>
            <w:gridSpan w:val="3"/>
            <w:shd w:val="clear" w:color="auto" w:fill="FFFFFF"/>
            <w:tcMar>
              <w:top w:w="40" w:type="dxa"/>
              <w:left w:w="245" w:type="dxa"/>
              <w:bottom w:w="40" w:type="dxa"/>
              <w:right w:w="20" w:type="dxa"/>
            </w:tcMar>
            <w:vAlign w:val="bottom"/>
          </w:tcPr>
          <w:p w14:paraId="7DCFE70D" w14:textId="77777777" w:rsidR="00C1563E" w:rsidRDefault="000B648B">
            <w:pPr>
              <w:textAlignment w:val="bottom"/>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bottom"/>
          </w:tcPr>
          <w:p w14:paraId="7DCFE70E" w14:textId="77777777" w:rsidR="00C1563E" w:rsidRDefault="000B648B">
            <w:pPr>
              <w:jc w:val="right"/>
              <w:textAlignment w:val="bottom"/>
            </w:pPr>
            <w:r>
              <w:rPr>
                <w:rFonts w:ascii="Times New Roman" w:eastAsia="宋体" w:hAnsi="Times New Roman"/>
                <w:color w:val="000000"/>
                <w:sz w:val="20"/>
                <w:szCs w:val="20"/>
              </w:rPr>
              <w:t>8,021 </w:t>
            </w:r>
          </w:p>
        </w:tc>
        <w:tc>
          <w:tcPr>
            <w:tcW w:w="0" w:type="auto"/>
            <w:shd w:val="clear" w:color="auto" w:fill="FFFFFF"/>
            <w:tcMar>
              <w:top w:w="40" w:type="dxa"/>
              <w:left w:w="0" w:type="dxa"/>
              <w:bottom w:w="40" w:type="dxa"/>
              <w:right w:w="20" w:type="dxa"/>
            </w:tcMar>
            <w:vAlign w:val="bottom"/>
          </w:tcPr>
          <w:p w14:paraId="7DCFE7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1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11" w14:textId="77777777" w:rsidR="00C1563E" w:rsidRDefault="000B648B">
            <w:pPr>
              <w:jc w:val="right"/>
              <w:textAlignment w:val="bottom"/>
            </w:pPr>
            <w:r>
              <w:rPr>
                <w:rFonts w:ascii="Times New Roman" w:eastAsia="宋体" w:hAnsi="Times New Roman"/>
                <w:color w:val="000000"/>
                <w:sz w:val="20"/>
                <w:szCs w:val="20"/>
              </w:rPr>
              <w:t>6,906 </w:t>
            </w:r>
          </w:p>
        </w:tc>
        <w:tc>
          <w:tcPr>
            <w:tcW w:w="0" w:type="auto"/>
            <w:shd w:val="clear" w:color="auto" w:fill="FFFFFF"/>
            <w:tcMar>
              <w:top w:w="40" w:type="dxa"/>
              <w:left w:w="0" w:type="dxa"/>
              <w:bottom w:w="40" w:type="dxa"/>
              <w:right w:w="20" w:type="dxa"/>
            </w:tcMar>
            <w:vAlign w:val="bottom"/>
          </w:tcPr>
          <w:p w14:paraId="7DCFE712" w14:textId="77777777" w:rsidR="00C1563E" w:rsidRDefault="00C1563E">
            <w:pPr>
              <w:jc w:val="right"/>
              <w:rPr>
                <w:rFonts w:ascii="宋体"/>
              </w:rPr>
            </w:pPr>
          </w:p>
        </w:tc>
      </w:tr>
      <w:tr w:rsidR="00C1563E" w14:paraId="7DCFE71A" w14:textId="77777777">
        <w:trPr>
          <w:jc w:val="center"/>
        </w:trPr>
        <w:tc>
          <w:tcPr>
            <w:tcW w:w="0" w:type="auto"/>
            <w:gridSpan w:val="3"/>
            <w:shd w:val="clear" w:color="auto" w:fill="CCEEFF"/>
            <w:tcMar>
              <w:top w:w="40" w:type="dxa"/>
              <w:left w:w="365" w:type="dxa"/>
              <w:bottom w:w="40" w:type="dxa"/>
              <w:right w:w="20" w:type="dxa"/>
            </w:tcMar>
            <w:vAlign w:val="bottom"/>
          </w:tcPr>
          <w:p w14:paraId="7DCFE714" w14:textId="77777777" w:rsidR="00C1563E" w:rsidRDefault="000B648B">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15" w14:textId="77777777" w:rsidR="00C1563E" w:rsidRDefault="000B648B">
            <w:pPr>
              <w:jc w:val="right"/>
              <w:textAlignment w:val="bottom"/>
            </w:pPr>
            <w:r>
              <w:rPr>
                <w:rFonts w:ascii="Times New Roman" w:eastAsia="宋体" w:hAnsi="Times New Roman"/>
                <w:color w:val="000000"/>
                <w:sz w:val="20"/>
                <w:szCs w:val="20"/>
              </w:rPr>
              <w:t>43,567 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1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18" w14:textId="77777777" w:rsidR="00C1563E" w:rsidRDefault="000B648B">
            <w:pPr>
              <w:jc w:val="right"/>
              <w:textAlignment w:val="bottom"/>
            </w:pPr>
            <w:r>
              <w:rPr>
                <w:rFonts w:ascii="Times New Roman" w:eastAsia="宋体" w:hAnsi="Times New Roman"/>
                <w:color w:val="000000"/>
                <w:sz w:val="20"/>
                <w:szCs w:val="20"/>
              </w:rPr>
              <w:t>36,868 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19" w14:textId="77777777" w:rsidR="00C1563E" w:rsidRDefault="00C1563E">
            <w:pPr>
              <w:jc w:val="right"/>
              <w:rPr>
                <w:rFonts w:ascii="宋体"/>
              </w:rPr>
            </w:pPr>
          </w:p>
        </w:tc>
      </w:tr>
      <w:tr w:rsidR="00C1563E" w14:paraId="7DCFE721" w14:textId="77777777">
        <w:trPr>
          <w:jc w:val="center"/>
        </w:trPr>
        <w:tc>
          <w:tcPr>
            <w:tcW w:w="0" w:type="auto"/>
            <w:gridSpan w:val="3"/>
            <w:shd w:val="clear" w:color="auto" w:fill="FFFFFF"/>
            <w:tcMar>
              <w:top w:w="40" w:type="dxa"/>
              <w:left w:w="20" w:type="dxa"/>
              <w:bottom w:w="40" w:type="dxa"/>
              <w:right w:w="20" w:type="dxa"/>
            </w:tcMar>
            <w:vAlign w:val="bottom"/>
          </w:tcPr>
          <w:p w14:paraId="7DCFE71B" w14:textId="77777777" w:rsidR="00C1563E" w:rsidRDefault="000B648B">
            <w:pPr>
              <w:textAlignment w:val="bottom"/>
            </w:pPr>
            <w:r>
              <w:rPr>
                <w:rFonts w:ascii="Times New Roman" w:eastAsia="宋体" w:hAnsi="Times New Roman"/>
                <w:color w:val="000000"/>
                <w:sz w:val="20"/>
                <w:szCs w:val="20"/>
              </w:rPr>
              <w:t>Property, plant, and equipment, net</w:t>
            </w:r>
          </w:p>
        </w:tc>
        <w:tc>
          <w:tcPr>
            <w:tcW w:w="0" w:type="auto"/>
            <w:gridSpan w:val="2"/>
            <w:shd w:val="clear" w:color="auto" w:fill="FFFFFF"/>
            <w:tcMar>
              <w:top w:w="40" w:type="dxa"/>
              <w:left w:w="20" w:type="dxa"/>
              <w:bottom w:w="40" w:type="dxa"/>
              <w:right w:w="0" w:type="dxa"/>
            </w:tcMar>
            <w:vAlign w:val="bottom"/>
          </w:tcPr>
          <w:p w14:paraId="7DCFE71C" w14:textId="77777777" w:rsidR="00C1563E" w:rsidRDefault="000B648B">
            <w:pPr>
              <w:jc w:val="right"/>
              <w:textAlignment w:val="bottom"/>
            </w:pPr>
            <w:r>
              <w:rPr>
                <w:rFonts w:ascii="Times New Roman" w:eastAsia="宋体" w:hAnsi="Times New Roman"/>
                <w:color w:val="000000"/>
                <w:sz w:val="20"/>
                <w:szCs w:val="20"/>
              </w:rPr>
              <w:t>6,431 </w:t>
            </w:r>
          </w:p>
        </w:tc>
        <w:tc>
          <w:tcPr>
            <w:tcW w:w="0" w:type="auto"/>
            <w:shd w:val="clear" w:color="auto" w:fill="FFFFFF"/>
            <w:tcMar>
              <w:top w:w="40" w:type="dxa"/>
              <w:left w:w="0" w:type="dxa"/>
              <w:bottom w:w="40" w:type="dxa"/>
              <w:right w:w="20" w:type="dxa"/>
            </w:tcMar>
            <w:vAlign w:val="bottom"/>
          </w:tcPr>
          <w:p w14:paraId="7DCFE71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1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1F" w14:textId="77777777" w:rsidR="00C1563E" w:rsidRDefault="000B648B">
            <w:pPr>
              <w:jc w:val="right"/>
              <w:textAlignment w:val="bottom"/>
            </w:pPr>
            <w:r>
              <w:rPr>
                <w:rFonts w:ascii="Times New Roman" w:eastAsia="宋体" w:hAnsi="Times New Roman"/>
                <w:color w:val="000000"/>
                <w:sz w:val="20"/>
                <w:szCs w:val="20"/>
              </w:rPr>
              <w:t>6,055 </w:t>
            </w:r>
          </w:p>
        </w:tc>
        <w:tc>
          <w:tcPr>
            <w:tcW w:w="0" w:type="auto"/>
            <w:shd w:val="clear" w:color="auto" w:fill="FFFFFF"/>
            <w:tcMar>
              <w:top w:w="40" w:type="dxa"/>
              <w:left w:w="0" w:type="dxa"/>
              <w:bottom w:w="40" w:type="dxa"/>
              <w:right w:w="20" w:type="dxa"/>
            </w:tcMar>
            <w:vAlign w:val="bottom"/>
          </w:tcPr>
          <w:p w14:paraId="7DCFE720" w14:textId="77777777" w:rsidR="00C1563E" w:rsidRDefault="00C1563E">
            <w:pPr>
              <w:jc w:val="right"/>
              <w:rPr>
                <w:rFonts w:ascii="宋体"/>
              </w:rPr>
            </w:pPr>
          </w:p>
        </w:tc>
      </w:tr>
      <w:tr w:rsidR="00C1563E" w14:paraId="7DCFE728" w14:textId="77777777">
        <w:trPr>
          <w:jc w:val="center"/>
        </w:trPr>
        <w:tc>
          <w:tcPr>
            <w:tcW w:w="0" w:type="auto"/>
            <w:gridSpan w:val="3"/>
            <w:shd w:val="clear" w:color="auto" w:fill="CCEEFF"/>
            <w:tcMar>
              <w:top w:w="40" w:type="dxa"/>
              <w:left w:w="20" w:type="dxa"/>
              <w:bottom w:w="40" w:type="dxa"/>
              <w:right w:w="20" w:type="dxa"/>
            </w:tcMar>
            <w:vAlign w:val="bottom"/>
          </w:tcPr>
          <w:p w14:paraId="7DCFE722" w14:textId="77777777" w:rsidR="00C1563E" w:rsidRDefault="000B648B">
            <w:pPr>
              <w:textAlignment w:val="bottom"/>
            </w:pPr>
            <w:r>
              <w:rPr>
                <w:rFonts w:ascii="Times New Roman" w:eastAsia="宋体" w:hAnsi="Times New Roman"/>
                <w:color w:val="000000"/>
                <w:sz w:val="20"/>
                <w:szCs w:val="20"/>
              </w:rPr>
              <w:t xml:space="preserve">Long-term </w:t>
            </w:r>
            <w:r>
              <w:rPr>
                <w:rFonts w:ascii="Times New Roman" w:eastAsia="宋体" w:hAnsi="Times New Roman"/>
                <w:color w:val="000000"/>
                <w:sz w:val="20"/>
                <w:szCs w:val="20"/>
              </w:rPr>
              <w:t>investments</w:t>
            </w:r>
          </w:p>
        </w:tc>
        <w:tc>
          <w:tcPr>
            <w:tcW w:w="0" w:type="auto"/>
            <w:gridSpan w:val="2"/>
            <w:shd w:val="clear" w:color="auto" w:fill="CCEEFF"/>
            <w:tcMar>
              <w:top w:w="40" w:type="dxa"/>
              <w:left w:w="20" w:type="dxa"/>
              <w:bottom w:w="40" w:type="dxa"/>
              <w:right w:w="0" w:type="dxa"/>
            </w:tcMar>
            <w:vAlign w:val="bottom"/>
          </w:tcPr>
          <w:p w14:paraId="7DCFE723" w14:textId="77777777" w:rsidR="00C1563E" w:rsidRDefault="000B648B">
            <w:pPr>
              <w:jc w:val="right"/>
              <w:textAlignment w:val="bottom"/>
            </w:pPr>
            <w:r>
              <w:rPr>
                <w:rFonts w:ascii="Times New Roman" w:eastAsia="宋体" w:hAnsi="Times New Roman"/>
                <w:color w:val="000000"/>
                <w:sz w:val="20"/>
                <w:szCs w:val="20"/>
              </w:rPr>
              <w:t>1,624 </w:t>
            </w:r>
          </w:p>
        </w:tc>
        <w:tc>
          <w:tcPr>
            <w:tcW w:w="0" w:type="auto"/>
            <w:shd w:val="clear" w:color="auto" w:fill="CCEEFF"/>
            <w:tcMar>
              <w:top w:w="40" w:type="dxa"/>
              <w:left w:w="0" w:type="dxa"/>
              <w:bottom w:w="40" w:type="dxa"/>
              <w:right w:w="20" w:type="dxa"/>
            </w:tcMar>
            <w:vAlign w:val="bottom"/>
          </w:tcPr>
          <w:p w14:paraId="7DCFE72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2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26" w14:textId="77777777" w:rsidR="00C1563E" w:rsidRDefault="000B648B">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7DCFE727" w14:textId="77777777" w:rsidR="00C1563E" w:rsidRDefault="00C1563E">
            <w:pPr>
              <w:jc w:val="right"/>
              <w:rPr>
                <w:rFonts w:ascii="宋体"/>
              </w:rPr>
            </w:pPr>
          </w:p>
        </w:tc>
      </w:tr>
      <w:tr w:rsidR="00C1563E" w14:paraId="7DCFE72F" w14:textId="77777777">
        <w:trPr>
          <w:jc w:val="center"/>
        </w:trPr>
        <w:tc>
          <w:tcPr>
            <w:tcW w:w="0" w:type="auto"/>
            <w:gridSpan w:val="3"/>
            <w:shd w:val="clear" w:color="auto" w:fill="FFFFFF"/>
            <w:tcMar>
              <w:top w:w="40" w:type="dxa"/>
              <w:left w:w="20" w:type="dxa"/>
              <w:bottom w:w="40" w:type="dxa"/>
              <w:right w:w="20" w:type="dxa"/>
            </w:tcMar>
            <w:vAlign w:val="bottom"/>
          </w:tcPr>
          <w:p w14:paraId="7DCFE729" w14:textId="77777777" w:rsidR="00C1563E" w:rsidRDefault="000B648B">
            <w:pPr>
              <w:textAlignment w:val="bottom"/>
            </w:pPr>
            <w:r>
              <w:rPr>
                <w:rFonts w:ascii="Times New Roman" w:eastAsia="宋体" w:hAnsi="Times New Roman"/>
                <w:color w:val="000000"/>
                <w:sz w:val="20"/>
                <w:szCs w:val="20"/>
              </w:rPr>
              <w:t>Long-term financing receivables, net of allowance of $93 and $40 (Note 4)</w:t>
            </w:r>
          </w:p>
        </w:tc>
        <w:tc>
          <w:tcPr>
            <w:tcW w:w="0" w:type="auto"/>
            <w:gridSpan w:val="2"/>
            <w:shd w:val="clear" w:color="auto" w:fill="FFFFFF"/>
            <w:tcMar>
              <w:top w:w="40" w:type="dxa"/>
              <w:left w:w="20" w:type="dxa"/>
              <w:bottom w:w="40" w:type="dxa"/>
              <w:right w:w="0" w:type="dxa"/>
            </w:tcMar>
            <w:vAlign w:val="bottom"/>
          </w:tcPr>
          <w:p w14:paraId="7DCFE72A" w14:textId="77777777" w:rsidR="00C1563E" w:rsidRDefault="000B648B">
            <w:pPr>
              <w:jc w:val="right"/>
              <w:textAlignment w:val="bottom"/>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bottom"/>
          </w:tcPr>
          <w:p w14:paraId="7DCFE72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2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2D" w14:textId="77777777" w:rsidR="00C1563E" w:rsidRDefault="000B648B">
            <w:pPr>
              <w:jc w:val="right"/>
              <w:textAlignment w:val="bottom"/>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bottom"/>
          </w:tcPr>
          <w:p w14:paraId="7DCFE72E" w14:textId="77777777" w:rsidR="00C1563E" w:rsidRDefault="00C1563E">
            <w:pPr>
              <w:jc w:val="right"/>
              <w:rPr>
                <w:rFonts w:ascii="宋体"/>
              </w:rPr>
            </w:pPr>
          </w:p>
        </w:tc>
      </w:tr>
      <w:tr w:rsidR="00C1563E" w14:paraId="7DCFE736" w14:textId="77777777">
        <w:trPr>
          <w:jc w:val="center"/>
        </w:trPr>
        <w:tc>
          <w:tcPr>
            <w:tcW w:w="0" w:type="auto"/>
            <w:gridSpan w:val="3"/>
            <w:shd w:val="clear" w:color="auto" w:fill="CCEEFF"/>
            <w:tcMar>
              <w:top w:w="40" w:type="dxa"/>
              <w:left w:w="20" w:type="dxa"/>
              <w:bottom w:w="40" w:type="dxa"/>
              <w:right w:w="20" w:type="dxa"/>
            </w:tcMar>
            <w:vAlign w:val="bottom"/>
          </w:tcPr>
          <w:p w14:paraId="7DCFE730" w14:textId="77777777" w:rsidR="00C1563E" w:rsidRDefault="000B648B">
            <w:pPr>
              <w:textAlignment w:val="bottom"/>
            </w:pPr>
            <w:r>
              <w:rPr>
                <w:rFonts w:ascii="Times New Roman" w:eastAsia="宋体" w:hAnsi="Times New Roman"/>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7DCFE731" w14:textId="77777777" w:rsidR="00C1563E" w:rsidRDefault="000B648B">
            <w:pPr>
              <w:jc w:val="right"/>
              <w:textAlignment w:val="bottom"/>
            </w:pPr>
            <w:r>
              <w:rPr>
                <w:rFonts w:ascii="Times New Roman" w:eastAsia="宋体" w:hAnsi="Times New Roman"/>
                <w:color w:val="000000"/>
                <w:sz w:val="20"/>
                <w:szCs w:val="20"/>
              </w:rPr>
              <w:t>40,829 </w:t>
            </w:r>
          </w:p>
        </w:tc>
        <w:tc>
          <w:tcPr>
            <w:tcW w:w="0" w:type="auto"/>
            <w:shd w:val="clear" w:color="auto" w:fill="CCEEFF"/>
            <w:tcMar>
              <w:top w:w="40" w:type="dxa"/>
              <w:left w:w="0" w:type="dxa"/>
              <w:bottom w:w="40" w:type="dxa"/>
              <w:right w:w="20" w:type="dxa"/>
            </w:tcMar>
            <w:vAlign w:val="bottom"/>
          </w:tcPr>
          <w:p w14:paraId="7DCFE73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3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34" w14:textId="77777777" w:rsidR="00C1563E" w:rsidRDefault="000B648B">
            <w:pPr>
              <w:jc w:val="right"/>
              <w:textAlignment w:val="bottom"/>
            </w:pPr>
            <w:r>
              <w:rPr>
                <w:rFonts w:ascii="Times New Roman" w:eastAsia="宋体" w:hAnsi="Times New Roman"/>
                <w:color w:val="000000"/>
                <w:sz w:val="20"/>
                <w:szCs w:val="20"/>
              </w:rPr>
              <w:t>41,691 </w:t>
            </w:r>
          </w:p>
        </w:tc>
        <w:tc>
          <w:tcPr>
            <w:tcW w:w="0" w:type="auto"/>
            <w:shd w:val="clear" w:color="auto" w:fill="CCEEFF"/>
            <w:tcMar>
              <w:top w:w="40" w:type="dxa"/>
              <w:left w:w="0" w:type="dxa"/>
              <w:bottom w:w="40" w:type="dxa"/>
              <w:right w:w="20" w:type="dxa"/>
            </w:tcMar>
            <w:vAlign w:val="bottom"/>
          </w:tcPr>
          <w:p w14:paraId="7DCFE735" w14:textId="77777777" w:rsidR="00C1563E" w:rsidRDefault="00C1563E">
            <w:pPr>
              <w:jc w:val="right"/>
              <w:rPr>
                <w:rFonts w:ascii="宋体"/>
              </w:rPr>
            </w:pPr>
          </w:p>
        </w:tc>
      </w:tr>
      <w:tr w:rsidR="00C1563E" w14:paraId="7DCFE73D" w14:textId="77777777">
        <w:trPr>
          <w:jc w:val="center"/>
        </w:trPr>
        <w:tc>
          <w:tcPr>
            <w:tcW w:w="0" w:type="auto"/>
            <w:gridSpan w:val="3"/>
            <w:shd w:val="clear" w:color="auto" w:fill="FFFFFF"/>
            <w:tcMar>
              <w:top w:w="40" w:type="dxa"/>
              <w:left w:w="20" w:type="dxa"/>
              <w:bottom w:w="40" w:type="dxa"/>
              <w:right w:w="20" w:type="dxa"/>
            </w:tcMar>
            <w:vAlign w:val="bottom"/>
          </w:tcPr>
          <w:p w14:paraId="7DCFE737" w14:textId="77777777" w:rsidR="00C1563E" w:rsidRDefault="000B648B">
            <w:pPr>
              <w:textAlignment w:val="bottom"/>
            </w:pPr>
            <w:r>
              <w:rPr>
                <w:rFonts w:ascii="Times New Roman" w:eastAsia="宋体" w:hAnsi="Times New Roman"/>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7DCFE738" w14:textId="77777777" w:rsidR="00C1563E" w:rsidRDefault="000B648B">
            <w:pPr>
              <w:jc w:val="right"/>
              <w:textAlignment w:val="bottom"/>
            </w:pPr>
            <w:r>
              <w:rPr>
                <w:rFonts w:ascii="Times New Roman" w:eastAsia="宋体" w:hAnsi="Times New Roman"/>
                <w:color w:val="000000"/>
                <w:sz w:val="20"/>
                <w:szCs w:val="20"/>
              </w:rPr>
              <w:t>14,429 </w:t>
            </w:r>
          </w:p>
        </w:tc>
        <w:tc>
          <w:tcPr>
            <w:tcW w:w="0" w:type="auto"/>
            <w:shd w:val="clear" w:color="auto" w:fill="FFFFFF"/>
            <w:tcMar>
              <w:top w:w="40" w:type="dxa"/>
              <w:left w:w="0" w:type="dxa"/>
              <w:bottom w:w="40" w:type="dxa"/>
              <w:right w:w="20" w:type="dxa"/>
            </w:tcMar>
            <w:vAlign w:val="bottom"/>
          </w:tcPr>
          <w:p w14:paraId="7DCFE73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3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3B" w14:textId="77777777" w:rsidR="00C1563E" w:rsidRDefault="000B648B">
            <w:pPr>
              <w:jc w:val="right"/>
              <w:textAlignment w:val="bottom"/>
            </w:pPr>
            <w:r>
              <w:rPr>
                <w:rFonts w:ascii="Times New Roman" w:eastAsia="宋体" w:hAnsi="Times New Roman"/>
                <w:color w:val="000000"/>
                <w:sz w:val="20"/>
                <w:szCs w:val="20"/>
              </w:rPr>
              <w:t>18,107 </w:t>
            </w:r>
          </w:p>
        </w:tc>
        <w:tc>
          <w:tcPr>
            <w:tcW w:w="0" w:type="auto"/>
            <w:shd w:val="clear" w:color="auto" w:fill="FFFFFF"/>
            <w:tcMar>
              <w:top w:w="40" w:type="dxa"/>
              <w:left w:w="0" w:type="dxa"/>
              <w:bottom w:w="40" w:type="dxa"/>
              <w:right w:w="20" w:type="dxa"/>
            </w:tcMar>
            <w:vAlign w:val="bottom"/>
          </w:tcPr>
          <w:p w14:paraId="7DCFE73C" w14:textId="77777777" w:rsidR="00C1563E" w:rsidRDefault="00C1563E">
            <w:pPr>
              <w:jc w:val="right"/>
              <w:rPr>
                <w:rFonts w:ascii="宋体"/>
              </w:rPr>
            </w:pPr>
          </w:p>
        </w:tc>
      </w:tr>
      <w:tr w:rsidR="00C1563E" w14:paraId="7DCFE744" w14:textId="77777777">
        <w:trPr>
          <w:jc w:val="center"/>
        </w:trPr>
        <w:tc>
          <w:tcPr>
            <w:tcW w:w="0" w:type="auto"/>
            <w:gridSpan w:val="3"/>
            <w:shd w:val="clear" w:color="auto" w:fill="CCEEFF"/>
            <w:tcMar>
              <w:top w:w="40" w:type="dxa"/>
              <w:left w:w="20" w:type="dxa"/>
              <w:bottom w:w="40" w:type="dxa"/>
              <w:right w:w="20" w:type="dxa"/>
            </w:tcMar>
            <w:vAlign w:val="bottom"/>
          </w:tcPr>
          <w:p w14:paraId="7DCFE73E" w14:textId="77777777" w:rsidR="00C1563E" w:rsidRDefault="000B648B">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7DCFE73F" w14:textId="77777777" w:rsidR="00C1563E" w:rsidRDefault="000B648B">
            <w:pPr>
              <w:jc w:val="right"/>
              <w:textAlignment w:val="bottom"/>
            </w:pPr>
            <w:r>
              <w:rPr>
                <w:rFonts w:ascii="Times New Roman" w:eastAsia="宋体" w:hAnsi="Times New Roman"/>
                <w:color w:val="000000"/>
                <w:sz w:val="20"/>
                <w:szCs w:val="20"/>
              </w:rPr>
              <w:t>11,196 </w:t>
            </w:r>
          </w:p>
        </w:tc>
        <w:tc>
          <w:tcPr>
            <w:tcW w:w="0" w:type="auto"/>
            <w:shd w:val="clear" w:color="auto" w:fill="CCEEFF"/>
            <w:tcMar>
              <w:top w:w="40" w:type="dxa"/>
              <w:left w:w="0" w:type="dxa"/>
              <w:bottom w:w="40" w:type="dxa"/>
              <w:right w:w="20" w:type="dxa"/>
            </w:tcMar>
            <w:vAlign w:val="bottom"/>
          </w:tcPr>
          <w:p w14:paraId="7DCFE74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4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42" w14:textId="77777777" w:rsidR="00C1563E" w:rsidRDefault="000B648B">
            <w:pPr>
              <w:jc w:val="right"/>
              <w:textAlignment w:val="bottom"/>
            </w:pPr>
            <w:r>
              <w:rPr>
                <w:rFonts w:ascii="Times New Roman" w:eastAsia="宋体" w:hAnsi="Times New Roman"/>
                <w:color w:val="000000"/>
                <w:sz w:val="20"/>
                <w:szCs w:val="20"/>
              </w:rPr>
              <w:t>10,428 </w:t>
            </w:r>
          </w:p>
        </w:tc>
        <w:tc>
          <w:tcPr>
            <w:tcW w:w="0" w:type="auto"/>
            <w:shd w:val="clear" w:color="auto" w:fill="CCEEFF"/>
            <w:tcMar>
              <w:top w:w="40" w:type="dxa"/>
              <w:left w:w="0" w:type="dxa"/>
              <w:bottom w:w="40" w:type="dxa"/>
              <w:right w:w="20" w:type="dxa"/>
            </w:tcMar>
            <w:vAlign w:val="bottom"/>
          </w:tcPr>
          <w:p w14:paraId="7DCFE743" w14:textId="77777777" w:rsidR="00C1563E" w:rsidRDefault="00C1563E">
            <w:pPr>
              <w:jc w:val="right"/>
              <w:rPr>
                <w:rFonts w:ascii="宋体"/>
              </w:rPr>
            </w:pPr>
          </w:p>
        </w:tc>
      </w:tr>
      <w:tr w:rsidR="00C1563E" w14:paraId="7DCFE74D" w14:textId="77777777">
        <w:trPr>
          <w:jc w:val="center"/>
        </w:trPr>
        <w:tc>
          <w:tcPr>
            <w:tcW w:w="0" w:type="auto"/>
            <w:gridSpan w:val="3"/>
            <w:shd w:val="clear" w:color="auto" w:fill="FFFFFF"/>
            <w:tcMar>
              <w:top w:w="40" w:type="dxa"/>
              <w:left w:w="485" w:type="dxa"/>
              <w:bottom w:w="40" w:type="dxa"/>
              <w:right w:w="20" w:type="dxa"/>
            </w:tcMar>
            <w:vAlign w:val="bottom"/>
          </w:tcPr>
          <w:p w14:paraId="7DCFE745" w14:textId="77777777" w:rsidR="00C1563E" w:rsidRDefault="000B648B">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74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747" w14:textId="77777777" w:rsidR="00C1563E" w:rsidRDefault="000B648B">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74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4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74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74B" w14:textId="77777777" w:rsidR="00C1563E" w:rsidRDefault="000B648B">
            <w:pPr>
              <w:jc w:val="right"/>
              <w:textAlignment w:val="bottom"/>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74C" w14:textId="77777777" w:rsidR="00C1563E" w:rsidRDefault="00C1563E">
            <w:pPr>
              <w:jc w:val="right"/>
              <w:rPr>
                <w:rFonts w:ascii="宋体"/>
              </w:rPr>
            </w:pPr>
          </w:p>
        </w:tc>
      </w:tr>
      <w:tr w:rsidR="00C1563E" w14:paraId="7DCFE74F" w14:textId="77777777">
        <w:trPr>
          <w:jc w:val="center"/>
        </w:trPr>
        <w:tc>
          <w:tcPr>
            <w:tcW w:w="0" w:type="auto"/>
            <w:gridSpan w:val="12"/>
            <w:shd w:val="clear" w:color="auto" w:fill="CCEEFF"/>
            <w:tcMar>
              <w:top w:w="40" w:type="dxa"/>
              <w:left w:w="20" w:type="dxa"/>
              <w:bottom w:w="40" w:type="dxa"/>
              <w:right w:w="20" w:type="dxa"/>
            </w:tcMar>
            <w:vAlign w:val="bottom"/>
          </w:tcPr>
          <w:p w14:paraId="7DCFE74E" w14:textId="77777777" w:rsidR="00C1563E" w:rsidRDefault="000B648B">
            <w:pPr>
              <w:jc w:val="center"/>
              <w:textAlignment w:val="bottom"/>
            </w:pPr>
            <w:r>
              <w:rPr>
                <w:rFonts w:ascii="Times New Roman" w:eastAsia="宋体" w:hAnsi="Times New Roman"/>
                <w:b/>
                <w:bCs/>
                <w:color w:val="000000"/>
                <w:sz w:val="20"/>
                <w:szCs w:val="20"/>
              </w:rPr>
              <w:t>LIABILITIES, REDEEMABLE SHARES, AND STOCKHOLDERS’ EQUITY</w:t>
            </w:r>
          </w:p>
        </w:tc>
      </w:tr>
      <w:tr w:rsidR="00C1563E" w14:paraId="7DCFE754" w14:textId="77777777">
        <w:trPr>
          <w:jc w:val="center"/>
        </w:trPr>
        <w:tc>
          <w:tcPr>
            <w:tcW w:w="0" w:type="auto"/>
            <w:gridSpan w:val="3"/>
            <w:shd w:val="clear" w:color="auto" w:fill="FFFFFF"/>
            <w:tcMar>
              <w:top w:w="40" w:type="dxa"/>
              <w:left w:w="20" w:type="dxa"/>
              <w:bottom w:w="40" w:type="dxa"/>
              <w:right w:w="20" w:type="dxa"/>
            </w:tcMar>
            <w:vAlign w:val="bottom"/>
          </w:tcPr>
          <w:p w14:paraId="7DCFE750" w14:textId="77777777" w:rsidR="00C1563E" w:rsidRDefault="000B648B">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7DCFE751"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DCFE752"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CFE753" w14:textId="77777777" w:rsidR="00C1563E" w:rsidRDefault="000B648B">
            <w:pPr>
              <w:jc w:val="right"/>
              <w:textAlignment w:val="bottom"/>
            </w:pPr>
            <w:r>
              <w:rPr>
                <w:rFonts w:ascii="Times New Roman" w:eastAsia="宋体" w:hAnsi="Times New Roman"/>
                <w:color w:val="000000"/>
                <w:sz w:val="20"/>
                <w:szCs w:val="20"/>
              </w:rPr>
              <w:t> </w:t>
            </w:r>
          </w:p>
        </w:tc>
      </w:tr>
      <w:tr w:rsidR="00C1563E" w14:paraId="7DCFE75D" w14:textId="77777777">
        <w:trPr>
          <w:jc w:val="center"/>
        </w:trPr>
        <w:tc>
          <w:tcPr>
            <w:tcW w:w="0" w:type="auto"/>
            <w:gridSpan w:val="3"/>
            <w:shd w:val="clear" w:color="auto" w:fill="CCEEFF"/>
            <w:tcMar>
              <w:top w:w="40" w:type="dxa"/>
              <w:left w:w="245" w:type="dxa"/>
              <w:bottom w:w="40" w:type="dxa"/>
              <w:right w:w="20" w:type="dxa"/>
            </w:tcMar>
            <w:vAlign w:val="bottom"/>
          </w:tcPr>
          <w:p w14:paraId="7DCFE755" w14:textId="77777777" w:rsidR="00C1563E" w:rsidRDefault="000B648B">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7DCFE75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757" w14:textId="77777777" w:rsidR="00C1563E" w:rsidRDefault="000B648B">
            <w:pPr>
              <w:jc w:val="right"/>
              <w:textAlignment w:val="bottom"/>
            </w:pPr>
            <w:r>
              <w:rPr>
                <w:rFonts w:ascii="Times New Roman" w:eastAsia="宋体" w:hAnsi="Times New Roman"/>
                <w:color w:val="000000"/>
                <w:sz w:val="20"/>
                <w:szCs w:val="20"/>
              </w:rPr>
              <w:t>6,362 </w:t>
            </w:r>
          </w:p>
        </w:tc>
        <w:tc>
          <w:tcPr>
            <w:tcW w:w="0" w:type="auto"/>
            <w:shd w:val="clear" w:color="auto" w:fill="CCEEFF"/>
            <w:tcMar>
              <w:top w:w="40" w:type="dxa"/>
              <w:left w:w="0" w:type="dxa"/>
              <w:bottom w:w="40" w:type="dxa"/>
              <w:right w:w="20" w:type="dxa"/>
            </w:tcMar>
            <w:vAlign w:val="bottom"/>
          </w:tcPr>
          <w:p w14:paraId="7DCFE75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5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75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75B" w14:textId="77777777" w:rsidR="00C1563E" w:rsidRDefault="000B648B">
            <w:pPr>
              <w:jc w:val="right"/>
              <w:textAlignment w:val="bottom"/>
            </w:pPr>
            <w:r>
              <w:rPr>
                <w:rFonts w:ascii="Times New Roman" w:eastAsia="宋体" w:hAnsi="Times New Roman"/>
                <w:color w:val="000000"/>
                <w:sz w:val="20"/>
                <w:szCs w:val="20"/>
              </w:rPr>
              <w:t>7,737 </w:t>
            </w:r>
          </w:p>
        </w:tc>
        <w:tc>
          <w:tcPr>
            <w:tcW w:w="0" w:type="auto"/>
            <w:shd w:val="clear" w:color="auto" w:fill="CCEEFF"/>
            <w:tcMar>
              <w:top w:w="40" w:type="dxa"/>
              <w:left w:w="0" w:type="dxa"/>
              <w:bottom w:w="40" w:type="dxa"/>
              <w:right w:w="20" w:type="dxa"/>
            </w:tcMar>
            <w:vAlign w:val="bottom"/>
          </w:tcPr>
          <w:p w14:paraId="7DCFE75C" w14:textId="77777777" w:rsidR="00C1563E" w:rsidRDefault="00C1563E">
            <w:pPr>
              <w:jc w:val="right"/>
              <w:rPr>
                <w:rFonts w:ascii="宋体"/>
              </w:rPr>
            </w:pPr>
          </w:p>
        </w:tc>
      </w:tr>
      <w:tr w:rsidR="00C1563E" w14:paraId="7DCFE764" w14:textId="77777777">
        <w:trPr>
          <w:jc w:val="center"/>
        </w:trPr>
        <w:tc>
          <w:tcPr>
            <w:tcW w:w="0" w:type="auto"/>
            <w:gridSpan w:val="3"/>
            <w:shd w:val="clear" w:color="auto" w:fill="FFFFFF"/>
            <w:tcMar>
              <w:top w:w="40" w:type="dxa"/>
              <w:left w:w="245" w:type="dxa"/>
              <w:bottom w:w="40" w:type="dxa"/>
              <w:right w:w="20" w:type="dxa"/>
            </w:tcMar>
            <w:vAlign w:val="bottom"/>
          </w:tcPr>
          <w:p w14:paraId="7DCFE75E" w14:textId="77777777" w:rsidR="00C1563E" w:rsidRDefault="000B648B">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7DCFE75F" w14:textId="77777777" w:rsidR="00C1563E" w:rsidRDefault="000B648B">
            <w:pPr>
              <w:jc w:val="right"/>
              <w:textAlignment w:val="bottom"/>
            </w:pPr>
            <w:r>
              <w:rPr>
                <w:rFonts w:ascii="Times New Roman" w:eastAsia="宋体" w:hAnsi="Times New Roman"/>
                <w:color w:val="000000"/>
                <w:sz w:val="20"/>
                <w:szCs w:val="20"/>
              </w:rPr>
              <w:t>21,696 </w:t>
            </w:r>
          </w:p>
        </w:tc>
        <w:tc>
          <w:tcPr>
            <w:tcW w:w="0" w:type="auto"/>
            <w:shd w:val="clear" w:color="auto" w:fill="FFFFFF"/>
            <w:tcMar>
              <w:top w:w="40" w:type="dxa"/>
              <w:left w:w="0" w:type="dxa"/>
              <w:bottom w:w="40" w:type="dxa"/>
              <w:right w:w="20" w:type="dxa"/>
            </w:tcMar>
            <w:vAlign w:val="bottom"/>
          </w:tcPr>
          <w:p w14:paraId="7DCFE76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62" w14:textId="77777777" w:rsidR="00C1563E" w:rsidRDefault="000B648B">
            <w:pPr>
              <w:jc w:val="right"/>
              <w:textAlignment w:val="bottom"/>
            </w:pPr>
            <w:r>
              <w:rPr>
                <w:rFonts w:ascii="Times New Roman" w:eastAsia="宋体" w:hAnsi="Times New Roman"/>
                <w:color w:val="000000"/>
                <w:sz w:val="20"/>
                <w:szCs w:val="20"/>
              </w:rPr>
              <w:t>20,065 </w:t>
            </w:r>
          </w:p>
        </w:tc>
        <w:tc>
          <w:tcPr>
            <w:tcW w:w="0" w:type="auto"/>
            <w:shd w:val="clear" w:color="auto" w:fill="FFFFFF"/>
            <w:tcMar>
              <w:top w:w="40" w:type="dxa"/>
              <w:left w:w="0" w:type="dxa"/>
              <w:bottom w:w="40" w:type="dxa"/>
              <w:right w:w="20" w:type="dxa"/>
            </w:tcMar>
            <w:vAlign w:val="bottom"/>
          </w:tcPr>
          <w:p w14:paraId="7DCFE763" w14:textId="77777777" w:rsidR="00C1563E" w:rsidRDefault="00C1563E">
            <w:pPr>
              <w:jc w:val="right"/>
              <w:rPr>
                <w:rFonts w:ascii="宋体"/>
              </w:rPr>
            </w:pPr>
          </w:p>
        </w:tc>
      </w:tr>
      <w:tr w:rsidR="00C1563E" w14:paraId="7DCFE76B" w14:textId="77777777">
        <w:trPr>
          <w:jc w:val="center"/>
        </w:trPr>
        <w:tc>
          <w:tcPr>
            <w:tcW w:w="0" w:type="auto"/>
            <w:gridSpan w:val="3"/>
            <w:shd w:val="clear" w:color="auto" w:fill="CCEEFF"/>
            <w:tcMar>
              <w:top w:w="40" w:type="dxa"/>
              <w:left w:w="245" w:type="dxa"/>
              <w:bottom w:w="40" w:type="dxa"/>
              <w:right w:w="20" w:type="dxa"/>
            </w:tcMar>
            <w:vAlign w:val="bottom"/>
          </w:tcPr>
          <w:p w14:paraId="7DCFE765" w14:textId="77777777" w:rsidR="00C1563E" w:rsidRDefault="000B648B">
            <w:pPr>
              <w:textAlignment w:val="bottom"/>
            </w:pPr>
            <w:r>
              <w:rPr>
                <w:rFonts w:ascii="Times New Roman" w:eastAsia="宋体" w:hAnsi="Times New Roman"/>
                <w:color w:val="000000"/>
                <w:sz w:val="20"/>
                <w:szCs w:val="20"/>
              </w:rPr>
              <w:t>Accrued and other</w:t>
            </w:r>
          </w:p>
        </w:tc>
        <w:tc>
          <w:tcPr>
            <w:tcW w:w="0" w:type="auto"/>
            <w:gridSpan w:val="2"/>
            <w:shd w:val="clear" w:color="auto" w:fill="CCEEFF"/>
            <w:tcMar>
              <w:top w:w="40" w:type="dxa"/>
              <w:left w:w="20" w:type="dxa"/>
              <w:bottom w:w="40" w:type="dxa"/>
              <w:right w:w="0" w:type="dxa"/>
            </w:tcMar>
            <w:vAlign w:val="bottom"/>
          </w:tcPr>
          <w:p w14:paraId="7DCFE766" w14:textId="77777777" w:rsidR="00C1563E" w:rsidRDefault="000B648B">
            <w:pPr>
              <w:jc w:val="right"/>
              <w:textAlignment w:val="bottom"/>
            </w:pPr>
            <w:r>
              <w:rPr>
                <w:rFonts w:ascii="Times New Roman" w:eastAsia="宋体" w:hAnsi="Times New Roman"/>
                <w:color w:val="000000"/>
                <w:sz w:val="20"/>
                <w:szCs w:val="20"/>
              </w:rPr>
              <w:t>9,549 </w:t>
            </w:r>
          </w:p>
        </w:tc>
        <w:tc>
          <w:tcPr>
            <w:tcW w:w="0" w:type="auto"/>
            <w:shd w:val="clear" w:color="auto" w:fill="CCEEFF"/>
            <w:tcMar>
              <w:top w:w="40" w:type="dxa"/>
              <w:left w:w="0" w:type="dxa"/>
              <w:bottom w:w="40" w:type="dxa"/>
              <w:right w:w="20" w:type="dxa"/>
            </w:tcMar>
            <w:vAlign w:val="bottom"/>
          </w:tcPr>
          <w:p w14:paraId="7DCFE76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6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69" w14:textId="77777777" w:rsidR="00C1563E" w:rsidRDefault="000B648B">
            <w:pPr>
              <w:jc w:val="right"/>
              <w:textAlignment w:val="bottom"/>
            </w:pPr>
            <w:r>
              <w:rPr>
                <w:rFonts w:ascii="Times New Roman" w:eastAsia="宋体" w:hAnsi="Times New Roman"/>
                <w:color w:val="000000"/>
                <w:sz w:val="20"/>
                <w:szCs w:val="20"/>
              </w:rPr>
              <w:t>9,773 </w:t>
            </w:r>
          </w:p>
        </w:tc>
        <w:tc>
          <w:tcPr>
            <w:tcW w:w="0" w:type="auto"/>
            <w:shd w:val="clear" w:color="auto" w:fill="CCEEFF"/>
            <w:tcMar>
              <w:top w:w="40" w:type="dxa"/>
              <w:left w:w="0" w:type="dxa"/>
              <w:bottom w:w="40" w:type="dxa"/>
              <w:right w:w="20" w:type="dxa"/>
            </w:tcMar>
            <w:vAlign w:val="bottom"/>
          </w:tcPr>
          <w:p w14:paraId="7DCFE76A" w14:textId="77777777" w:rsidR="00C1563E" w:rsidRDefault="00C1563E">
            <w:pPr>
              <w:jc w:val="right"/>
              <w:rPr>
                <w:rFonts w:ascii="宋体"/>
              </w:rPr>
            </w:pPr>
          </w:p>
        </w:tc>
      </w:tr>
      <w:tr w:rsidR="00C1563E" w14:paraId="7DCFE772" w14:textId="77777777">
        <w:trPr>
          <w:jc w:val="center"/>
        </w:trPr>
        <w:tc>
          <w:tcPr>
            <w:tcW w:w="0" w:type="auto"/>
            <w:gridSpan w:val="3"/>
            <w:shd w:val="clear" w:color="auto" w:fill="FFFFFF"/>
            <w:tcMar>
              <w:top w:w="40" w:type="dxa"/>
              <w:left w:w="245" w:type="dxa"/>
              <w:bottom w:w="40" w:type="dxa"/>
              <w:right w:w="20" w:type="dxa"/>
            </w:tcMar>
            <w:vAlign w:val="bottom"/>
          </w:tcPr>
          <w:p w14:paraId="7DCFE76C" w14:textId="77777777" w:rsidR="00C1563E" w:rsidRDefault="000B648B">
            <w:pPr>
              <w:textAlignment w:val="bottom"/>
            </w:pPr>
            <w:r>
              <w:rPr>
                <w:rFonts w:ascii="Times New Roman" w:eastAsia="宋体" w:hAnsi="Times New Roman"/>
                <w:color w:val="000000"/>
                <w:sz w:val="20"/>
                <w:szCs w:val="20"/>
              </w:rPr>
              <w:t>Short-term deferred revenue</w:t>
            </w:r>
          </w:p>
        </w:tc>
        <w:tc>
          <w:tcPr>
            <w:tcW w:w="0" w:type="auto"/>
            <w:gridSpan w:val="2"/>
            <w:shd w:val="clear" w:color="auto" w:fill="FFFFFF"/>
            <w:tcMar>
              <w:top w:w="40" w:type="dxa"/>
              <w:left w:w="20" w:type="dxa"/>
              <w:bottom w:w="40" w:type="dxa"/>
              <w:right w:w="0" w:type="dxa"/>
            </w:tcMar>
            <w:vAlign w:val="bottom"/>
          </w:tcPr>
          <w:p w14:paraId="7DCFE76D" w14:textId="77777777" w:rsidR="00C1563E" w:rsidRDefault="000B648B">
            <w:pPr>
              <w:jc w:val="right"/>
              <w:textAlignment w:val="bottom"/>
            </w:pPr>
            <w:r>
              <w:rPr>
                <w:rFonts w:ascii="Times New Roman" w:eastAsia="宋体" w:hAnsi="Times New Roman"/>
                <w:color w:val="000000"/>
                <w:sz w:val="20"/>
                <w:szCs w:val="20"/>
              </w:rPr>
              <w:t>16,525 </w:t>
            </w:r>
          </w:p>
        </w:tc>
        <w:tc>
          <w:tcPr>
            <w:tcW w:w="0" w:type="auto"/>
            <w:shd w:val="clear" w:color="auto" w:fill="FFFFFF"/>
            <w:tcMar>
              <w:top w:w="40" w:type="dxa"/>
              <w:left w:w="0" w:type="dxa"/>
              <w:bottom w:w="40" w:type="dxa"/>
              <w:right w:w="20" w:type="dxa"/>
            </w:tcMar>
            <w:vAlign w:val="bottom"/>
          </w:tcPr>
          <w:p w14:paraId="7DCFE76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6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70" w14:textId="77777777" w:rsidR="00C1563E" w:rsidRDefault="000B648B">
            <w:pPr>
              <w:jc w:val="right"/>
              <w:textAlignment w:val="bottom"/>
            </w:pPr>
            <w:r>
              <w:rPr>
                <w:rFonts w:ascii="Times New Roman" w:eastAsia="宋体" w:hAnsi="Times New Roman"/>
                <w:color w:val="000000"/>
                <w:sz w:val="20"/>
                <w:szCs w:val="20"/>
              </w:rPr>
              <w:t>14,881 </w:t>
            </w:r>
          </w:p>
        </w:tc>
        <w:tc>
          <w:tcPr>
            <w:tcW w:w="0" w:type="auto"/>
            <w:shd w:val="clear" w:color="auto" w:fill="FFFFFF"/>
            <w:tcMar>
              <w:top w:w="40" w:type="dxa"/>
              <w:left w:w="0" w:type="dxa"/>
              <w:bottom w:w="40" w:type="dxa"/>
              <w:right w:w="20" w:type="dxa"/>
            </w:tcMar>
            <w:vAlign w:val="bottom"/>
          </w:tcPr>
          <w:p w14:paraId="7DCFE771" w14:textId="77777777" w:rsidR="00C1563E" w:rsidRDefault="00C1563E">
            <w:pPr>
              <w:jc w:val="right"/>
              <w:rPr>
                <w:rFonts w:ascii="宋体"/>
              </w:rPr>
            </w:pPr>
          </w:p>
        </w:tc>
      </w:tr>
      <w:tr w:rsidR="00C1563E" w14:paraId="7DCFE779" w14:textId="77777777">
        <w:trPr>
          <w:jc w:val="center"/>
        </w:trPr>
        <w:tc>
          <w:tcPr>
            <w:tcW w:w="0" w:type="auto"/>
            <w:gridSpan w:val="3"/>
            <w:shd w:val="clear" w:color="auto" w:fill="CCEEFF"/>
            <w:tcMar>
              <w:top w:w="40" w:type="dxa"/>
              <w:left w:w="365" w:type="dxa"/>
              <w:bottom w:w="40" w:type="dxa"/>
              <w:right w:w="20" w:type="dxa"/>
            </w:tcMar>
            <w:vAlign w:val="bottom"/>
          </w:tcPr>
          <w:p w14:paraId="7DCFE773" w14:textId="77777777" w:rsidR="00C1563E" w:rsidRDefault="000B648B">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74" w14:textId="77777777" w:rsidR="00C1563E" w:rsidRDefault="000B648B">
            <w:pPr>
              <w:jc w:val="right"/>
              <w:textAlignment w:val="bottom"/>
            </w:pPr>
            <w:r>
              <w:rPr>
                <w:rFonts w:ascii="Times New Roman" w:eastAsia="宋体" w:hAnsi="Times New Roman"/>
                <w:color w:val="000000"/>
                <w:sz w:val="20"/>
                <w:szCs w:val="20"/>
              </w:rPr>
              <w:t>54,132 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7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7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77" w14:textId="77777777" w:rsidR="00C1563E" w:rsidRDefault="000B648B">
            <w:pPr>
              <w:jc w:val="right"/>
              <w:textAlignment w:val="bottom"/>
            </w:pPr>
            <w:r>
              <w:rPr>
                <w:rFonts w:ascii="Times New Roman" w:eastAsia="宋体" w:hAnsi="Times New Roman"/>
                <w:color w:val="000000"/>
                <w:sz w:val="20"/>
                <w:szCs w:val="20"/>
              </w:rPr>
              <w:t>52,456 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78" w14:textId="77777777" w:rsidR="00C1563E" w:rsidRDefault="00C1563E">
            <w:pPr>
              <w:jc w:val="right"/>
              <w:rPr>
                <w:rFonts w:ascii="宋体"/>
              </w:rPr>
            </w:pPr>
          </w:p>
        </w:tc>
      </w:tr>
      <w:tr w:rsidR="00C1563E" w14:paraId="7DCFE780" w14:textId="77777777">
        <w:trPr>
          <w:jc w:val="center"/>
        </w:trPr>
        <w:tc>
          <w:tcPr>
            <w:tcW w:w="0" w:type="auto"/>
            <w:gridSpan w:val="3"/>
            <w:shd w:val="clear" w:color="auto" w:fill="FFFFFF"/>
            <w:tcMar>
              <w:top w:w="40" w:type="dxa"/>
              <w:left w:w="20" w:type="dxa"/>
              <w:bottom w:w="40" w:type="dxa"/>
              <w:right w:w="20" w:type="dxa"/>
            </w:tcMar>
            <w:vAlign w:val="bottom"/>
          </w:tcPr>
          <w:p w14:paraId="7DCFE77A" w14:textId="77777777" w:rsidR="00C1563E" w:rsidRDefault="000B648B">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7DCFE77B" w14:textId="77777777" w:rsidR="00C1563E" w:rsidRDefault="000B648B">
            <w:pPr>
              <w:jc w:val="right"/>
              <w:textAlignment w:val="bottom"/>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bottom"/>
          </w:tcPr>
          <w:p w14:paraId="7DCFE7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7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7E" w14:textId="77777777" w:rsidR="00C1563E" w:rsidRDefault="000B648B">
            <w:pPr>
              <w:jc w:val="right"/>
              <w:textAlignment w:val="bottom"/>
            </w:pPr>
            <w:r>
              <w:rPr>
                <w:rFonts w:ascii="Times New Roman" w:eastAsia="宋体" w:hAnsi="Times New Roman"/>
                <w:color w:val="000000"/>
                <w:sz w:val="20"/>
                <w:szCs w:val="20"/>
              </w:rPr>
              <w:t>44,319 </w:t>
            </w:r>
          </w:p>
        </w:tc>
        <w:tc>
          <w:tcPr>
            <w:tcW w:w="0" w:type="auto"/>
            <w:shd w:val="clear" w:color="auto" w:fill="FFFFFF"/>
            <w:tcMar>
              <w:top w:w="40" w:type="dxa"/>
              <w:left w:w="0" w:type="dxa"/>
              <w:bottom w:w="40" w:type="dxa"/>
              <w:right w:w="20" w:type="dxa"/>
            </w:tcMar>
            <w:vAlign w:val="bottom"/>
          </w:tcPr>
          <w:p w14:paraId="7DCFE77F" w14:textId="77777777" w:rsidR="00C1563E" w:rsidRDefault="00C1563E">
            <w:pPr>
              <w:jc w:val="right"/>
              <w:rPr>
                <w:rFonts w:ascii="宋体"/>
              </w:rPr>
            </w:pPr>
          </w:p>
        </w:tc>
      </w:tr>
      <w:tr w:rsidR="00C1563E" w14:paraId="7DCFE787" w14:textId="77777777">
        <w:trPr>
          <w:jc w:val="center"/>
        </w:trPr>
        <w:tc>
          <w:tcPr>
            <w:tcW w:w="0" w:type="auto"/>
            <w:gridSpan w:val="3"/>
            <w:shd w:val="clear" w:color="auto" w:fill="CCEEFF"/>
            <w:tcMar>
              <w:top w:w="40" w:type="dxa"/>
              <w:left w:w="20" w:type="dxa"/>
              <w:bottom w:w="40" w:type="dxa"/>
              <w:right w:w="20" w:type="dxa"/>
            </w:tcMar>
            <w:vAlign w:val="bottom"/>
          </w:tcPr>
          <w:p w14:paraId="7DCFE781" w14:textId="77777777" w:rsidR="00C1563E" w:rsidRDefault="000B648B">
            <w:pPr>
              <w:textAlignment w:val="bottom"/>
            </w:pPr>
            <w:r>
              <w:rPr>
                <w:rFonts w:ascii="Times New Roman" w:eastAsia="宋体" w:hAnsi="Times New Roman"/>
                <w:color w:val="000000"/>
                <w:sz w:val="20"/>
                <w:szCs w:val="20"/>
              </w:rPr>
              <w:t>Long-term deferred revenue</w:t>
            </w:r>
          </w:p>
        </w:tc>
        <w:tc>
          <w:tcPr>
            <w:tcW w:w="0" w:type="auto"/>
            <w:gridSpan w:val="2"/>
            <w:shd w:val="clear" w:color="auto" w:fill="CCEEFF"/>
            <w:tcMar>
              <w:top w:w="40" w:type="dxa"/>
              <w:left w:w="20" w:type="dxa"/>
              <w:bottom w:w="40" w:type="dxa"/>
              <w:right w:w="0" w:type="dxa"/>
            </w:tcMar>
            <w:vAlign w:val="bottom"/>
          </w:tcPr>
          <w:p w14:paraId="7DCFE782" w14:textId="77777777" w:rsidR="00C1563E" w:rsidRDefault="000B648B">
            <w:pPr>
              <w:jc w:val="right"/>
              <w:textAlignment w:val="bottom"/>
            </w:pPr>
            <w:r>
              <w:rPr>
                <w:rFonts w:ascii="Times New Roman" w:eastAsia="宋体" w:hAnsi="Times New Roman"/>
                <w:color w:val="000000"/>
                <w:sz w:val="20"/>
                <w:szCs w:val="20"/>
              </w:rPr>
              <w:t>14,276 </w:t>
            </w:r>
          </w:p>
        </w:tc>
        <w:tc>
          <w:tcPr>
            <w:tcW w:w="0" w:type="auto"/>
            <w:shd w:val="clear" w:color="auto" w:fill="CCEEFF"/>
            <w:tcMar>
              <w:top w:w="40" w:type="dxa"/>
              <w:left w:w="0" w:type="dxa"/>
              <w:bottom w:w="40" w:type="dxa"/>
              <w:right w:w="20" w:type="dxa"/>
            </w:tcMar>
            <w:vAlign w:val="bottom"/>
          </w:tcPr>
          <w:p w14:paraId="7DCFE78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8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85" w14:textId="77777777" w:rsidR="00C1563E" w:rsidRDefault="000B648B">
            <w:pPr>
              <w:jc w:val="right"/>
              <w:textAlignment w:val="bottom"/>
            </w:pPr>
            <w:r>
              <w:rPr>
                <w:rFonts w:ascii="Times New Roman" w:eastAsia="宋体" w:hAnsi="Times New Roman"/>
                <w:color w:val="000000"/>
                <w:sz w:val="20"/>
                <w:szCs w:val="20"/>
              </w:rPr>
              <w:t>12,919 </w:t>
            </w:r>
          </w:p>
        </w:tc>
        <w:tc>
          <w:tcPr>
            <w:tcW w:w="0" w:type="auto"/>
            <w:shd w:val="clear" w:color="auto" w:fill="CCEEFF"/>
            <w:tcMar>
              <w:top w:w="40" w:type="dxa"/>
              <w:left w:w="0" w:type="dxa"/>
              <w:bottom w:w="40" w:type="dxa"/>
              <w:right w:w="20" w:type="dxa"/>
            </w:tcMar>
            <w:vAlign w:val="bottom"/>
          </w:tcPr>
          <w:p w14:paraId="7DCFE786" w14:textId="77777777" w:rsidR="00C1563E" w:rsidRDefault="00C1563E">
            <w:pPr>
              <w:jc w:val="right"/>
              <w:rPr>
                <w:rFonts w:ascii="宋体"/>
              </w:rPr>
            </w:pPr>
          </w:p>
        </w:tc>
      </w:tr>
      <w:tr w:rsidR="00C1563E" w14:paraId="7DCFE78E" w14:textId="77777777">
        <w:trPr>
          <w:jc w:val="center"/>
        </w:trPr>
        <w:tc>
          <w:tcPr>
            <w:tcW w:w="0" w:type="auto"/>
            <w:gridSpan w:val="3"/>
            <w:shd w:val="clear" w:color="auto" w:fill="FFFFFF"/>
            <w:tcMar>
              <w:top w:w="40" w:type="dxa"/>
              <w:left w:w="20" w:type="dxa"/>
              <w:bottom w:w="40" w:type="dxa"/>
              <w:right w:w="20" w:type="dxa"/>
            </w:tcMar>
            <w:vAlign w:val="bottom"/>
          </w:tcPr>
          <w:p w14:paraId="7DCFE788" w14:textId="77777777" w:rsidR="00C1563E" w:rsidRDefault="000B648B">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7DCFE789" w14:textId="77777777" w:rsidR="00C1563E" w:rsidRDefault="000B648B">
            <w:pPr>
              <w:jc w:val="right"/>
              <w:textAlignment w:val="bottom"/>
            </w:pPr>
            <w:r>
              <w:rPr>
                <w:rFonts w:ascii="Times New Roman" w:eastAsia="宋体" w:hAnsi="Times New Roman"/>
                <w:color w:val="000000"/>
                <w:sz w:val="20"/>
                <w:szCs w:val="20"/>
              </w:rPr>
              <w:t>5,360 </w:t>
            </w:r>
          </w:p>
        </w:tc>
        <w:tc>
          <w:tcPr>
            <w:tcW w:w="0" w:type="auto"/>
            <w:shd w:val="clear" w:color="auto" w:fill="FFFFFF"/>
            <w:tcMar>
              <w:top w:w="40" w:type="dxa"/>
              <w:left w:w="0" w:type="dxa"/>
              <w:bottom w:w="40" w:type="dxa"/>
              <w:right w:w="20" w:type="dxa"/>
            </w:tcMar>
            <w:vAlign w:val="bottom"/>
          </w:tcPr>
          <w:p w14:paraId="7DCFE7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8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8C" w14:textId="77777777" w:rsidR="00C1563E" w:rsidRDefault="000B648B">
            <w:pPr>
              <w:jc w:val="right"/>
              <w:textAlignment w:val="bottom"/>
            </w:pPr>
            <w:r>
              <w:rPr>
                <w:rFonts w:ascii="Times New Roman" w:eastAsia="宋体" w:hAnsi="Times New Roman"/>
                <w:color w:val="000000"/>
                <w:sz w:val="20"/>
                <w:szCs w:val="20"/>
              </w:rPr>
              <w:t>5,383 </w:t>
            </w:r>
          </w:p>
        </w:tc>
        <w:tc>
          <w:tcPr>
            <w:tcW w:w="0" w:type="auto"/>
            <w:shd w:val="clear" w:color="auto" w:fill="FFFFFF"/>
            <w:tcMar>
              <w:top w:w="40" w:type="dxa"/>
              <w:left w:w="0" w:type="dxa"/>
              <w:bottom w:w="40" w:type="dxa"/>
              <w:right w:w="20" w:type="dxa"/>
            </w:tcMar>
            <w:vAlign w:val="bottom"/>
          </w:tcPr>
          <w:p w14:paraId="7DCFE78D" w14:textId="77777777" w:rsidR="00C1563E" w:rsidRDefault="00C1563E">
            <w:pPr>
              <w:jc w:val="right"/>
              <w:rPr>
                <w:rFonts w:ascii="宋体"/>
              </w:rPr>
            </w:pPr>
          </w:p>
        </w:tc>
      </w:tr>
      <w:tr w:rsidR="00C1563E" w14:paraId="7DCFE795" w14:textId="77777777">
        <w:trPr>
          <w:jc w:val="center"/>
        </w:trPr>
        <w:tc>
          <w:tcPr>
            <w:tcW w:w="0" w:type="auto"/>
            <w:gridSpan w:val="3"/>
            <w:shd w:val="clear" w:color="auto" w:fill="CCEEFF"/>
            <w:tcMar>
              <w:top w:w="40" w:type="dxa"/>
              <w:left w:w="485" w:type="dxa"/>
              <w:bottom w:w="40" w:type="dxa"/>
              <w:right w:w="20" w:type="dxa"/>
            </w:tcMar>
            <w:vAlign w:val="bottom"/>
          </w:tcPr>
          <w:p w14:paraId="7DCFE78F" w14:textId="77777777" w:rsidR="00C1563E" w:rsidRDefault="000B648B">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90" w14:textId="77777777" w:rsidR="00C1563E" w:rsidRDefault="000B648B">
            <w:pPr>
              <w:jc w:val="right"/>
              <w:textAlignment w:val="bottom"/>
            </w:pPr>
            <w:r>
              <w:rPr>
                <w:rFonts w:ascii="Times New Roman" w:eastAsia="宋体" w:hAnsi="Times New Roman"/>
                <w:color w:val="000000"/>
                <w:sz w:val="20"/>
                <w:szCs w:val="20"/>
              </w:rPr>
              <w:t>115,390 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9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93" w14:textId="77777777" w:rsidR="00C1563E" w:rsidRDefault="000B648B">
            <w:pPr>
              <w:jc w:val="right"/>
              <w:textAlignment w:val="bottom"/>
            </w:pPr>
            <w:r>
              <w:rPr>
                <w:rFonts w:ascii="Times New Roman" w:eastAsia="宋体" w:hAnsi="Times New Roman"/>
                <w:color w:val="000000"/>
                <w:sz w:val="20"/>
                <w:szCs w:val="20"/>
              </w:rPr>
              <w:t>115,077 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94" w14:textId="77777777" w:rsidR="00C1563E" w:rsidRDefault="00C1563E">
            <w:pPr>
              <w:jc w:val="right"/>
              <w:rPr>
                <w:rFonts w:ascii="宋体"/>
              </w:rPr>
            </w:pPr>
          </w:p>
        </w:tc>
      </w:tr>
      <w:tr w:rsidR="00C1563E" w14:paraId="7DCFE79A" w14:textId="77777777">
        <w:trPr>
          <w:jc w:val="center"/>
        </w:trPr>
        <w:tc>
          <w:tcPr>
            <w:tcW w:w="0" w:type="auto"/>
            <w:gridSpan w:val="3"/>
            <w:shd w:val="clear" w:color="auto" w:fill="FFFFFF"/>
            <w:tcMar>
              <w:top w:w="40" w:type="dxa"/>
              <w:left w:w="20" w:type="dxa"/>
              <w:bottom w:w="40" w:type="dxa"/>
              <w:right w:w="20" w:type="dxa"/>
            </w:tcMar>
            <w:vAlign w:val="bottom"/>
          </w:tcPr>
          <w:p w14:paraId="7DCFE796" w14:textId="77777777" w:rsidR="00C1563E" w:rsidRDefault="000B648B">
            <w:pPr>
              <w:textAlignment w:val="bottom"/>
            </w:pPr>
            <w:r>
              <w:rPr>
                <w:rFonts w:ascii="Times New Roman" w:eastAsia="宋体" w:hAnsi="Times New Roman"/>
                <w:color w:val="000000"/>
                <w:sz w:val="20"/>
                <w:szCs w:val="20"/>
              </w:rPr>
              <w:t>Commitments and contingencies (Note 10)</w:t>
            </w:r>
          </w:p>
        </w:tc>
        <w:tc>
          <w:tcPr>
            <w:tcW w:w="0" w:type="auto"/>
            <w:gridSpan w:val="3"/>
            <w:tcBorders>
              <w:top w:val="single" w:sz="8" w:space="0" w:color="000000"/>
            </w:tcBorders>
            <w:shd w:val="clear" w:color="auto" w:fill="FFFFFF"/>
            <w:tcMar>
              <w:top w:w="0" w:type="dxa"/>
              <w:left w:w="20" w:type="dxa"/>
              <w:bottom w:w="0" w:type="dxa"/>
              <w:right w:w="20" w:type="dxa"/>
            </w:tcMar>
          </w:tcPr>
          <w:p w14:paraId="7DCFE79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798"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799" w14:textId="77777777" w:rsidR="00C1563E" w:rsidRDefault="00C1563E">
            <w:pPr>
              <w:rPr>
                <w:rFonts w:ascii="宋体"/>
              </w:rPr>
            </w:pPr>
          </w:p>
        </w:tc>
      </w:tr>
      <w:tr w:rsidR="00C1563E" w14:paraId="7DCFE7A1" w14:textId="77777777">
        <w:trPr>
          <w:jc w:val="center"/>
        </w:trPr>
        <w:tc>
          <w:tcPr>
            <w:tcW w:w="0" w:type="auto"/>
            <w:gridSpan w:val="3"/>
            <w:shd w:val="clear" w:color="auto" w:fill="CCEEFF"/>
            <w:tcMar>
              <w:top w:w="40" w:type="dxa"/>
              <w:left w:w="20" w:type="dxa"/>
              <w:bottom w:w="40" w:type="dxa"/>
              <w:right w:w="20" w:type="dxa"/>
            </w:tcMar>
            <w:vAlign w:val="bottom"/>
          </w:tcPr>
          <w:p w14:paraId="7DCFE79B" w14:textId="77777777" w:rsidR="00C1563E" w:rsidRDefault="000B648B">
            <w:pPr>
              <w:textAlignment w:val="bottom"/>
            </w:pPr>
            <w:r>
              <w:rPr>
                <w:rFonts w:ascii="Times New Roman" w:eastAsia="宋体" w:hAnsi="Times New Roman"/>
                <w:color w:val="000000"/>
                <w:sz w:val="20"/>
                <w:szCs w:val="20"/>
              </w:rPr>
              <w:t>Redeemable shares (Note 17)</w:t>
            </w:r>
          </w:p>
        </w:tc>
        <w:tc>
          <w:tcPr>
            <w:tcW w:w="0" w:type="auto"/>
            <w:gridSpan w:val="2"/>
            <w:shd w:val="clear" w:color="auto" w:fill="CCEEFF"/>
            <w:tcMar>
              <w:top w:w="40" w:type="dxa"/>
              <w:left w:w="20" w:type="dxa"/>
              <w:bottom w:w="40" w:type="dxa"/>
              <w:right w:w="0" w:type="dxa"/>
            </w:tcMar>
            <w:vAlign w:val="bottom"/>
          </w:tcPr>
          <w:p w14:paraId="7DCFE79C" w14:textId="77777777" w:rsidR="00C1563E" w:rsidRDefault="000B648B">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7DCFE79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9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9F" w14:textId="77777777" w:rsidR="00C1563E" w:rsidRDefault="000B648B">
            <w:pPr>
              <w:jc w:val="right"/>
              <w:textAlignment w:val="bottom"/>
            </w:pPr>
            <w:r>
              <w:rPr>
                <w:rFonts w:ascii="Times New Roman" w:eastAsia="宋体" w:hAnsi="Times New Roman"/>
                <w:color w:val="000000"/>
                <w:sz w:val="20"/>
                <w:szCs w:val="20"/>
              </w:rPr>
              <w:t>629 </w:t>
            </w:r>
          </w:p>
        </w:tc>
        <w:tc>
          <w:tcPr>
            <w:tcW w:w="0" w:type="auto"/>
            <w:shd w:val="clear" w:color="auto" w:fill="CCEEFF"/>
            <w:tcMar>
              <w:top w:w="40" w:type="dxa"/>
              <w:left w:w="0" w:type="dxa"/>
              <w:bottom w:w="40" w:type="dxa"/>
              <w:right w:w="20" w:type="dxa"/>
            </w:tcMar>
            <w:vAlign w:val="bottom"/>
          </w:tcPr>
          <w:p w14:paraId="7DCFE7A0" w14:textId="77777777" w:rsidR="00C1563E" w:rsidRDefault="00C1563E">
            <w:pPr>
              <w:jc w:val="right"/>
              <w:rPr>
                <w:rFonts w:ascii="宋体"/>
              </w:rPr>
            </w:pPr>
          </w:p>
        </w:tc>
      </w:tr>
      <w:tr w:rsidR="00C1563E" w14:paraId="7DCFE7A6" w14:textId="77777777">
        <w:trPr>
          <w:jc w:val="center"/>
        </w:trPr>
        <w:tc>
          <w:tcPr>
            <w:tcW w:w="0" w:type="auto"/>
            <w:gridSpan w:val="3"/>
            <w:shd w:val="clear" w:color="auto" w:fill="FFFFFF"/>
            <w:tcMar>
              <w:top w:w="40" w:type="dxa"/>
              <w:left w:w="20" w:type="dxa"/>
              <w:bottom w:w="40" w:type="dxa"/>
              <w:right w:w="20" w:type="dxa"/>
            </w:tcMar>
            <w:vAlign w:val="bottom"/>
          </w:tcPr>
          <w:p w14:paraId="7DCFE7A2" w14:textId="77777777" w:rsidR="00C1563E" w:rsidRDefault="000B648B">
            <w:pPr>
              <w:textAlignment w:val="bottom"/>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tcPr>
          <w:p w14:paraId="7DCFE7A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7A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7A5" w14:textId="77777777" w:rsidR="00C1563E" w:rsidRDefault="00C1563E">
            <w:pPr>
              <w:rPr>
                <w:rFonts w:ascii="宋体"/>
              </w:rPr>
            </w:pPr>
          </w:p>
        </w:tc>
      </w:tr>
      <w:tr w:rsidR="00C1563E" w14:paraId="7DCFE7AD" w14:textId="77777777">
        <w:trPr>
          <w:jc w:val="center"/>
        </w:trPr>
        <w:tc>
          <w:tcPr>
            <w:tcW w:w="0" w:type="auto"/>
            <w:gridSpan w:val="3"/>
            <w:shd w:val="clear" w:color="auto" w:fill="CCEEFF"/>
            <w:tcMar>
              <w:top w:w="40" w:type="dxa"/>
              <w:left w:w="20" w:type="dxa"/>
              <w:bottom w:w="40" w:type="dxa"/>
              <w:right w:w="20" w:type="dxa"/>
            </w:tcMar>
            <w:vAlign w:val="bottom"/>
          </w:tcPr>
          <w:p w14:paraId="7DCFE7A7" w14:textId="77777777" w:rsidR="00C1563E" w:rsidRDefault="000B648B">
            <w:pPr>
              <w:textAlignment w:val="bottom"/>
            </w:pPr>
            <w:r>
              <w:rPr>
                <w:rFonts w:ascii="Times New Roman" w:eastAsia="宋体" w:hAnsi="Times New Roman"/>
                <w:color w:val="000000"/>
                <w:sz w:val="20"/>
                <w:szCs w:val="20"/>
              </w:rPr>
              <w:t>Common stock and capital in excess of $0.01 par value (Note 14)</w:t>
            </w:r>
          </w:p>
        </w:tc>
        <w:tc>
          <w:tcPr>
            <w:tcW w:w="0" w:type="auto"/>
            <w:gridSpan w:val="2"/>
            <w:shd w:val="clear" w:color="auto" w:fill="CCEEFF"/>
            <w:tcMar>
              <w:top w:w="40" w:type="dxa"/>
              <w:left w:w="20" w:type="dxa"/>
              <w:bottom w:w="40" w:type="dxa"/>
              <w:right w:w="0" w:type="dxa"/>
            </w:tcMar>
            <w:vAlign w:val="bottom"/>
          </w:tcPr>
          <w:p w14:paraId="7DCFE7A8" w14:textId="77777777" w:rsidR="00C1563E" w:rsidRDefault="000B648B">
            <w:pPr>
              <w:jc w:val="right"/>
              <w:textAlignment w:val="bottom"/>
            </w:pPr>
            <w:r>
              <w:rPr>
                <w:rFonts w:ascii="Times New Roman" w:eastAsia="宋体" w:hAnsi="Times New Roman"/>
                <w:color w:val="000000"/>
                <w:sz w:val="20"/>
                <w:szCs w:val="20"/>
              </w:rPr>
              <w:t>16,849 </w:t>
            </w:r>
          </w:p>
        </w:tc>
        <w:tc>
          <w:tcPr>
            <w:tcW w:w="0" w:type="auto"/>
            <w:shd w:val="clear" w:color="auto" w:fill="CCEEFF"/>
            <w:tcMar>
              <w:top w:w="40" w:type="dxa"/>
              <w:left w:w="0" w:type="dxa"/>
              <w:bottom w:w="40" w:type="dxa"/>
              <w:right w:w="20" w:type="dxa"/>
            </w:tcMar>
            <w:vAlign w:val="bottom"/>
          </w:tcPr>
          <w:p w14:paraId="7DCFE7A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A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AB" w14:textId="77777777" w:rsidR="00C1563E" w:rsidRDefault="000B648B">
            <w:pPr>
              <w:jc w:val="right"/>
              <w:textAlignment w:val="bottom"/>
            </w:pPr>
            <w:r>
              <w:rPr>
                <w:rFonts w:ascii="Times New Roman" w:eastAsia="宋体" w:hAnsi="Times New Roman"/>
                <w:color w:val="000000"/>
                <w:sz w:val="20"/>
                <w:szCs w:val="20"/>
              </w:rPr>
              <w:t>16,091 </w:t>
            </w:r>
          </w:p>
        </w:tc>
        <w:tc>
          <w:tcPr>
            <w:tcW w:w="0" w:type="auto"/>
            <w:shd w:val="clear" w:color="auto" w:fill="CCEEFF"/>
            <w:tcMar>
              <w:top w:w="40" w:type="dxa"/>
              <w:left w:w="0" w:type="dxa"/>
              <w:bottom w:w="40" w:type="dxa"/>
              <w:right w:w="20" w:type="dxa"/>
            </w:tcMar>
            <w:vAlign w:val="bottom"/>
          </w:tcPr>
          <w:p w14:paraId="7DCFE7AC" w14:textId="77777777" w:rsidR="00C1563E" w:rsidRDefault="00C1563E">
            <w:pPr>
              <w:jc w:val="right"/>
              <w:rPr>
                <w:rFonts w:ascii="宋体"/>
              </w:rPr>
            </w:pPr>
          </w:p>
        </w:tc>
      </w:tr>
      <w:tr w:rsidR="00C1563E" w14:paraId="7DCFE7B4" w14:textId="77777777">
        <w:trPr>
          <w:jc w:val="center"/>
        </w:trPr>
        <w:tc>
          <w:tcPr>
            <w:tcW w:w="0" w:type="auto"/>
            <w:gridSpan w:val="3"/>
            <w:shd w:val="clear" w:color="auto" w:fill="FFFFFF"/>
            <w:tcMar>
              <w:top w:w="40" w:type="dxa"/>
              <w:left w:w="20" w:type="dxa"/>
              <w:bottom w:w="40" w:type="dxa"/>
              <w:right w:w="20" w:type="dxa"/>
            </w:tcMar>
            <w:vAlign w:val="bottom"/>
          </w:tcPr>
          <w:p w14:paraId="7DCFE7AE" w14:textId="77777777" w:rsidR="00C1563E" w:rsidRDefault="000B648B">
            <w:pPr>
              <w:textAlignment w:val="bottom"/>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7DCFE7AF" w14:textId="77777777" w:rsidR="00C1563E" w:rsidRDefault="000B648B">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7DCFE7B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B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B2" w14:textId="77777777" w:rsidR="00C1563E" w:rsidRDefault="000B648B">
            <w:pPr>
              <w:jc w:val="right"/>
              <w:textAlignment w:val="bottom"/>
            </w:pPr>
            <w:r>
              <w:rPr>
                <w:rFonts w:ascii="Times New Roman" w:eastAsia="宋体" w:hAnsi="Times New Roman"/>
                <w:color w:val="000000"/>
                <w:sz w:val="20"/>
                <w:szCs w:val="20"/>
              </w:rPr>
              <w:t>(65)</w:t>
            </w:r>
          </w:p>
        </w:tc>
        <w:tc>
          <w:tcPr>
            <w:tcW w:w="0" w:type="auto"/>
            <w:shd w:val="clear" w:color="auto" w:fill="FFFFFF"/>
            <w:tcMar>
              <w:top w:w="40" w:type="dxa"/>
              <w:left w:w="0" w:type="dxa"/>
              <w:bottom w:w="40" w:type="dxa"/>
              <w:right w:w="20" w:type="dxa"/>
            </w:tcMar>
            <w:vAlign w:val="bottom"/>
          </w:tcPr>
          <w:p w14:paraId="7DCFE7B3" w14:textId="77777777" w:rsidR="00C1563E" w:rsidRDefault="00C1563E">
            <w:pPr>
              <w:jc w:val="right"/>
              <w:rPr>
                <w:rFonts w:ascii="宋体"/>
              </w:rPr>
            </w:pPr>
          </w:p>
        </w:tc>
      </w:tr>
      <w:tr w:rsidR="00C1563E" w14:paraId="7DCFE7BB" w14:textId="77777777">
        <w:trPr>
          <w:jc w:val="center"/>
        </w:trPr>
        <w:tc>
          <w:tcPr>
            <w:tcW w:w="0" w:type="auto"/>
            <w:gridSpan w:val="3"/>
            <w:shd w:val="clear" w:color="auto" w:fill="CCEEFF"/>
            <w:tcMar>
              <w:top w:w="40" w:type="dxa"/>
              <w:left w:w="20" w:type="dxa"/>
              <w:bottom w:w="40" w:type="dxa"/>
              <w:right w:w="20" w:type="dxa"/>
            </w:tcMar>
            <w:vAlign w:val="bottom"/>
          </w:tcPr>
          <w:p w14:paraId="7DCFE7B5" w14:textId="77777777" w:rsidR="00C1563E" w:rsidRDefault="000B648B">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7DCFE7B6" w14:textId="77777777" w:rsidR="00C1563E" w:rsidRDefault="000B648B">
            <w:pPr>
              <w:jc w:val="right"/>
              <w:textAlignment w:val="bottom"/>
            </w:pPr>
            <w:r>
              <w:rPr>
                <w:rFonts w:ascii="Times New Roman" w:eastAsia="宋体" w:hAnsi="Times New Roman"/>
                <w:color w:val="000000"/>
                <w:sz w:val="20"/>
                <w:szCs w:val="20"/>
              </w:rPr>
              <w:t>(13,751)</w:t>
            </w:r>
          </w:p>
        </w:tc>
        <w:tc>
          <w:tcPr>
            <w:tcW w:w="0" w:type="auto"/>
            <w:shd w:val="clear" w:color="auto" w:fill="CCEEFF"/>
            <w:tcMar>
              <w:top w:w="40" w:type="dxa"/>
              <w:left w:w="0" w:type="dxa"/>
              <w:bottom w:w="40" w:type="dxa"/>
              <w:right w:w="20" w:type="dxa"/>
            </w:tcMar>
            <w:vAlign w:val="bottom"/>
          </w:tcPr>
          <w:p w14:paraId="7DCFE7B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B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7B9" w14:textId="77777777" w:rsidR="00C1563E" w:rsidRDefault="000B648B">
            <w:pPr>
              <w:jc w:val="right"/>
              <w:textAlignment w:val="bottom"/>
            </w:pPr>
            <w:r>
              <w:rPr>
                <w:rFonts w:ascii="Times New Roman" w:eastAsia="宋体" w:hAnsi="Times New Roman"/>
                <w:color w:val="000000"/>
                <w:sz w:val="20"/>
                <w:szCs w:val="20"/>
              </w:rPr>
              <w:t>(16,891)</w:t>
            </w:r>
          </w:p>
        </w:tc>
        <w:tc>
          <w:tcPr>
            <w:tcW w:w="0" w:type="auto"/>
            <w:shd w:val="clear" w:color="auto" w:fill="CCEEFF"/>
            <w:tcMar>
              <w:top w:w="40" w:type="dxa"/>
              <w:left w:w="0" w:type="dxa"/>
              <w:bottom w:w="40" w:type="dxa"/>
              <w:right w:w="20" w:type="dxa"/>
            </w:tcMar>
            <w:vAlign w:val="bottom"/>
          </w:tcPr>
          <w:p w14:paraId="7DCFE7BA" w14:textId="77777777" w:rsidR="00C1563E" w:rsidRDefault="00C1563E">
            <w:pPr>
              <w:jc w:val="right"/>
              <w:rPr>
                <w:rFonts w:ascii="宋体"/>
              </w:rPr>
            </w:pPr>
          </w:p>
        </w:tc>
      </w:tr>
      <w:tr w:rsidR="00C1563E" w14:paraId="7DCFE7C2" w14:textId="77777777">
        <w:trPr>
          <w:jc w:val="center"/>
        </w:trPr>
        <w:tc>
          <w:tcPr>
            <w:tcW w:w="0" w:type="auto"/>
            <w:gridSpan w:val="3"/>
            <w:shd w:val="clear" w:color="auto" w:fill="FFFFFF"/>
            <w:tcMar>
              <w:top w:w="40" w:type="dxa"/>
              <w:left w:w="20" w:type="dxa"/>
              <w:bottom w:w="40" w:type="dxa"/>
              <w:right w:w="20" w:type="dxa"/>
            </w:tcMar>
            <w:vAlign w:val="bottom"/>
          </w:tcPr>
          <w:p w14:paraId="7DCFE7BC" w14:textId="77777777" w:rsidR="00C1563E" w:rsidRDefault="000B648B">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7DCFE7BD" w14:textId="77777777" w:rsidR="00C1563E" w:rsidRDefault="000B648B">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7DCFE7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B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C0" w14:textId="77777777" w:rsidR="00C1563E" w:rsidRDefault="000B648B">
            <w:pPr>
              <w:jc w:val="right"/>
              <w:textAlignment w:val="bottom"/>
            </w:pPr>
            <w:r>
              <w:rPr>
                <w:rFonts w:ascii="Times New Roman" w:eastAsia="宋体" w:hAnsi="Times New Roman"/>
                <w:color w:val="000000"/>
                <w:sz w:val="20"/>
                <w:szCs w:val="20"/>
              </w:rPr>
              <w:t>(709)</w:t>
            </w:r>
          </w:p>
        </w:tc>
        <w:tc>
          <w:tcPr>
            <w:tcW w:w="0" w:type="auto"/>
            <w:shd w:val="clear" w:color="auto" w:fill="FFFFFF"/>
            <w:tcMar>
              <w:top w:w="40" w:type="dxa"/>
              <w:left w:w="0" w:type="dxa"/>
              <w:bottom w:w="40" w:type="dxa"/>
              <w:right w:w="20" w:type="dxa"/>
            </w:tcMar>
            <w:vAlign w:val="bottom"/>
          </w:tcPr>
          <w:p w14:paraId="7DCFE7C1" w14:textId="77777777" w:rsidR="00C1563E" w:rsidRDefault="00C1563E">
            <w:pPr>
              <w:jc w:val="right"/>
              <w:rPr>
                <w:rFonts w:ascii="宋体"/>
              </w:rPr>
            </w:pPr>
          </w:p>
        </w:tc>
      </w:tr>
      <w:tr w:rsidR="00C1563E" w14:paraId="7DCFE7C9" w14:textId="77777777">
        <w:trPr>
          <w:jc w:val="center"/>
        </w:trPr>
        <w:tc>
          <w:tcPr>
            <w:tcW w:w="0" w:type="auto"/>
            <w:gridSpan w:val="3"/>
            <w:shd w:val="clear" w:color="auto" w:fill="CCEEFF"/>
            <w:tcMar>
              <w:top w:w="40" w:type="dxa"/>
              <w:left w:w="380" w:type="dxa"/>
              <w:bottom w:w="40" w:type="dxa"/>
              <w:right w:w="20" w:type="dxa"/>
            </w:tcMar>
            <w:vAlign w:val="bottom"/>
          </w:tcPr>
          <w:p w14:paraId="7DCFE7C3" w14:textId="77777777" w:rsidR="00C1563E" w:rsidRDefault="000B648B">
            <w:pPr>
              <w:textAlignment w:val="bottom"/>
            </w:pPr>
            <w:r>
              <w:rPr>
                <w:rFonts w:ascii="Times New Roman" w:eastAsia="宋体" w:hAnsi="Times New Roman"/>
                <w:color w:val="000000"/>
                <w:sz w:val="20"/>
                <w:szCs w:val="20"/>
              </w:rPr>
              <w:t>Total Dell Technologies Inc.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C4" w14:textId="77777777" w:rsidR="00C1563E" w:rsidRDefault="000B648B">
            <w:pPr>
              <w:jc w:val="right"/>
              <w:textAlignment w:val="bottom"/>
            </w:pPr>
            <w:r>
              <w:rPr>
                <w:rFonts w:ascii="Times New Roman" w:eastAsia="宋体" w:hAnsi="Times New Roman"/>
                <w:color w:val="000000"/>
                <w:sz w:val="20"/>
                <w:szCs w:val="20"/>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C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C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C7" w14:textId="77777777" w:rsidR="00C1563E" w:rsidRDefault="000B648B">
            <w:pPr>
              <w:jc w:val="right"/>
              <w:textAlignment w:val="bottom"/>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C8" w14:textId="77777777" w:rsidR="00C1563E" w:rsidRDefault="00C1563E">
            <w:pPr>
              <w:jc w:val="right"/>
              <w:rPr>
                <w:rFonts w:ascii="宋体"/>
              </w:rPr>
            </w:pPr>
          </w:p>
        </w:tc>
      </w:tr>
      <w:tr w:rsidR="00C1563E" w14:paraId="7DCFE7D0" w14:textId="77777777">
        <w:trPr>
          <w:jc w:val="center"/>
        </w:trPr>
        <w:tc>
          <w:tcPr>
            <w:tcW w:w="0" w:type="auto"/>
            <w:gridSpan w:val="3"/>
            <w:shd w:val="clear" w:color="auto" w:fill="FFFFFF"/>
            <w:tcMar>
              <w:top w:w="40" w:type="dxa"/>
              <w:left w:w="380" w:type="dxa"/>
              <w:bottom w:w="40" w:type="dxa"/>
              <w:right w:w="20" w:type="dxa"/>
            </w:tcMar>
            <w:vAlign w:val="bottom"/>
          </w:tcPr>
          <w:p w14:paraId="7DCFE7CA" w14:textId="77777777" w:rsidR="00C1563E" w:rsidRDefault="000B648B">
            <w:pPr>
              <w:textAlignment w:val="bottom"/>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7DCFE7CB" w14:textId="77777777" w:rsidR="00C1563E" w:rsidRDefault="000B648B">
            <w:pPr>
              <w:jc w:val="right"/>
              <w:textAlignment w:val="bottom"/>
            </w:pPr>
            <w:r>
              <w:rPr>
                <w:rFonts w:ascii="Times New Roman" w:eastAsia="宋体" w:hAnsi="Times New Roman"/>
                <w:color w:val="000000"/>
                <w:sz w:val="20"/>
                <w:szCs w:val="20"/>
              </w:rPr>
              <w:t>5,074 </w:t>
            </w:r>
          </w:p>
        </w:tc>
        <w:tc>
          <w:tcPr>
            <w:tcW w:w="0" w:type="auto"/>
            <w:shd w:val="clear" w:color="auto" w:fill="FFFFFF"/>
            <w:tcMar>
              <w:top w:w="40" w:type="dxa"/>
              <w:left w:w="0" w:type="dxa"/>
              <w:bottom w:w="40" w:type="dxa"/>
              <w:right w:w="20" w:type="dxa"/>
            </w:tcMar>
            <w:vAlign w:val="bottom"/>
          </w:tcPr>
          <w:p w14:paraId="7DCFE7C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C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7CE" w14:textId="77777777" w:rsidR="00C1563E" w:rsidRDefault="000B648B">
            <w:pPr>
              <w:jc w:val="right"/>
              <w:textAlignment w:val="bottom"/>
            </w:pPr>
            <w:r>
              <w:rPr>
                <w:rFonts w:ascii="Times New Roman" w:eastAsia="宋体" w:hAnsi="Times New Roman"/>
                <w:color w:val="000000"/>
                <w:sz w:val="20"/>
                <w:szCs w:val="20"/>
              </w:rPr>
              <w:t>4,729 </w:t>
            </w:r>
          </w:p>
        </w:tc>
        <w:tc>
          <w:tcPr>
            <w:tcW w:w="0" w:type="auto"/>
            <w:shd w:val="clear" w:color="auto" w:fill="FFFFFF"/>
            <w:tcMar>
              <w:top w:w="40" w:type="dxa"/>
              <w:left w:w="0" w:type="dxa"/>
              <w:bottom w:w="40" w:type="dxa"/>
              <w:right w:w="20" w:type="dxa"/>
            </w:tcMar>
            <w:vAlign w:val="bottom"/>
          </w:tcPr>
          <w:p w14:paraId="7DCFE7CF" w14:textId="77777777" w:rsidR="00C1563E" w:rsidRDefault="00C1563E">
            <w:pPr>
              <w:jc w:val="right"/>
              <w:rPr>
                <w:rFonts w:ascii="宋体"/>
              </w:rPr>
            </w:pPr>
          </w:p>
        </w:tc>
      </w:tr>
      <w:tr w:rsidR="00C1563E" w14:paraId="7DCFE7D7" w14:textId="77777777">
        <w:trPr>
          <w:jc w:val="center"/>
        </w:trPr>
        <w:tc>
          <w:tcPr>
            <w:tcW w:w="0" w:type="auto"/>
            <w:gridSpan w:val="3"/>
            <w:shd w:val="clear" w:color="auto" w:fill="CCEEFF"/>
            <w:tcMar>
              <w:top w:w="40" w:type="dxa"/>
              <w:left w:w="605" w:type="dxa"/>
              <w:bottom w:w="40" w:type="dxa"/>
              <w:right w:w="20" w:type="dxa"/>
            </w:tcMar>
            <w:vAlign w:val="bottom"/>
          </w:tcPr>
          <w:p w14:paraId="7DCFE7D1" w14:textId="77777777" w:rsidR="00C1563E" w:rsidRDefault="000B648B">
            <w:pPr>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D2" w14:textId="77777777" w:rsidR="00C1563E" w:rsidRDefault="000B648B">
            <w:pPr>
              <w:jc w:val="right"/>
              <w:textAlignment w:val="bottom"/>
            </w:pPr>
            <w:r>
              <w:rPr>
                <w:rFonts w:ascii="Times New Roman" w:eastAsia="宋体" w:hAnsi="Times New Roman"/>
                <w:color w:val="000000"/>
                <w:sz w:val="20"/>
                <w:szCs w:val="20"/>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7D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7D5" w14:textId="77777777" w:rsidR="00C1563E" w:rsidRDefault="000B648B">
            <w:pPr>
              <w:jc w:val="right"/>
              <w:textAlignment w:val="bottom"/>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7D6" w14:textId="77777777" w:rsidR="00C1563E" w:rsidRDefault="00C1563E">
            <w:pPr>
              <w:jc w:val="right"/>
              <w:rPr>
                <w:rFonts w:ascii="宋体"/>
              </w:rPr>
            </w:pPr>
          </w:p>
        </w:tc>
      </w:tr>
      <w:tr w:rsidR="00C1563E" w14:paraId="7DCFE7E0" w14:textId="77777777">
        <w:trPr>
          <w:jc w:val="center"/>
        </w:trPr>
        <w:tc>
          <w:tcPr>
            <w:tcW w:w="0" w:type="auto"/>
            <w:gridSpan w:val="3"/>
            <w:shd w:val="clear" w:color="auto" w:fill="FFFFFF"/>
            <w:tcMar>
              <w:top w:w="40" w:type="dxa"/>
              <w:left w:w="605" w:type="dxa"/>
              <w:bottom w:w="40" w:type="dxa"/>
              <w:right w:w="20" w:type="dxa"/>
            </w:tcMar>
            <w:vAlign w:val="bottom"/>
          </w:tcPr>
          <w:p w14:paraId="7DCFE7D8" w14:textId="77777777" w:rsidR="00C1563E" w:rsidRDefault="000B648B">
            <w:pPr>
              <w:textAlignment w:val="bottom"/>
            </w:pPr>
            <w:r>
              <w:rPr>
                <w:rFonts w:ascii="Times New Roman" w:eastAsia="宋体" w:hAnsi="Times New Roman"/>
                <w:color w:val="000000"/>
                <w:sz w:val="20"/>
                <w:szCs w:val="20"/>
              </w:rPr>
              <w:t>Total liabilities, redeemable shares,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7D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7DA" w14:textId="77777777" w:rsidR="00C1563E" w:rsidRDefault="000B648B">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7D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7D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7D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7DE" w14:textId="77777777" w:rsidR="00C1563E" w:rsidRDefault="000B648B">
            <w:pPr>
              <w:jc w:val="right"/>
              <w:textAlignment w:val="bottom"/>
            </w:pPr>
            <w:r>
              <w:rPr>
                <w:rFonts w:ascii="Times New Roman" w:eastAsia="宋体" w:hAnsi="Times New Roman"/>
                <w:color w:val="000000"/>
                <w:sz w:val="20"/>
                <w:szCs w:val="20"/>
              </w:rPr>
              <w:t>118,861 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7DF" w14:textId="77777777" w:rsidR="00C1563E" w:rsidRDefault="00C1563E">
            <w:pPr>
              <w:jc w:val="right"/>
              <w:rPr>
                <w:rFonts w:ascii="宋体"/>
              </w:rPr>
            </w:pPr>
          </w:p>
        </w:tc>
      </w:tr>
    </w:tbl>
    <w:p w14:paraId="7DCFE7E1" w14:textId="77777777" w:rsidR="00C1563E" w:rsidRDefault="00C1563E">
      <w:pPr>
        <w:jc w:val="center"/>
      </w:pPr>
    </w:p>
    <w:p w14:paraId="7DCFE7E2" w14:textId="77777777" w:rsidR="00C1563E" w:rsidRDefault="00C1563E">
      <w:pPr>
        <w:jc w:val="center"/>
      </w:pPr>
    </w:p>
    <w:p w14:paraId="7DCFE7E3" w14:textId="77777777" w:rsidR="00C1563E" w:rsidRDefault="000B648B">
      <w:pPr>
        <w:jc w:val="center"/>
      </w:pPr>
      <w:r>
        <w:rPr>
          <w:rFonts w:ascii="Times New Roman" w:eastAsia="宋体" w:hAnsi="Times New Roman"/>
          <w:color w:val="000000"/>
          <w:sz w:val="20"/>
          <w:szCs w:val="20"/>
          <w:shd w:val="clear" w:color="auto" w:fill="FFFFFF"/>
        </w:rPr>
        <w:t xml:space="preserve">The accompanying notes are an integral part of these </w:t>
      </w:r>
      <w:r>
        <w:rPr>
          <w:rFonts w:ascii="Times New Roman" w:eastAsia="宋体" w:hAnsi="Times New Roman"/>
          <w:color w:val="000000"/>
          <w:sz w:val="20"/>
          <w:szCs w:val="20"/>
        </w:rPr>
        <w:t>Consolidated Financial Statements.</w:t>
      </w:r>
    </w:p>
    <w:p w14:paraId="7DCFE7E4" w14:textId="77777777" w:rsidR="00C1563E" w:rsidRDefault="00C1563E">
      <w:pPr>
        <w:jc w:val="center"/>
      </w:pPr>
    </w:p>
    <w:p w14:paraId="7DCFE7E5" w14:textId="77777777" w:rsidR="00C1563E" w:rsidRDefault="000B648B">
      <w:pPr>
        <w:jc w:val="center"/>
      </w:pPr>
      <w:r>
        <w:rPr>
          <w:rFonts w:ascii="Times New Roman" w:eastAsia="宋体" w:hAnsi="Times New Roman"/>
          <w:color w:val="000000"/>
          <w:sz w:val="20"/>
          <w:szCs w:val="20"/>
        </w:rPr>
        <w:t>74</w:t>
      </w:r>
    </w:p>
    <w:p w14:paraId="7DCFE7E6" w14:textId="77777777" w:rsidR="00C1563E" w:rsidRDefault="00C1563E">
      <w:pPr>
        <w:jc w:val="center"/>
      </w:pPr>
    </w:p>
    <w:p w14:paraId="7DCFE7E7" w14:textId="77777777" w:rsidR="00C1563E" w:rsidRDefault="000B648B">
      <w:r>
        <w:pict w14:anchorId="7DD025B4">
          <v:rect id="_x0000_i1098" style="width:415.3pt;height:1.5pt" o:hralign="center" o:hrstd="t" o:hr="t" fillcolor="#a0a0a0" stroked="f"/>
        </w:pict>
      </w:r>
    </w:p>
    <w:p w14:paraId="7DCFE7E8" w14:textId="77777777" w:rsidR="00C1563E" w:rsidRDefault="000B648B">
      <w:hyperlink r:id="rId234" w:anchor="i418e32e4a35149ffbf7d3a25d66881b8_10" w:history="1">
        <w:r>
          <w:rPr>
            <w:rStyle w:val="a5"/>
            <w:rFonts w:ascii="Times New Roman" w:eastAsia="宋体" w:hAnsi="Times New Roman"/>
            <w:sz w:val="20"/>
            <w:szCs w:val="20"/>
          </w:rPr>
          <w:t>Table of Contents</w:t>
        </w:r>
      </w:hyperlink>
    </w:p>
    <w:p w14:paraId="7DCFE7E9"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7EA" w14:textId="77777777" w:rsidR="00C1563E" w:rsidRDefault="000B648B">
      <w:pPr>
        <w:spacing w:after="60"/>
        <w:jc w:val="center"/>
      </w:pPr>
      <w:r>
        <w:rPr>
          <w:rFonts w:ascii="Times New Roman" w:eastAsia="宋体" w:hAnsi="Times New Roman"/>
          <w:b/>
          <w:bCs/>
          <w:color w:val="000000"/>
          <w:sz w:val="20"/>
          <w:szCs w:val="20"/>
        </w:rPr>
        <w:t>CONSOLIDATED STATEMENTS OF INCOME (LOSS)</w:t>
      </w:r>
    </w:p>
    <w:p w14:paraId="7DCFE7EB" w14:textId="77777777" w:rsidR="00C1563E" w:rsidRDefault="000B648B">
      <w:pPr>
        <w:jc w:val="center"/>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millions, except per share amounts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70"/>
        <w:gridCol w:w="38"/>
        <w:gridCol w:w="120"/>
        <w:gridCol w:w="1167"/>
        <w:gridCol w:w="36"/>
        <w:gridCol w:w="36"/>
        <w:gridCol w:w="36"/>
        <w:gridCol w:w="36"/>
        <w:gridCol w:w="120"/>
        <w:gridCol w:w="1168"/>
        <w:gridCol w:w="36"/>
        <w:gridCol w:w="36"/>
        <w:gridCol w:w="36"/>
        <w:gridCol w:w="36"/>
        <w:gridCol w:w="121"/>
        <w:gridCol w:w="1168"/>
        <w:gridCol w:w="36"/>
      </w:tblGrid>
      <w:tr w:rsidR="00C1563E" w14:paraId="7DCFE7FE" w14:textId="77777777">
        <w:trPr>
          <w:jc w:val="center"/>
        </w:trPr>
        <w:tc>
          <w:tcPr>
            <w:tcW w:w="50" w:type="pct"/>
            <w:shd w:val="clear" w:color="auto" w:fill="auto"/>
          </w:tcPr>
          <w:p w14:paraId="7DCFE7EC" w14:textId="77777777" w:rsidR="00C1563E" w:rsidRDefault="00C1563E">
            <w:pPr>
              <w:rPr>
                <w:rFonts w:ascii="宋体"/>
              </w:rPr>
            </w:pPr>
          </w:p>
        </w:tc>
        <w:tc>
          <w:tcPr>
            <w:tcW w:w="2496" w:type="pct"/>
            <w:shd w:val="clear" w:color="auto" w:fill="auto"/>
          </w:tcPr>
          <w:p w14:paraId="7DCFE7ED" w14:textId="77777777" w:rsidR="00C1563E" w:rsidRDefault="00C1563E">
            <w:pPr>
              <w:rPr>
                <w:rFonts w:ascii="宋体"/>
              </w:rPr>
            </w:pPr>
          </w:p>
        </w:tc>
        <w:tc>
          <w:tcPr>
            <w:tcW w:w="5" w:type="pct"/>
            <w:shd w:val="clear" w:color="auto" w:fill="auto"/>
          </w:tcPr>
          <w:p w14:paraId="7DCFE7EE" w14:textId="77777777" w:rsidR="00C1563E" w:rsidRDefault="00C1563E">
            <w:pPr>
              <w:rPr>
                <w:rFonts w:ascii="宋体"/>
              </w:rPr>
            </w:pPr>
          </w:p>
        </w:tc>
        <w:tc>
          <w:tcPr>
            <w:tcW w:w="50" w:type="pct"/>
            <w:shd w:val="clear" w:color="auto" w:fill="auto"/>
          </w:tcPr>
          <w:p w14:paraId="7DCFE7EF" w14:textId="77777777" w:rsidR="00C1563E" w:rsidRDefault="00C1563E">
            <w:pPr>
              <w:rPr>
                <w:rFonts w:ascii="宋体"/>
              </w:rPr>
            </w:pPr>
          </w:p>
        </w:tc>
        <w:tc>
          <w:tcPr>
            <w:tcW w:w="741" w:type="pct"/>
            <w:shd w:val="clear" w:color="auto" w:fill="auto"/>
          </w:tcPr>
          <w:p w14:paraId="7DCFE7F0" w14:textId="77777777" w:rsidR="00C1563E" w:rsidRDefault="00C1563E">
            <w:pPr>
              <w:rPr>
                <w:rFonts w:ascii="宋体"/>
              </w:rPr>
            </w:pPr>
          </w:p>
        </w:tc>
        <w:tc>
          <w:tcPr>
            <w:tcW w:w="5" w:type="pct"/>
            <w:shd w:val="clear" w:color="auto" w:fill="auto"/>
          </w:tcPr>
          <w:p w14:paraId="7DCFE7F1" w14:textId="77777777" w:rsidR="00C1563E" w:rsidRDefault="00C1563E">
            <w:pPr>
              <w:rPr>
                <w:rFonts w:ascii="宋体"/>
              </w:rPr>
            </w:pPr>
          </w:p>
        </w:tc>
        <w:tc>
          <w:tcPr>
            <w:tcW w:w="5" w:type="pct"/>
            <w:shd w:val="clear" w:color="auto" w:fill="auto"/>
          </w:tcPr>
          <w:p w14:paraId="7DCFE7F2" w14:textId="77777777" w:rsidR="00C1563E" w:rsidRDefault="00C1563E">
            <w:pPr>
              <w:rPr>
                <w:rFonts w:ascii="宋体"/>
              </w:rPr>
            </w:pPr>
          </w:p>
        </w:tc>
        <w:tc>
          <w:tcPr>
            <w:tcW w:w="19" w:type="pct"/>
            <w:shd w:val="clear" w:color="auto" w:fill="auto"/>
          </w:tcPr>
          <w:p w14:paraId="7DCFE7F3" w14:textId="77777777" w:rsidR="00C1563E" w:rsidRDefault="00C1563E">
            <w:pPr>
              <w:rPr>
                <w:rFonts w:ascii="宋体"/>
              </w:rPr>
            </w:pPr>
          </w:p>
        </w:tc>
        <w:tc>
          <w:tcPr>
            <w:tcW w:w="5" w:type="pct"/>
            <w:shd w:val="clear" w:color="auto" w:fill="auto"/>
          </w:tcPr>
          <w:p w14:paraId="7DCFE7F4" w14:textId="77777777" w:rsidR="00C1563E" w:rsidRDefault="00C1563E">
            <w:pPr>
              <w:rPr>
                <w:rFonts w:ascii="宋体"/>
              </w:rPr>
            </w:pPr>
          </w:p>
        </w:tc>
        <w:tc>
          <w:tcPr>
            <w:tcW w:w="50" w:type="pct"/>
            <w:shd w:val="clear" w:color="auto" w:fill="auto"/>
          </w:tcPr>
          <w:p w14:paraId="7DCFE7F5" w14:textId="77777777" w:rsidR="00C1563E" w:rsidRDefault="00C1563E">
            <w:pPr>
              <w:rPr>
                <w:rFonts w:ascii="宋体"/>
              </w:rPr>
            </w:pPr>
          </w:p>
        </w:tc>
        <w:tc>
          <w:tcPr>
            <w:tcW w:w="741" w:type="pct"/>
            <w:shd w:val="clear" w:color="auto" w:fill="auto"/>
          </w:tcPr>
          <w:p w14:paraId="7DCFE7F6" w14:textId="77777777" w:rsidR="00C1563E" w:rsidRDefault="00C1563E">
            <w:pPr>
              <w:rPr>
                <w:rFonts w:ascii="宋体"/>
              </w:rPr>
            </w:pPr>
          </w:p>
        </w:tc>
        <w:tc>
          <w:tcPr>
            <w:tcW w:w="5" w:type="pct"/>
            <w:shd w:val="clear" w:color="auto" w:fill="auto"/>
          </w:tcPr>
          <w:p w14:paraId="7DCFE7F7" w14:textId="77777777" w:rsidR="00C1563E" w:rsidRDefault="00C1563E">
            <w:pPr>
              <w:rPr>
                <w:rFonts w:ascii="宋体"/>
              </w:rPr>
            </w:pPr>
          </w:p>
        </w:tc>
        <w:tc>
          <w:tcPr>
            <w:tcW w:w="5" w:type="pct"/>
            <w:shd w:val="clear" w:color="auto" w:fill="auto"/>
          </w:tcPr>
          <w:p w14:paraId="7DCFE7F8" w14:textId="77777777" w:rsidR="00C1563E" w:rsidRDefault="00C1563E">
            <w:pPr>
              <w:rPr>
                <w:rFonts w:ascii="宋体"/>
              </w:rPr>
            </w:pPr>
          </w:p>
        </w:tc>
        <w:tc>
          <w:tcPr>
            <w:tcW w:w="19" w:type="pct"/>
            <w:shd w:val="clear" w:color="auto" w:fill="auto"/>
          </w:tcPr>
          <w:p w14:paraId="7DCFE7F9" w14:textId="77777777" w:rsidR="00C1563E" w:rsidRDefault="00C1563E">
            <w:pPr>
              <w:rPr>
                <w:rFonts w:ascii="宋体"/>
              </w:rPr>
            </w:pPr>
          </w:p>
        </w:tc>
        <w:tc>
          <w:tcPr>
            <w:tcW w:w="5" w:type="pct"/>
            <w:shd w:val="clear" w:color="auto" w:fill="auto"/>
          </w:tcPr>
          <w:p w14:paraId="7DCFE7FA" w14:textId="77777777" w:rsidR="00C1563E" w:rsidRDefault="00C1563E">
            <w:pPr>
              <w:rPr>
                <w:rFonts w:ascii="宋体"/>
              </w:rPr>
            </w:pPr>
          </w:p>
        </w:tc>
        <w:tc>
          <w:tcPr>
            <w:tcW w:w="50" w:type="pct"/>
            <w:shd w:val="clear" w:color="auto" w:fill="auto"/>
          </w:tcPr>
          <w:p w14:paraId="7DCFE7FB" w14:textId="77777777" w:rsidR="00C1563E" w:rsidRDefault="00C1563E">
            <w:pPr>
              <w:rPr>
                <w:rFonts w:ascii="宋体"/>
              </w:rPr>
            </w:pPr>
          </w:p>
        </w:tc>
        <w:tc>
          <w:tcPr>
            <w:tcW w:w="741" w:type="pct"/>
            <w:shd w:val="clear" w:color="auto" w:fill="auto"/>
          </w:tcPr>
          <w:p w14:paraId="7DCFE7FC" w14:textId="77777777" w:rsidR="00C1563E" w:rsidRDefault="00C1563E">
            <w:pPr>
              <w:rPr>
                <w:rFonts w:ascii="宋体"/>
              </w:rPr>
            </w:pPr>
          </w:p>
        </w:tc>
        <w:tc>
          <w:tcPr>
            <w:tcW w:w="5" w:type="pct"/>
            <w:shd w:val="clear" w:color="auto" w:fill="auto"/>
          </w:tcPr>
          <w:p w14:paraId="7DCFE7FD" w14:textId="77777777" w:rsidR="00C1563E" w:rsidRDefault="00C1563E">
            <w:pPr>
              <w:rPr>
                <w:rFonts w:ascii="宋体"/>
              </w:rPr>
            </w:pPr>
          </w:p>
        </w:tc>
      </w:tr>
      <w:tr w:rsidR="00C1563E" w14:paraId="7DCFE801" w14:textId="77777777">
        <w:trPr>
          <w:jc w:val="center"/>
        </w:trPr>
        <w:tc>
          <w:tcPr>
            <w:tcW w:w="0" w:type="auto"/>
            <w:gridSpan w:val="3"/>
            <w:shd w:val="clear" w:color="auto" w:fill="auto"/>
            <w:tcMar>
              <w:top w:w="0" w:type="dxa"/>
              <w:left w:w="20" w:type="dxa"/>
              <w:bottom w:w="0" w:type="dxa"/>
              <w:right w:w="20" w:type="dxa"/>
            </w:tcMar>
          </w:tcPr>
          <w:p w14:paraId="7DCFE7FF"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CFE800"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E808" w14:textId="77777777">
        <w:trPr>
          <w:jc w:val="center"/>
        </w:trPr>
        <w:tc>
          <w:tcPr>
            <w:tcW w:w="0" w:type="auto"/>
            <w:gridSpan w:val="3"/>
            <w:shd w:val="clear" w:color="auto" w:fill="auto"/>
            <w:tcMar>
              <w:top w:w="40" w:type="dxa"/>
              <w:left w:w="20" w:type="dxa"/>
              <w:bottom w:w="40" w:type="dxa"/>
              <w:right w:w="20" w:type="dxa"/>
            </w:tcMar>
            <w:vAlign w:val="bottom"/>
          </w:tcPr>
          <w:p w14:paraId="7DCFE802"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803"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80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805"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806"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807"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80F" w14:textId="77777777">
        <w:trPr>
          <w:jc w:val="center"/>
        </w:trPr>
        <w:tc>
          <w:tcPr>
            <w:tcW w:w="0" w:type="auto"/>
            <w:gridSpan w:val="3"/>
            <w:shd w:val="clear" w:color="auto" w:fill="CCEEFF"/>
            <w:tcMar>
              <w:top w:w="40" w:type="dxa"/>
              <w:left w:w="20" w:type="dxa"/>
              <w:bottom w:w="40" w:type="dxa"/>
              <w:right w:w="20" w:type="dxa"/>
            </w:tcMar>
            <w:vAlign w:val="bottom"/>
          </w:tcPr>
          <w:p w14:paraId="7DCFE809" w14:textId="77777777" w:rsidR="00C1563E" w:rsidRDefault="000B648B">
            <w:pPr>
              <w:textAlignment w:val="bottom"/>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E80A"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E80B"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80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0D"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80E" w14:textId="77777777" w:rsidR="00C1563E" w:rsidRDefault="00C1563E">
            <w:pPr>
              <w:rPr>
                <w:rFonts w:ascii="宋体"/>
              </w:rPr>
            </w:pPr>
          </w:p>
        </w:tc>
      </w:tr>
      <w:tr w:rsidR="00C1563E" w14:paraId="7DCFE81C" w14:textId="77777777">
        <w:trPr>
          <w:jc w:val="center"/>
        </w:trPr>
        <w:tc>
          <w:tcPr>
            <w:tcW w:w="0" w:type="auto"/>
            <w:gridSpan w:val="3"/>
            <w:shd w:val="clear" w:color="auto" w:fill="FFFFFF"/>
            <w:tcMar>
              <w:top w:w="40" w:type="dxa"/>
              <w:left w:w="245" w:type="dxa"/>
              <w:bottom w:w="40" w:type="dxa"/>
              <w:right w:w="20" w:type="dxa"/>
            </w:tcMar>
            <w:vAlign w:val="bottom"/>
          </w:tcPr>
          <w:p w14:paraId="7DCFE810" w14:textId="77777777" w:rsidR="00C1563E" w:rsidRDefault="000B648B">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7DCFE81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812" w14:textId="77777777" w:rsidR="00C1563E" w:rsidRDefault="000B648B">
            <w:pPr>
              <w:jc w:val="right"/>
              <w:textAlignment w:val="bottom"/>
            </w:pPr>
            <w:r>
              <w:rPr>
                <w:rFonts w:ascii="Times New Roman" w:eastAsia="宋体" w:hAnsi="Times New Roman"/>
                <w:color w:val="000000"/>
                <w:sz w:val="20"/>
                <w:szCs w:val="20"/>
              </w:rPr>
              <w:t>69,911 </w:t>
            </w:r>
          </w:p>
        </w:tc>
        <w:tc>
          <w:tcPr>
            <w:tcW w:w="0" w:type="auto"/>
            <w:shd w:val="clear" w:color="auto" w:fill="FFFFFF"/>
            <w:tcMar>
              <w:top w:w="40" w:type="dxa"/>
              <w:left w:w="0" w:type="dxa"/>
              <w:bottom w:w="40" w:type="dxa"/>
              <w:right w:w="20" w:type="dxa"/>
            </w:tcMar>
            <w:vAlign w:val="bottom"/>
          </w:tcPr>
          <w:p w14:paraId="7DCFE81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1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81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816" w14:textId="77777777" w:rsidR="00C1563E" w:rsidRDefault="000B648B">
            <w:pPr>
              <w:jc w:val="right"/>
              <w:textAlignment w:val="bottom"/>
            </w:pPr>
            <w:r>
              <w:rPr>
                <w:rFonts w:ascii="Times New Roman" w:eastAsia="宋体" w:hAnsi="Times New Roman"/>
                <w:color w:val="000000"/>
                <w:sz w:val="20"/>
                <w:szCs w:val="20"/>
              </w:rPr>
              <w:t>69,918 </w:t>
            </w:r>
          </w:p>
        </w:tc>
        <w:tc>
          <w:tcPr>
            <w:tcW w:w="0" w:type="auto"/>
            <w:shd w:val="clear" w:color="auto" w:fill="FFFFFF"/>
            <w:tcMar>
              <w:top w:w="40" w:type="dxa"/>
              <w:left w:w="0" w:type="dxa"/>
              <w:bottom w:w="40" w:type="dxa"/>
              <w:right w:w="20" w:type="dxa"/>
            </w:tcMar>
            <w:vAlign w:val="bottom"/>
          </w:tcPr>
          <w:p w14:paraId="7DCFE81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1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81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81A" w14:textId="77777777" w:rsidR="00C1563E" w:rsidRDefault="000B648B">
            <w:pPr>
              <w:jc w:val="right"/>
              <w:textAlignment w:val="bottom"/>
            </w:pPr>
            <w:r>
              <w:rPr>
                <w:rFonts w:ascii="Times New Roman" w:eastAsia="宋体" w:hAnsi="Times New Roman"/>
                <w:color w:val="000000"/>
                <w:sz w:val="20"/>
                <w:szCs w:val="20"/>
              </w:rPr>
              <w:t>70,707 </w:t>
            </w:r>
          </w:p>
        </w:tc>
        <w:tc>
          <w:tcPr>
            <w:tcW w:w="0" w:type="auto"/>
            <w:shd w:val="clear" w:color="auto" w:fill="FFFFFF"/>
            <w:tcMar>
              <w:top w:w="40" w:type="dxa"/>
              <w:left w:w="0" w:type="dxa"/>
              <w:bottom w:w="40" w:type="dxa"/>
              <w:right w:w="20" w:type="dxa"/>
            </w:tcMar>
            <w:vAlign w:val="bottom"/>
          </w:tcPr>
          <w:p w14:paraId="7DCFE81B" w14:textId="77777777" w:rsidR="00C1563E" w:rsidRDefault="00C1563E">
            <w:pPr>
              <w:jc w:val="right"/>
              <w:rPr>
                <w:rFonts w:ascii="宋体"/>
              </w:rPr>
            </w:pPr>
          </w:p>
        </w:tc>
      </w:tr>
      <w:tr w:rsidR="00C1563E" w14:paraId="7DCFE826" w14:textId="77777777">
        <w:trPr>
          <w:jc w:val="center"/>
        </w:trPr>
        <w:tc>
          <w:tcPr>
            <w:tcW w:w="0" w:type="auto"/>
            <w:gridSpan w:val="3"/>
            <w:shd w:val="clear" w:color="auto" w:fill="CCEEFF"/>
            <w:tcMar>
              <w:top w:w="40" w:type="dxa"/>
              <w:left w:w="245" w:type="dxa"/>
              <w:bottom w:w="40" w:type="dxa"/>
              <w:right w:w="20" w:type="dxa"/>
            </w:tcMar>
            <w:vAlign w:val="bottom"/>
          </w:tcPr>
          <w:p w14:paraId="7DCFE81D" w14:textId="77777777" w:rsidR="00C1563E" w:rsidRDefault="000B648B">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DCFE81E" w14:textId="77777777" w:rsidR="00C1563E" w:rsidRDefault="000B648B">
            <w:pPr>
              <w:jc w:val="right"/>
              <w:textAlignment w:val="bottom"/>
            </w:pPr>
            <w:r>
              <w:rPr>
                <w:rFonts w:ascii="Times New Roman" w:eastAsia="宋体" w:hAnsi="Times New Roman"/>
                <w:color w:val="000000"/>
                <w:sz w:val="20"/>
                <w:szCs w:val="20"/>
              </w:rPr>
              <w:t>24,313 </w:t>
            </w:r>
          </w:p>
        </w:tc>
        <w:tc>
          <w:tcPr>
            <w:tcW w:w="0" w:type="auto"/>
            <w:shd w:val="clear" w:color="auto" w:fill="CCEEFF"/>
            <w:tcMar>
              <w:top w:w="40" w:type="dxa"/>
              <w:left w:w="0" w:type="dxa"/>
              <w:bottom w:w="40" w:type="dxa"/>
              <w:right w:w="20" w:type="dxa"/>
            </w:tcMar>
            <w:vAlign w:val="bottom"/>
          </w:tcPr>
          <w:p w14:paraId="7DCFE81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2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21" w14:textId="77777777" w:rsidR="00C1563E" w:rsidRDefault="000B648B">
            <w:pPr>
              <w:jc w:val="right"/>
              <w:textAlignment w:val="bottom"/>
            </w:pPr>
            <w:r>
              <w:rPr>
                <w:rFonts w:ascii="Times New Roman" w:eastAsia="宋体" w:hAnsi="Times New Roman"/>
                <w:color w:val="000000"/>
                <w:sz w:val="20"/>
                <w:szCs w:val="20"/>
              </w:rPr>
              <w:t>22,236 </w:t>
            </w:r>
          </w:p>
        </w:tc>
        <w:tc>
          <w:tcPr>
            <w:tcW w:w="0" w:type="auto"/>
            <w:shd w:val="clear" w:color="auto" w:fill="CCEEFF"/>
            <w:tcMar>
              <w:top w:w="40" w:type="dxa"/>
              <w:left w:w="0" w:type="dxa"/>
              <w:bottom w:w="40" w:type="dxa"/>
              <w:right w:w="20" w:type="dxa"/>
            </w:tcMar>
            <w:vAlign w:val="bottom"/>
          </w:tcPr>
          <w:p w14:paraId="7DCFE82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2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24" w14:textId="77777777" w:rsidR="00C1563E" w:rsidRDefault="000B648B">
            <w:pPr>
              <w:jc w:val="right"/>
              <w:textAlignment w:val="bottom"/>
            </w:pPr>
            <w:r>
              <w:rPr>
                <w:rFonts w:ascii="Times New Roman" w:eastAsia="宋体" w:hAnsi="Times New Roman"/>
                <w:color w:val="000000"/>
                <w:sz w:val="20"/>
                <w:szCs w:val="20"/>
              </w:rPr>
              <w:t>19,914 </w:t>
            </w:r>
          </w:p>
        </w:tc>
        <w:tc>
          <w:tcPr>
            <w:tcW w:w="0" w:type="auto"/>
            <w:shd w:val="clear" w:color="auto" w:fill="CCEEFF"/>
            <w:tcMar>
              <w:top w:w="40" w:type="dxa"/>
              <w:left w:w="0" w:type="dxa"/>
              <w:bottom w:w="40" w:type="dxa"/>
              <w:right w:w="20" w:type="dxa"/>
            </w:tcMar>
            <w:vAlign w:val="bottom"/>
          </w:tcPr>
          <w:p w14:paraId="7DCFE825" w14:textId="77777777" w:rsidR="00C1563E" w:rsidRDefault="00C1563E">
            <w:pPr>
              <w:jc w:val="right"/>
              <w:rPr>
                <w:rFonts w:ascii="宋体"/>
              </w:rPr>
            </w:pPr>
          </w:p>
        </w:tc>
      </w:tr>
      <w:tr w:rsidR="00C1563E" w14:paraId="7DCFE830" w14:textId="77777777">
        <w:trPr>
          <w:jc w:val="center"/>
        </w:trPr>
        <w:tc>
          <w:tcPr>
            <w:tcW w:w="0" w:type="auto"/>
            <w:gridSpan w:val="3"/>
            <w:shd w:val="clear" w:color="auto" w:fill="FFFFFF"/>
            <w:tcMar>
              <w:top w:w="40" w:type="dxa"/>
              <w:left w:w="515" w:type="dxa"/>
              <w:bottom w:w="40" w:type="dxa"/>
              <w:right w:w="20" w:type="dxa"/>
            </w:tcMar>
            <w:vAlign w:val="bottom"/>
          </w:tcPr>
          <w:p w14:paraId="7DCFE827" w14:textId="77777777" w:rsidR="00C1563E" w:rsidRDefault="000B648B">
            <w:pPr>
              <w:textAlignment w:val="bottom"/>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28" w14:textId="77777777" w:rsidR="00C1563E" w:rsidRDefault="000B648B">
            <w:pPr>
              <w:jc w:val="right"/>
              <w:textAlignment w:val="bottom"/>
            </w:pPr>
            <w:r>
              <w:rPr>
                <w:rFonts w:ascii="Times New Roman" w:eastAsia="宋体" w:hAnsi="Times New Roman"/>
                <w:color w:val="000000"/>
                <w:sz w:val="20"/>
                <w:szCs w:val="20"/>
              </w:rPr>
              <w:t>94,224 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2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2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2B" w14:textId="77777777" w:rsidR="00C1563E" w:rsidRDefault="000B648B">
            <w:pPr>
              <w:jc w:val="right"/>
              <w:textAlignment w:val="bottom"/>
            </w:pPr>
            <w:r>
              <w:rPr>
                <w:rFonts w:ascii="Times New Roman" w:eastAsia="宋体" w:hAnsi="Times New Roman"/>
                <w:color w:val="000000"/>
                <w:sz w:val="20"/>
                <w:szCs w:val="20"/>
              </w:rPr>
              <w:t>92,154 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2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2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2E" w14:textId="77777777" w:rsidR="00C1563E" w:rsidRDefault="000B648B">
            <w:pPr>
              <w:jc w:val="right"/>
              <w:textAlignment w:val="bottom"/>
            </w:pPr>
            <w:r>
              <w:rPr>
                <w:rFonts w:ascii="Times New Roman" w:eastAsia="宋体" w:hAnsi="Times New Roman"/>
                <w:color w:val="000000"/>
                <w:sz w:val="20"/>
                <w:szCs w:val="20"/>
              </w:rPr>
              <w:t>90,621 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2F" w14:textId="77777777" w:rsidR="00C1563E" w:rsidRDefault="00C1563E">
            <w:pPr>
              <w:jc w:val="right"/>
              <w:rPr>
                <w:rFonts w:ascii="宋体"/>
              </w:rPr>
            </w:pPr>
          </w:p>
        </w:tc>
      </w:tr>
      <w:tr w:rsidR="00C1563E" w14:paraId="7DCFE837" w14:textId="77777777">
        <w:trPr>
          <w:jc w:val="center"/>
        </w:trPr>
        <w:tc>
          <w:tcPr>
            <w:tcW w:w="0" w:type="auto"/>
            <w:gridSpan w:val="3"/>
            <w:shd w:val="clear" w:color="auto" w:fill="CCEEFF"/>
            <w:tcMar>
              <w:top w:w="40" w:type="dxa"/>
              <w:left w:w="20" w:type="dxa"/>
              <w:bottom w:w="40" w:type="dxa"/>
              <w:right w:w="20" w:type="dxa"/>
            </w:tcMar>
            <w:vAlign w:val="bottom"/>
          </w:tcPr>
          <w:p w14:paraId="7DCFE831" w14:textId="77777777" w:rsidR="00C1563E" w:rsidRDefault="000B648B">
            <w:pPr>
              <w:textAlignment w:val="bottom"/>
            </w:pPr>
            <w:r>
              <w:rPr>
                <w:rFonts w:ascii="Times New Roman" w:eastAsia="宋体" w:hAnsi="Times New Roman"/>
                <w:i/>
                <w:iCs/>
                <w:color w:val="000000"/>
                <w:sz w:val="20"/>
                <w:szCs w:val="20"/>
              </w:rPr>
              <w:t xml:space="preserve">Cost </w:t>
            </w:r>
            <w:r>
              <w:rPr>
                <w:rFonts w:ascii="Times New Roman" w:eastAsia="宋体" w:hAnsi="Times New Roman"/>
                <w:i/>
                <w:iCs/>
                <w:color w:val="000000"/>
                <w:sz w:val="20"/>
                <w:szCs w:val="20"/>
              </w:rPr>
              <w:t>of net 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DCFE83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33"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83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35"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836" w14:textId="77777777" w:rsidR="00C1563E" w:rsidRDefault="00C1563E">
            <w:pPr>
              <w:rPr>
                <w:rFonts w:ascii="宋体"/>
              </w:rPr>
            </w:pPr>
          </w:p>
        </w:tc>
      </w:tr>
      <w:tr w:rsidR="00C1563E" w14:paraId="7DCFE841" w14:textId="77777777">
        <w:trPr>
          <w:jc w:val="center"/>
        </w:trPr>
        <w:tc>
          <w:tcPr>
            <w:tcW w:w="0" w:type="auto"/>
            <w:gridSpan w:val="3"/>
            <w:shd w:val="clear" w:color="auto" w:fill="FFFFFF"/>
            <w:tcMar>
              <w:top w:w="40" w:type="dxa"/>
              <w:left w:w="245" w:type="dxa"/>
              <w:bottom w:w="40" w:type="dxa"/>
              <w:right w:w="20" w:type="dxa"/>
            </w:tcMar>
            <w:vAlign w:val="bottom"/>
          </w:tcPr>
          <w:p w14:paraId="7DCFE838" w14:textId="77777777" w:rsidR="00C1563E" w:rsidRDefault="000B648B">
            <w:pPr>
              <w:textAlignment w:val="bottom"/>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bottom"/>
          </w:tcPr>
          <w:p w14:paraId="7DCFE839" w14:textId="77777777" w:rsidR="00C1563E" w:rsidRDefault="000B648B">
            <w:pPr>
              <w:jc w:val="right"/>
              <w:textAlignment w:val="bottom"/>
            </w:pPr>
            <w:r>
              <w:rPr>
                <w:rFonts w:ascii="Times New Roman" w:eastAsia="宋体" w:hAnsi="Times New Roman"/>
                <w:color w:val="000000"/>
                <w:sz w:val="20"/>
                <w:szCs w:val="20"/>
              </w:rPr>
              <w:t>55,347 </w:t>
            </w:r>
          </w:p>
        </w:tc>
        <w:tc>
          <w:tcPr>
            <w:tcW w:w="0" w:type="auto"/>
            <w:shd w:val="clear" w:color="auto" w:fill="FFFFFF"/>
            <w:tcMar>
              <w:top w:w="40" w:type="dxa"/>
              <w:left w:w="0" w:type="dxa"/>
              <w:bottom w:w="40" w:type="dxa"/>
              <w:right w:w="20" w:type="dxa"/>
            </w:tcMar>
            <w:vAlign w:val="bottom"/>
          </w:tcPr>
          <w:p w14:paraId="7DCFE83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3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83C" w14:textId="77777777" w:rsidR="00C1563E" w:rsidRDefault="000B648B">
            <w:pPr>
              <w:jc w:val="right"/>
              <w:textAlignment w:val="bottom"/>
            </w:pPr>
            <w:r>
              <w:rPr>
                <w:rFonts w:ascii="Times New Roman" w:eastAsia="宋体" w:hAnsi="Times New Roman"/>
                <w:color w:val="000000"/>
                <w:sz w:val="20"/>
                <w:szCs w:val="20"/>
              </w:rPr>
              <w:t>54,525 </w:t>
            </w:r>
          </w:p>
        </w:tc>
        <w:tc>
          <w:tcPr>
            <w:tcW w:w="0" w:type="auto"/>
            <w:shd w:val="clear" w:color="auto" w:fill="FFFFFF"/>
            <w:tcMar>
              <w:top w:w="40" w:type="dxa"/>
              <w:left w:w="0" w:type="dxa"/>
              <w:bottom w:w="40" w:type="dxa"/>
              <w:right w:w="20" w:type="dxa"/>
            </w:tcMar>
            <w:vAlign w:val="bottom"/>
          </w:tcPr>
          <w:p w14:paraId="7DCFE83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3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83F" w14:textId="77777777" w:rsidR="00C1563E" w:rsidRDefault="000B648B">
            <w:pPr>
              <w:jc w:val="right"/>
              <w:textAlignment w:val="bottom"/>
            </w:pPr>
            <w:r>
              <w:rPr>
                <w:rFonts w:ascii="Times New Roman" w:eastAsia="宋体" w:hAnsi="Times New Roman"/>
                <w:color w:val="000000"/>
                <w:sz w:val="20"/>
                <w:szCs w:val="20"/>
              </w:rPr>
              <w:t>57,889 </w:t>
            </w:r>
          </w:p>
        </w:tc>
        <w:tc>
          <w:tcPr>
            <w:tcW w:w="0" w:type="auto"/>
            <w:shd w:val="clear" w:color="auto" w:fill="FFFFFF"/>
            <w:tcMar>
              <w:top w:w="40" w:type="dxa"/>
              <w:left w:w="0" w:type="dxa"/>
              <w:bottom w:w="40" w:type="dxa"/>
              <w:right w:w="20" w:type="dxa"/>
            </w:tcMar>
            <w:vAlign w:val="bottom"/>
          </w:tcPr>
          <w:p w14:paraId="7DCFE840" w14:textId="77777777" w:rsidR="00C1563E" w:rsidRDefault="00C1563E">
            <w:pPr>
              <w:jc w:val="right"/>
              <w:rPr>
                <w:rFonts w:ascii="宋体"/>
              </w:rPr>
            </w:pPr>
          </w:p>
        </w:tc>
      </w:tr>
      <w:tr w:rsidR="00C1563E" w14:paraId="7DCFE84B" w14:textId="77777777">
        <w:trPr>
          <w:jc w:val="center"/>
        </w:trPr>
        <w:tc>
          <w:tcPr>
            <w:tcW w:w="0" w:type="auto"/>
            <w:gridSpan w:val="3"/>
            <w:shd w:val="clear" w:color="auto" w:fill="CCEEFF"/>
            <w:tcMar>
              <w:top w:w="40" w:type="dxa"/>
              <w:left w:w="245" w:type="dxa"/>
              <w:bottom w:w="40" w:type="dxa"/>
              <w:right w:w="20" w:type="dxa"/>
            </w:tcMar>
            <w:vAlign w:val="bottom"/>
          </w:tcPr>
          <w:p w14:paraId="7DCFE842" w14:textId="77777777" w:rsidR="00C1563E" w:rsidRDefault="000B648B">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DCFE843" w14:textId="77777777" w:rsidR="00C1563E" w:rsidRDefault="000B648B">
            <w:pPr>
              <w:jc w:val="right"/>
              <w:textAlignment w:val="bottom"/>
            </w:pPr>
            <w:r>
              <w:rPr>
                <w:rFonts w:ascii="Times New Roman" w:eastAsia="宋体" w:hAnsi="Times New Roman"/>
                <w:color w:val="000000"/>
                <w:sz w:val="20"/>
                <w:szCs w:val="20"/>
              </w:rPr>
              <w:t>9,460 </w:t>
            </w:r>
          </w:p>
        </w:tc>
        <w:tc>
          <w:tcPr>
            <w:tcW w:w="0" w:type="auto"/>
            <w:shd w:val="clear" w:color="auto" w:fill="CCEEFF"/>
            <w:tcMar>
              <w:top w:w="40" w:type="dxa"/>
              <w:left w:w="0" w:type="dxa"/>
              <w:bottom w:w="40" w:type="dxa"/>
              <w:right w:w="20" w:type="dxa"/>
            </w:tcMar>
            <w:vAlign w:val="bottom"/>
          </w:tcPr>
          <w:p w14:paraId="7DCFE84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4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46" w14:textId="77777777" w:rsidR="00C1563E" w:rsidRDefault="000B648B">
            <w:pPr>
              <w:jc w:val="right"/>
              <w:textAlignment w:val="bottom"/>
            </w:pPr>
            <w:r>
              <w:rPr>
                <w:rFonts w:ascii="Times New Roman" w:eastAsia="宋体" w:hAnsi="Times New Roman"/>
                <w:color w:val="000000"/>
                <w:sz w:val="20"/>
                <w:szCs w:val="20"/>
              </w:rPr>
              <w:t>8,696 </w:t>
            </w:r>
          </w:p>
        </w:tc>
        <w:tc>
          <w:tcPr>
            <w:tcW w:w="0" w:type="auto"/>
            <w:shd w:val="clear" w:color="auto" w:fill="CCEEFF"/>
            <w:tcMar>
              <w:top w:w="40" w:type="dxa"/>
              <w:left w:w="0" w:type="dxa"/>
              <w:bottom w:w="40" w:type="dxa"/>
              <w:right w:w="20" w:type="dxa"/>
            </w:tcMar>
            <w:vAlign w:val="bottom"/>
          </w:tcPr>
          <w:p w14:paraId="7DCFE84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4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49" w14:textId="77777777" w:rsidR="00C1563E" w:rsidRDefault="000B648B">
            <w:pPr>
              <w:jc w:val="right"/>
              <w:textAlignment w:val="bottom"/>
            </w:pPr>
            <w:r>
              <w:rPr>
                <w:rFonts w:ascii="Times New Roman" w:eastAsia="宋体" w:hAnsi="Times New Roman"/>
                <w:color w:val="000000"/>
                <w:sz w:val="20"/>
                <w:szCs w:val="20"/>
              </w:rPr>
              <w:t>7,679 </w:t>
            </w:r>
          </w:p>
        </w:tc>
        <w:tc>
          <w:tcPr>
            <w:tcW w:w="0" w:type="auto"/>
            <w:shd w:val="clear" w:color="auto" w:fill="CCEEFF"/>
            <w:tcMar>
              <w:top w:w="40" w:type="dxa"/>
              <w:left w:w="0" w:type="dxa"/>
              <w:bottom w:w="40" w:type="dxa"/>
              <w:right w:w="20" w:type="dxa"/>
            </w:tcMar>
            <w:vAlign w:val="bottom"/>
          </w:tcPr>
          <w:p w14:paraId="7DCFE84A" w14:textId="77777777" w:rsidR="00C1563E" w:rsidRDefault="00C1563E">
            <w:pPr>
              <w:jc w:val="right"/>
              <w:rPr>
                <w:rFonts w:ascii="宋体"/>
              </w:rPr>
            </w:pPr>
          </w:p>
        </w:tc>
      </w:tr>
      <w:tr w:rsidR="00C1563E" w14:paraId="7DCFE855" w14:textId="77777777">
        <w:trPr>
          <w:jc w:val="center"/>
        </w:trPr>
        <w:tc>
          <w:tcPr>
            <w:tcW w:w="0" w:type="auto"/>
            <w:gridSpan w:val="3"/>
            <w:shd w:val="clear" w:color="auto" w:fill="FFFFFF"/>
            <w:tcMar>
              <w:top w:w="40" w:type="dxa"/>
              <w:left w:w="515" w:type="dxa"/>
              <w:bottom w:w="40" w:type="dxa"/>
              <w:right w:w="20" w:type="dxa"/>
            </w:tcMar>
            <w:vAlign w:val="bottom"/>
          </w:tcPr>
          <w:p w14:paraId="7DCFE84C" w14:textId="77777777" w:rsidR="00C1563E" w:rsidRDefault="000B648B">
            <w:pPr>
              <w:textAlignment w:val="bottom"/>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4D" w14:textId="77777777" w:rsidR="00C1563E" w:rsidRDefault="000B648B">
            <w:pPr>
              <w:jc w:val="right"/>
              <w:textAlignment w:val="bottom"/>
            </w:pPr>
            <w:r>
              <w:rPr>
                <w:rFonts w:ascii="Times New Roman" w:eastAsia="宋体" w:hAnsi="Times New Roman"/>
                <w:color w:val="000000"/>
                <w:sz w:val="20"/>
                <w:szCs w:val="20"/>
              </w:rPr>
              <w:t>64,807 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4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4F"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50" w14:textId="77777777" w:rsidR="00C1563E" w:rsidRDefault="000B648B">
            <w:pPr>
              <w:jc w:val="right"/>
              <w:textAlignment w:val="bottom"/>
            </w:pPr>
            <w:r>
              <w:rPr>
                <w:rFonts w:ascii="Times New Roman" w:eastAsia="宋体" w:hAnsi="Times New Roman"/>
                <w:color w:val="000000"/>
                <w:sz w:val="20"/>
                <w:szCs w:val="20"/>
              </w:rPr>
              <w:t>63,221 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5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52"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53" w14:textId="77777777" w:rsidR="00C1563E" w:rsidRDefault="000B648B">
            <w:pPr>
              <w:jc w:val="right"/>
              <w:textAlignment w:val="bottom"/>
            </w:pPr>
            <w:r>
              <w:rPr>
                <w:rFonts w:ascii="Times New Roman" w:eastAsia="宋体" w:hAnsi="Times New Roman"/>
                <w:color w:val="000000"/>
                <w:sz w:val="20"/>
                <w:szCs w:val="20"/>
              </w:rPr>
              <w:t>65,568 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54" w14:textId="77777777" w:rsidR="00C1563E" w:rsidRDefault="00C1563E">
            <w:pPr>
              <w:jc w:val="right"/>
              <w:rPr>
                <w:rFonts w:ascii="宋体"/>
              </w:rPr>
            </w:pPr>
          </w:p>
        </w:tc>
      </w:tr>
      <w:tr w:rsidR="00C1563E" w14:paraId="7DCFE85F" w14:textId="77777777">
        <w:trPr>
          <w:jc w:val="center"/>
        </w:trPr>
        <w:tc>
          <w:tcPr>
            <w:tcW w:w="0" w:type="auto"/>
            <w:gridSpan w:val="3"/>
            <w:shd w:val="clear" w:color="auto" w:fill="CCEEFF"/>
            <w:tcMar>
              <w:top w:w="40" w:type="dxa"/>
              <w:left w:w="245" w:type="dxa"/>
              <w:bottom w:w="40" w:type="dxa"/>
              <w:right w:w="20" w:type="dxa"/>
            </w:tcMar>
            <w:vAlign w:val="bottom"/>
          </w:tcPr>
          <w:p w14:paraId="7DCFE856" w14:textId="77777777" w:rsidR="00C1563E" w:rsidRDefault="000B648B">
            <w:pPr>
              <w:textAlignment w:val="bottom"/>
            </w:pPr>
            <w:r>
              <w:rPr>
                <w:rFonts w:ascii="Times New Roman" w:eastAsia="宋体" w:hAnsi="Times New Roman"/>
                <w:color w:val="000000"/>
                <w:sz w:val="20"/>
                <w:szCs w:val="20"/>
              </w:rPr>
              <w:t>Gross</w:t>
            </w:r>
            <w:r>
              <w:rPr>
                <w:rFonts w:ascii="Times New Roman" w:eastAsia="宋体" w:hAnsi="Times New Roman"/>
                <w:color w:val="000000"/>
                <w:sz w:val="20"/>
                <w:szCs w:val="20"/>
              </w:rPr>
              <w:t xml:space="preserve">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57" w14:textId="77777777" w:rsidR="00C1563E" w:rsidRDefault="000B648B">
            <w:pPr>
              <w:jc w:val="right"/>
              <w:textAlignment w:val="bottom"/>
            </w:pPr>
            <w:r>
              <w:rPr>
                <w:rFonts w:ascii="Times New Roman" w:eastAsia="宋体" w:hAnsi="Times New Roman"/>
                <w:color w:val="000000"/>
                <w:sz w:val="20"/>
                <w:szCs w:val="20"/>
              </w:rPr>
              <w:t>29,417 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5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59"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5A" w14:textId="77777777" w:rsidR="00C1563E" w:rsidRDefault="000B648B">
            <w:pPr>
              <w:jc w:val="right"/>
              <w:textAlignment w:val="bottom"/>
            </w:pPr>
            <w:r>
              <w:rPr>
                <w:rFonts w:ascii="Times New Roman" w:eastAsia="宋体" w:hAnsi="Times New Roman"/>
                <w:color w:val="000000"/>
                <w:sz w:val="20"/>
                <w:szCs w:val="20"/>
              </w:rPr>
              <w:t>28,933 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5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5C"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5D" w14:textId="77777777" w:rsidR="00C1563E" w:rsidRDefault="000B648B">
            <w:pPr>
              <w:jc w:val="right"/>
              <w:textAlignment w:val="bottom"/>
            </w:pPr>
            <w:r>
              <w:rPr>
                <w:rFonts w:ascii="Times New Roman" w:eastAsia="宋体" w:hAnsi="Times New Roman"/>
                <w:color w:val="000000"/>
                <w:sz w:val="20"/>
                <w:szCs w:val="20"/>
              </w:rPr>
              <w:t>25,053 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5E" w14:textId="77777777" w:rsidR="00C1563E" w:rsidRDefault="00C1563E">
            <w:pPr>
              <w:jc w:val="right"/>
              <w:rPr>
                <w:rFonts w:ascii="宋体"/>
              </w:rPr>
            </w:pPr>
          </w:p>
        </w:tc>
      </w:tr>
      <w:tr w:rsidR="00C1563E" w14:paraId="7DCFE866" w14:textId="77777777">
        <w:trPr>
          <w:jc w:val="center"/>
        </w:trPr>
        <w:tc>
          <w:tcPr>
            <w:tcW w:w="0" w:type="auto"/>
            <w:gridSpan w:val="3"/>
            <w:shd w:val="clear" w:color="auto" w:fill="FFFFFF"/>
            <w:tcMar>
              <w:top w:w="40" w:type="dxa"/>
              <w:left w:w="20" w:type="dxa"/>
              <w:bottom w:w="40" w:type="dxa"/>
              <w:right w:w="20" w:type="dxa"/>
            </w:tcMar>
            <w:vAlign w:val="bottom"/>
          </w:tcPr>
          <w:p w14:paraId="7DCFE860" w14:textId="77777777" w:rsidR="00C1563E" w:rsidRDefault="000B648B">
            <w:pPr>
              <w:textAlignment w:val="bottom"/>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tcPr>
          <w:p w14:paraId="7DCFE86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62"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86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64"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865" w14:textId="77777777" w:rsidR="00C1563E" w:rsidRDefault="00C1563E">
            <w:pPr>
              <w:rPr>
                <w:rFonts w:ascii="宋体"/>
              </w:rPr>
            </w:pPr>
          </w:p>
        </w:tc>
      </w:tr>
      <w:tr w:rsidR="00C1563E" w14:paraId="7DCFE870" w14:textId="77777777">
        <w:trPr>
          <w:jc w:val="center"/>
        </w:trPr>
        <w:tc>
          <w:tcPr>
            <w:tcW w:w="0" w:type="auto"/>
            <w:gridSpan w:val="3"/>
            <w:shd w:val="clear" w:color="auto" w:fill="CCEEFF"/>
            <w:tcMar>
              <w:top w:w="40" w:type="dxa"/>
              <w:left w:w="245" w:type="dxa"/>
              <w:bottom w:w="40" w:type="dxa"/>
              <w:right w:w="20" w:type="dxa"/>
            </w:tcMar>
            <w:vAlign w:val="bottom"/>
          </w:tcPr>
          <w:p w14:paraId="7DCFE867" w14:textId="77777777" w:rsidR="00C1563E" w:rsidRDefault="000B648B">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7DCFE868" w14:textId="77777777" w:rsidR="00C1563E" w:rsidRDefault="000B648B">
            <w:pPr>
              <w:jc w:val="right"/>
              <w:textAlignment w:val="bottom"/>
            </w:pPr>
            <w:r>
              <w:rPr>
                <w:rFonts w:ascii="Times New Roman" w:eastAsia="宋体" w:hAnsi="Times New Roman"/>
                <w:color w:val="000000"/>
                <w:sz w:val="20"/>
                <w:szCs w:val="20"/>
              </w:rPr>
              <w:t>18,998 </w:t>
            </w:r>
          </w:p>
        </w:tc>
        <w:tc>
          <w:tcPr>
            <w:tcW w:w="0" w:type="auto"/>
            <w:shd w:val="clear" w:color="auto" w:fill="CCEEFF"/>
            <w:tcMar>
              <w:top w:w="40" w:type="dxa"/>
              <w:left w:w="0" w:type="dxa"/>
              <w:bottom w:w="40" w:type="dxa"/>
              <w:right w:w="20" w:type="dxa"/>
            </w:tcMar>
            <w:vAlign w:val="bottom"/>
          </w:tcPr>
          <w:p w14:paraId="7DCFE86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6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6B" w14:textId="77777777" w:rsidR="00C1563E" w:rsidRDefault="000B648B">
            <w:pPr>
              <w:jc w:val="right"/>
              <w:textAlignment w:val="bottom"/>
            </w:pPr>
            <w:r>
              <w:rPr>
                <w:rFonts w:ascii="Times New Roman" w:eastAsia="宋体" w:hAnsi="Times New Roman"/>
                <w:color w:val="000000"/>
                <w:sz w:val="20"/>
                <w:szCs w:val="20"/>
              </w:rPr>
              <w:t>21,319 </w:t>
            </w:r>
          </w:p>
        </w:tc>
        <w:tc>
          <w:tcPr>
            <w:tcW w:w="0" w:type="auto"/>
            <w:shd w:val="clear" w:color="auto" w:fill="CCEEFF"/>
            <w:tcMar>
              <w:top w:w="40" w:type="dxa"/>
              <w:left w:w="0" w:type="dxa"/>
              <w:bottom w:w="40" w:type="dxa"/>
              <w:right w:w="20" w:type="dxa"/>
            </w:tcMar>
            <w:vAlign w:val="bottom"/>
          </w:tcPr>
          <w:p w14:paraId="7DCFE8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6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6E" w14:textId="77777777" w:rsidR="00C1563E" w:rsidRDefault="000B648B">
            <w:pPr>
              <w:jc w:val="right"/>
              <w:textAlignment w:val="bottom"/>
            </w:pPr>
            <w:r>
              <w:rPr>
                <w:rFonts w:ascii="Times New Roman" w:eastAsia="宋体" w:hAnsi="Times New Roman"/>
                <w:color w:val="000000"/>
                <w:sz w:val="20"/>
                <w:szCs w:val="20"/>
              </w:rPr>
              <w:t>20,640 </w:t>
            </w:r>
          </w:p>
        </w:tc>
        <w:tc>
          <w:tcPr>
            <w:tcW w:w="0" w:type="auto"/>
            <w:shd w:val="clear" w:color="auto" w:fill="CCEEFF"/>
            <w:tcMar>
              <w:top w:w="40" w:type="dxa"/>
              <w:left w:w="0" w:type="dxa"/>
              <w:bottom w:w="40" w:type="dxa"/>
              <w:right w:w="20" w:type="dxa"/>
            </w:tcMar>
            <w:vAlign w:val="bottom"/>
          </w:tcPr>
          <w:p w14:paraId="7DCFE86F" w14:textId="77777777" w:rsidR="00C1563E" w:rsidRDefault="00C1563E">
            <w:pPr>
              <w:jc w:val="right"/>
              <w:rPr>
                <w:rFonts w:ascii="宋体"/>
              </w:rPr>
            </w:pPr>
          </w:p>
        </w:tc>
      </w:tr>
      <w:tr w:rsidR="00C1563E" w14:paraId="7DCFE87A" w14:textId="77777777">
        <w:trPr>
          <w:jc w:val="center"/>
        </w:trPr>
        <w:tc>
          <w:tcPr>
            <w:tcW w:w="0" w:type="auto"/>
            <w:gridSpan w:val="3"/>
            <w:shd w:val="clear" w:color="auto" w:fill="FFFFFF"/>
            <w:tcMar>
              <w:top w:w="40" w:type="dxa"/>
              <w:left w:w="245" w:type="dxa"/>
              <w:bottom w:w="40" w:type="dxa"/>
              <w:right w:w="20" w:type="dxa"/>
            </w:tcMar>
            <w:vAlign w:val="bottom"/>
          </w:tcPr>
          <w:p w14:paraId="7DCFE871" w14:textId="77777777" w:rsidR="00C1563E" w:rsidRDefault="000B648B">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DCFE872" w14:textId="77777777" w:rsidR="00C1563E" w:rsidRDefault="000B648B">
            <w:pPr>
              <w:jc w:val="right"/>
              <w:textAlignment w:val="bottom"/>
            </w:pPr>
            <w:r>
              <w:rPr>
                <w:rFonts w:ascii="Times New Roman" w:eastAsia="宋体" w:hAnsi="Times New Roman"/>
                <w:color w:val="000000"/>
                <w:sz w:val="20"/>
                <w:szCs w:val="20"/>
              </w:rPr>
              <w:t>5,275 </w:t>
            </w:r>
          </w:p>
        </w:tc>
        <w:tc>
          <w:tcPr>
            <w:tcW w:w="0" w:type="auto"/>
            <w:shd w:val="clear" w:color="auto" w:fill="FFFFFF"/>
            <w:tcMar>
              <w:top w:w="40" w:type="dxa"/>
              <w:left w:w="0" w:type="dxa"/>
              <w:bottom w:w="40" w:type="dxa"/>
              <w:right w:w="20" w:type="dxa"/>
            </w:tcMar>
            <w:vAlign w:val="bottom"/>
          </w:tcPr>
          <w:p w14:paraId="7DCFE8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7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875" w14:textId="77777777" w:rsidR="00C1563E" w:rsidRDefault="000B648B">
            <w:pPr>
              <w:jc w:val="right"/>
              <w:textAlignment w:val="bottom"/>
            </w:pPr>
            <w:r>
              <w:rPr>
                <w:rFonts w:ascii="Times New Roman" w:eastAsia="宋体" w:hAnsi="Times New Roman"/>
                <w:color w:val="000000"/>
                <w:sz w:val="20"/>
                <w:szCs w:val="20"/>
              </w:rPr>
              <w:t>4,992 </w:t>
            </w:r>
          </w:p>
        </w:tc>
        <w:tc>
          <w:tcPr>
            <w:tcW w:w="0" w:type="auto"/>
            <w:shd w:val="clear" w:color="auto" w:fill="FFFFFF"/>
            <w:tcMar>
              <w:top w:w="40" w:type="dxa"/>
              <w:left w:w="0" w:type="dxa"/>
              <w:bottom w:w="40" w:type="dxa"/>
              <w:right w:w="20" w:type="dxa"/>
            </w:tcMar>
            <w:vAlign w:val="bottom"/>
          </w:tcPr>
          <w:p w14:paraId="7DCFE8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7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878" w14:textId="77777777" w:rsidR="00C1563E" w:rsidRDefault="000B648B">
            <w:pPr>
              <w:jc w:val="right"/>
              <w:textAlignment w:val="bottom"/>
            </w:pPr>
            <w:r>
              <w:rPr>
                <w:rFonts w:ascii="Times New Roman" w:eastAsia="宋体" w:hAnsi="Times New Roman"/>
                <w:color w:val="000000"/>
                <w:sz w:val="20"/>
                <w:szCs w:val="20"/>
              </w:rPr>
              <w:t>4,604 </w:t>
            </w:r>
          </w:p>
        </w:tc>
        <w:tc>
          <w:tcPr>
            <w:tcW w:w="0" w:type="auto"/>
            <w:shd w:val="clear" w:color="auto" w:fill="FFFFFF"/>
            <w:tcMar>
              <w:top w:w="40" w:type="dxa"/>
              <w:left w:w="0" w:type="dxa"/>
              <w:bottom w:w="40" w:type="dxa"/>
              <w:right w:w="20" w:type="dxa"/>
            </w:tcMar>
            <w:vAlign w:val="bottom"/>
          </w:tcPr>
          <w:p w14:paraId="7DCFE879" w14:textId="77777777" w:rsidR="00C1563E" w:rsidRDefault="00C1563E">
            <w:pPr>
              <w:jc w:val="right"/>
              <w:rPr>
                <w:rFonts w:ascii="宋体"/>
              </w:rPr>
            </w:pPr>
          </w:p>
        </w:tc>
      </w:tr>
      <w:tr w:rsidR="00C1563E" w14:paraId="7DCFE884" w14:textId="77777777">
        <w:trPr>
          <w:jc w:val="center"/>
        </w:trPr>
        <w:tc>
          <w:tcPr>
            <w:tcW w:w="0" w:type="auto"/>
            <w:gridSpan w:val="3"/>
            <w:shd w:val="clear" w:color="auto" w:fill="CCEEFF"/>
            <w:tcMar>
              <w:top w:w="40" w:type="dxa"/>
              <w:left w:w="515" w:type="dxa"/>
              <w:bottom w:w="40" w:type="dxa"/>
              <w:right w:w="20" w:type="dxa"/>
            </w:tcMar>
            <w:vAlign w:val="bottom"/>
          </w:tcPr>
          <w:p w14:paraId="7DCFE87B" w14:textId="77777777" w:rsidR="00C1563E" w:rsidRDefault="000B648B">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7C" w14:textId="77777777" w:rsidR="00C1563E" w:rsidRDefault="000B648B">
            <w:pPr>
              <w:jc w:val="right"/>
              <w:textAlignment w:val="bottom"/>
            </w:pPr>
            <w:r>
              <w:rPr>
                <w:rFonts w:ascii="Times New Roman" w:eastAsia="宋体" w:hAnsi="Times New Roman"/>
                <w:color w:val="000000"/>
                <w:sz w:val="20"/>
                <w:szCs w:val="20"/>
              </w:rPr>
              <w:t>24,273 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7E"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7F" w14:textId="77777777" w:rsidR="00C1563E" w:rsidRDefault="000B648B">
            <w:pPr>
              <w:jc w:val="right"/>
              <w:textAlignment w:val="bottom"/>
            </w:pPr>
            <w:r>
              <w:rPr>
                <w:rFonts w:ascii="Times New Roman" w:eastAsia="宋体" w:hAnsi="Times New Roman"/>
                <w:color w:val="000000"/>
                <w:sz w:val="20"/>
                <w:szCs w:val="20"/>
              </w:rPr>
              <w:t>26,311 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81"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882" w14:textId="77777777" w:rsidR="00C1563E" w:rsidRDefault="000B648B">
            <w:pPr>
              <w:jc w:val="right"/>
              <w:textAlignment w:val="bottom"/>
            </w:pPr>
            <w:r>
              <w:rPr>
                <w:rFonts w:ascii="Times New Roman" w:eastAsia="宋体" w:hAnsi="Times New Roman"/>
                <w:color w:val="000000"/>
                <w:sz w:val="20"/>
                <w:szCs w:val="20"/>
              </w:rPr>
              <w:t>25,244 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883" w14:textId="77777777" w:rsidR="00C1563E" w:rsidRDefault="00C1563E">
            <w:pPr>
              <w:jc w:val="right"/>
              <w:rPr>
                <w:rFonts w:ascii="宋体"/>
              </w:rPr>
            </w:pPr>
          </w:p>
        </w:tc>
      </w:tr>
      <w:tr w:rsidR="00C1563E" w14:paraId="7DCFE88E" w14:textId="77777777">
        <w:trPr>
          <w:jc w:val="center"/>
        </w:trPr>
        <w:tc>
          <w:tcPr>
            <w:tcW w:w="0" w:type="auto"/>
            <w:gridSpan w:val="3"/>
            <w:shd w:val="clear" w:color="auto" w:fill="FFFFFF"/>
            <w:tcMar>
              <w:top w:w="40" w:type="dxa"/>
              <w:left w:w="245" w:type="dxa"/>
              <w:bottom w:w="40" w:type="dxa"/>
              <w:right w:w="20" w:type="dxa"/>
            </w:tcMar>
            <w:vAlign w:val="bottom"/>
          </w:tcPr>
          <w:p w14:paraId="7DCFE885" w14:textId="77777777" w:rsidR="00C1563E" w:rsidRDefault="000B648B">
            <w:pPr>
              <w:textAlignment w:val="bottom"/>
            </w:pPr>
            <w:r>
              <w:rPr>
                <w:rFonts w:ascii="Times New Roman" w:eastAsia="宋体" w:hAnsi="Times New Roman"/>
                <w:color w:val="000000"/>
                <w:sz w:val="20"/>
                <w:szCs w:val="20"/>
              </w:rPr>
              <w:t>Opera</w:t>
            </w:r>
            <w:r>
              <w:rPr>
                <w:rFonts w:ascii="Times New Roman" w:eastAsia="宋体" w:hAnsi="Times New Roman"/>
                <w:color w:val="000000"/>
                <w:sz w:val="20"/>
                <w:szCs w:val="20"/>
              </w:rPr>
              <w:t>ting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86" w14:textId="77777777" w:rsidR="00C1563E" w:rsidRDefault="000B648B">
            <w:pPr>
              <w:jc w:val="right"/>
              <w:textAlignment w:val="bottom"/>
            </w:pPr>
            <w:r>
              <w:rPr>
                <w:rFonts w:ascii="Times New Roman" w:eastAsia="宋体" w:hAnsi="Times New Roman"/>
                <w:color w:val="000000"/>
                <w:sz w:val="20"/>
                <w:szCs w:val="20"/>
              </w:rPr>
              <w:t>5,144 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88"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89" w14:textId="77777777" w:rsidR="00C1563E" w:rsidRDefault="000B648B">
            <w:pPr>
              <w:jc w:val="right"/>
              <w:textAlignment w:val="bottom"/>
            </w:pPr>
            <w:r>
              <w:rPr>
                <w:rFonts w:ascii="Times New Roman" w:eastAsia="宋体" w:hAnsi="Times New Roman"/>
                <w:color w:val="000000"/>
                <w:sz w:val="20"/>
                <w:szCs w:val="20"/>
              </w:rPr>
              <w:t>2,622 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8B"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8C" w14:textId="77777777" w:rsidR="00C1563E" w:rsidRDefault="000B648B">
            <w:pPr>
              <w:jc w:val="right"/>
              <w:textAlignment w:val="bottom"/>
            </w:pPr>
            <w:r>
              <w:rPr>
                <w:rFonts w:ascii="Times New Roman" w:eastAsia="宋体" w:hAnsi="Times New Roman"/>
                <w:color w:val="000000"/>
                <w:sz w:val="20"/>
                <w:szCs w:val="20"/>
              </w:rPr>
              <w:t>(191)</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8D" w14:textId="77777777" w:rsidR="00C1563E" w:rsidRDefault="00C1563E">
            <w:pPr>
              <w:jc w:val="right"/>
              <w:rPr>
                <w:rFonts w:ascii="宋体"/>
              </w:rPr>
            </w:pPr>
          </w:p>
        </w:tc>
      </w:tr>
      <w:tr w:rsidR="00C1563E" w14:paraId="7DCFE898" w14:textId="77777777">
        <w:trPr>
          <w:jc w:val="center"/>
        </w:trPr>
        <w:tc>
          <w:tcPr>
            <w:tcW w:w="0" w:type="auto"/>
            <w:gridSpan w:val="3"/>
            <w:shd w:val="clear" w:color="auto" w:fill="CCEEFF"/>
            <w:tcMar>
              <w:top w:w="40" w:type="dxa"/>
              <w:left w:w="20" w:type="dxa"/>
              <w:bottom w:w="40" w:type="dxa"/>
              <w:right w:w="20" w:type="dxa"/>
            </w:tcMar>
            <w:vAlign w:val="bottom"/>
          </w:tcPr>
          <w:p w14:paraId="7DCFE88F" w14:textId="77777777" w:rsidR="00C1563E" w:rsidRDefault="000B648B">
            <w:pPr>
              <w:textAlignment w:val="bottom"/>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bottom"/>
          </w:tcPr>
          <w:p w14:paraId="7DCFE890" w14:textId="77777777" w:rsidR="00C1563E" w:rsidRDefault="000B648B">
            <w:pPr>
              <w:jc w:val="right"/>
              <w:textAlignment w:val="bottom"/>
            </w:pPr>
            <w:r>
              <w:rPr>
                <w:rFonts w:ascii="Times New Roman" w:eastAsia="宋体" w:hAnsi="Times New Roman"/>
                <w:color w:val="000000"/>
                <w:sz w:val="20"/>
                <w:szCs w:val="20"/>
              </w:rPr>
              <w:t>(1,474)</w:t>
            </w:r>
          </w:p>
        </w:tc>
        <w:tc>
          <w:tcPr>
            <w:tcW w:w="0" w:type="auto"/>
            <w:shd w:val="clear" w:color="auto" w:fill="CCEEFF"/>
            <w:tcMar>
              <w:top w:w="40" w:type="dxa"/>
              <w:left w:w="0" w:type="dxa"/>
              <w:bottom w:w="40" w:type="dxa"/>
              <w:right w:w="20" w:type="dxa"/>
            </w:tcMar>
            <w:vAlign w:val="bottom"/>
          </w:tcPr>
          <w:p w14:paraId="7DCFE8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9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93" w14:textId="77777777" w:rsidR="00C1563E" w:rsidRDefault="000B648B">
            <w:pPr>
              <w:jc w:val="right"/>
              <w:textAlignment w:val="bottom"/>
            </w:pPr>
            <w:r>
              <w:rPr>
                <w:rFonts w:ascii="Times New Roman" w:eastAsia="宋体" w:hAnsi="Times New Roman"/>
                <w:color w:val="000000"/>
                <w:sz w:val="20"/>
                <w:szCs w:val="20"/>
              </w:rPr>
              <w:t>(2,626)</w:t>
            </w:r>
          </w:p>
        </w:tc>
        <w:tc>
          <w:tcPr>
            <w:tcW w:w="0" w:type="auto"/>
            <w:shd w:val="clear" w:color="auto" w:fill="CCEEFF"/>
            <w:tcMar>
              <w:top w:w="40" w:type="dxa"/>
              <w:left w:w="0" w:type="dxa"/>
              <w:bottom w:w="40" w:type="dxa"/>
              <w:right w:w="20" w:type="dxa"/>
            </w:tcMar>
            <w:vAlign w:val="bottom"/>
          </w:tcPr>
          <w:p w14:paraId="7DCFE89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9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96" w14:textId="77777777" w:rsidR="00C1563E" w:rsidRDefault="000B648B">
            <w:pPr>
              <w:jc w:val="right"/>
              <w:textAlignment w:val="bottom"/>
            </w:pPr>
            <w:r>
              <w:rPr>
                <w:rFonts w:ascii="Times New Roman" w:eastAsia="宋体" w:hAnsi="Times New Roman"/>
                <w:color w:val="000000"/>
                <w:sz w:val="20"/>
                <w:szCs w:val="20"/>
              </w:rPr>
              <w:t>(2,170)</w:t>
            </w:r>
          </w:p>
        </w:tc>
        <w:tc>
          <w:tcPr>
            <w:tcW w:w="0" w:type="auto"/>
            <w:shd w:val="clear" w:color="auto" w:fill="CCEEFF"/>
            <w:tcMar>
              <w:top w:w="40" w:type="dxa"/>
              <w:left w:w="0" w:type="dxa"/>
              <w:bottom w:w="40" w:type="dxa"/>
              <w:right w:w="20" w:type="dxa"/>
            </w:tcMar>
            <w:vAlign w:val="bottom"/>
          </w:tcPr>
          <w:p w14:paraId="7DCFE897" w14:textId="77777777" w:rsidR="00C1563E" w:rsidRDefault="00C1563E">
            <w:pPr>
              <w:jc w:val="right"/>
              <w:rPr>
                <w:rFonts w:ascii="宋体"/>
              </w:rPr>
            </w:pPr>
          </w:p>
        </w:tc>
      </w:tr>
      <w:tr w:rsidR="00C1563E" w14:paraId="7DCFE8A2" w14:textId="77777777">
        <w:trPr>
          <w:jc w:val="center"/>
        </w:trPr>
        <w:tc>
          <w:tcPr>
            <w:tcW w:w="0" w:type="auto"/>
            <w:gridSpan w:val="3"/>
            <w:shd w:val="clear" w:color="auto" w:fill="FFFFFF"/>
            <w:tcMar>
              <w:top w:w="40" w:type="dxa"/>
              <w:left w:w="245" w:type="dxa"/>
              <w:bottom w:w="40" w:type="dxa"/>
              <w:right w:w="20" w:type="dxa"/>
            </w:tcMar>
            <w:vAlign w:val="bottom"/>
          </w:tcPr>
          <w:p w14:paraId="7DCFE899" w14:textId="77777777" w:rsidR="00C1563E" w:rsidRDefault="000B648B">
            <w:pPr>
              <w:textAlignment w:val="bottom"/>
            </w:pPr>
            <w:r>
              <w:rPr>
                <w:rFonts w:ascii="Times New Roman" w:eastAsia="宋体" w:hAnsi="Times New Roman"/>
                <w:color w:val="000000"/>
                <w:sz w:val="20"/>
                <w:szCs w:val="20"/>
              </w:rPr>
              <w:t>Income (loss)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9A" w14:textId="77777777" w:rsidR="00C1563E" w:rsidRDefault="000B648B">
            <w:pPr>
              <w:jc w:val="right"/>
              <w:textAlignment w:val="bottom"/>
            </w:pPr>
            <w:r>
              <w:rPr>
                <w:rFonts w:ascii="Times New Roman" w:eastAsia="宋体" w:hAnsi="Times New Roman"/>
                <w:color w:val="000000"/>
                <w:sz w:val="20"/>
                <w:szCs w:val="20"/>
              </w:rPr>
              <w:t>3,670 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9C"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9D" w14:textId="77777777" w:rsidR="00C1563E" w:rsidRDefault="000B648B">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9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9F"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A0" w14:textId="77777777" w:rsidR="00C1563E" w:rsidRDefault="000B648B">
            <w:pPr>
              <w:jc w:val="right"/>
              <w:textAlignment w:val="bottom"/>
            </w:pPr>
            <w:r>
              <w:rPr>
                <w:rFonts w:ascii="Times New Roman" w:eastAsia="宋体" w:hAnsi="Times New Roman"/>
                <w:color w:val="000000"/>
                <w:sz w:val="20"/>
                <w:szCs w:val="20"/>
              </w:rPr>
              <w:t>(2,361)</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A1" w14:textId="77777777" w:rsidR="00C1563E" w:rsidRDefault="00C1563E">
            <w:pPr>
              <w:jc w:val="right"/>
              <w:rPr>
                <w:rFonts w:ascii="宋体"/>
              </w:rPr>
            </w:pPr>
          </w:p>
        </w:tc>
      </w:tr>
      <w:tr w:rsidR="00C1563E" w14:paraId="7DCFE8AC" w14:textId="77777777">
        <w:trPr>
          <w:jc w:val="center"/>
        </w:trPr>
        <w:tc>
          <w:tcPr>
            <w:tcW w:w="0" w:type="auto"/>
            <w:gridSpan w:val="3"/>
            <w:shd w:val="clear" w:color="auto" w:fill="CCEEFF"/>
            <w:tcMar>
              <w:top w:w="40" w:type="dxa"/>
              <w:left w:w="20" w:type="dxa"/>
              <w:bottom w:w="40" w:type="dxa"/>
              <w:right w:w="20" w:type="dxa"/>
            </w:tcMar>
            <w:vAlign w:val="bottom"/>
          </w:tcPr>
          <w:p w14:paraId="7DCFE8A3" w14:textId="77777777" w:rsidR="00C1563E" w:rsidRDefault="000B648B">
            <w:pPr>
              <w:textAlignment w:val="bottom"/>
            </w:pPr>
            <w:r>
              <w:rPr>
                <w:rFonts w:ascii="Times New Roman" w:eastAsia="宋体" w:hAnsi="Times New Roman"/>
                <w:color w:val="000000"/>
                <w:sz w:val="20"/>
                <w:szCs w:val="20"/>
              </w:rPr>
              <w:t>Incom</w:t>
            </w:r>
            <w:r>
              <w:rPr>
                <w:rFonts w:ascii="Times New Roman" w:eastAsia="宋体" w:hAnsi="Times New Roman"/>
                <w:color w:val="000000"/>
                <w:sz w:val="20"/>
                <w:szCs w:val="20"/>
              </w:rPr>
              <w:t>e tax expense (benefit)</w:t>
            </w:r>
          </w:p>
        </w:tc>
        <w:tc>
          <w:tcPr>
            <w:tcW w:w="0" w:type="auto"/>
            <w:gridSpan w:val="2"/>
            <w:shd w:val="clear" w:color="auto" w:fill="CCEEFF"/>
            <w:tcMar>
              <w:top w:w="40" w:type="dxa"/>
              <w:left w:w="20" w:type="dxa"/>
              <w:bottom w:w="40" w:type="dxa"/>
              <w:right w:w="0" w:type="dxa"/>
            </w:tcMar>
            <w:vAlign w:val="bottom"/>
          </w:tcPr>
          <w:p w14:paraId="7DCFE8A4" w14:textId="77777777" w:rsidR="00C1563E" w:rsidRDefault="000B648B">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7DCFE8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A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A7" w14:textId="77777777" w:rsidR="00C1563E" w:rsidRDefault="000B648B">
            <w:pPr>
              <w:jc w:val="right"/>
              <w:textAlignment w:val="bottom"/>
            </w:pPr>
            <w:r>
              <w:rPr>
                <w:rFonts w:ascii="Times New Roman" w:eastAsia="宋体" w:hAnsi="Times New Roman"/>
                <w:color w:val="000000"/>
                <w:sz w:val="20"/>
                <w:szCs w:val="20"/>
              </w:rPr>
              <w:t>(5,533)</w:t>
            </w:r>
          </w:p>
        </w:tc>
        <w:tc>
          <w:tcPr>
            <w:tcW w:w="0" w:type="auto"/>
            <w:shd w:val="clear" w:color="auto" w:fill="CCEEFF"/>
            <w:tcMar>
              <w:top w:w="40" w:type="dxa"/>
              <w:left w:w="0" w:type="dxa"/>
              <w:bottom w:w="40" w:type="dxa"/>
              <w:right w:w="20" w:type="dxa"/>
            </w:tcMar>
            <w:vAlign w:val="bottom"/>
          </w:tcPr>
          <w:p w14:paraId="7DCFE8A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A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AA" w14:textId="77777777" w:rsidR="00C1563E" w:rsidRDefault="000B648B">
            <w:pPr>
              <w:jc w:val="right"/>
              <w:textAlignment w:val="bottom"/>
            </w:pPr>
            <w:r>
              <w:rPr>
                <w:rFonts w:ascii="Times New Roman" w:eastAsia="宋体" w:hAnsi="Times New Roman"/>
                <w:color w:val="000000"/>
                <w:sz w:val="20"/>
                <w:szCs w:val="20"/>
              </w:rPr>
              <w:t>(180)</w:t>
            </w:r>
          </w:p>
        </w:tc>
        <w:tc>
          <w:tcPr>
            <w:tcW w:w="0" w:type="auto"/>
            <w:shd w:val="clear" w:color="auto" w:fill="CCEEFF"/>
            <w:tcMar>
              <w:top w:w="40" w:type="dxa"/>
              <w:left w:w="0" w:type="dxa"/>
              <w:bottom w:w="40" w:type="dxa"/>
              <w:right w:w="20" w:type="dxa"/>
            </w:tcMar>
            <w:vAlign w:val="bottom"/>
          </w:tcPr>
          <w:p w14:paraId="7DCFE8AB" w14:textId="77777777" w:rsidR="00C1563E" w:rsidRDefault="00C1563E">
            <w:pPr>
              <w:jc w:val="right"/>
              <w:rPr>
                <w:rFonts w:ascii="宋体"/>
              </w:rPr>
            </w:pPr>
          </w:p>
        </w:tc>
      </w:tr>
      <w:tr w:rsidR="00C1563E" w14:paraId="7DCFE8B6" w14:textId="77777777">
        <w:trPr>
          <w:jc w:val="center"/>
        </w:trPr>
        <w:tc>
          <w:tcPr>
            <w:tcW w:w="0" w:type="auto"/>
            <w:gridSpan w:val="3"/>
            <w:shd w:val="clear" w:color="auto" w:fill="FFFFFF"/>
            <w:tcMar>
              <w:top w:w="40" w:type="dxa"/>
              <w:left w:w="245" w:type="dxa"/>
              <w:bottom w:w="40" w:type="dxa"/>
              <w:right w:w="20" w:type="dxa"/>
            </w:tcMar>
            <w:vAlign w:val="bottom"/>
          </w:tcPr>
          <w:p w14:paraId="7DCFE8AD" w14:textId="77777777" w:rsidR="00C1563E" w:rsidRDefault="000B648B">
            <w:pPr>
              <w:textAlignment w:val="bottom"/>
            </w:pPr>
            <w:r>
              <w:rPr>
                <w:rFonts w:ascii="Times New Roman" w:eastAsia="宋体" w:hAnsi="Times New Roman"/>
                <w:color w:val="000000"/>
                <w:sz w:val="20"/>
                <w:szCs w:val="20"/>
              </w:rPr>
              <w:t>Net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AE" w14:textId="77777777" w:rsidR="00C1563E" w:rsidRDefault="000B648B">
            <w:pPr>
              <w:jc w:val="right"/>
              <w:textAlignment w:val="bottom"/>
            </w:pPr>
            <w:r>
              <w:rPr>
                <w:rFonts w:ascii="Times New Roman" w:eastAsia="宋体" w:hAnsi="Times New Roman"/>
                <w:color w:val="000000"/>
                <w:sz w:val="20"/>
                <w:szCs w:val="20"/>
              </w:rPr>
              <w:t>3,505 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B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B1" w14:textId="77777777" w:rsidR="00C1563E" w:rsidRDefault="000B648B">
            <w:pPr>
              <w:jc w:val="right"/>
              <w:textAlignment w:val="bottom"/>
            </w:pPr>
            <w:r>
              <w:rPr>
                <w:rFonts w:ascii="Times New Roman" w:eastAsia="宋体" w:hAnsi="Times New Roman"/>
                <w:color w:val="000000"/>
                <w:sz w:val="20"/>
                <w:szCs w:val="20"/>
              </w:rPr>
              <w:t>5,529 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B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B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8B4" w14:textId="77777777" w:rsidR="00C1563E" w:rsidRDefault="000B648B">
            <w:pPr>
              <w:jc w:val="right"/>
              <w:textAlignment w:val="bottom"/>
            </w:pPr>
            <w:r>
              <w:rPr>
                <w:rFonts w:ascii="Times New Roman" w:eastAsia="宋体" w:hAnsi="Times New Roman"/>
                <w:color w:val="000000"/>
                <w:sz w:val="20"/>
                <w:szCs w:val="20"/>
              </w:rPr>
              <w:t>(2,181)</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B5" w14:textId="77777777" w:rsidR="00C1563E" w:rsidRDefault="00C1563E">
            <w:pPr>
              <w:jc w:val="right"/>
              <w:rPr>
                <w:rFonts w:ascii="宋体"/>
              </w:rPr>
            </w:pPr>
          </w:p>
        </w:tc>
      </w:tr>
      <w:tr w:rsidR="00C1563E" w14:paraId="7DCFE8C0" w14:textId="77777777">
        <w:trPr>
          <w:jc w:val="center"/>
        </w:trPr>
        <w:tc>
          <w:tcPr>
            <w:tcW w:w="0" w:type="auto"/>
            <w:gridSpan w:val="3"/>
            <w:shd w:val="clear" w:color="auto" w:fill="CCEEFF"/>
            <w:tcMar>
              <w:top w:w="40" w:type="dxa"/>
              <w:left w:w="20" w:type="dxa"/>
              <w:bottom w:w="40" w:type="dxa"/>
              <w:right w:w="20" w:type="dxa"/>
            </w:tcMar>
            <w:vAlign w:val="bottom"/>
          </w:tcPr>
          <w:p w14:paraId="7DCFE8B7" w14:textId="77777777" w:rsidR="00C1563E" w:rsidRDefault="000B648B">
            <w:pPr>
              <w:textAlignment w:val="bottom"/>
            </w:pPr>
            <w:r>
              <w:rPr>
                <w:rFonts w:ascii="Times New Roman" w:eastAsia="宋体" w:hAnsi="Times New Roman"/>
                <w:color w:val="000000"/>
                <w:sz w:val="20"/>
                <w:szCs w:val="20"/>
              </w:rPr>
              <w:t>Less:</w:t>
            </w:r>
            <w:r>
              <w:rPr>
                <w:rFonts w:ascii="Times New Roman" w:eastAsia="宋体" w:hAnsi="Times New Roman"/>
                <w:color w:val="000000"/>
                <w:sz w:val="20"/>
                <w:szCs w:val="20"/>
              </w:rPr>
              <w:t xml:space="preserve"> Net income attributable to non-controlling interests</w:t>
            </w:r>
          </w:p>
        </w:tc>
        <w:tc>
          <w:tcPr>
            <w:tcW w:w="0" w:type="auto"/>
            <w:gridSpan w:val="2"/>
            <w:shd w:val="clear" w:color="auto" w:fill="CCEEFF"/>
            <w:tcMar>
              <w:top w:w="40" w:type="dxa"/>
              <w:left w:w="20" w:type="dxa"/>
              <w:bottom w:w="40" w:type="dxa"/>
              <w:right w:w="0" w:type="dxa"/>
            </w:tcMar>
            <w:vAlign w:val="bottom"/>
          </w:tcPr>
          <w:p w14:paraId="7DCFE8B8" w14:textId="77777777" w:rsidR="00C1563E" w:rsidRDefault="000B648B">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bottom"/>
          </w:tcPr>
          <w:p w14:paraId="7DCFE8B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B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BB" w14:textId="77777777" w:rsidR="00C1563E" w:rsidRDefault="000B648B">
            <w:pPr>
              <w:jc w:val="right"/>
              <w:textAlignment w:val="bottom"/>
            </w:pPr>
            <w:r>
              <w:rPr>
                <w:rFonts w:ascii="Times New Roman" w:eastAsia="宋体" w:hAnsi="Times New Roman"/>
                <w:color w:val="000000"/>
                <w:sz w:val="20"/>
                <w:szCs w:val="20"/>
              </w:rPr>
              <w:t>913 </w:t>
            </w:r>
          </w:p>
        </w:tc>
        <w:tc>
          <w:tcPr>
            <w:tcW w:w="0" w:type="auto"/>
            <w:shd w:val="clear" w:color="auto" w:fill="CCEEFF"/>
            <w:tcMar>
              <w:top w:w="40" w:type="dxa"/>
              <w:left w:w="0" w:type="dxa"/>
              <w:bottom w:w="40" w:type="dxa"/>
              <w:right w:w="20" w:type="dxa"/>
            </w:tcMar>
            <w:vAlign w:val="bottom"/>
          </w:tcPr>
          <w:p w14:paraId="7DCFE8B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B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8BE" w14:textId="77777777" w:rsidR="00C1563E" w:rsidRDefault="000B648B">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7DCFE8BF" w14:textId="77777777" w:rsidR="00C1563E" w:rsidRDefault="00C1563E">
            <w:pPr>
              <w:jc w:val="right"/>
              <w:rPr>
                <w:rFonts w:ascii="宋体"/>
              </w:rPr>
            </w:pPr>
          </w:p>
        </w:tc>
      </w:tr>
      <w:tr w:rsidR="00C1563E" w14:paraId="7DCFE8CD" w14:textId="77777777">
        <w:trPr>
          <w:jc w:val="center"/>
        </w:trPr>
        <w:tc>
          <w:tcPr>
            <w:tcW w:w="0" w:type="auto"/>
            <w:gridSpan w:val="3"/>
            <w:shd w:val="clear" w:color="auto" w:fill="FFFFFF"/>
            <w:tcMar>
              <w:top w:w="40" w:type="dxa"/>
              <w:left w:w="245" w:type="dxa"/>
              <w:bottom w:w="40" w:type="dxa"/>
              <w:right w:w="20" w:type="dxa"/>
            </w:tcMar>
            <w:vAlign w:val="bottom"/>
          </w:tcPr>
          <w:p w14:paraId="7DCFE8C1" w14:textId="77777777" w:rsidR="00C1563E" w:rsidRDefault="000B648B">
            <w:pPr>
              <w:textAlignment w:val="bottom"/>
            </w:pPr>
            <w:r>
              <w:rPr>
                <w:rFonts w:ascii="Times New Roman" w:eastAsia="宋体" w:hAnsi="Times New Roman"/>
                <w:color w:val="000000"/>
                <w:sz w:val="20"/>
                <w:szCs w:val="20"/>
              </w:rPr>
              <w:t>Net income (loss) attributable to Dell Technologies Inc.</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E8C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8C3" w14:textId="77777777" w:rsidR="00C1563E" w:rsidRDefault="000B648B">
            <w:pPr>
              <w:jc w:val="right"/>
              <w:textAlignment w:val="bottom"/>
            </w:pPr>
            <w:r>
              <w:rPr>
                <w:rFonts w:ascii="Times New Roman" w:eastAsia="宋体" w:hAnsi="Times New Roman"/>
                <w:color w:val="000000"/>
                <w:sz w:val="20"/>
                <w:szCs w:val="20"/>
              </w:rPr>
              <w:t>3,250 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C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C5"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8C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8C7" w14:textId="77777777" w:rsidR="00C1563E" w:rsidRDefault="000B648B">
            <w:pPr>
              <w:jc w:val="right"/>
              <w:textAlignment w:val="bottom"/>
            </w:pPr>
            <w:r>
              <w:rPr>
                <w:rFonts w:ascii="Times New Roman" w:eastAsia="宋体" w:hAnsi="Times New Roman"/>
                <w:color w:val="000000"/>
                <w:sz w:val="20"/>
                <w:szCs w:val="20"/>
              </w:rPr>
              <w:t>4,616 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C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8C9"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8C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8CB" w14:textId="77777777" w:rsidR="00C1563E" w:rsidRDefault="000B648B">
            <w:pPr>
              <w:jc w:val="right"/>
              <w:textAlignment w:val="bottom"/>
            </w:pPr>
            <w:r>
              <w:rPr>
                <w:rFonts w:ascii="Times New Roman" w:eastAsia="宋体" w:hAnsi="Times New Roman"/>
                <w:color w:val="000000"/>
                <w:sz w:val="20"/>
                <w:szCs w:val="20"/>
              </w:rPr>
              <w:t>(2,310)</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8CC" w14:textId="77777777" w:rsidR="00C1563E" w:rsidRDefault="00C1563E">
            <w:pPr>
              <w:jc w:val="right"/>
              <w:rPr>
                <w:rFonts w:ascii="宋体"/>
              </w:rPr>
            </w:pPr>
          </w:p>
        </w:tc>
      </w:tr>
      <w:tr w:rsidR="00C1563E" w14:paraId="7DCFE8D4" w14:textId="77777777">
        <w:trPr>
          <w:trHeight w:val="300"/>
          <w:jc w:val="center"/>
        </w:trPr>
        <w:tc>
          <w:tcPr>
            <w:tcW w:w="0" w:type="auto"/>
            <w:gridSpan w:val="3"/>
            <w:shd w:val="clear" w:color="auto" w:fill="CCEEFF"/>
            <w:tcMar>
              <w:top w:w="0" w:type="dxa"/>
              <w:left w:w="20" w:type="dxa"/>
              <w:bottom w:w="0" w:type="dxa"/>
              <w:right w:w="20" w:type="dxa"/>
            </w:tcMar>
          </w:tcPr>
          <w:p w14:paraId="7DCFE8CE"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E8C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D0"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E8D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D2"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CFE8D3" w14:textId="77777777" w:rsidR="00C1563E" w:rsidRDefault="00C1563E">
            <w:pPr>
              <w:rPr>
                <w:rFonts w:ascii="宋体"/>
              </w:rPr>
            </w:pPr>
          </w:p>
        </w:tc>
      </w:tr>
      <w:tr w:rsidR="00C1563E" w14:paraId="7DCFE8D8" w14:textId="77777777">
        <w:trPr>
          <w:jc w:val="center"/>
        </w:trPr>
        <w:tc>
          <w:tcPr>
            <w:tcW w:w="0" w:type="auto"/>
            <w:gridSpan w:val="12"/>
            <w:shd w:val="clear" w:color="auto" w:fill="FFFFFF"/>
            <w:tcMar>
              <w:top w:w="40" w:type="dxa"/>
              <w:left w:w="20" w:type="dxa"/>
              <w:bottom w:w="40" w:type="dxa"/>
              <w:right w:w="20" w:type="dxa"/>
            </w:tcMar>
            <w:vAlign w:val="bottom"/>
          </w:tcPr>
          <w:p w14:paraId="7DCFE8D5" w14:textId="77777777" w:rsidR="00C1563E" w:rsidRDefault="000B648B">
            <w:pPr>
              <w:textAlignment w:val="bottom"/>
            </w:pPr>
            <w:r>
              <w:rPr>
                <w:rFonts w:ascii="Times New Roman" w:eastAsia="宋体" w:hAnsi="Times New Roman"/>
                <w:i/>
                <w:iCs/>
                <w:color w:val="000000"/>
                <w:sz w:val="20"/>
                <w:szCs w:val="20"/>
              </w:rPr>
              <w:t>Earnings (loss) per share attributable to Dell Technologies Inc. — basic:</w:t>
            </w:r>
          </w:p>
        </w:tc>
        <w:tc>
          <w:tcPr>
            <w:tcW w:w="0" w:type="auto"/>
            <w:gridSpan w:val="3"/>
            <w:shd w:val="clear" w:color="auto" w:fill="FFFFFF"/>
            <w:tcMar>
              <w:top w:w="0" w:type="dxa"/>
              <w:left w:w="20" w:type="dxa"/>
              <w:bottom w:w="0" w:type="dxa"/>
              <w:right w:w="20" w:type="dxa"/>
            </w:tcMar>
          </w:tcPr>
          <w:p w14:paraId="7DCFE8D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D7" w14:textId="77777777" w:rsidR="00C1563E" w:rsidRDefault="00C1563E">
            <w:pPr>
              <w:rPr>
                <w:rFonts w:ascii="宋体"/>
              </w:rPr>
            </w:pPr>
          </w:p>
        </w:tc>
      </w:tr>
      <w:tr w:rsidR="00C1563E" w14:paraId="7DCFE8E3" w14:textId="77777777">
        <w:trPr>
          <w:jc w:val="center"/>
        </w:trPr>
        <w:tc>
          <w:tcPr>
            <w:tcW w:w="0" w:type="auto"/>
            <w:gridSpan w:val="3"/>
            <w:shd w:val="clear" w:color="auto" w:fill="CCEEFF"/>
            <w:tcMar>
              <w:top w:w="40" w:type="dxa"/>
              <w:left w:w="245" w:type="dxa"/>
              <w:bottom w:w="40" w:type="dxa"/>
              <w:right w:w="20" w:type="dxa"/>
            </w:tcMar>
            <w:vAlign w:val="bottom"/>
          </w:tcPr>
          <w:p w14:paraId="7DCFE8D9" w14:textId="77777777" w:rsidR="00C1563E" w:rsidRDefault="000B648B">
            <w:pPr>
              <w:textAlignment w:val="bottom"/>
            </w:pPr>
            <w:r>
              <w:rPr>
                <w:rFonts w:ascii="Times New Roman" w:eastAsia="宋体" w:hAnsi="Times New Roman"/>
                <w:color w:val="000000"/>
                <w:sz w:val="20"/>
                <w:szCs w:val="20"/>
              </w:rPr>
              <w:t>Dell Technologies Common Stock</w:t>
            </w:r>
          </w:p>
        </w:tc>
        <w:tc>
          <w:tcPr>
            <w:tcW w:w="0" w:type="auto"/>
            <w:shd w:val="clear" w:color="auto" w:fill="CCEEFF"/>
            <w:tcMar>
              <w:top w:w="40" w:type="dxa"/>
              <w:left w:w="20" w:type="dxa"/>
              <w:bottom w:w="40" w:type="dxa"/>
              <w:right w:w="0" w:type="dxa"/>
            </w:tcMar>
            <w:vAlign w:val="bottom"/>
          </w:tcPr>
          <w:p w14:paraId="7DCFE8D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8DB" w14:textId="77777777" w:rsidR="00C1563E" w:rsidRDefault="000B648B">
            <w:pPr>
              <w:jc w:val="right"/>
              <w:textAlignment w:val="bottom"/>
            </w:pPr>
            <w:r>
              <w:rPr>
                <w:rFonts w:ascii="Times New Roman" w:eastAsia="宋体" w:hAnsi="Times New Roman"/>
                <w:color w:val="000000"/>
                <w:sz w:val="20"/>
                <w:szCs w:val="20"/>
              </w:rPr>
              <w:t>4.37 </w:t>
            </w:r>
          </w:p>
        </w:tc>
        <w:tc>
          <w:tcPr>
            <w:tcW w:w="0" w:type="auto"/>
            <w:shd w:val="clear" w:color="auto" w:fill="CCEEFF"/>
            <w:tcMar>
              <w:top w:w="40" w:type="dxa"/>
              <w:left w:w="0" w:type="dxa"/>
              <w:bottom w:w="40" w:type="dxa"/>
              <w:right w:w="20" w:type="dxa"/>
            </w:tcMar>
            <w:vAlign w:val="bottom"/>
          </w:tcPr>
          <w:p w14:paraId="7DCFE8D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D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8D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8DF" w14:textId="77777777" w:rsidR="00C1563E" w:rsidRDefault="000B648B">
            <w:pPr>
              <w:jc w:val="right"/>
              <w:textAlignment w:val="bottom"/>
            </w:pPr>
            <w:r>
              <w:rPr>
                <w:rFonts w:ascii="Times New Roman" w:eastAsia="宋体" w:hAnsi="Times New Roman"/>
                <w:color w:val="000000"/>
                <w:sz w:val="20"/>
                <w:szCs w:val="20"/>
              </w:rPr>
              <w:t>6.38 </w:t>
            </w:r>
          </w:p>
        </w:tc>
        <w:tc>
          <w:tcPr>
            <w:tcW w:w="0" w:type="auto"/>
            <w:shd w:val="clear" w:color="auto" w:fill="CCEEFF"/>
            <w:tcMar>
              <w:top w:w="40" w:type="dxa"/>
              <w:left w:w="0" w:type="dxa"/>
              <w:bottom w:w="40" w:type="dxa"/>
              <w:right w:w="20" w:type="dxa"/>
            </w:tcMar>
            <w:vAlign w:val="bottom"/>
          </w:tcPr>
          <w:p w14:paraId="7DCFE8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8E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E2" w14:textId="77777777" w:rsidR="00C1563E" w:rsidRDefault="00C1563E">
            <w:pPr>
              <w:rPr>
                <w:rFonts w:ascii="宋体"/>
              </w:rPr>
            </w:pPr>
          </w:p>
        </w:tc>
      </w:tr>
      <w:tr w:rsidR="00C1563E" w14:paraId="7DCFE8EC" w14:textId="77777777">
        <w:trPr>
          <w:jc w:val="center"/>
        </w:trPr>
        <w:tc>
          <w:tcPr>
            <w:tcW w:w="0" w:type="auto"/>
            <w:gridSpan w:val="3"/>
            <w:shd w:val="clear" w:color="auto" w:fill="FFFFFF"/>
            <w:tcMar>
              <w:top w:w="40" w:type="dxa"/>
              <w:left w:w="245" w:type="dxa"/>
              <w:bottom w:w="40" w:type="dxa"/>
              <w:right w:w="20" w:type="dxa"/>
            </w:tcMar>
            <w:vAlign w:val="bottom"/>
          </w:tcPr>
          <w:p w14:paraId="7DCFE8E4" w14:textId="77777777" w:rsidR="00C1563E" w:rsidRDefault="000B648B">
            <w:pPr>
              <w:textAlignment w:val="bottom"/>
            </w:pPr>
            <w:r>
              <w:rPr>
                <w:rFonts w:ascii="Times New Roman" w:eastAsia="宋体" w:hAnsi="Times New Roman"/>
                <w:color w:val="000000"/>
                <w:sz w:val="20"/>
                <w:szCs w:val="20"/>
              </w:rPr>
              <w:t>Class V Common Stock</w:t>
            </w:r>
          </w:p>
        </w:tc>
        <w:tc>
          <w:tcPr>
            <w:tcW w:w="0" w:type="auto"/>
            <w:gridSpan w:val="3"/>
            <w:shd w:val="clear" w:color="auto" w:fill="FFFFFF"/>
            <w:tcMar>
              <w:top w:w="0" w:type="dxa"/>
              <w:left w:w="20" w:type="dxa"/>
              <w:bottom w:w="0" w:type="dxa"/>
              <w:right w:w="20" w:type="dxa"/>
            </w:tcMar>
          </w:tcPr>
          <w:p w14:paraId="7DCFE8E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E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E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E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8E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8EA" w14:textId="77777777" w:rsidR="00C1563E" w:rsidRDefault="000B648B">
            <w:pPr>
              <w:jc w:val="right"/>
              <w:textAlignment w:val="bottom"/>
            </w:pPr>
            <w:r>
              <w:rPr>
                <w:rFonts w:ascii="Times New Roman" w:eastAsia="宋体" w:hAnsi="Times New Roman"/>
                <w:color w:val="000000"/>
                <w:sz w:val="20"/>
                <w:szCs w:val="20"/>
              </w:rPr>
              <w:t>6.01 </w:t>
            </w:r>
          </w:p>
        </w:tc>
        <w:tc>
          <w:tcPr>
            <w:tcW w:w="0" w:type="auto"/>
            <w:shd w:val="clear" w:color="auto" w:fill="FFFFFF"/>
            <w:tcMar>
              <w:top w:w="40" w:type="dxa"/>
              <w:left w:w="0" w:type="dxa"/>
              <w:bottom w:w="40" w:type="dxa"/>
              <w:right w:w="20" w:type="dxa"/>
            </w:tcMar>
            <w:vAlign w:val="bottom"/>
          </w:tcPr>
          <w:p w14:paraId="7DCFE8EB" w14:textId="77777777" w:rsidR="00C1563E" w:rsidRDefault="00C1563E">
            <w:pPr>
              <w:jc w:val="right"/>
              <w:rPr>
                <w:rFonts w:ascii="宋体"/>
              </w:rPr>
            </w:pPr>
          </w:p>
        </w:tc>
      </w:tr>
      <w:tr w:rsidR="00C1563E" w14:paraId="7DCFE8F5" w14:textId="77777777">
        <w:trPr>
          <w:jc w:val="center"/>
        </w:trPr>
        <w:tc>
          <w:tcPr>
            <w:tcW w:w="0" w:type="auto"/>
            <w:gridSpan w:val="3"/>
            <w:shd w:val="clear" w:color="auto" w:fill="CCEEFF"/>
            <w:tcMar>
              <w:top w:w="40" w:type="dxa"/>
              <w:left w:w="245" w:type="dxa"/>
              <w:bottom w:w="40" w:type="dxa"/>
              <w:right w:w="20" w:type="dxa"/>
            </w:tcMar>
            <w:vAlign w:val="bottom"/>
          </w:tcPr>
          <w:p w14:paraId="7DCFE8ED" w14:textId="77777777" w:rsidR="00C1563E" w:rsidRDefault="000B648B">
            <w:pPr>
              <w:textAlignment w:val="bottom"/>
            </w:pPr>
            <w:r>
              <w:rPr>
                <w:rFonts w:ascii="Times New Roman" w:eastAsia="宋体" w:hAnsi="Times New Roman"/>
                <w:color w:val="000000"/>
                <w:sz w:val="20"/>
                <w:szCs w:val="20"/>
              </w:rPr>
              <w:t>DHI Group</w:t>
            </w:r>
          </w:p>
        </w:tc>
        <w:tc>
          <w:tcPr>
            <w:tcW w:w="0" w:type="auto"/>
            <w:gridSpan w:val="3"/>
            <w:shd w:val="clear" w:color="auto" w:fill="CCEEFF"/>
            <w:tcMar>
              <w:top w:w="0" w:type="dxa"/>
              <w:left w:w="20" w:type="dxa"/>
              <w:bottom w:w="0" w:type="dxa"/>
              <w:right w:w="20" w:type="dxa"/>
            </w:tcMar>
          </w:tcPr>
          <w:p w14:paraId="7DCFE8E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F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F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8F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8F3" w14:textId="77777777" w:rsidR="00C1563E" w:rsidRDefault="000B648B">
            <w:pPr>
              <w:jc w:val="right"/>
              <w:textAlignment w:val="bottom"/>
            </w:pPr>
            <w:r>
              <w:rPr>
                <w:rFonts w:ascii="Times New Roman" w:eastAsia="宋体" w:hAnsi="Times New Roman"/>
                <w:color w:val="000000"/>
                <w:sz w:val="20"/>
                <w:szCs w:val="20"/>
              </w:rPr>
              <w:t>(6.02)</w:t>
            </w:r>
          </w:p>
        </w:tc>
        <w:tc>
          <w:tcPr>
            <w:tcW w:w="0" w:type="auto"/>
            <w:shd w:val="clear" w:color="auto" w:fill="CCEEFF"/>
            <w:tcMar>
              <w:top w:w="40" w:type="dxa"/>
              <w:left w:w="0" w:type="dxa"/>
              <w:bottom w:w="40" w:type="dxa"/>
              <w:right w:w="20" w:type="dxa"/>
            </w:tcMar>
            <w:vAlign w:val="bottom"/>
          </w:tcPr>
          <w:p w14:paraId="7DCFE8F4" w14:textId="77777777" w:rsidR="00C1563E" w:rsidRDefault="00C1563E">
            <w:pPr>
              <w:jc w:val="right"/>
              <w:rPr>
                <w:rFonts w:ascii="宋体"/>
              </w:rPr>
            </w:pPr>
          </w:p>
        </w:tc>
      </w:tr>
      <w:tr w:rsidR="00C1563E" w14:paraId="7DCFE8FC" w14:textId="77777777">
        <w:trPr>
          <w:trHeight w:val="300"/>
          <w:jc w:val="center"/>
        </w:trPr>
        <w:tc>
          <w:tcPr>
            <w:tcW w:w="0" w:type="auto"/>
            <w:gridSpan w:val="3"/>
            <w:shd w:val="clear" w:color="auto" w:fill="FFFFFF"/>
            <w:tcMar>
              <w:top w:w="0" w:type="dxa"/>
              <w:left w:w="20" w:type="dxa"/>
              <w:bottom w:w="0" w:type="dxa"/>
              <w:right w:w="20" w:type="dxa"/>
            </w:tcMar>
          </w:tcPr>
          <w:p w14:paraId="7DCFE8F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F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F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F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F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8FB" w14:textId="77777777" w:rsidR="00C1563E" w:rsidRDefault="00C1563E">
            <w:pPr>
              <w:rPr>
                <w:rFonts w:ascii="宋体"/>
              </w:rPr>
            </w:pPr>
          </w:p>
        </w:tc>
      </w:tr>
      <w:tr w:rsidR="00C1563E" w14:paraId="7DCFE900" w14:textId="77777777">
        <w:trPr>
          <w:jc w:val="center"/>
        </w:trPr>
        <w:tc>
          <w:tcPr>
            <w:tcW w:w="0" w:type="auto"/>
            <w:gridSpan w:val="12"/>
            <w:shd w:val="clear" w:color="auto" w:fill="CCEEFF"/>
            <w:tcMar>
              <w:top w:w="40" w:type="dxa"/>
              <w:left w:w="20" w:type="dxa"/>
              <w:bottom w:w="40" w:type="dxa"/>
              <w:right w:w="20" w:type="dxa"/>
            </w:tcMar>
            <w:vAlign w:val="bottom"/>
          </w:tcPr>
          <w:p w14:paraId="7DCFE8FD" w14:textId="77777777" w:rsidR="00C1563E" w:rsidRDefault="000B648B">
            <w:pPr>
              <w:textAlignment w:val="bottom"/>
            </w:pPr>
            <w:r>
              <w:rPr>
                <w:rFonts w:ascii="Times New Roman" w:eastAsia="宋体" w:hAnsi="Times New Roman"/>
                <w:i/>
                <w:iCs/>
                <w:color w:val="000000"/>
                <w:sz w:val="20"/>
                <w:szCs w:val="20"/>
              </w:rPr>
              <w:t>Earnings (loss) per share attributable to Dell Technologies Inc. — diluted:</w:t>
            </w:r>
          </w:p>
        </w:tc>
        <w:tc>
          <w:tcPr>
            <w:tcW w:w="0" w:type="auto"/>
            <w:gridSpan w:val="3"/>
            <w:shd w:val="clear" w:color="auto" w:fill="CCEEFF"/>
            <w:tcMar>
              <w:top w:w="0" w:type="dxa"/>
              <w:left w:w="20" w:type="dxa"/>
              <w:bottom w:w="0" w:type="dxa"/>
              <w:right w:w="20" w:type="dxa"/>
            </w:tcMar>
          </w:tcPr>
          <w:p w14:paraId="7DCFE8F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8FF" w14:textId="77777777" w:rsidR="00C1563E" w:rsidRDefault="00C1563E">
            <w:pPr>
              <w:rPr>
                <w:rFonts w:ascii="宋体"/>
              </w:rPr>
            </w:pPr>
          </w:p>
        </w:tc>
      </w:tr>
      <w:tr w:rsidR="00C1563E" w14:paraId="7DCFE90B" w14:textId="77777777">
        <w:trPr>
          <w:jc w:val="center"/>
        </w:trPr>
        <w:tc>
          <w:tcPr>
            <w:tcW w:w="0" w:type="auto"/>
            <w:gridSpan w:val="3"/>
            <w:shd w:val="clear" w:color="auto" w:fill="FFFFFF"/>
            <w:tcMar>
              <w:top w:w="40" w:type="dxa"/>
              <w:left w:w="245" w:type="dxa"/>
              <w:bottom w:w="40" w:type="dxa"/>
              <w:right w:w="20" w:type="dxa"/>
            </w:tcMar>
            <w:vAlign w:val="bottom"/>
          </w:tcPr>
          <w:p w14:paraId="7DCFE901" w14:textId="77777777" w:rsidR="00C1563E" w:rsidRDefault="000B648B">
            <w:pPr>
              <w:textAlignment w:val="bottom"/>
            </w:pPr>
            <w:r>
              <w:rPr>
                <w:rFonts w:ascii="Times New Roman" w:eastAsia="宋体" w:hAnsi="Times New Roman"/>
                <w:color w:val="000000"/>
                <w:sz w:val="20"/>
                <w:szCs w:val="20"/>
              </w:rPr>
              <w:t>Dell Technologies Common Stock</w:t>
            </w:r>
          </w:p>
        </w:tc>
        <w:tc>
          <w:tcPr>
            <w:tcW w:w="0" w:type="auto"/>
            <w:shd w:val="clear" w:color="auto" w:fill="FFFFFF"/>
            <w:tcMar>
              <w:top w:w="40" w:type="dxa"/>
              <w:left w:w="20" w:type="dxa"/>
              <w:bottom w:w="40" w:type="dxa"/>
              <w:right w:w="0" w:type="dxa"/>
            </w:tcMar>
            <w:vAlign w:val="bottom"/>
          </w:tcPr>
          <w:p w14:paraId="7DCFE90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903" w14:textId="77777777" w:rsidR="00C1563E" w:rsidRDefault="000B648B">
            <w:pPr>
              <w:jc w:val="right"/>
              <w:textAlignment w:val="bottom"/>
            </w:pPr>
            <w:r>
              <w:rPr>
                <w:rFonts w:ascii="Times New Roman" w:eastAsia="宋体" w:hAnsi="Times New Roman"/>
                <w:color w:val="000000"/>
                <w:sz w:val="20"/>
                <w:szCs w:val="20"/>
              </w:rPr>
              <w:t>4.22 </w:t>
            </w:r>
          </w:p>
        </w:tc>
        <w:tc>
          <w:tcPr>
            <w:tcW w:w="0" w:type="auto"/>
            <w:shd w:val="clear" w:color="auto" w:fill="FFFFFF"/>
            <w:tcMar>
              <w:top w:w="40" w:type="dxa"/>
              <w:left w:w="0" w:type="dxa"/>
              <w:bottom w:w="40" w:type="dxa"/>
              <w:right w:w="20" w:type="dxa"/>
            </w:tcMar>
            <w:vAlign w:val="bottom"/>
          </w:tcPr>
          <w:p w14:paraId="7DCFE9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0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90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907" w14:textId="77777777" w:rsidR="00C1563E" w:rsidRDefault="000B648B">
            <w:pPr>
              <w:jc w:val="right"/>
              <w:textAlignment w:val="bottom"/>
            </w:pPr>
            <w:r>
              <w:rPr>
                <w:rFonts w:ascii="Times New Roman" w:eastAsia="宋体" w:hAnsi="Times New Roman"/>
                <w:color w:val="000000"/>
                <w:sz w:val="20"/>
                <w:szCs w:val="20"/>
              </w:rPr>
              <w:t>6.03 </w:t>
            </w:r>
          </w:p>
        </w:tc>
        <w:tc>
          <w:tcPr>
            <w:tcW w:w="0" w:type="auto"/>
            <w:shd w:val="clear" w:color="auto" w:fill="FFFFFF"/>
            <w:tcMar>
              <w:top w:w="40" w:type="dxa"/>
              <w:left w:w="0" w:type="dxa"/>
              <w:bottom w:w="40" w:type="dxa"/>
              <w:right w:w="20" w:type="dxa"/>
            </w:tcMar>
            <w:vAlign w:val="bottom"/>
          </w:tcPr>
          <w:p w14:paraId="7DCFE90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0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0A" w14:textId="77777777" w:rsidR="00C1563E" w:rsidRDefault="00C1563E">
            <w:pPr>
              <w:rPr>
                <w:rFonts w:ascii="宋体"/>
              </w:rPr>
            </w:pPr>
          </w:p>
        </w:tc>
      </w:tr>
      <w:tr w:rsidR="00C1563E" w14:paraId="7DCFE914" w14:textId="77777777">
        <w:trPr>
          <w:jc w:val="center"/>
        </w:trPr>
        <w:tc>
          <w:tcPr>
            <w:tcW w:w="0" w:type="auto"/>
            <w:gridSpan w:val="3"/>
            <w:shd w:val="clear" w:color="auto" w:fill="CCEEFF"/>
            <w:tcMar>
              <w:top w:w="40" w:type="dxa"/>
              <w:left w:w="245" w:type="dxa"/>
              <w:bottom w:w="40" w:type="dxa"/>
              <w:right w:w="20" w:type="dxa"/>
            </w:tcMar>
            <w:vAlign w:val="bottom"/>
          </w:tcPr>
          <w:p w14:paraId="7DCFE90C" w14:textId="77777777" w:rsidR="00C1563E" w:rsidRDefault="000B648B">
            <w:pPr>
              <w:textAlignment w:val="bottom"/>
            </w:pPr>
            <w:r>
              <w:rPr>
                <w:rFonts w:ascii="Times New Roman" w:eastAsia="宋体" w:hAnsi="Times New Roman"/>
                <w:color w:val="000000"/>
                <w:sz w:val="20"/>
                <w:szCs w:val="20"/>
              </w:rPr>
              <w:t>Class V Common Stock</w:t>
            </w:r>
          </w:p>
        </w:tc>
        <w:tc>
          <w:tcPr>
            <w:tcW w:w="0" w:type="auto"/>
            <w:gridSpan w:val="3"/>
            <w:shd w:val="clear" w:color="auto" w:fill="CCEEFF"/>
            <w:tcMar>
              <w:top w:w="0" w:type="dxa"/>
              <w:left w:w="20" w:type="dxa"/>
              <w:bottom w:w="0" w:type="dxa"/>
              <w:right w:w="20" w:type="dxa"/>
            </w:tcMar>
          </w:tcPr>
          <w:p w14:paraId="7DCFE90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0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0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1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91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E912" w14:textId="77777777" w:rsidR="00C1563E" w:rsidRDefault="000B648B">
            <w:pPr>
              <w:jc w:val="right"/>
              <w:textAlignment w:val="bottom"/>
            </w:pPr>
            <w:r>
              <w:rPr>
                <w:rFonts w:ascii="Times New Roman" w:eastAsia="宋体" w:hAnsi="Times New Roman"/>
                <w:color w:val="000000"/>
                <w:sz w:val="20"/>
                <w:szCs w:val="20"/>
              </w:rPr>
              <w:t>5.91 </w:t>
            </w:r>
          </w:p>
        </w:tc>
        <w:tc>
          <w:tcPr>
            <w:tcW w:w="0" w:type="auto"/>
            <w:shd w:val="clear" w:color="auto" w:fill="CCEEFF"/>
            <w:tcMar>
              <w:top w:w="40" w:type="dxa"/>
              <w:left w:w="0" w:type="dxa"/>
              <w:bottom w:w="40" w:type="dxa"/>
              <w:right w:w="20" w:type="dxa"/>
            </w:tcMar>
            <w:vAlign w:val="bottom"/>
          </w:tcPr>
          <w:p w14:paraId="7DCFE913" w14:textId="77777777" w:rsidR="00C1563E" w:rsidRDefault="00C1563E">
            <w:pPr>
              <w:jc w:val="right"/>
              <w:rPr>
                <w:rFonts w:ascii="宋体"/>
              </w:rPr>
            </w:pPr>
          </w:p>
        </w:tc>
      </w:tr>
      <w:tr w:rsidR="00C1563E" w14:paraId="7DCFE91D" w14:textId="77777777">
        <w:trPr>
          <w:jc w:val="center"/>
        </w:trPr>
        <w:tc>
          <w:tcPr>
            <w:tcW w:w="0" w:type="auto"/>
            <w:gridSpan w:val="3"/>
            <w:shd w:val="clear" w:color="auto" w:fill="FFFFFF"/>
            <w:tcMar>
              <w:top w:w="40" w:type="dxa"/>
              <w:left w:w="245" w:type="dxa"/>
              <w:bottom w:w="40" w:type="dxa"/>
              <w:right w:w="20" w:type="dxa"/>
            </w:tcMar>
            <w:vAlign w:val="bottom"/>
          </w:tcPr>
          <w:p w14:paraId="7DCFE915" w14:textId="77777777" w:rsidR="00C1563E" w:rsidRDefault="000B648B">
            <w:pPr>
              <w:textAlignment w:val="bottom"/>
            </w:pPr>
            <w:r>
              <w:rPr>
                <w:rFonts w:ascii="Times New Roman" w:eastAsia="宋体" w:hAnsi="Times New Roman"/>
                <w:color w:val="000000"/>
                <w:sz w:val="20"/>
                <w:szCs w:val="20"/>
              </w:rPr>
              <w:t>DHI Group</w:t>
            </w:r>
          </w:p>
        </w:tc>
        <w:tc>
          <w:tcPr>
            <w:tcW w:w="0" w:type="auto"/>
            <w:gridSpan w:val="3"/>
            <w:shd w:val="clear" w:color="auto" w:fill="FFFFFF"/>
            <w:tcMar>
              <w:top w:w="0" w:type="dxa"/>
              <w:left w:w="20" w:type="dxa"/>
              <w:bottom w:w="0" w:type="dxa"/>
              <w:right w:w="20" w:type="dxa"/>
            </w:tcMar>
          </w:tcPr>
          <w:p w14:paraId="7DCFE91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1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1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1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91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91B" w14:textId="77777777" w:rsidR="00C1563E" w:rsidRDefault="000B648B">
            <w:pPr>
              <w:jc w:val="right"/>
              <w:textAlignment w:val="bottom"/>
            </w:pPr>
            <w:r>
              <w:rPr>
                <w:rFonts w:ascii="Times New Roman" w:eastAsia="宋体" w:hAnsi="Times New Roman"/>
                <w:color w:val="000000"/>
                <w:sz w:val="20"/>
                <w:szCs w:val="20"/>
              </w:rPr>
              <w:t>(6.04)</w:t>
            </w:r>
          </w:p>
        </w:tc>
        <w:tc>
          <w:tcPr>
            <w:tcW w:w="0" w:type="auto"/>
            <w:shd w:val="clear" w:color="auto" w:fill="FFFFFF"/>
            <w:tcMar>
              <w:top w:w="40" w:type="dxa"/>
              <w:left w:w="0" w:type="dxa"/>
              <w:bottom w:w="40" w:type="dxa"/>
              <w:right w:w="20" w:type="dxa"/>
            </w:tcMar>
            <w:vAlign w:val="bottom"/>
          </w:tcPr>
          <w:p w14:paraId="7DCFE91C" w14:textId="77777777" w:rsidR="00C1563E" w:rsidRDefault="00C1563E">
            <w:pPr>
              <w:jc w:val="right"/>
              <w:rPr>
                <w:rFonts w:ascii="宋体"/>
              </w:rPr>
            </w:pPr>
          </w:p>
        </w:tc>
      </w:tr>
    </w:tbl>
    <w:p w14:paraId="7DCFE91E" w14:textId="77777777" w:rsidR="00C1563E" w:rsidRDefault="000B648B">
      <w:pPr>
        <w:jc w:val="center"/>
      </w:pPr>
      <w:r>
        <w:rPr>
          <w:rFonts w:ascii="Times New Roman" w:eastAsia="宋体" w:hAnsi="Times New Roman"/>
          <w:color w:val="000000"/>
          <w:sz w:val="20"/>
          <w:szCs w:val="20"/>
        </w:rPr>
        <w:t> </w:t>
      </w:r>
    </w:p>
    <w:p w14:paraId="7DCFE91F" w14:textId="77777777" w:rsidR="00C1563E" w:rsidRDefault="000B648B">
      <w:pPr>
        <w:jc w:val="center"/>
      </w:pPr>
      <w:r>
        <w:rPr>
          <w:rFonts w:ascii="Times New Roman" w:eastAsia="宋体" w:hAnsi="Times New Roman"/>
          <w:color w:val="000000"/>
          <w:sz w:val="20"/>
          <w:szCs w:val="20"/>
          <w:shd w:val="clear" w:color="auto" w:fill="FFFFFF"/>
        </w:rPr>
        <w:t xml:space="preserve">The accompanying notes are an integral part of these </w:t>
      </w:r>
      <w:r>
        <w:rPr>
          <w:rFonts w:ascii="Times New Roman" w:eastAsia="宋体" w:hAnsi="Times New Roman"/>
          <w:color w:val="000000"/>
          <w:sz w:val="20"/>
          <w:szCs w:val="20"/>
        </w:rPr>
        <w:t>Consolidated Financial Statements.</w:t>
      </w:r>
    </w:p>
    <w:p w14:paraId="7DCFE920" w14:textId="77777777" w:rsidR="00C1563E" w:rsidRDefault="00C1563E">
      <w:pPr>
        <w:jc w:val="center"/>
      </w:pPr>
    </w:p>
    <w:p w14:paraId="7DCFE921" w14:textId="77777777" w:rsidR="00C1563E" w:rsidRDefault="000B648B">
      <w:pPr>
        <w:jc w:val="center"/>
      </w:pPr>
      <w:r>
        <w:rPr>
          <w:rFonts w:ascii="Times New Roman" w:eastAsia="宋体" w:hAnsi="Times New Roman"/>
          <w:color w:val="000000"/>
          <w:sz w:val="20"/>
          <w:szCs w:val="20"/>
        </w:rPr>
        <w:t>75</w:t>
      </w:r>
    </w:p>
    <w:p w14:paraId="7DCFE922" w14:textId="77777777" w:rsidR="00C1563E" w:rsidRDefault="00C1563E">
      <w:pPr>
        <w:jc w:val="center"/>
      </w:pPr>
    </w:p>
    <w:p w14:paraId="7DCFE923" w14:textId="77777777" w:rsidR="00C1563E" w:rsidRDefault="000B648B">
      <w:r>
        <w:pict w14:anchorId="7DD025B5">
          <v:rect id="_x0000_i1099" style="width:415.3pt;height:1.5pt" o:hralign="center" o:hrstd="t" o:hr="t" fillcolor="#a0a0a0" stroked="f"/>
        </w:pict>
      </w:r>
    </w:p>
    <w:p w14:paraId="7DCFE924" w14:textId="77777777" w:rsidR="00C1563E" w:rsidRDefault="000B648B">
      <w:hyperlink r:id="rId235" w:anchor="i418e32e4a35149ffbf7d3a25d66881b8_10" w:history="1">
        <w:r>
          <w:rPr>
            <w:rStyle w:val="a5"/>
            <w:rFonts w:ascii="Times New Roman" w:eastAsia="宋体" w:hAnsi="Times New Roman"/>
            <w:sz w:val="20"/>
            <w:szCs w:val="20"/>
          </w:rPr>
          <w:t>Table of Contents</w:t>
        </w:r>
      </w:hyperlink>
    </w:p>
    <w:p w14:paraId="7DCFE925"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926" w14:textId="77777777" w:rsidR="00C1563E" w:rsidRDefault="000B648B">
      <w:pPr>
        <w:spacing w:after="60"/>
        <w:jc w:val="center"/>
      </w:pPr>
      <w:r>
        <w:rPr>
          <w:rFonts w:ascii="Times New Roman" w:eastAsia="宋体" w:hAnsi="Times New Roman"/>
          <w:b/>
          <w:bCs/>
          <w:color w:val="000000"/>
          <w:sz w:val="20"/>
          <w:szCs w:val="20"/>
        </w:rPr>
        <w:t>CONSOLIDATED STATEMENTS OF COMPREHENSIVE INCOME (LOSS)</w:t>
      </w:r>
    </w:p>
    <w:p w14:paraId="7DCFE927" w14:textId="77777777" w:rsidR="00C1563E" w:rsidRDefault="000B648B">
      <w:pPr>
        <w:jc w:val="center"/>
      </w:pPr>
      <w:r>
        <w:rPr>
          <w:rFonts w:ascii="Times New Roman" w:eastAsia="宋体" w:hAnsi="Times New Roman"/>
          <w:color w:val="000000"/>
          <w:sz w:val="20"/>
          <w:szCs w:val="20"/>
          <w:shd w:val="clear" w:color="auto" w:fill="FFFFFF"/>
        </w:rPr>
        <w:t>(in mi</w:t>
      </w:r>
      <w:r>
        <w:rPr>
          <w:rFonts w:ascii="Times New Roman" w:eastAsia="宋体" w:hAnsi="Times New Roman"/>
          <w:color w:val="000000"/>
          <w:sz w:val="20"/>
          <w:szCs w:val="20"/>
          <w:shd w:val="clear" w:color="auto" w:fill="FFFFFF"/>
        </w:rPr>
        <w:t>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067"/>
        <w:gridCol w:w="40"/>
        <w:gridCol w:w="121"/>
        <w:gridCol w:w="1167"/>
        <w:gridCol w:w="36"/>
        <w:gridCol w:w="36"/>
        <w:gridCol w:w="36"/>
        <w:gridCol w:w="36"/>
        <w:gridCol w:w="121"/>
        <w:gridCol w:w="1167"/>
        <w:gridCol w:w="36"/>
        <w:gridCol w:w="36"/>
        <w:gridCol w:w="36"/>
        <w:gridCol w:w="36"/>
        <w:gridCol w:w="121"/>
        <w:gridCol w:w="1167"/>
        <w:gridCol w:w="36"/>
      </w:tblGrid>
      <w:tr w:rsidR="00C1563E" w14:paraId="7DCFE93A" w14:textId="77777777">
        <w:trPr>
          <w:jc w:val="center"/>
        </w:trPr>
        <w:tc>
          <w:tcPr>
            <w:tcW w:w="50" w:type="pct"/>
            <w:shd w:val="clear" w:color="auto" w:fill="auto"/>
          </w:tcPr>
          <w:p w14:paraId="7DCFE928" w14:textId="77777777" w:rsidR="00C1563E" w:rsidRDefault="00C1563E">
            <w:pPr>
              <w:rPr>
                <w:rFonts w:ascii="宋体"/>
              </w:rPr>
            </w:pPr>
          </w:p>
        </w:tc>
        <w:tc>
          <w:tcPr>
            <w:tcW w:w="2496" w:type="pct"/>
            <w:shd w:val="clear" w:color="auto" w:fill="auto"/>
          </w:tcPr>
          <w:p w14:paraId="7DCFE929" w14:textId="77777777" w:rsidR="00C1563E" w:rsidRDefault="00C1563E">
            <w:pPr>
              <w:rPr>
                <w:rFonts w:ascii="宋体"/>
              </w:rPr>
            </w:pPr>
          </w:p>
        </w:tc>
        <w:tc>
          <w:tcPr>
            <w:tcW w:w="5" w:type="pct"/>
            <w:shd w:val="clear" w:color="auto" w:fill="auto"/>
          </w:tcPr>
          <w:p w14:paraId="7DCFE92A" w14:textId="77777777" w:rsidR="00C1563E" w:rsidRDefault="00C1563E">
            <w:pPr>
              <w:rPr>
                <w:rFonts w:ascii="宋体"/>
              </w:rPr>
            </w:pPr>
          </w:p>
        </w:tc>
        <w:tc>
          <w:tcPr>
            <w:tcW w:w="50" w:type="pct"/>
            <w:shd w:val="clear" w:color="auto" w:fill="auto"/>
          </w:tcPr>
          <w:p w14:paraId="7DCFE92B" w14:textId="77777777" w:rsidR="00C1563E" w:rsidRDefault="00C1563E">
            <w:pPr>
              <w:rPr>
                <w:rFonts w:ascii="宋体"/>
              </w:rPr>
            </w:pPr>
          </w:p>
        </w:tc>
        <w:tc>
          <w:tcPr>
            <w:tcW w:w="741" w:type="pct"/>
            <w:shd w:val="clear" w:color="auto" w:fill="auto"/>
          </w:tcPr>
          <w:p w14:paraId="7DCFE92C" w14:textId="77777777" w:rsidR="00C1563E" w:rsidRDefault="00C1563E">
            <w:pPr>
              <w:rPr>
                <w:rFonts w:ascii="宋体"/>
              </w:rPr>
            </w:pPr>
          </w:p>
        </w:tc>
        <w:tc>
          <w:tcPr>
            <w:tcW w:w="5" w:type="pct"/>
            <w:shd w:val="clear" w:color="auto" w:fill="auto"/>
          </w:tcPr>
          <w:p w14:paraId="7DCFE92D" w14:textId="77777777" w:rsidR="00C1563E" w:rsidRDefault="00C1563E">
            <w:pPr>
              <w:rPr>
                <w:rFonts w:ascii="宋体"/>
              </w:rPr>
            </w:pPr>
          </w:p>
        </w:tc>
        <w:tc>
          <w:tcPr>
            <w:tcW w:w="5" w:type="pct"/>
            <w:shd w:val="clear" w:color="auto" w:fill="auto"/>
          </w:tcPr>
          <w:p w14:paraId="7DCFE92E" w14:textId="77777777" w:rsidR="00C1563E" w:rsidRDefault="00C1563E">
            <w:pPr>
              <w:rPr>
                <w:rFonts w:ascii="宋体"/>
              </w:rPr>
            </w:pPr>
          </w:p>
        </w:tc>
        <w:tc>
          <w:tcPr>
            <w:tcW w:w="19" w:type="pct"/>
            <w:shd w:val="clear" w:color="auto" w:fill="auto"/>
          </w:tcPr>
          <w:p w14:paraId="7DCFE92F" w14:textId="77777777" w:rsidR="00C1563E" w:rsidRDefault="00C1563E">
            <w:pPr>
              <w:rPr>
                <w:rFonts w:ascii="宋体"/>
              </w:rPr>
            </w:pPr>
          </w:p>
        </w:tc>
        <w:tc>
          <w:tcPr>
            <w:tcW w:w="5" w:type="pct"/>
            <w:shd w:val="clear" w:color="auto" w:fill="auto"/>
          </w:tcPr>
          <w:p w14:paraId="7DCFE930" w14:textId="77777777" w:rsidR="00C1563E" w:rsidRDefault="00C1563E">
            <w:pPr>
              <w:rPr>
                <w:rFonts w:ascii="宋体"/>
              </w:rPr>
            </w:pPr>
          </w:p>
        </w:tc>
        <w:tc>
          <w:tcPr>
            <w:tcW w:w="50" w:type="pct"/>
            <w:shd w:val="clear" w:color="auto" w:fill="auto"/>
          </w:tcPr>
          <w:p w14:paraId="7DCFE931" w14:textId="77777777" w:rsidR="00C1563E" w:rsidRDefault="00C1563E">
            <w:pPr>
              <w:rPr>
                <w:rFonts w:ascii="宋体"/>
              </w:rPr>
            </w:pPr>
          </w:p>
        </w:tc>
        <w:tc>
          <w:tcPr>
            <w:tcW w:w="741" w:type="pct"/>
            <w:shd w:val="clear" w:color="auto" w:fill="auto"/>
          </w:tcPr>
          <w:p w14:paraId="7DCFE932" w14:textId="77777777" w:rsidR="00C1563E" w:rsidRDefault="00C1563E">
            <w:pPr>
              <w:rPr>
                <w:rFonts w:ascii="宋体"/>
              </w:rPr>
            </w:pPr>
          </w:p>
        </w:tc>
        <w:tc>
          <w:tcPr>
            <w:tcW w:w="5" w:type="pct"/>
            <w:shd w:val="clear" w:color="auto" w:fill="auto"/>
          </w:tcPr>
          <w:p w14:paraId="7DCFE933" w14:textId="77777777" w:rsidR="00C1563E" w:rsidRDefault="00C1563E">
            <w:pPr>
              <w:rPr>
                <w:rFonts w:ascii="宋体"/>
              </w:rPr>
            </w:pPr>
          </w:p>
        </w:tc>
        <w:tc>
          <w:tcPr>
            <w:tcW w:w="5" w:type="pct"/>
            <w:shd w:val="clear" w:color="auto" w:fill="auto"/>
          </w:tcPr>
          <w:p w14:paraId="7DCFE934" w14:textId="77777777" w:rsidR="00C1563E" w:rsidRDefault="00C1563E">
            <w:pPr>
              <w:rPr>
                <w:rFonts w:ascii="宋体"/>
              </w:rPr>
            </w:pPr>
          </w:p>
        </w:tc>
        <w:tc>
          <w:tcPr>
            <w:tcW w:w="19" w:type="pct"/>
            <w:shd w:val="clear" w:color="auto" w:fill="auto"/>
          </w:tcPr>
          <w:p w14:paraId="7DCFE935" w14:textId="77777777" w:rsidR="00C1563E" w:rsidRDefault="00C1563E">
            <w:pPr>
              <w:rPr>
                <w:rFonts w:ascii="宋体"/>
              </w:rPr>
            </w:pPr>
          </w:p>
        </w:tc>
        <w:tc>
          <w:tcPr>
            <w:tcW w:w="5" w:type="pct"/>
            <w:shd w:val="clear" w:color="auto" w:fill="auto"/>
          </w:tcPr>
          <w:p w14:paraId="7DCFE936" w14:textId="77777777" w:rsidR="00C1563E" w:rsidRDefault="00C1563E">
            <w:pPr>
              <w:rPr>
                <w:rFonts w:ascii="宋体"/>
              </w:rPr>
            </w:pPr>
          </w:p>
        </w:tc>
        <w:tc>
          <w:tcPr>
            <w:tcW w:w="50" w:type="pct"/>
            <w:shd w:val="clear" w:color="auto" w:fill="auto"/>
          </w:tcPr>
          <w:p w14:paraId="7DCFE937" w14:textId="77777777" w:rsidR="00C1563E" w:rsidRDefault="00C1563E">
            <w:pPr>
              <w:rPr>
                <w:rFonts w:ascii="宋体"/>
              </w:rPr>
            </w:pPr>
          </w:p>
        </w:tc>
        <w:tc>
          <w:tcPr>
            <w:tcW w:w="741" w:type="pct"/>
            <w:shd w:val="clear" w:color="auto" w:fill="auto"/>
          </w:tcPr>
          <w:p w14:paraId="7DCFE938" w14:textId="77777777" w:rsidR="00C1563E" w:rsidRDefault="00C1563E">
            <w:pPr>
              <w:rPr>
                <w:rFonts w:ascii="宋体"/>
              </w:rPr>
            </w:pPr>
          </w:p>
        </w:tc>
        <w:tc>
          <w:tcPr>
            <w:tcW w:w="5" w:type="pct"/>
            <w:shd w:val="clear" w:color="auto" w:fill="auto"/>
          </w:tcPr>
          <w:p w14:paraId="7DCFE939" w14:textId="77777777" w:rsidR="00C1563E" w:rsidRDefault="00C1563E">
            <w:pPr>
              <w:rPr>
                <w:rFonts w:ascii="宋体"/>
              </w:rPr>
            </w:pPr>
          </w:p>
        </w:tc>
      </w:tr>
      <w:tr w:rsidR="00C1563E" w14:paraId="7DCFE93D" w14:textId="77777777">
        <w:trPr>
          <w:jc w:val="center"/>
        </w:trPr>
        <w:tc>
          <w:tcPr>
            <w:tcW w:w="0" w:type="auto"/>
            <w:gridSpan w:val="3"/>
            <w:shd w:val="clear" w:color="auto" w:fill="auto"/>
            <w:tcMar>
              <w:top w:w="0" w:type="dxa"/>
              <w:left w:w="20" w:type="dxa"/>
              <w:bottom w:w="0" w:type="dxa"/>
              <w:right w:w="20" w:type="dxa"/>
            </w:tcMar>
          </w:tcPr>
          <w:p w14:paraId="7DCFE93B"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CFE93C"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E944" w14:textId="77777777">
        <w:trPr>
          <w:jc w:val="center"/>
        </w:trPr>
        <w:tc>
          <w:tcPr>
            <w:tcW w:w="0" w:type="auto"/>
            <w:gridSpan w:val="3"/>
            <w:shd w:val="clear" w:color="auto" w:fill="auto"/>
            <w:tcMar>
              <w:top w:w="0" w:type="dxa"/>
              <w:left w:w="20" w:type="dxa"/>
              <w:bottom w:w="0" w:type="dxa"/>
              <w:right w:w="20" w:type="dxa"/>
            </w:tcMar>
          </w:tcPr>
          <w:p w14:paraId="7DCFE93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93F"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94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941"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942"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943"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951" w14:textId="77777777">
        <w:trPr>
          <w:jc w:val="center"/>
        </w:trPr>
        <w:tc>
          <w:tcPr>
            <w:tcW w:w="0" w:type="auto"/>
            <w:gridSpan w:val="3"/>
            <w:shd w:val="clear" w:color="auto" w:fill="CCEEFF"/>
            <w:tcMar>
              <w:top w:w="40" w:type="dxa"/>
              <w:left w:w="20" w:type="dxa"/>
              <w:bottom w:w="40" w:type="dxa"/>
              <w:right w:w="20" w:type="dxa"/>
            </w:tcMar>
            <w:vAlign w:val="bottom"/>
          </w:tcPr>
          <w:p w14:paraId="7DCFE945" w14:textId="77777777" w:rsidR="00C1563E" w:rsidRDefault="000B648B">
            <w:pPr>
              <w:textAlignment w:val="bottom"/>
            </w:pPr>
            <w:r>
              <w:rPr>
                <w:rFonts w:ascii="Times New Roman" w:eastAsia="宋体" w:hAnsi="Times New Roman"/>
                <w:color w:val="000000"/>
                <w:sz w:val="20"/>
                <w:szCs w:val="20"/>
              </w:rPr>
              <w:t>Net income (loss)</w:t>
            </w:r>
          </w:p>
        </w:tc>
        <w:tc>
          <w:tcPr>
            <w:tcW w:w="0" w:type="auto"/>
            <w:tcBorders>
              <w:top w:val="single" w:sz="8" w:space="0" w:color="000000"/>
            </w:tcBorders>
            <w:shd w:val="clear" w:color="auto" w:fill="CCEEFF"/>
            <w:tcMar>
              <w:top w:w="40" w:type="dxa"/>
              <w:left w:w="20" w:type="dxa"/>
              <w:bottom w:w="40" w:type="dxa"/>
              <w:right w:w="0" w:type="dxa"/>
            </w:tcMar>
            <w:vAlign w:val="bottom"/>
          </w:tcPr>
          <w:p w14:paraId="7DCFE94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947" w14:textId="77777777" w:rsidR="00C1563E" w:rsidRDefault="000B648B">
            <w:pPr>
              <w:jc w:val="right"/>
              <w:textAlignment w:val="bottom"/>
            </w:pPr>
            <w:r>
              <w:rPr>
                <w:rFonts w:ascii="Times New Roman" w:eastAsia="宋体" w:hAnsi="Times New Roman"/>
                <w:color w:val="000000"/>
                <w:sz w:val="20"/>
                <w:szCs w:val="20"/>
              </w:rPr>
              <w:t>3,505 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49"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94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94B" w14:textId="77777777" w:rsidR="00C1563E" w:rsidRDefault="000B648B">
            <w:pPr>
              <w:jc w:val="right"/>
              <w:textAlignment w:val="bottom"/>
            </w:pPr>
            <w:r>
              <w:rPr>
                <w:rFonts w:ascii="Times New Roman" w:eastAsia="宋体" w:hAnsi="Times New Roman"/>
                <w:color w:val="000000"/>
                <w:sz w:val="20"/>
                <w:szCs w:val="20"/>
              </w:rPr>
              <w:t>5,529 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4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4D"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94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94F" w14:textId="77777777" w:rsidR="00C1563E" w:rsidRDefault="000B648B">
            <w:pPr>
              <w:jc w:val="right"/>
              <w:textAlignment w:val="bottom"/>
            </w:pPr>
            <w:r>
              <w:rPr>
                <w:rFonts w:ascii="Times New Roman" w:eastAsia="宋体" w:hAnsi="Times New Roman"/>
                <w:color w:val="000000"/>
                <w:sz w:val="20"/>
                <w:szCs w:val="20"/>
              </w:rPr>
              <w:t>(2,181)</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50" w14:textId="77777777" w:rsidR="00C1563E" w:rsidRDefault="00C1563E">
            <w:pPr>
              <w:jc w:val="right"/>
              <w:rPr>
                <w:rFonts w:ascii="宋体"/>
              </w:rPr>
            </w:pPr>
          </w:p>
        </w:tc>
      </w:tr>
      <w:tr w:rsidR="00C1563E" w14:paraId="7DCFE958" w14:textId="77777777">
        <w:trPr>
          <w:trHeight w:val="300"/>
          <w:jc w:val="center"/>
        </w:trPr>
        <w:tc>
          <w:tcPr>
            <w:tcW w:w="0" w:type="auto"/>
            <w:gridSpan w:val="3"/>
            <w:shd w:val="clear" w:color="auto" w:fill="FFFFFF"/>
            <w:tcMar>
              <w:top w:w="0" w:type="dxa"/>
              <w:left w:w="20" w:type="dxa"/>
              <w:bottom w:w="0" w:type="dxa"/>
              <w:right w:w="20" w:type="dxa"/>
            </w:tcMar>
          </w:tcPr>
          <w:p w14:paraId="7DCFE95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5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5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5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5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957" w14:textId="77777777" w:rsidR="00C1563E" w:rsidRDefault="00C1563E">
            <w:pPr>
              <w:rPr>
                <w:rFonts w:ascii="宋体"/>
              </w:rPr>
            </w:pPr>
          </w:p>
        </w:tc>
      </w:tr>
      <w:tr w:rsidR="00C1563E" w14:paraId="7DCFE95F" w14:textId="77777777">
        <w:trPr>
          <w:jc w:val="center"/>
        </w:trPr>
        <w:tc>
          <w:tcPr>
            <w:tcW w:w="0" w:type="auto"/>
            <w:gridSpan w:val="3"/>
            <w:shd w:val="clear" w:color="auto" w:fill="CCEEFF"/>
            <w:tcMar>
              <w:top w:w="40" w:type="dxa"/>
              <w:left w:w="20" w:type="dxa"/>
              <w:bottom w:w="40" w:type="dxa"/>
              <w:right w:w="20" w:type="dxa"/>
            </w:tcMar>
            <w:vAlign w:val="bottom"/>
          </w:tcPr>
          <w:p w14:paraId="7DCFE959" w14:textId="77777777" w:rsidR="00C1563E" w:rsidRDefault="000B648B">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tcPr>
          <w:p w14:paraId="7DCFE95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5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5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5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5E" w14:textId="77777777" w:rsidR="00C1563E" w:rsidRDefault="00C1563E">
            <w:pPr>
              <w:rPr>
                <w:rFonts w:ascii="宋体"/>
              </w:rPr>
            </w:pPr>
          </w:p>
        </w:tc>
      </w:tr>
      <w:tr w:rsidR="00C1563E" w14:paraId="7DCFE969" w14:textId="77777777">
        <w:trPr>
          <w:jc w:val="center"/>
        </w:trPr>
        <w:tc>
          <w:tcPr>
            <w:tcW w:w="0" w:type="auto"/>
            <w:gridSpan w:val="3"/>
            <w:shd w:val="clear" w:color="auto" w:fill="FFFFFF"/>
            <w:tcMar>
              <w:top w:w="40" w:type="dxa"/>
              <w:left w:w="245" w:type="dxa"/>
              <w:bottom w:w="40" w:type="dxa"/>
              <w:right w:w="20" w:type="dxa"/>
            </w:tcMar>
            <w:vAlign w:val="bottom"/>
          </w:tcPr>
          <w:p w14:paraId="7DCFE960" w14:textId="77777777" w:rsidR="00C1563E" w:rsidRDefault="000B648B">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7DCFE961" w14:textId="77777777" w:rsidR="00C1563E" w:rsidRDefault="000B648B">
            <w:pPr>
              <w:jc w:val="right"/>
              <w:textAlignment w:val="bottom"/>
            </w:pPr>
            <w:r>
              <w:rPr>
                <w:rFonts w:ascii="Times New Roman" w:eastAsia="宋体" w:hAnsi="Times New Roman"/>
                <w:color w:val="000000"/>
                <w:sz w:val="20"/>
                <w:szCs w:val="20"/>
              </w:rPr>
              <w:t>528 </w:t>
            </w:r>
          </w:p>
        </w:tc>
        <w:tc>
          <w:tcPr>
            <w:tcW w:w="0" w:type="auto"/>
            <w:shd w:val="clear" w:color="auto" w:fill="FFFFFF"/>
            <w:tcMar>
              <w:top w:w="40" w:type="dxa"/>
              <w:left w:w="0" w:type="dxa"/>
              <w:bottom w:w="40" w:type="dxa"/>
              <w:right w:w="20" w:type="dxa"/>
            </w:tcMar>
            <w:vAlign w:val="bottom"/>
          </w:tcPr>
          <w:p w14:paraId="7DCFE96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6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64" w14:textId="77777777" w:rsidR="00C1563E" w:rsidRDefault="000B648B">
            <w:pPr>
              <w:jc w:val="right"/>
              <w:textAlignment w:val="bottom"/>
            </w:pPr>
            <w:r>
              <w:rPr>
                <w:rFonts w:ascii="Times New Roman" w:eastAsia="宋体" w:hAnsi="Times New Roman"/>
                <w:color w:val="000000"/>
                <w:sz w:val="20"/>
                <w:szCs w:val="20"/>
              </w:rPr>
              <w:t>(226)</w:t>
            </w:r>
          </w:p>
        </w:tc>
        <w:tc>
          <w:tcPr>
            <w:tcW w:w="0" w:type="auto"/>
            <w:shd w:val="clear" w:color="auto" w:fill="FFFFFF"/>
            <w:tcMar>
              <w:top w:w="40" w:type="dxa"/>
              <w:left w:w="0" w:type="dxa"/>
              <w:bottom w:w="40" w:type="dxa"/>
              <w:right w:w="20" w:type="dxa"/>
            </w:tcMar>
            <w:vAlign w:val="bottom"/>
          </w:tcPr>
          <w:p w14:paraId="7DCFE96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6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67" w14:textId="77777777" w:rsidR="00C1563E" w:rsidRDefault="000B648B">
            <w:pPr>
              <w:jc w:val="right"/>
              <w:textAlignment w:val="bottom"/>
            </w:pPr>
            <w:r>
              <w:rPr>
                <w:rFonts w:ascii="Times New Roman" w:eastAsia="宋体" w:hAnsi="Times New Roman"/>
                <w:color w:val="000000"/>
                <w:sz w:val="20"/>
                <w:szCs w:val="20"/>
              </w:rPr>
              <w:t>(631)</w:t>
            </w:r>
          </w:p>
        </w:tc>
        <w:tc>
          <w:tcPr>
            <w:tcW w:w="0" w:type="auto"/>
            <w:shd w:val="clear" w:color="auto" w:fill="FFFFFF"/>
            <w:tcMar>
              <w:top w:w="40" w:type="dxa"/>
              <w:left w:w="0" w:type="dxa"/>
              <w:bottom w:w="40" w:type="dxa"/>
              <w:right w:w="20" w:type="dxa"/>
            </w:tcMar>
            <w:vAlign w:val="bottom"/>
          </w:tcPr>
          <w:p w14:paraId="7DCFE968" w14:textId="77777777" w:rsidR="00C1563E" w:rsidRDefault="00C1563E">
            <w:pPr>
              <w:jc w:val="right"/>
              <w:rPr>
                <w:rFonts w:ascii="宋体"/>
              </w:rPr>
            </w:pPr>
          </w:p>
        </w:tc>
      </w:tr>
      <w:tr w:rsidR="00C1563E" w14:paraId="7DCFE970" w14:textId="77777777">
        <w:trPr>
          <w:jc w:val="center"/>
        </w:trPr>
        <w:tc>
          <w:tcPr>
            <w:tcW w:w="0" w:type="auto"/>
            <w:gridSpan w:val="3"/>
            <w:shd w:val="clear" w:color="auto" w:fill="CCEEFF"/>
            <w:tcMar>
              <w:top w:w="40" w:type="dxa"/>
              <w:left w:w="245" w:type="dxa"/>
              <w:bottom w:w="40" w:type="dxa"/>
              <w:right w:w="20" w:type="dxa"/>
            </w:tcMar>
            <w:vAlign w:val="bottom"/>
          </w:tcPr>
          <w:p w14:paraId="7DCFE96A" w14:textId="77777777" w:rsidR="00C1563E" w:rsidRDefault="000B648B">
            <w:pPr>
              <w:textAlignment w:val="bottom"/>
            </w:pPr>
            <w:r>
              <w:rPr>
                <w:rFonts w:ascii="Times New Roman" w:eastAsia="宋体" w:hAnsi="Times New Roman"/>
                <w:color w:val="000000"/>
                <w:sz w:val="20"/>
                <w:szCs w:val="20"/>
              </w:rPr>
              <w:t>Available-for-sale investments:</w:t>
            </w:r>
          </w:p>
        </w:tc>
        <w:tc>
          <w:tcPr>
            <w:tcW w:w="0" w:type="auto"/>
            <w:gridSpan w:val="3"/>
            <w:shd w:val="clear" w:color="auto" w:fill="CCEEFF"/>
            <w:tcMar>
              <w:top w:w="0" w:type="dxa"/>
              <w:left w:w="20" w:type="dxa"/>
              <w:bottom w:w="0" w:type="dxa"/>
              <w:right w:w="20" w:type="dxa"/>
            </w:tcMar>
          </w:tcPr>
          <w:p w14:paraId="7DCFE96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6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6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6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6F" w14:textId="77777777" w:rsidR="00C1563E" w:rsidRDefault="00C1563E">
            <w:pPr>
              <w:rPr>
                <w:rFonts w:ascii="宋体"/>
              </w:rPr>
            </w:pPr>
          </w:p>
        </w:tc>
      </w:tr>
      <w:tr w:rsidR="00C1563E" w14:paraId="7DCFE97A" w14:textId="77777777">
        <w:trPr>
          <w:jc w:val="center"/>
        </w:trPr>
        <w:tc>
          <w:tcPr>
            <w:tcW w:w="0" w:type="auto"/>
            <w:gridSpan w:val="3"/>
            <w:shd w:val="clear" w:color="auto" w:fill="FFFFFF"/>
            <w:tcMar>
              <w:top w:w="40" w:type="dxa"/>
              <w:left w:w="470" w:type="dxa"/>
              <w:bottom w:w="40" w:type="dxa"/>
              <w:right w:w="20" w:type="dxa"/>
            </w:tcMar>
            <w:vAlign w:val="bottom"/>
          </w:tcPr>
          <w:p w14:paraId="7DCFE971" w14:textId="77777777" w:rsidR="00C1563E" w:rsidRDefault="000B648B">
            <w:pPr>
              <w:textAlignment w:val="bottom"/>
            </w:pPr>
            <w:r>
              <w:rPr>
                <w:rFonts w:ascii="Times New Roman" w:eastAsia="宋体" w:hAnsi="Times New Roman"/>
                <w:color w:val="000000"/>
                <w:sz w:val="20"/>
                <w:szCs w:val="20"/>
              </w:rPr>
              <w:t>Change in unrealized gains</w:t>
            </w:r>
          </w:p>
        </w:tc>
        <w:tc>
          <w:tcPr>
            <w:tcW w:w="0" w:type="auto"/>
            <w:gridSpan w:val="2"/>
            <w:shd w:val="clear" w:color="auto" w:fill="FFFFFF"/>
            <w:tcMar>
              <w:top w:w="40" w:type="dxa"/>
              <w:left w:w="20" w:type="dxa"/>
              <w:bottom w:w="40" w:type="dxa"/>
              <w:right w:w="0" w:type="dxa"/>
            </w:tcMar>
            <w:vAlign w:val="bottom"/>
          </w:tcPr>
          <w:p w14:paraId="7DCFE97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E9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7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7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E9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7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78"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DCFE979" w14:textId="77777777" w:rsidR="00C1563E" w:rsidRDefault="00C1563E">
            <w:pPr>
              <w:jc w:val="right"/>
              <w:rPr>
                <w:rFonts w:ascii="宋体"/>
              </w:rPr>
            </w:pPr>
          </w:p>
        </w:tc>
      </w:tr>
      <w:tr w:rsidR="00C1563E" w14:paraId="7DCFE984" w14:textId="77777777">
        <w:trPr>
          <w:jc w:val="center"/>
        </w:trPr>
        <w:tc>
          <w:tcPr>
            <w:tcW w:w="0" w:type="auto"/>
            <w:gridSpan w:val="3"/>
            <w:shd w:val="clear" w:color="auto" w:fill="CCEEFF"/>
            <w:tcMar>
              <w:top w:w="40" w:type="dxa"/>
              <w:left w:w="470" w:type="dxa"/>
              <w:bottom w:w="40" w:type="dxa"/>
              <w:right w:w="20" w:type="dxa"/>
            </w:tcMar>
            <w:vAlign w:val="bottom"/>
          </w:tcPr>
          <w:p w14:paraId="7DCFE97B" w14:textId="77777777" w:rsidR="00C1563E" w:rsidRDefault="000B648B">
            <w:pPr>
              <w:textAlignment w:val="bottom"/>
            </w:pPr>
            <w:r>
              <w:rPr>
                <w:rFonts w:ascii="Times New Roman" w:eastAsia="宋体" w:hAnsi="Times New Roman"/>
                <w:color w:val="000000"/>
                <w:sz w:val="20"/>
                <w:szCs w:val="20"/>
              </w:rPr>
              <w:t>Reclassification adjustment for net losses realized in net loss</w:t>
            </w:r>
          </w:p>
        </w:tc>
        <w:tc>
          <w:tcPr>
            <w:tcW w:w="0" w:type="auto"/>
            <w:gridSpan w:val="2"/>
            <w:shd w:val="clear" w:color="auto" w:fill="CCEEFF"/>
            <w:tcMar>
              <w:top w:w="40" w:type="dxa"/>
              <w:left w:w="20" w:type="dxa"/>
              <w:bottom w:w="40" w:type="dxa"/>
              <w:right w:w="0" w:type="dxa"/>
            </w:tcMar>
            <w:vAlign w:val="bottom"/>
          </w:tcPr>
          <w:p w14:paraId="7DCFE97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9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7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7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9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8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82" w14:textId="77777777" w:rsidR="00C1563E" w:rsidRDefault="000B648B">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7DCFE983" w14:textId="77777777" w:rsidR="00C1563E" w:rsidRDefault="00C1563E">
            <w:pPr>
              <w:jc w:val="right"/>
              <w:rPr>
                <w:rFonts w:ascii="宋体"/>
              </w:rPr>
            </w:pPr>
          </w:p>
        </w:tc>
      </w:tr>
      <w:tr w:rsidR="00C1563E" w14:paraId="7DCFE98E" w14:textId="77777777">
        <w:trPr>
          <w:jc w:val="center"/>
        </w:trPr>
        <w:tc>
          <w:tcPr>
            <w:tcW w:w="0" w:type="auto"/>
            <w:gridSpan w:val="3"/>
            <w:shd w:val="clear" w:color="auto" w:fill="FFFFFF"/>
            <w:tcMar>
              <w:top w:w="40" w:type="dxa"/>
              <w:left w:w="740" w:type="dxa"/>
              <w:bottom w:w="40" w:type="dxa"/>
              <w:right w:w="20" w:type="dxa"/>
            </w:tcMar>
            <w:vAlign w:val="bottom"/>
          </w:tcPr>
          <w:p w14:paraId="7DCFE985" w14:textId="77777777" w:rsidR="00C1563E" w:rsidRDefault="000B648B">
            <w:pPr>
              <w:textAlignment w:val="bottom"/>
            </w:pPr>
            <w:r>
              <w:rPr>
                <w:rFonts w:ascii="Times New Roman" w:eastAsia="宋体" w:hAnsi="Times New Roman"/>
                <w:color w:val="000000"/>
                <w:sz w:val="20"/>
                <w:szCs w:val="20"/>
              </w:rPr>
              <w:t>Net change in market value of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86"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88"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89"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8B"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8C" w14:textId="77777777" w:rsidR="00C1563E" w:rsidRDefault="000B648B">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8D" w14:textId="77777777" w:rsidR="00C1563E" w:rsidRDefault="00C1563E">
            <w:pPr>
              <w:jc w:val="right"/>
              <w:rPr>
                <w:rFonts w:ascii="宋体"/>
              </w:rPr>
            </w:pPr>
          </w:p>
        </w:tc>
      </w:tr>
      <w:tr w:rsidR="00C1563E" w14:paraId="7DCFE995" w14:textId="77777777">
        <w:trPr>
          <w:jc w:val="center"/>
        </w:trPr>
        <w:tc>
          <w:tcPr>
            <w:tcW w:w="0" w:type="auto"/>
            <w:gridSpan w:val="3"/>
            <w:shd w:val="clear" w:color="auto" w:fill="CCEEFF"/>
            <w:tcMar>
              <w:top w:w="40" w:type="dxa"/>
              <w:left w:w="245" w:type="dxa"/>
              <w:bottom w:w="40" w:type="dxa"/>
              <w:right w:w="20" w:type="dxa"/>
            </w:tcMar>
            <w:vAlign w:val="bottom"/>
          </w:tcPr>
          <w:p w14:paraId="7DCFE98F" w14:textId="77777777" w:rsidR="00C1563E" w:rsidRDefault="000B648B">
            <w:pPr>
              <w:textAlignment w:val="bottom"/>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flow hedges:</w:t>
            </w:r>
          </w:p>
        </w:tc>
        <w:tc>
          <w:tcPr>
            <w:tcW w:w="0" w:type="auto"/>
            <w:gridSpan w:val="3"/>
            <w:tcBorders>
              <w:top w:val="single" w:sz="8" w:space="0" w:color="000000"/>
            </w:tcBorders>
            <w:shd w:val="clear" w:color="auto" w:fill="CCEEFF"/>
            <w:tcMar>
              <w:top w:w="0" w:type="dxa"/>
              <w:left w:w="20" w:type="dxa"/>
              <w:bottom w:w="0" w:type="dxa"/>
              <w:right w:w="20" w:type="dxa"/>
            </w:tcMar>
          </w:tcPr>
          <w:p w14:paraId="7DCFE99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91"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9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93"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94" w14:textId="77777777" w:rsidR="00C1563E" w:rsidRDefault="00C1563E">
            <w:pPr>
              <w:rPr>
                <w:rFonts w:ascii="宋体"/>
              </w:rPr>
            </w:pPr>
          </w:p>
        </w:tc>
      </w:tr>
      <w:tr w:rsidR="00C1563E" w14:paraId="7DCFE99F" w14:textId="77777777">
        <w:trPr>
          <w:jc w:val="center"/>
        </w:trPr>
        <w:tc>
          <w:tcPr>
            <w:tcW w:w="0" w:type="auto"/>
            <w:gridSpan w:val="3"/>
            <w:shd w:val="clear" w:color="auto" w:fill="FFFFFF"/>
            <w:tcMar>
              <w:top w:w="40" w:type="dxa"/>
              <w:left w:w="470" w:type="dxa"/>
              <w:bottom w:w="40" w:type="dxa"/>
              <w:right w:w="20" w:type="dxa"/>
            </w:tcMar>
            <w:vAlign w:val="bottom"/>
          </w:tcPr>
          <w:p w14:paraId="7DCFE996" w14:textId="77777777" w:rsidR="00C1563E" w:rsidRDefault="000B648B">
            <w:pPr>
              <w:textAlignment w:val="bottom"/>
            </w:pPr>
            <w:r>
              <w:rPr>
                <w:rFonts w:ascii="Times New Roman" w:eastAsia="宋体" w:hAnsi="Times New Roman"/>
                <w:color w:val="000000"/>
                <w:sz w:val="20"/>
                <w:szCs w:val="20"/>
              </w:rPr>
              <w:t>Change in unrealized (losses) gains</w:t>
            </w:r>
          </w:p>
        </w:tc>
        <w:tc>
          <w:tcPr>
            <w:tcW w:w="0" w:type="auto"/>
            <w:gridSpan w:val="2"/>
            <w:shd w:val="clear" w:color="auto" w:fill="FFFFFF"/>
            <w:tcMar>
              <w:top w:w="40" w:type="dxa"/>
              <w:left w:w="20" w:type="dxa"/>
              <w:bottom w:w="40" w:type="dxa"/>
              <w:right w:w="0" w:type="dxa"/>
            </w:tcMar>
            <w:vAlign w:val="bottom"/>
          </w:tcPr>
          <w:p w14:paraId="7DCFE997" w14:textId="77777777" w:rsidR="00C1563E" w:rsidRDefault="000B648B">
            <w:pPr>
              <w:jc w:val="right"/>
              <w:textAlignment w:val="bottom"/>
            </w:pPr>
            <w:r>
              <w:rPr>
                <w:rFonts w:ascii="Times New Roman" w:eastAsia="宋体" w:hAnsi="Times New Roman"/>
                <w:color w:val="000000"/>
                <w:sz w:val="20"/>
                <w:szCs w:val="20"/>
              </w:rPr>
              <w:t>(200)</w:t>
            </w:r>
          </w:p>
        </w:tc>
        <w:tc>
          <w:tcPr>
            <w:tcW w:w="0" w:type="auto"/>
            <w:shd w:val="clear" w:color="auto" w:fill="FFFFFF"/>
            <w:tcMar>
              <w:top w:w="40" w:type="dxa"/>
              <w:left w:w="0" w:type="dxa"/>
              <w:bottom w:w="40" w:type="dxa"/>
              <w:right w:w="20" w:type="dxa"/>
            </w:tcMar>
            <w:vAlign w:val="bottom"/>
          </w:tcPr>
          <w:p w14:paraId="7DCFE99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9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9A" w14:textId="77777777" w:rsidR="00C1563E" w:rsidRDefault="000B648B">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7DCFE9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9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9D" w14:textId="77777777" w:rsidR="00C1563E" w:rsidRDefault="000B648B">
            <w:pPr>
              <w:jc w:val="right"/>
              <w:textAlignment w:val="bottom"/>
            </w:pPr>
            <w:r>
              <w:rPr>
                <w:rFonts w:ascii="Times New Roman" w:eastAsia="宋体" w:hAnsi="Times New Roman"/>
                <w:color w:val="000000"/>
                <w:sz w:val="20"/>
                <w:szCs w:val="20"/>
              </w:rPr>
              <w:t>299 </w:t>
            </w:r>
          </w:p>
        </w:tc>
        <w:tc>
          <w:tcPr>
            <w:tcW w:w="0" w:type="auto"/>
            <w:shd w:val="clear" w:color="auto" w:fill="FFFFFF"/>
            <w:tcMar>
              <w:top w:w="40" w:type="dxa"/>
              <w:left w:w="0" w:type="dxa"/>
              <w:bottom w:w="40" w:type="dxa"/>
              <w:right w:w="20" w:type="dxa"/>
            </w:tcMar>
            <w:vAlign w:val="bottom"/>
          </w:tcPr>
          <w:p w14:paraId="7DCFE99E" w14:textId="77777777" w:rsidR="00C1563E" w:rsidRDefault="00C1563E">
            <w:pPr>
              <w:jc w:val="right"/>
              <w:rPr>
                <w:rFonts w:ascii="宋体"/>
              </w:rPr>
            </w:pPr>
          </w:p>
        </w:tc>
      </w:tr>
      <w:tr w:rsidR="00C1563E" w14:paraId="7DCFE9A9" w14:textId="77777777">
        <w:trPr>
          <w:jc w:val="center"/>
        </w:trPr>
        <w:tc>
          <w:tcPr>
            <w:tcW w:w="0" w:type="auto"/>
            <w:gridSpan w:val="3"/>
            <w:shd w:val="clear" w:color="auto" w:fill="CCEEFF"/>
            <w:tcMar>
              <w:top w:w="40" w:type="dxa"/>
              <w:left w:w="470" w:type="dxa"/>
              <w:bottom w:w="40" w:type="dxa"/>
              <w:right w:w="20" w:type="dxa"/>
            </w:tcMar>
            <w:vAlign w:val="bottom"/>
          </w:tcPr>
          <w:p w14:paraId="7DCFE9A0" w14:textId="77777777" w:rsidR="00C1563E" w:rsidRDefault="000B648B">
            <w:pPr>
              <w:textAlignment w:val="bottom"/>
            </w:pPr>
            <w:r>
              <w:rPr>
                <w:rFonts w:ascii="Times New Roman" w:eastAsia="宋体" w:hAnsi="Times New Roman"/>
                <w:color w:val="000000"/>
                <w:sz w:val="20"/>
                <w:szCs w:val="20"/>
              </w:rPr>
              <w:t>Reclassification adjustment for net gains included in net income (loss)</w:t>
            </w:r>
          </w:p>
        </w:tc>
        <w:tc>
          <w:tcPr>
            <w:tcW w:w="0" w:type="auto"/>
            <w:gridSpan w:val="2"/>
            <w:shd w:val="clear" w:color="auto" w:fill="CCEEFF"/>
            <w:tcMar>
              <w:top w:w="40" w:type="dxa"/>
              <w:left w:w="20" w:type="dxa"/>
              <w:bottom w:w="40" w:type="dxa"/>
              <w:right w:w="0" w:type="dxa"/>
            </w:tcMar>
            <w:vAlign w:val="bottom"/>
          </w:tcPr>
          <w:p w14:paraId="7DCFE9A1" w14:textId="77777777" w:rsidR="00C1563E" w:rsidRDefault="000B648B">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DCFE9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A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A4" w14:textId="77777777" w:rsidR="00C1563E" w:rsidRDefault="000B648B">
            <w:pPr>
              <w:jc w:val="right"/>
              <w:textAlignment w:val="bottom"/>
            </w:pPr>
            <w:r>
              <w:rPr>
                <w:rFonts w:ascii="Times New Roman" w:eastAsia="宋体" w:hAnsi="Times New Roman"/>
                <w:color w:val="000000"/>
                <w:sz w:val="20"/>
                <w:szCs w:val="20"/>
              </w:rPr>
              <w:t>(226)</w:t>
            </w:r>
          </w:p>
        </w:tc>
        <w:tc>
          <w:tcPr>
            <w:tcW w:w="0" w:type="auto"/>
            <w:shd w:val="clear" w:color="auto" w:fill="CCEEFF"/>
            <w:tcMar>
              <w:top w:w="40" w:type="dxa"/>
              <w:left w:w="0" w:type="dxa"/>
              <w:bottom w:w="40" w:type="dxa"/>
              <w:right w:w="20" w:type="dxa"/>
            </w:tcMar>
            <w:vAlign w:val="bottom"/>
          </w:tcPr>
          <w:p w14:paraId="7DCFE9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A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A7" w14:textId="77777777" w:rsidR="00C1563E" w:rsidRDefault="000B648B">
            <w:pPr>
              <w:jc w:val="right"/>
              <w:textAlignment w:val="bottom"/>
            </w:pPr>
            <w:r>
              <w:rPr>
                <w:rFonts w:ascii="Times New Roman" w:eastAsia="宋体" w:hAnsi="Times New Roman"/>
                <w:color w:val="000000"/>
                <w:sz w:val="20"/>
                <w:szCs w:val="20"/>
              </w:rPr>
              <w:t>(225)</w:t>
            </w:r>
          </w:p>
        </w:tc>
        <w:tc>
          <w:tcPr>
            <w:tcW w:w="0" w:type="auto"/>
            <w:shd w:val="clear" w:color="auto" w:fill="CCEEFF"/>
            <w:tcMar>
              <w:top w:w="40" w:type="dxa"/>
              <w:left w:w="0" w:type="dxa"/>
              <w:bottom w:w="40" w:type="dxa"/>
              <w:right w:w="20" w:type="dxa"/>
            </w:tcMar>
            <w:vAlign w:val="bottom"/>
          </w:tcPr>
          <w:p w14:paraId="7DCFE9A8" w14:textId="77777777" w:rsidR="00C1563E" w:rsidRDefault="00C1563E">
            <w:pPr>
              <w:jc w:val="right"/>
              <w:rPr>
                <w:rFonts w:ascii="宋体"/>
              </w:rPr>
            </w:pPr>
          </w:p>
        </w:tc>
      </w:tr>
      <w:tr w:rsidR="00C1563E" w14:paraId="7DCFE9B3" w14:textId="77777777">
        <w:trPr>
          <w:jc w:val="center"/>
        </w:trPr>
        <w:tc>
          <w:tcPr>
            <w:tcW w:w="0" w:type="auto"/>
            <w:gridSpan w:val="3"/>
            <w:shd w:val="clear" w:color="auto" w:fill="FFFFFF"/>
            <w:tcMar>
              <w:top w:w="40" w:type="dxa"/>
              <w:left w:w="740" w:type="dxa"/>
              <w:bottom w:w="40" w:type="dxa"/>
              <w:right w:w="20" w:type="dxa"/>
            </w:tcMar>
            <w:vAlign w:val="bottom"/>
          </w:tcPr>
          <w:p w14:paraId="7DCFE9AA" w14:textId="77777777" w:rsidR="00C1563E" w:rsidRDefault="000B648B">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AB" w14:textId="77777777" w:rsidR="00C1563E" w:rsidRDefault="000B648B">
            <w:pPr>
              <w:jc w:val="right"/>
              <w:textAlignment w:val="bottom"/>
            </w:pPr>
            <w:r>
              <w:rPr>
                <w:rFonts w:ascii="Times New Roman" w:eastAsia="宋体" w:hAnsi="Times New Roman"/>
                <w:color w:val="000000"/>
                <w:sz w:val="20"/>
                <w:szCs w:val="20"/>
              </w:rPr>
              <w:t>(100)</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A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AE" w14:textId="77777777" w:rsidR="00C1563E" w:rsidRDefault="000B648B">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B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B1" w14:textId="77777777" w:rsidR="00C1563E" w:rsidRDefault="000B648B">
            <w:pPr>
              <w:jc w:val="right"/>
              <w:textAlignment w:val="bottom"/>
            </w:pPr>
            <w:r>
              <w:rPr>
                <w:rFonts w:ascii="Times New Roman" w:eastAsia="宋体" w:hAnsi="Times New Roman"/>
                <w:color w:val="000000"/>
                <w:sz w:val="20"/>
                <w:szCs w:val="20"/>
              </w:rPr>
              <w:t>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B2" w14:textId="77777777" w:rsidR="00C1563E" w:rsidRDefault="00C1563E">
            <w:pPr>
              <w:jc w:val="right"/>
              <w:rPr>
                <w:rFonts w:ascii="宋体"/>
              </w:rPr>
            </w:pPr>
          </w:p>
        </w:tc>
      </w:tr>
      <w:tr w:rsidR="00C1563E" w14:paraId="7DCFE9BA" w14:textId="77777777">
        <w:trPr>
          <w:jc w:val="center"/>
        </w:trPr>
        <w:tc>
          <w:tcPr>
            <w:tcW w:w="0" w:type="auto"/>
            <w:gridSpan w:val="3"/>
            <w:shd w:val="clear" w:color="auto" w:fill="CCEEFF"/>
            <w:tcMar>
              <w:top w:w="40" w:type="dxa"/>
              <w:left w:w="245" w:type="dxa"/>
              <w:bottom w:w="40" w:type="dxa"/>
              <w:right w:w="20" w:type="dxa"/>
            </w:tcMar>
            <w:vAlign w:val="bottom"/>
          </w:tcPr>
          <w:p w14:paraId="7DCFE9B4" w14:textId="77777777" w:rsidR="00C1563E" w:rsidRDefault="000B648B">
            <w:pPr>
              <w:textAlignment w:val="bottom"/>
            </w:pPr>
            <w:r>
              <w:rPr>
                <w:rFonts w:ascii="Times New Roman" w:eastAsia="宋体" w:hAnsi="Times New Roman"/>
                <w:color w:val="000000"/>
                <w:sz w:val="20"/>
                <w:szCs w:val="20"/>
              </w:rPr>
              <w:t>Pensi</w:t>
            </w:r>
            <w:r>
              <w:rPr>
                <w:rFonts w:ascii="Times New Roman" w:eastAsia="宋体" w:hAnsi="Times New Roman"/>
                <w:color w:val="000000"/>
                <w:sz w:val="20"/>
                <w:szCs w:val="20"/>
              </w:rPr>
              <w:t>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tcPr>
          <w:p w14:paraId="7DCFE9B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B6"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B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B8"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B9" w14:textId="77777777" w:rsidR="00C1563E" w:rsidRDefault="00C1563E">
            <w:pPr>
              <w:rPr>
                <w:rFonts w:ascii="宋体"/>
              </w:rPr>
            </w:pPr>
          </w:p>
        </w:tc>
      </w:tr>
      <w:tr w:rsidR="00C1563E" w14:paraId="7DCFE9C4" w14:textId="77777777">
        <w:trPr>
          <w:jc w:val="center"/>
        </w:trPr>
        <w:tc>
          <w:tcPr>
            <w:tcW w:w="0" w:type="auto"/>
            <w:gridSpan w:val="3"/>
            <w:shd w:val="clear" w:color="auto" w:fill="FFFFFF"/>
            <w:tcMar>
              <w:top w:w="40" w:type="dxa"/>
              <w:left w:w="470" w:type="dxa"/>
              <w:bottom w:w="40" w:type="dxa"/>
              <w:right w:w="20" w:type="dxa"/>
            </w:tcMar>
            <w:vAlign w:val="bottom"/>
          </w:tcPr>
          <w:p w14:paraId="7DCFE9BB" w14:textId="77777777" w:rsidR="00C1563E" w:rsidRDefault="000B648B">
            <w:pPr>
              <w:textAlignment w:val="bottom"/>
            </w:pPr>
            <w:r>
              <w:rPr>
                <w:rFonts w:ascii="Times New Roman" w:eastAsia="宋体" w:hAnsi="Times New Roman"/>
                <w:color w:val="000000"/>
                <w:sz w:val="20"/>
                <w:szCs w:val="20"/>
              </w:rPr>
              <w:t>Recognition of actuarial net losses from pension and other postretirement plans</w:t>
            </w:r>
          </w:p>
        </w:tc>
        <w:tc>
          <w:tcPr>
            <w:tcW w:w="0" w:type="auto"/>
            <w:gridSpan w:val="2"/>
            <w:shd w:val="clear" w:color="auto" w:fill="FFFFFF"/>
            <w:tcMar>
              <w:top w:w="40" w:type="dxa"/>
              <w:left w:w="20" w:type="dxa"/>
              <w:bottom w:w="40" w:type="dxa"/>
              <w:right w:w="0" w:type="dxa"/>
            </w:tcMar>
            <w:vAlign w:val="bottom"/>
          </w:tcPr>
          <w:p w14:paraId="7DCFE9BC" w14:textId="77777777" w:rsidR="00C1563E" w:rsidRDefault="000B648B">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7DCFE9B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B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BF" w14:textId="77777777" w:rsidR="00C1563E" w:rsidRDefault="000B648B">
            <w:pPr>
              <w:jc w:val="right"/>
              <w:textAlignment w:val="bottom"/>
            </w:pPr>
            <w:r>
              <w:rPr>
                <w:rFonts w:ascii="Times New Roman" w:eastAsia="宋体" w:hAnsi="Times New Roman"/>
                <w:color w:val="000000"/>
                <w:sz w:val="20"/>
                <w:szCs w:val="20"/>
              </w:rPr>
              <w:t>(60)</w:t>
            </w:r>
          </w:p>
        </w:tc>
        <w:tc>
          <w:tcPr>
            <w:tcW w:w="0" w:type="auto"/>
            <w:shd w:val="clear" w:color="auto" w:fill="FFFFFF"/>
            <w:tcMar>
              <w:top w:w="40" w:type="dxa"/>
              <w:left w:w="0" w:type="dxa"/>
              <w:bottom w:w="40" w:type="dxa"/>
              <w:right w:w="20" w:type="dxa"/>
            </w:tcMar>
            <w:vAlign w:val="bottom"/>
          </w:tcPr>
          <w:p w14:paraId="7DCFE9C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C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C2" w14:textId="77777777" w:rsidR="00C1563E" w:rsidRDefault="000B648B">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7DCFE9C3" w14:textId="77777777" w:rsidR="00C1563E" w:rsidRDefault="00C1563E">
            <w:pPr>
              <w:jc w:val="right"/>
              <w:rPr>
                <w:rFonts w:ascii="宋体"/>
              </w:rPr>
            </w:pPr>
          </w:p>
        </w:tc>
      </w:tr>
      <w:tr w:rsidR="00C1563E" w14:paraId="7DCFE9CE" w14:textId="77777777">
        <w:trPr>
          <w:jc w:val="center"/>
        </w:trPr>
        <w:tc>
          <w:tcPr>
            <w:tcW w:w="0" w:type="auto"/>
            <w:gridSpan w:val="3"/>
            <w:shd w:val="clear" w:color="auto" w:fill="CCEEFF"/>
            <w:tcMar>
              <w:top w:w="40" w:type="dxa"/>
              <w:left w:w="470" w:type="dxa"/>
              <w:bottom w:w="40" w:type="dxa"/>
              <w:right w:w="20" w:type="dxa"/>
            </w:tcMar>
            <w:vAlign w:val="bottom"/>
          </w:tcPr>
          <w:p w14:paraId="7DCFE9C5" w14:textId="77777777" w:rsidR="00C1563E" w:rsidRDefault="000B648B">
            <w:pPr>
              <w:textAlignment w:val="bottom"/>
            </w:pPr>
            <w:r>
              <w:rPr>
                <w:rFonts w:ascii="Times New Roman" w:eastAsia="宋体" w:hAnsi="Times New Roman"/>
                <w:color w:val="000000"/>
                <w:sz w:val="20"/>
                <w:szCs w:val="20"/>
              </w:rPr>
              <w:t>Reclassification adjustments for net losses from pension and other postretirement plans</w:t>
            </w:r>
          </w:p>
        </w:tc>
        <w:tc>
          <w:tcPr>
            <w:tcW w:w="0" w:type="auto"/>
            <w:gridSpan w:val="2"/>
            <w:shd w:val="clear" w:color="auto" w:fill="CCEEFF"/>
            <w:tcMar>
              <w:top w:w="40" w:type="dxa"/>
              <w:left w:w="20" w:type="dxa"/>
              <w:bottom w:w="40" w:type="dxa"/>
              <w:right w:w="0" w:type="dxa"/>
            </w:tcMar>
            <w:vAlign w:val="bottom"/>
          </w:tcPr>
          <w:p w14:paraId="7DCFE9C6"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DCFE9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C9"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DCFE9C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C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9C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9CD" w14:textId="77777777" w:rsidR="00C1563E" w:rsidRDefault="00C1563E">
            <w:pPr>
              <w:jc w:val="right"/>
              <w:rPr>
                <w:rFonts w:ascii="宋体"/>
              </w:rPr>
            </w:pPr>
          </w:p>
        </w:tc>
      </w:tr>
      <w:tr w:rsidR="00C1563E" w14:paraId="7DCFE9D8" w14:textId="77777777">
        <w:trPr>
          <w:jc w:val="center"/>
        </w:trPr>
        <w:tc>
          <w:tcPr>
            <w:tcW w:w="0" w:type="auto"/>
            <w:gridSpan w:val="3"/>
            <w:shd w:val="clear" w:color="auto" w:fill="FFFFFF"/>
            <w:tcMar>
              <w:top w:w="40" w:type="dxa"/>
              <w:left w:w="740" w:type="dxa"/>
              <w:bottom w:w="40" w:type="dxa"/>
              <w:right w:w="20" w:type="dxa"/>
            </w:tcMar>
            <w:vAlign w:val="bottom"/>
          </w:tcPr>
          <w:p w14:paraId="7DCFE9CF" w14:textId="77777777" w:rsidR="00C1563E" w:rsidRDefault="000B648B">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change in actuarial net losses from pension and other 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D0" w14:textId="77777777" w:rsidR="00C1563E" w:rsidRDefault="000B648B">
            <w:pPr>
              <w:jc w:val="right"/>
              <w:textAlignment w:val="bottom"/>
            </w:pPr>
            <w:r>
              <w:rPr>
                <w:rFonts w:ascii="Times New Roman" w:eastAsia="宋体" w:hAnsi="Times New Roman"/>
                <w:color w:val="000000"/>
                <w:sz w:val="20"/>
                <w:szCs w:val="20"/>
              </w:rPr>
              <w:t>(33)</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D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D2"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D3" w14:textId="77777777" w:rsidR="00C1563E" w:rsidRDefault="000B648B">
            <w:pPr>
              <w:jc w:val="right"/>
              <w:textAlignment w:val="bottom"/>
            </w:pPr>
            <w:r>
              <w:rPr>
                <w:rFonts w:ascii="Times New Roman" w:eastAsia="宋体" w:hAnsi="Times New Roman"/>
                <w:color w:val="000000"/>
                <w:sz w:val="20"/>
                <w:szCs w:val="20"/>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D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D5"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D6" w14:textId="77777777" w:rsidR="00C1563E" w:rsidRDefault="000B648B">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D7" w14:textId="77777777" w:rsidR="00C1563E" w:rsidRDefault="00C1563E">
            <w:pPr>
              <w:jc w:val="right"/>
              <w:rPr>
                <w:rFonts w:ascii="宋体"/>
              </w:rPr>
            </w:pPr>
          </w:p>
        </w:tc>
      </w:tr>
      <w:tr w:rsidR="00C1563E" w14:paraId="7DCFE9DF" w14:textId="77777777">
        <w:trPr>
          <w:trHeight w:val="300"/>
          <w:jc w:val="center"/>
        </w:trPr>
        <w:tc>
          <w:tcPr>
            <w:tcW w:w="0" w:type="auto"/>
            <w:gridSpan w:val="3"/>
            <w:shd w:val="clear" w:color="auto" w:fill="CCEEFF"/>
            <w:tcMar>
              <w:top w:w="0" w:type="dxa"/>
              <w:left w:w="20" w:type="dxa"/>
              <w:bottom w:w="0" w:type="dxa"/>
              <w:right w:w="20" w:type="dxa"/>
            </w:tcMar>
          </w:tcPr>
          <w:p w14:paraId="7DCFE9D9"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D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DB"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D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9DD"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9DE" w14:textId="77777777" w:rsidR="00C1563E" w:rsidRDefault="00C1563E">
            <w:pPr>
              <w:rPr>
                <w:rFonts w:ascii="宋体"/>
              </w:rPr>
            </w:pPr>
          </w:p>
        </w:tc>
      </w:tr>
      <w:tr w:rsidR="00C1563E" w14:paraId="7DCFE9E9" w14:textId="77777777">
        <w:trPr>
          <w:jc w:val="center"/>
        </w:trPr>
        <w:tc>
          <w:tcPr>
            <w:tcW w:w="0" w:type="auto"/>
            <w:gridSpan w:val="3"/>
            <w:shd w:val="clear" w:color="auto" w:fill="FFFFFF"/>
            <w:tcMar>
              <w:top w:w="40" w:type="dxa"/>
              <w:left w:w="20" w:type="dxa"/>
              <w:bottom w:w="40" w:type="dxa"/>
              <w:right w:w="20" w:type="dxa"/>
            </w:tcMar>
            <w:vAlign w:val="bottom"/>
          </w:tcPr>
          <w:p w14:paraId="7DCFE9E0" w14:textId="77777777" w:rsidR="00C1563E" w:rsidRDefault="000B648B">
            <w:pPr>
              <w:textAlignment w:val="bottom"/>
            </w:pPr>
            <w:r>
              <w:rPr>
                <w:rFonts w:ascii="Times New Roman" w:eastAsia="宋体" w:hAnsi="Times New Roman"/>
                <w:color w:val="000000"/>
                <w:sz w:val="20"/>
                <w:szCs w:val="20"/>
              </w:rPr>
              <w:t>Total other comprehensive income (loss), net of tax expense (benefit) of $(18), $(14), and $14, respectively</w:t>
            </w:r>
          </w:p>
        </w:tc>
        <w:tc>
          <w:tcPr>
            <w:tcW w:w="0" w:type="auto"/>
            <w:gridSpan w:val="2"/>
            <w:shd w:val="clear" w:color="auto" w:fill="FFFFFF"/>
            <w:tcMar>
              <w:top w:w="40" w:type="dxa"/>
              <w:left w:w="20" w:type="dxa"/>
              <w:bottom w:w="40" w:type="dxa"/>
              <w:right w:w="0" w:type="dxa"/>
            </w:tcMar>
            <w:vAlign w:val="bottom"/>
          </w:tcPr>
          <w:p w14:paraId="7DCFE9E1" w14:textId="77777777" w:rsidR="00C1563E" w:rsidRDefault="000B648B">
            <w:pPr>
              <w:jc w:val="right"/>
              <w:textAlignment w:val="bottom"/>
            </w:pPr>
            <w:r>
              <w:rPr>
                <w:rFonts w:ascii="Times New Roman" w:eastAsia="宋体" w:hAnsi="Times New Roman"/>
                <w:color w:val="000000"/>
                <w:sz w:val="20"/>
                <w:szCs w:val="20"/>
              </w:rPr>
              <w:t>395 </w:t>
            </w:r>
          </w:p>
        </w:tc>
        <w:tc>
          <w:tcPr>
            <w:tcW w:w="0" w:type="auto"/>
            <w:shd w:val="clear" w:color="auto" w:fill="FFFFFF"/>
            <w:tcMar>
              <w:top w:w="40" w:type="dxa"/>
              <w:left w:w="0" w:type="dxa"/>
              <w:bottom w:w="40" w:type="dxa"/>
              <w:right w:w="20" w:type="dxa"/>
            </w:tcMar>
            <w:vAlign w:val="bottom"/>
          </w:tcPr>
          <w:p w14:paraId="7DCFE9E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E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E4" w14:textId="77777777" w:rsidR="00C1563E" w:rsidRDefault="000B648B">
            <w:pPr>
              <w:jc w:val="right"/>
              <w:textAlignment w:val="bottom"/>
            </w:pPr>
            <w:r>
              <w:rPr>
                <w:rFonts w:ascii="Times New Roman" w:eastAsia="宋体" w:hAnsi="Times New Roman"/>
                <w:color w:val="000000"/>
                <w:sz w:val="20"/>
                <w:szCs w:val="20"/>
              </w:rPr>
              <w:t>(242)</w:t>
            </w:r>
          </w:p>
        </w:tc>
        <w:tc>
          <w:tcPr>
            <w:tcW w:w="0" w:type="auto"/>
            <w:shd w:val="clear" w:color="auto" w:fill="FFFFFF"/>
            <w:tcMar>
              <w:top w:w="40" w:type="dxa"/>
              <w:left w:w="0" w:type="dxa"/>
              <w:bottom w:w="40" w:type="dxa"/>
              <w:right w:w="20" w:type="dxa"/>
            </w:tcMar>
            <w:vAlign w:val="bottom"/>
          </w:tcPr>
          <w:p w14:paraId="7DCFE9E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E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9E7" w14:textId="77777777" w:rsidR="00C1563E" w:rsidRDefault="000B648B">
            <w:pPr>
              <w:jc w:val="right"/>
              <w:textAlignment w:val="bottom"/>
            </w:pPr>
            <w:r>
              <w:rPr>
                <w:rFonts w:ascii="Times New Roman" w:eastAsia="宋体" w:hAnsi="Times New Roman"/>
                <w:color w:val="000000"/>
                <w:sz w:val="20"/>
                <w:szCs w:val="20"/>
              </w:rPr>
              <w:t>(533)</w:t>
            </w:r>
          </w:p>
        </w:tc>
        <w:tc>
          <w:tcPr>
            <w:tcW w:w="0" w:type="auto"/>
            <w:shd w:val="clear" w:color="auto" w:fill="FFFFFF"/>
            <w:tcMar>
              <w:top w:w="40" w:type="dxa"/>
              <w:left w:w="0" w:type="dxa"/>
              <w:bottom w:w="40" w:type="dxa"/>
              <w:right w:w="20" w:type="dxa"/>
            </w:tcMar>
            <w:vAlign w:val="bottom"/>
          </w:tcPr>
          <w:p w14:paraId="7DCFE9E8" w14:textId="77777777" w:rsidR="00C1563E" w:rsidRDefault="00C1563E">
            <w:pPr>
              <w:jc w:val="right"/>
              <w:rPr>
                <w:rFonts w:ascii="宋体"/>
              </w:rPr>
            </w:pPr>
          </w:p>
        </w:tc>
      </w:tr>
      <w:tr w:rsidR="00C1563E" w14:paraId="7DCFE9F3" w14:textId="77777777">
        <w:trPr>
          <w:jc w:val="center"/>
        </w:trPr>
        <w:tc>
          <w:tcPr>
            <w:tcW w:w="0" w:type="auto"/>
            <w:gridSpan w:val="3"/>
            <w:shd w:val="clear" w:color="auto" w:fill="CCEEFF"/>
            <w:tcMar>
              <w:top w:w="40" w:type="dxa"/>
              <w:left w:w="245" w:type="dxa"/>
              <w:bottom w:w="40" w:type="dxa"/>
              <w:right w:w="20" w:type="dxa"/>
            </w:tcMar>
            <w:vAlign w:val="bottom"/>
          </w:tcPr>
          <w:p w14:paraId="7DCFE9EA" w14:textId="77777777" w:rsidR="00C1563E" w:rsidRDefault="000B648B">
            <w:pPr>
              <w:textAlignment w:val="bottom"/>
            </w:pPr>
            <w:r>
              <w:rPr>
                <w:rFonts w:ascii="Times New Roman" w:eastAsia="宋体" w:hAnsi="Times New Roman"/>
                <w:color w:val="000000"/>
                <w:sz w:val="20"/>
                <w:szCs w:val="20"/>
              </w:rPr>
              <w:t xml:space="preserve">Comprehensive income </w:t>
            </w:r>
            <w:r>
              <w:rPr>
                <w:rFonts w:ascii="Times New Roman" w:eastAsia="宋体" w:hAnsi="Times New Roman"/>
                <w:color w:val="000000"/>
                <w:sz w:val="20"/>
                <w:szCs w:val="20"/>
              </w:rPr>
              <w:t>(loss),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9EB" w14:textId="77777777" w:rsidR="00C1563E" w:rsidRDefault="000B648B">
            <w:pPr>
              <w:jc w:val="right"/>
              <w:textAlignment w:val="bottom"/>
            </w:pPr>
            <w:r>
              <w:rPr>
                <w:rFonts w:ascii="Times New Roman" w:eastAsia="宋体" w:hAnsi="Times New Roman"/>
                <w:color w:val="000000"/>
                <w:sz w:val="20"/>
                <w:szCs w:val="20"/>
              </w:rPr>
              <w:t>3,900 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E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ED"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9EE" w14:textId="77777777" w:rsidR="00C1563E" w:rsidRDefault="000B648B">
            <w:pPr>
              <w:jc w:val="right"/>
              <w:textAlignment w:val="bottom"/>
            </w:pPr>
            <w:r>
              <w:rPr>
                <w:rFonts w:ascii="Times New Roman" w:eastAsia="宋体" w:hAnsi="Times New Roman"/>
                <w:color w:val="000000"/>
                <w:sz w:val="20"/>
                <w:szCs w:val="20"/>
              </w:rPr>
              <w:t>5,287 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E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9F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9F1" w14:textId="77777777" w:rsidR="00C1563E" w:rsidRDefault="000B648B">
            <w:pPr>
              <w:jc w:val="right"/>
              <w:textAlignment w:val="bottom"/>
            </w:pPr>
            <w:r>
              <w:rPr>
                <w:rFonts w:ascii="Times New Roman" w:eastAsia="宋体" w:hAnsi="Times New Roman"/>
                <w:color w:val="000000"/>
                <w:sz w:val="20"/>
                <w:szCs w:val="20"/>
              </w:rPr>
              <w:t>(2,714)</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9F2" w14:textId="77777777" w:rsidR="00C1563E" w:rsidRDefault="00C1563E">
            <w:pPr>
              <w:jc w:val="right"/>
              <w:rPr>
                <w:rFonts w:ascii="宋体"/>
              </w:rPr>
            </w:pPr>
          </w:p>
        </w:tc>
      </w:tr>
      <w:tr w:rsidR="00C1563E" w14:paraId="7DCFE9FD" w14:textId="77777777">
        <w:trPr>
          <w:jc w:val="center"/>
        </w:trPr>
        <w:tc>
          <w:tcPr>
            <w:tcW w:w="0" w:type="auto"/>
            <w:gridSpan w:val="3"/>
            <w:shd w:val="clear" w:color="auto" w:fill="FFFFFF"/>
            <w:tcMar>
              <w:top w:w="40" w:type="dxa"/>
              <w:left w:w="470" w:type="dxa"/>
              <w:bottom w:w="40" w:type="dxa"/>
              <w:right w:w="20" w:type="dxa"/>
            </w:tcMar>
            <w:vAlign w:val="bottom"/>
          </w:tcPr>
          <w:p w14:paraId="7DCFE9F4" w14:textId="77777777" w:rsidR="00C1563E" w:rsidRDefault="000B648B">
            <w:pPr>
              <w:textAlignment w:val="bottom"/>
            </w:pPr>
            <w:r>
              <w:rPr>
                <w:rFonts w:ascii="Times New Roman" w:eastAsia="宋体" w:hAnsi="Times New Roman"/>
                <w:color w:val="000000"/>
                <w:sz w:val="20"/>
                <w:szCs w:val="20"/>
              </w:rPr>
              <w:t>Less: Net income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F5" w14:textId="77777777" w:rsidR="00C1563E" w:rsidRDefault="000B648B">
            <w:pPr>
              <w:jc w:val="right"/>
              <w:textAlignment w:val="bottom"/>
            </w:pPr>
            <w:r>
              <w:rPr>
                <w:rFonts w:ascii="Times New Roman" w:eastAsia="宋体" w:hAnsi="Times New Roman"/>
                <w:color w:val="000000"/>
                <w:sz w:val="20"/>
                <w:szCs w:val="20"/>
              </w:rPr>
              <w:t>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F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F7"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F8" w14:textId="77777777" w:rsidR="00C1563E" w:rsidRDefault="000B648B">
            <w:pPr>
              <w:jc w:val="right"/>
              <w:textAlignment w:val="bottom"/>
            </w:pPr>
            <w:r>
              <w:rPr>
                <w:rFonts w:ascii="Times New Roman" w:eastAsia="宋体" w:hAnsi="Times New Roman"/>
                <w:color w:val="000000"/>
                <w:sz w:val="20"/>
                <w:szCs w:val="20"/>
              </w:rPr>
              <w:t>913 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F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9F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9FB" w14:textId="77777777" w:rsidR="00C1563E" w:rsidRDefault="000B648B">
            <w:pPr>
              <w:jc w:val="right"/>
              <w:textAlignment w:val="bottom"/>
            </w:pPr>
            <w:r>
              <w:rPr>
                <w:rFonts w:ascii="Times New Roman" w:eastAsia="宋体" w:hAnsi="Times New Roman"/>
                <w:color w:val="000000"/>
                <w:sz w:val="20"/>
                <w:szCs w:val="20"/>
              </w:rPr>
              <w:t>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9FC" w14:textId="77777777" w:rsidR="00C1563E" w:rsidRDefault="00C1563E">
            <w:pPr>
              <w:jc w:val="right"/>
              <w:rPr>
                <w:rFonts w:ascii="宋体"/>
              </w:rPr>
            </w:pPr>
          </w:p>
        </w:tc>
      </w:tr>
      <w:tr w:rsidR="00C1563E" w14:paraId="7DCFEA07" w14:textId="77777777">
        <w:trPr>
          <w:jc w:val="center"/>
        </w:trPr>
        <w:tc>
          <w:tcPr>
            <w:tcW w:w="0" w:type="auto"/>
            <w:gridSpan w:val="3"/>
            <w:shd w:val="clear" w:color="auto" w:fill="CCEEFF"/>
            <w:tcMar>
              <w:top w:w="40" w:type="dxa"/>
              <w:left w:w="470" w:type="dxa"/>
              <w:bottom w:w="40" w:type="dxa"/>
              <w:right w:w="20" w:type="dxa"/>
            </w:tcMar>
            <w:vAlign w:val="bottom"/>
          </w:tcPr>
          <w:p w14:paraId="7DCFE9FE" w14:textId="77777777" w:rsidR="00C1563E" w:rsidRDefault="000B648B">
            <w:pPr>
              <w:textAlignment w:val="bottom"/>
            </w:pPr>
            <w:r>
              <w:rPr>
                <w:rFonts w:ascii="Times New Roman" w:eastAsia="宋体" w:hAnsi="Times New Roman"/>
                <w:color w:val="000000"/>
                <w:sz w:val="20"/>
                <w:szCs w:val="20"/>
              </w:rPr>
              <w:t>Less:</w:t>
            </w:r>
            <w:r>
              <w:rPr>
                <w:rFonts w:ascii="Times New Roman" w:eastAsia="宋体" w:hAnsi="Times New Roman"/>
                <w:color w:val="000000"/>
                <w:sz w:val="20"/>
                <w:szCs w:val="20"/>
              </w:rPr>
              <w:t xml:space="preserve"> Other comprehensive income attributable to non-controlling interests</w:t>
            </w:r>
          </w:p>
        </w:tc>
        <w:tc>
          <w:tcPr>
            <w:tcW w:w="0" w:type="auto"/>
            <w:gridSpan w:val="2"/>
            <w:shd w:val="clear" w:color="auto" w:fill="CCEEFF"/>
            <w:tcMar>
              <w:top w:w="40" w:type="dxa"/>
              <w:left w:w="20" w:type="dxa"/>
              <w:bottom w:w="40" w:type="dxa"/>
              <w:right w:w="0" w:type="dxa"/>
            </w:tcMar>
            <w:vAlign w:val="bottom"/>
          </w:tcPr>
          <w:p w14:paraId="7DCFE9F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A0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0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0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A0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0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05"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DCFEA06" w14:textId="77777777" w:rsidR="00C1563E" w:rsidRDefault="00C1563E">
            <w:pPr>
              <w:jc w:val="right"/>
              <w:rPr>
                <w:rFonts w:ascii="宋体"/>
              </w:rPr>
            </w:pPr>
          </w:p>
        </w:tc>
      </w:tr>
      <w:tr w:rsidR="00C1563E" w14:paraId="7DCFEA14" w14:textId="77777777">
        <w:trPr>
          <w:jc w:val="center"/>
        </w:trPr>
        <w:tc>
          <w:tcPr>
            <w:tcW w:w="0" w:type="auto"/>
            <w:gridSpan w:val="3"/>
            <w:shd w:val="clear" w:color="auto" w:fill="FFFFFF"/>
            <w:tcMar>
              <w:top w:w="40" w:type="dxa"/>
              <w:left w:w="245" w:type="dxa"/>
              <w:bottom w:w="40" w:type="dxa"/>
              <w:right w:w="20" w:type="dxa"/>
            </w:tcMar>
            <w:vAlign w:val="bottom"/>
          </w:tcPr>
          <w:p w14:paraId="7DCFEA08" w14:textId="77777777" w:rsidR="00C1563E" w:rsidRDefault="000B648B">
            <w:pPr>
              <w:textAlignment w:val="bottom"/>
            </w:pPr>
            <w:r>
              <w:rPr>
                <w:rFonts w:ascii="Times New Roman" w:eastAsia="宋体" w:hAnsi="Times New Roman"/>
                <w:color w:val="000000"/>
                <w:sz w:val="20"/>
                <w:szCs w:val="20"/>
              </w:rPr>
              <w:t>Comprehensive income (loss)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A0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A0A" w14:textId="77777777" w:rsidR="00C1563E" w:rsidRDefault="000B648B">
            <w:pPr>
              <w:jc w:val="right"/>
              <w:textAlignment w:val="bottom"/>
            </w:pPr>
            <w:r>
              <w:rPr>
                <w:rFonts w:ascii="Times New Roman" w:eastAsia="宋体" w:hAnsi="Times New Roman"/>
                <w:color w:val="000000"/>
                <w:sz w:val="20"/>
                <w:szCs w:val="20"/>
              </w:rPr>
              <w:t>3,645 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A0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0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A0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A0E" w14:textId="77777777" w:rsidR="00C1563E" w:rsidRDefault="000B648B">
            <w:pPr>
              <w:jc w:val="right"/>
              <w:textAlignment w:val="bottom"/>
            </w:pPr>
            <w:r>
              <w:rPr>
                <w:rFonts w:ascii="Times New Roman" w:eastAsia="宋体" w:hAnsi="Times New Roman"/>
                <w:color w:val="000000"/>
                <w:sz w:val="20"/>
                <w:szCs w:val="20"/>
              </w:rPr>
              <w:t>4,374 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A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1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A1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A12" w14:textId="77777777" w:rsidR="00C1563E" w:rsidRDefault="000B648B">
            <w:pPr>
              <w:jc w:val="right"/>
              <w:textAlignment w:val="bottom"/>
            </w:pPr>
            <w:r>
              <w:rPr>
                <w:rFonts w:ascii="Times New Roman" w:eastAsia="宋体" w:hAnsi="Times New Roman"/>
                <w:color w:val="000000"/>
                <w:sz w:val="20"/>
                <w:szCs w:val="20"/>
              </w:rPr>
              <w:t>(2,849)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A13" w14:textId="77777777" w:rsidR="00C1563E" w:rsidRDefault="00C1563E">
            <w:pPr>
              <w:jc w:val="right"/>
              <w:rPr>
                <w:rFonts w:ascii="宋体"/>
              </w:rPr>
            </w:pPr>
          </w:p>
        </w:tc>
      </w:tr>
    </w:tbl>
    <w:p w14:paraId="7DCFEA15" w14:textId="77777777" w:rsidR="00C1563E" w:rsidRDefault="00C1563E">
      <w:pPr>
        <w:jc w:val="center"/>
      </w:pPr>
    </w:p>
    <w:p w14:paraId="7DCFEA16" w14:textId="77777777" w:rsidR="00C1563E" w:rsidRDefault="000B648B">
      <w:pPr>
        <w:jc w:val="center"/>
      </w:pPr>
      <w:r>
        <w:rPr>
          <w:rFonts w:ascii="Times New Roman" w:eastAsia="宋体" w:hAnsi="Times New Roman"/>
          <w:color w:val="000000"/>
          <w:sz w:val="20"/>
          <w:szCs w:val="20"/>
        </w:rPr>
        <w:t>The accompanying notes are an integral part of these Consolidated Financial Statements.</w:t>
      </w:r>
    </w:p>
    <w:p w14:paraId="7DCFEA17" w14:textId="77777777" w:rsidR="00C1563E" w:rsidRDefault="00C1563E">
      <w:pPr>
        <w:jc w:val="center"/>
      </w:pPr>
    </w:p>
    <w:p w14:paraId="7DCFEA18" w14:textId="77777777" w:rsidR="00C1563E" w:rsidRDefault="000B648B">
      <w:pPr>
        <w:jc w:val="center"/>
      </w:pPr>
      <w:r>
        <w:rPr>
          <w:rFonts w:ascii="Times New Roman" w:eastAsia="宋体" w:hAnsi="Times New Roman"/>
          <w:color w:val="000000"/>
          <w:sz w:val="20"/>
          <w:szCs w:val="20"/>
        </w:rPr>
        <w:t>76</w:t>
      </w:r>
    </w:p>
    <w:p w14:paraId="7DCFEA19" w14:textId="77777777" w:rsidR="00C1563E" w:rsidRDefault="00C1563E">
      <w:pPr>
        <w:jc w:val="center"/>
      </w:pPr>
    </w:p>
    <w:p w14:paraId="7DCFEA1A" w14:textId="77777777" w:rsidR="00C1563E" w:rsidRDefault="000B648B">
      <w:r>
        <w:pict w14:anchorId="7DD025B6">
          <v:rect id="_x0000_i1100" style="width:415.3pt;height:1.5pt" o:hralign="center" o:hrstd="t" o:hr="t" fillcolor="#a0a0a0" stroked="f"/>
        </w:pict>
      </w:r>
    </w:p>
    <w:p w14:paraId="7DCFEA1B" w14:textId="77777777" w:rsidR="00C1563E" w:rsidRDefault="000B648B">
      <w:hyperlink r:id="rId236" w:anchor="i418e32e4a35149ffbf7d3a25d66881b8_10" w:history="1">
        <w:r>
          <w:rPr>
            <w:rStyle w:val="a5"/>
            <w:rFonts w:ascii="Times New Roman" w:eastAsia="宋体" w:hAnsi="Times New Roman"/>
            <w:sz w:val="20"/>
            <w:szCs w:val="20"/>
          </w:rPr>
          <w:t>Table of Contents</w:t>
        </w:r>
      </w:hyperlink>
    </w:p>
    <w:p w14:paraId="7DCFEA1C"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A1D" w14:textId="77777777" w:rsidR="00C1563E" w:rsidRDefault="000B648B">
      <w:pPr>
        <w:spacing w:after="60"/>
        <w:jc w:val="center"/>
      </w:pPr>
      <w:r>
        <w:rPr>
          <w:rFonts w:ascii="Times New Roman" w:eastAsia="宋体" w:hAnsi="Times New Roman"/>
          <w:b/>
          <w:bCs/>
          <w:color w:val="000000"/>
          <w:sz w:val="20"/>
          <w:szCs w:val="20"/>
          <w:shd w:val="clear" w:color="auto" w:fill="FFFFFF"/>
        </w:rPr>
        <w:t>CONSOLIDATED STATEMENTS OF CASH FLOWS</w:t>
      </w:r>
    </w:p>
    <w:p w14:paraId="7DCFEA1E" w14:textId="77777777" w:rsidR="00C1563E" w:rsidRDefault="000B648B">
      <w:pPr>
        <w:spacing w:after="60"/>
        <w:jc w:val="center"/>
      </w:pPr>
      <w:r>
        <w:rPr>
          <w:rFonts w:ascii="Times New Roman" w:eastAsia="宋体" w:hAnsi="Times New Roman"/>
          <w:color w:val="000000"/>
          <w:sz w:val="20"/>
          <w:szCs w:val="20"/>
          <w:shd w:val="clear" w:color="auto" w:fill="FFFFFF"/>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118"/>
        <w:gridCol w:w="39"/>
        <w:gridCol w:w="120"/>
        <w:gridCol w:w="1167"/>
        <w:gridCol w:w="36"/>
        <w:gridCol w:w="36"/>
        <w:gridCol w:w="36"/>
        <w:gridCol w:w="36"/>
        <w:gridCol w:w="120"/>
        <w:gridCol w:w="1167"/>
        <w:gridCol w:w="36"/>
        <w:gridCol w:w="36"/>
        <w:gridCol w:w="36"/>
        <w:gridCol w:w="36"/>
        <w:gridCol w:w="121"/>
        <w:gridCol w:w="1119"/>
        <w:gridCol w:w="36"/>
      </w:tblGrid>
      <w:tr w:rsidR="00C1563E" w14:paraId="7DCFEA31" w14:textId="77777777">
        <w:trPr>
          <w:jc w:val="center"/>
        </w:trPr>
        <w:tc>
          <w:tcPr>
            <w:tcW w:w="50" w:type="pct"/>
            <w:shd w:val="clear" w:color="auto" w:fill="auto"/>
          </w:tcPr>
          <w:p w14:paraId="7DCFEA1F" w14:textId="77777777" w:rsidR="00C1563E" w:rsidRDefault="00C1563E">
            <w:pPr>
              <w:rPr>
                <w:rFonts w:ascii="宋体"/>
              </w:rPr>
            </w:pPr>
          </w:p>
        </w:tc>
        <w:tc>
          <w:tcPr>
            <w:tcW w:w="2525" w:type="pct"/>
            <w:shd w:val="clear" w:color="auto" w:fill="auto"/>
          </w:tcPr>
          <w:p w14:paraId="7DCFEA20" w14:textId="77777777" w:rsidR="00C1563E" w:rsidRDefault="00C1563E">
            <w:pPr>
              <w:rPr>
                <w:rFonts w:ascii="宋体"/>
              </w:rPr>
            </w:pPr>
          </w:p>
        </w:tc>
        <w:tc>
          <w:tcPr>
            <w:tcW w:w="5" w:type="pct"/>
            <w:shd w:val="clear" w:color="auto" w:fill="auto"/>
          </w:tcPr>
          <w:p w14:paraId="7DCFEA21" w14:textId="77777777" w:rsidR="00C1563E" w:rsidRDefault="00C1563E">
            <w:pPr>
              <w:rPr>
                <w:rFonts w:ascii="宋体"/>
              </w:rPr>
            </w:pPr>
          </w:p>
        </w:tc>
        <w:tc>
          <w:tcPr>
            <w:tcW w:w="50" w:type="pct"/>
            <w:shd w:val="clear" w:color="auto" w:fill="auto"/>
          </w:tcPr>
          <w:p w14:paraId="7DCFEA22" w14:textId="77777777" w:rsidR="00C1563E" w:rsidRDefault="00C1563E">
            <w:pPr>
              <w:rPr>
                <w:rFonts w:ascii="宋体"/>
              </w:rPr>
            </w:pPr>
          </w:p>
        </w:tc>
        <w:tc>
          <w:tcPr>
            <w:tcW w:w="741" w:type="pct"/>
            <w:shd w:val="clear" w:color="auto" w:fill="auto"/>
          </w:tcPr>
          <w:p w14:paraId="7DCFEA23" w14:textId="77777777" w:rsidR="00C1563E" w:rsidRDefault="00C1563E">
            <w:pPr>
              <w:rPr>
                <w:rFonts w:ascii="宋体"/>
              </w:rPr>
            </w:pPr>
          </w:p>
        </w:tc>
        <w:tc>
          <w:tcPr>
            <w:tcW w:w="5" w:type="pct"/>
            <w:shd w:val="clear" w:color="auto" w:fill="auto"/>
          </w:tcPr>
          <w:p w14:paraId="7DCFEA24" w14:textId="77777777" w:rsidR="00C1563E" w:rsidRDefault="00C1563E">
            <w:pPr>
              <w:rPr>
                <w:rFonts w:ascii="宋体"/>
              </w:rPr>
            </w:pPr>
          </w:p>
        </w:tc>
        <w:tc>
          <w:tcPr>
            <w:tcW w:w="5" w:type="pct"/>
            <w:shd w:val="clear" w:color="auto" w:fill="auto"/>
          </w:tcPr>
          <w:p w14:paraId="7DCFEA25" w14:textId="77777777" w:rsidR="00C1563E" w:rsidRDefault="00C1563E">
            <w:pPr>
              <w:rPr>
                <w:rFonts w:ascii="宋体"/>
              </w:rPr>
            </w:pPr>
          </w:p>
        </w:tc>
        <w:tc>
          <w:tcPr>
            <w:tcW w:w="19" w:type="pct"/>
            <w:shd w:val="clear" w:color="auto" w:fill="auto"/>
          </w:tcPr>
          <w:p w14:paraId="7DCFEA26" w14:textId="77777777" w:rsidR="00C1563E" w:rsidRDefault="00C1563E">
            <w:pPr>
              <w:rPr>
                <w:rFonts w:ascii="宋体"/>
              </w:rPr>
            </w:pPr>
          </w:p>
        </w:tc>
        <w:tc>
          <w:tcPr>
            <w:tcW w:w="5" w:type="pct"/>
            <w:shd w:val="clear" w:color="auto" w:fill="auto"/>
          </w:tcPr>
          <w:p w14:paraId="7DCFEA27" w14:textId="77777777" w:rsidR="00C1563E" w:rsidRDefault="00C1563E">
            <w:pPr>
              <w:rPr>
                <w:rFonts w:ascii="宋体"/>
              </w:rPr>
            </w:pPr>
          </w:p>
        </w:tc>
        <w:tc>
          <w:tcPr>
            <w:tcW w:w="50" w:type="pct"/>
            <w:shd w:val="clear" w:color="auto" w:fill="auto"/>
          </w:tcPr>
          <w:p w14:paraId="7DCFEA28" w14:textId="77777777" w:rsidR="00C1563E" w:rsidRDefault="00C1563E">
            <w:pPr>
              <w:rPr>
                <w:rFonts w:ascii="宋体"/>
              </w:rPr>
            </w:pPr>
          </w:p>
        </w:tc>
        <w:tc>
          <w:tcPr>
            <w:tcW w:w="741" w:type="pct"/>
            <w:shd w:val="clear" w:color="auto" w:fill="auto"/>
          </w:tcPr>
          <w:p w14:paraId="7DCFEA29" w14:textId="77777777" w:rsidR="00C1563E" w:rsidRDefault="00C1563E">
            <w:pPr>
              <w:rPr>
                <w:rFonts w:ascii="宋体"/>
              </w:rPr>
            </w:pPr>
          </w:p>
        </w:tc>
        <w:tc>
          <w:tcPr>
            <w:tcW w:w="5" w:type="pct"/>
            <w:shd w:val="clear" w:color="auto" w:fill="auto"/>
          </w:tcPr>
          <w:p w14:paraId="7DCFEA2A" w14:textId="77777777" w:rsidR="00C1563E" w:rsidRDefault="00C1563E">
            <w:pPr>
              <w:rPr>
                <w:rFonts w:ascii="宋体"/>
              </w:rPr>
            </w:pPr>
          </w:p>
        </w:tc>
        <w:tc>
          <w:tcPr>
            <w:tcW w:w="5" w:type="pct"/>
            <w:shd w:val="clear" w:color="auto" w:fill="auto"/>
          </w:tcPr>
          <w:p w14:paraId="7DCFEA2B" w14:textId="77777777" w:rsidR="00C1563E" w:rsidRDefault="00C1563E">
            <w:pPr>
              <w:rPr>
                <w:rFonts w:ascii="宋体"/>
              </w:rPr>
            </w:pPr>
          </w:p>
        </w:tc>
        <w:tc>
          <w:tcPr>
            <w:tcW w:w="19" w:type="pct"/>
            <w:shd w:val="clear" w:color="auto" w:fill="auto"/>
          </w:tcPr>
          <w:p w14:paraId="7DCFEA2C" w14:textId="77777777" w:rsidR="00C1563E" w:rsidRDefault="00C1563E">
            <w:pPr>
              <w:rPr>
                <w:rFonts w:ascii="宋体"/>
              </w:rPr>
            </w:pPr>
          </w:p>
        </w:tc>
        <w:tc>
          <w:tcPr>
            <w:tcW w:w="5" w:type="pct"/>
            <w:shd w:val="clear" w:color="auto" w:fill="auto"/>
          </w:tcPr>
          <w:p w14:paraId="7DCFEA2D" w14:textId="77777777" w:rsidR="00C1563E" w:rsidRDefault="00C1563E">
            <w:pPr>
              <w:rPr>
                <w:rFonts w:ascii="宋体"/>
              </w:rPr>
            </w:pPr>
          </w:p>
        </w:tc>
        <w:tc>
          <w:tcPr>
            <w:tcW w:w="50" w:type="pct"/>
            <w:shd w:val="clear" w:color="auto" w:fill="auto"/>
          </w:tcPr>
          <w:p w14:paraId="7DCFEA2E" w14:textId="77777777" w:rsidR="00C1563E" w:rsidRDefault="00C1563E">
            <w:pPr>
              <w:rPr>
                <w:rFonts w:ascii="宋体"/>
              </w:rPr>
            </w:pPr>
          </w:p>
        </w:tc>
        <w:tc>
          <w:tcPr>
            <w:tcW w:w="712" w:type="pct"/>
            <w:shd w:val="clear" w:color="auto" w:fill="auto"/>
          </w:tcPr>
          <w:p w14:paraId="7DCFEA2F" w14:textId="77777777" w:rsidR="00C1563E" w:rsidRDefault="00C1563E">
            <w:pPr>
              <w:rPr>
                <w:rFonts w:ascii="宋体"/>
              </w:rPr>
            </w:pPr>
          </w:p>
        </w:tc>
        <w:tc>
          <w:tcPr>
            <w:tcW w:w="5" w:type="pct"/>
            <w:shd w:val="clear" w:color="auto" w:fill="auto"/>
          </w:tcPr>
          <w:p w14:paraId="7DCFEA30" w14:textId="77777777" w:rsidR="00C1563E" w:rsidRDefault="00C1563E">
            <w:pPr>
              <w:rPr>
                <w:rFonts w:ascii="宋体"/>
              </w:rPr>
            </w:pPr>
          </w:p>
        </w:tc>
      </w:tr>
      <w:tr w:rsidR="00C1563E" w14:paraId="7DCFEA34" w14:textId="77777777">
        <w:trPr>
          <w:jc w:val="center"/>
        </w:trPr>
        <w:tc>
          <w:tcPr>
            <w:tcW w:w="0" w:type="auto"/>
            <w:gridSpan w:val="3"/>
            <w:shd w:val="clear" w:color="auto" w:fill="auto"/>
            <w:tcMar>
              <w:top w:w="40" w:type="dxa"/>
              <w:left w:w="132" w:type="dxa"/>
              <w:bottom w:w="40" w:type="dxa"/>
              <w:right w:w="132" w:type="dxa"/>
            </w:tcMar>
            <w:vAlign w:val="bottom"/>
          </w:tcPr>
          <w:p w14:paraId="7DCFEA32"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DCFEA33"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EA3B" w14:textId="77777777">
        <w:trPr>
          <w:jc w:val="center"/>
        </w:trPr>
        <w:tc>
          <w:tcPr>
            <w:tcW w:w="0" w:type="auto"/>
            <w:gridSpan w:val="3"/>
            <w:shd w:val="clear" w:color="auto" w:fill="auto"/>
            <w:tcMar>
              <w:top w:w="40" w:type="dxa"/>
              <w:left w:w="20" w:type="dxa"/>
              <w:bottom w:w="40" w:type="dxa"/>
              <w:right w:w="20" w:type="dxa"/>
            </w:tcMar>
            <w:vAlign w:val="bottom"/>
          </w:tcPr>
          <w:p w14:paraId="7DCFEA35"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A36"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EA3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A38"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CFEA39"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A3A"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CFEA42" w14:textId="77777777">
        <w:trPr>
          <w:jc w:val="center"/>
        </w:trPr>
        <w:tc>
          <w:tcPr>
            <w:tcW w:w="0" w:type="auto"/>
            <w:gridSpan w:val="3"/>
            <w:shd w:val="clear" w:color="auto" w:fill="CCEEFF"/>
            <w:tcMar>
              <w:top w:w="40" w:type="dxa"/>
              <w:left w:w="20" w:type="dxa"/>
              <w:bottom w:w="40" w:type="dxa"/>
              <w:right w:w="20" w:type="dxa"/>
            </w:tcMar>
            <w:vAlign w:val="bottom"/>
          </w:tcPr>
          <w:p w14:paraId="7DCFEA3C" w14:textId="77777777" w:rsidR="00C1563E" w:rsidRDefault="000B648B">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7DCFEA3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A3E" w14:textId="77777777" w:rsidR="00C1563E" w:rsidRDefault="00C1563E">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EA3F"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EA40"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CFEA41" w14:textId="77777777" w:rsidR="00C1563E" w:rsidRDefault="00C1563E">
            <w:pPr>
              <w:rPr>
                <w:rFonts w:ascii="宋体"/>
              </w:rPr>
            </w:pPr>
          </w:p>
        </w:tc>
      </w:tr>
      <w:tr w:rsidR="00C1563E" w14:paraId="7DCFEA4F" w14:textId="77777777">
        <w:trPr>
          <w:jc w:val="center"/>
        </w:trPr>
        <w:tc>
          <w:tcPr>
            <w:tcW w:w="0" w:type="auto"/>
            <w:gridSpan w:val="3"/>
            <w:shd w:val="clear" w:color="auto" w:fill="FFFFFF"/>
            <w:tcMar>
              <w:top w:w="40" w:type="dxa"/>
              <w:left w:w="155" w:type="dxa"/>
              <w:bottom w:w="40" w:type="dxa"/>
              <w:right w:w="20" w:type="dxa"/>
            </w:tcMar>
            <w:vAlign w:val="bottom"/>
          </w:tcPr>
          <w:p w14:paraId="7DCFEA43" w14:textId="77777777" w:rsidR="00C1563E" w:rsidRDefault="000B648B">
            <w:pPr>
              <w:textAlignment w:val="bottom"/>
            </w:pPr>
            <w:r>
              <w:rPr>
                <w:rFonts w:ascii="Times New Roman" w:eastAsia="宋体" w:hAnsi="Times New Roman"/>
                <w:color w:val="000000"/>
                <w:sz w:val="20"/>
                <w:szCs w:val="20"/>
              </w:rPr>
              <w:t>Net income (loss)</w:t>
            </w:r>
          </w:p>
        </w:tc>
        <w:tc>
          <w:tcPr>
            <w:tcW w:w="0" w:type="auto"/>
            <w:shd w:val="clear" w:color="auto" w:fill="FFFFFF"/>
            <w:tcMar>
              <w:top w:w="40" w:type="dxa"/>
              <w:left w:w="20" w:type="dxa"/>
              <w:bottom w:w="40" w:type="dxa"/>
              <w:right w:w="0" w:type="dxa"/>
            </w:tcMar>
            <w:vAlign w:val="bottom"/>
          </w:tcPr>
          <w:p w14:paraId="7DCFEA4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A45" w14:textId="77777777" w:rsidR="00C1563E" w:rsidRDefault="000B648B">
            <w:pPr>
              <w:jc w:val="right"/>
              <w:textAlignment w:val="bottom"/>
            </w:pPr>
            <w:r>
              <w:rPr>
                <w:rFonts w:ascii="Times New Roman" w:eastAsia="宋体" w:hAnsi="Times New Roman"/>
                <w:color w:val="000000"/>
                <w:sz w:val="20"/>
                <w:szCs w:val="20"/>
              </w:rPr>
              <w:t>3,505 </w:t>
            </w:r>
          </w:p>
        </w:tc>
        <w:tc>
          <w:tcPr>
            <w:tcW w:w="0" w:type="auto"/>
            <w:shd w:val="clear" w:color="auto" w:fill="FFFFFF"/>
            <w:tcMar>
              <w:top w:w="40" w:type="dxa"/>
              <w:left w:w="0" w:type="dxa"/>
              <w:bottom w:w="40" w:type="dxa"/>
              <w:right w:w="20" w:type="dxa"/>
            </w:tcMar>
            <w:vAlign w:val="bottom"/>
          </w:tcPr>
          <w:p w14:paraId="7DCFEA4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4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A4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A49" w14:textId="77777777" w:rsidR="00C1563E" w:rsidRDefault="000B648B">
            <w:pPr>
              <w:jc w:val="right"/>
              <w:textAlignment w:val="bottom"/>
            </w:pPr>
            <w:r>
              <w:rPr>
                <w:rFonts w:ascii="Times New Roman" w:eastAsia="宋体" w:hAnsi="Times New Roman"/>
                <w:color w:val="000000"/>
                <w:sz w:val="20"/>
                <w:szCs w:val="20"/>
              </w:rPr>
              <w:t>5,529 </w:t>
            </w:r>
          </w:p>
        </w:tc>
        <w:tc>
          <w:tcPr>
            <w:tcW w:w="0" w:type="auto"/>
            <w:shd w:val="clear" w:color="auto" w:fill="FFFFFF"/>
            <w:tcMar>
              <w:top w:w="40" w:type="dxa"/>
              <w:left w:w="0" w:type="dxa"/>
              <w:bottom w:w="40" w:type="dxa"/>
              <w:right w:w="20" w:type="dxa"/>
            </w:tcMar>
            <w:vAlign w:val="bottom"/>
          </w:tcPr>
          <w:p w14:paraId="7DCFEA4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4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A4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A4D" w14:textId="77777777" w:rsidR="00C1563E" w:rsidRDefault="000B648B">
            <w:pPr>
              <w:jc w:val="right"/>
              <w:textAlignment w:val="bottom"/>
            </w:pPr>
            <w:r>
              <w:rPr>
                <w:rFonts w:ascii="Times New Roman" w:eastAsia="宋体" w:hAnsi="Times New Roman"/>
                <w:color w:val="000000"/>
                <w:sz w:val="20"/>
                <w:szCs w:val="20"/>
              </w:rPr>
              <w:t>(2,181)</w:t>
            </w:r>
          </w:p>
        </w:tc>
        <w:tc>
          <w:tcPr>
            <w:tcW w:w="0" w:type="auto"/>
            <w:shd w:val="clear" w:color="auto" w:fill="FFFFFF"/>
            <w:tcMar>
              <w:top w:w="40" w:type="dxa"/>
              <w:left w:w="0" w:type="dxa"/>
              <w:bottom w:w="40" w:type="dxa"/>
              <w:right w:w="20" w:type="dxa"/>
            </w:tcMar>
            <w:vAlign w:val="bottom"/>
          </w:tcPr>
          <w:p w14:paraId="7DCFEA4E" w14:textId="77777777" w:rsidR="00C1563E" w:rsidRDefault="00C1563E">
            <w:pPr>
              <w:jc w:val="right"/>
              <w:rPr>
                <w:rFonts w:ascii="宋体"/>
              </w:rPr>
            </w:pPr>
          </w:p>
        </w:tc>
      </w:tr>
      <w:tr w:rsidR="00C1563E" w14:paraId="7DCFEA56" w14:textId="77777777">
        <w:trPr>
          <w:jc w:val="center"/>
        </w:trPr>
        <w:tc>
          <w:tcPr>
            <w:tcW w:w="0" w:type="auto"/>
            <w:gridSpan w:val="3"/>
            <w:shd w:val="clear" w:color="auto" w:fill="CCEEFF"/>
            <w:tcMar>
              <w:top w:w="40" w:type="dxa"/>
              <w:left w:w="155" w:type="dxa"/>
              <w:bottom w:w="40" w:type="dxa"/>
              <w:right w:w="20" w:type="dxa"/>
            </w:tcMar>
            <w:vAlign w:val="bottom"/>
          </w:tcPr>
          <w:p w14:paraId="7DCFEA50" w14:textId="77777777" w:rsidR="00C1563E" w:rsidRDefault="000B648B">
            <w:pPr>
              <w:textAlignment w:val="bottom"/>
            </w:pPr>
            <w:r>
              <w:rPr>
                <w:rFonts w:ascii="Times New Roman" w:eastAsia="宋体" w:hAnsi="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tcPr>
          <w:p w14:paraId="7DCFEA5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A5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A5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A5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EA55" w14:textId="77777777" w:rsidR="00C1563E" w:rsidRDefault="00C1563E">
            <w:pPr>
              <w:rPr>
                <w:rFonts w:ascii="宋体"/>
              </w:rPr>
            </w:pPr>
          </w:p>
        </w:tc>
      </w:tr>
      <w:tr w:rsidR="00C1563E" w14:paraId="7DCFEA60" w14:textId="77777777">
        <w:trPr>
          <w:jc w:val="center"/>
        </w:trPr>
        <w:tc>
          <w:tcPr>
            <w:tcW w:w="0" w:type="auto"/>
            <w:gridSpan w:val="3"/>
            <w:shd w:val="clear" w:color="auto" w:fill="FFFFFF"/>
            <w:tcMar>
              <w:top w:w="40" w:type="dxa"/>
              <w:left w:w="245" w:type="dxa"/>
              <w:bottom w:w="40" w:type="dxa"/>
              <w:right w:w="20" w:type="dxa"/>
            </w:tcMar>
            <w:vAlign w:val="bottom"/>
          </w:tcPr>
          <w:p w14:paraId="7DCFEA57" w14:textId="77777777" w:rsidR="00C1563E" w:rsidRDefault="000B648B">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7DCFEA58" w14:textId="77777777" w:rsidR="00C1563E" w:rsidRDefault="000B648B">
            <w:pPr>
              <w:jc w:val="right"/>
              <w:textAlignment w:val="bottom"/>
            </w:pPr>
            <w:r>
              <w:rPr>
                <w:rFonts w:ascii="Times New Roman" w:eastAsia="宋体" w:hAnsi="Times New Roman"/>
                <w:color w:val="000000"/>
                <w:sz w:val="20"/>
                <w:szCs w:val="20"/>
              </w:rPr>
              <w:t>5,390 </w:t>
            </w:r>
          </w:p>
        </w:tc>
        <w:tc>
          <w:tcPr>
            <w:tcW w:w="0" w:type="auto"/>
            <w:shd w:val="clear" w:color="auto" w:fill="FFFFFF"/>
            <w:tcMar>
              <w:top w:w="40" w:type="dxa"/>
              <w:left w:w="0" w:type="dxa"/>
              <w:bottom w:w="40" w:type="dxa"/>
              <w:right w:w="20" w:type="dxa"/>
            </w:tcMar>
            <w:vAlign w:val="bottom"/>
          </w:tcPr>
          <w:p w14:paraId="7DCFEA5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5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5B" w14:textId="77777777" w:rsidR="00C1563E" w:rsidRDefault="000B648B">
            <w:pPr>
              <w:jc w:val="right"/>
              <w:textAlignment w:val="bottom"/>
            </w:pPr>
            <w:r>
              <w:rPr>
                <w:rFonts w:ascii="Times New Roman" w:eastAsia="宋体" w:hAnsi="Times New Roman"/>
                <w:color w:val="000000"/>
                <w:sz w:val="20"/>
                <w:szCs w:val="20"/>
              </w:rPr>
              <w:t>6,143 </w:t>
            </w:r>
          </w:p>
        </w:tc>
        <w:tc>
          <w:tcPr>
            <w:tcW w:w="0" w:type="auto"/>
            <w:shd w:val="clear" w:color="auto" w:fill="FFFFFF"/>
            <w:tcMar>
              <w:top w:w="40" w:type="dxa"/>
              <w:left w:w="0" w:type="dxa"/>
              <w:bottom w:w="40" w:type="dxa"/>
              <w:right w:w="20" w:type="dxa"/>
            </w:tcMar>
            <w:vAlign w:val="bottom"/>
          </w:tcPr>
          <w:p w14:paraId="7DCFEA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5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5E" w14:textId="77777777" w:rsidR="00C1563E" w:rsidRDefault="000B648B">
            <w:pPr>
              <w:jc w:val="right"/>
              <w:textAlignment w:val="bottom"/>
            </w:pPr>
            <w:r>
              <w:rPr>
                <w:rFonts w:ascii="Times New Roman" w:eastAsia="宋体" w:hAnsi="Times New Roman"/>
                <w:color w:val="000000"/>
                <w:sz w:val="20"/>
                <w:szCs w:val="20"/>
              </w:rPr>
              <w:t>7,746 </w:t>
            </w:r>
          </w:p>
        </w:tc>
        <w:tc>
          <w:tcPr>
            <w:tcW w:w="0" w:type="auto"/>
            <w:shd w:val="clear" w:color="auto" w:fill="FFFFFF"/>
            <w:tcMar>
              <w:top w:w="40" w:type="dxa"/>
              <w:left w:w="0" w:type="dxa"/>
              <w:bottom w:w="40" w:type="dxa"/>
              <w:right w:w="20" w:type="dxa"/>
            </w:tcMar>
            <w:vAlign w:val="bottom"/>
          </w:tcPr>
          <w:p w14:paraId="7DCFEA5F" w14:textId="77777777" w:rsidR="00C1563E" w:rsidRDefault="00C1563E">
            <w:pPr>
              <w:jc w:val="right"/>
              <w:rPr>
                <w:rFonts w:ascii="宋体"/>
              </w:rPr>
            </w:pPr>
          </w:p>
        </w:tc>
      </w:tr>
      <w:tr w:rsidR="00C1563E" w14:paraId="7DCFEA6A" w14:textId="77777777">
        <w:trPr>
          <w:jc w:val="center"/>
        </w:trPr>
        <w:tc>
          <w:tcPr>
            <w:tcW w:w="0" w:type="auto"/>
            <w:gridSpan w:val="3"/>
            <w:shd w:val="clear" w:color="auto" w:fill="CCEEFF"/>
            <w:tcMar>
              <w:top w:w="40" w:type="dxa"/>
              <w:left w:w="245" w:type="dxa"/>
              <w:bottom w:w="40" w:type="dxa"/>
              <w:right w:w="20" w:type="dxa"/>
            </w:tcMar>
            <w:vAlign w:val="bottom"/>
          </w:tcPr>
          <w:p w14:paraId="7DCFEA61" w14:textId="77777777" w:rsidR="00C1563E" w:rsidRDefault="000B648B">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7DCFEA62" w14:textId="77777777" w:rsidR="00C1563E" w:rsidRDefault="000B648B">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7DCFEA6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6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65" w14:textId="77777777" w:rsidR="00C1563E" w:rsidRDefault="000B648B">
            <w:pPr>
              <w:jc w:val="right"/>
              <w:textAlignment w:val="bottom"/>
            </w:pPr>
            <w:r>
              <w:rPr>
                <w:rFonts w:ascii="Times New Roman" w:eastAsia="宋体" w:hAnsi="Times New Roman"/>
                <w:color w:val="000000"/>
                <w:sz w:val="20"/>
                <w:szCs w:val="20"/>
              </w:rPr>
              <w:t>1,262 </w:t>
            </w:r>
          </w:p>
        </w:tc>
        <w:tc>
          <w:tcPr>
            <w:tcW w:w="0" w:type="auto"/>
            <w:shd w:val="clear" w:color="auto" w:fill="CCEEFF"/>
            <w:tcMar>
              <w:top w:w="40" w:type="dxa"/>
              <w:left w:w="0" w:type="dxa"/>
              <w:bottom w:w="40" w:type="dxa"/>
              <w:right w:w="20" w:type="dxa"/>
            </w:tcMar>
            <w:vAlign w:val="bottom"/>
          </w:tcPr>
          <w:p w14:paraId="7DCFEA6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6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68" w14:textId="77777777" w:rsidR="00C1563E" w:rsidRDefault="000B648B">
            <w:pPr>
              <w:jc w:val="right"/>
              <w:textAlignment w:val="bottom"/>
            </w:pPr>
            <w:r>
              <w:rPr>
                <w:rFonts w:ascii="Times New Roman" w:eastAsia="宋体" w:hAnsi="Times New Roman"/>
                <w:color w:val="000000"/>
                <w:sz w:val="20"/>
                <w:szCs w:val="20"/>
              </w:rPr>
              <w:t>918 </w:t>
            </w:r>
          </w:p>
        </w:tc>
        <w:tc>
          <w:tcPr>
            <w:tcW w:w="0" w:type="auto"/>
            <w:shd w:val="clear" w:color="auto" w:fill="CCEEFF"/>
            <w:tcMar>
              <w:top w:w="40" w:type="dxa"/>
              <w:left w:w="0" w:type="dxa"/>
              <w:bottom w:w="40" w:type="dxa"/>
              <w:right w:w="20" w:type="dxa"/>
            </w:tcMar>
            <w:vAlign w:val="bottom"/>
          </w:tcPr>
          <w:p w14:paraId="7DCFEA69" w14:textId="77777777" w:rsidR="00C1563E" w:rsidRDefault="00C1563E">
            <w:pPr>
              <w:jc w:val="right"/>
              <w:rPr>
                <w:rFonts w:ascii="宋体"/>
              </w:rPr>
            </w:pPr>
          </w:p>
        </w:tc>
      </w:tr>
      <w:tr w:rsidR="00C1563E" w14:paraId="7DCFEA74" w14:textId="77777777">
        <w:trPr>
          <w:jc w:val="center"/>
        </w:trPr>
        <w:tc>
          <w:tcPr>
            <w:tcW w:w="0" w:type="auto"/>
            <w:gridSpan w:val="3"/>
            <w:shd w:val="clear" w:color="auto" w:fill="FFFFFF"/>
            <w:tcMar>
              <w:top w:w="40" w:type="dxa"/>
              <w:left w:w="245" w:type="dxa"/>
              <w:bottom w:w="40" w:type="dxa"/>
              <w:right w:w="20" w:type="dxa"/>
            </w:tcMar>
            <w:vAlign w:val="bottom"/>
          </w:tcPr>
          <w:p w14:paraId="7DCFEA6B" w14:textId="77777777" w:rsidR="00C1563E" w:rsidRDefault="000B648B">
            <w:pPr>
              <w:textAlignment w:val="bottom"/>
            </w:pPr>
            <w:r>
              <w:rPr>
                <w:rFonts w:ascii="Times New Roman" w:eastAsia="宋体" w:hAnsi="Times New Roman"/>
                <w:color w:val="000000"/>
                <w:sz w:val="20"/>
                <w:szCs w:val="20"/>
              </w:rPr>
              <w:t xml:space="preserve">Deferred income </w:t>
            </w:r>
            <w:r>
              <w:rPr>
                <w:rFonts w:ascii="Times New Roman" w:eastAsia="宋体" w:hAnsi="Times New Roman"/>
                <w:color w:val="000000"/>
                <w:sz w:val="20"/>
                <w:szCs w:val="20"/>
              </w:rPr>
              <w:t>taxes</w:t>
            </w:r>
          </w:p>
        </w:tc>
        <w:tc>
          <w:tcPr>
            <w:tcW w:w="0" w:type="auto"/>
            <w:gridSpan w:val="2"/>
            <w:shd w:val="clear" w:color="auto" w:fill="FFFFFF"/>
            <w:tcMar>
              <w:top w:w="40" w:type="dxa"/>
              <w:left w:w="20" w:type="dxa"/>
              <w:bottom w:w="40" w:type="dxa"/>
              <w:right w:w="0" w:type="dxa"/>
            </w:tcMar>
            <w:vAlign w:val="bottom"/>
          </w:tcPr>
          <w:p w14:paraId="7DCFEA6C" w14:textId="77777777" w:rsidR="00C1563E" w:rsidRDefault="000B648B">
            <w:pPr>
              <w:jc w:val="right"/>
              <w:textAlignment w:val="bottom"/>
            </w:pPr>
            <w:r>
              <w:rPr>
                <w:rFonts w:ascii="Times New Roman" w:eastAsia="宋体" w:hAnsi="Times New Roman"/>
                <w:color w:val="000000"/>
                <w:sz w:val="20"/>
                <w:szCs w:val="20"/>
              </w:rPr>
              <w:t>(399)</w:t>
            </w:r>
          </w:p>
        </w:tc>
        <w:tc>
          <w:tcPr>
            <w:tcW w:w="0" w:type="auto"/>
            <w:shd w:val="clear" w:color="auto" w:fill="FFFFFF"/>
            <w:tcMar>
              <w:top w:w="40" w:type="dxa"/>
              <w:left w:w="0" w:type="dxa"/>
              <w:bottom w:w="40" w:type="dxa"/>
              <w:right w:w="20" w:type="dxa"/>
            </w:tcMar>
            <w:vAlign w:val="bottom"/>
          </w:tcPr>
          <w:p w14:paraId="7DCFEA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6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6F" w14:textId="77777777" w:rsidR="00C1563E" w:rsidRDefault="000B648B">
            <w:pPr>
              <w:jc w:val="right"/>
              <w:textAlignment w:val="bottom"/>
            </w:pPr>
            <w:r>
              <w:rPr>
                <w:rFonts w:ascii="Times New Roman" w:eastAsia="宋体" w:hAnsi="Times New Roman"/>
                <w:color w:val="000000"/>
                <w:sz w:val="20"/>
                <w:szCs w:val="20"/>
              </w:rPr>
              <w:t>(6,339)</w:t>
            </w:r>
          </w:p>
        </w:tc>
        <w:tc>
          <w:tcPr>
            <w:tcW w:w="0" w:type="auto"/>
            <w:shd w:val="clear" w:color="auto" w:fill="FFFFFF"/>
            <w:tcMar>
              <w:top w:w="40" w:type="dxa"/>
              <w:left w:w="0" w:type="dxa"/>
              <w:bottom w:w="40" w:type="dxa"/>
              <w:right w:w="20" w:type="dxa"/>
            </w:tcMar>
            <w:vAlign w:val="bottom"/>
          </w:tcPr>
          <w:p w14:paraId="7DCFEA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7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72" w14:textId="77777777" w:rsidR="00C1563E" w:rsidRDefault="000B648B">
            <w:pPr>
              <w:jc w:val="right"/>
              <w:textAlignment w:val="bottom"/>
            </w:pPr>
            <w:r>
              <w:rPr>
                <w:rFonts w:ascii="Times New Roman" w:eastAsia="宋体" w:hAnsi="Times New Roman"/>
                <w:color w:val="000000"/>
                <w:sz w:val="20"/>
                <w:szCs w:val="20"/>
              </w:rPr>
              <w:t>(1,331)</w:t>
            </w:r>
          </w:p>
        </w:tc>
        <w:tc>
          <w:tcPr>
            <w:tcW w:w="0" w:type="auto"/>
            <w:shd w:val="clear" w:color="auto" w:fill="FFFFFF"/>
            <w:tcMar>
              <w:top w:w="40" w:type="dxa"/>
              <w:left w:w="0" w:type="dxa"/>
              <w:bottom w:w="40" w:type="dxa"/>
              <w:right w:w="20" w:type="dxa"/>
            </w:tcMar>
            <w:vAlign w:val="bottom"/>
          </w:tcPr>
          <w:p w14:paraId="7DCFEA73" w14:textId="77777777" w:rsidR="00C1563E" w:rsidRDefault="00C1563E">
            <w:pPr>
              <w:jc w:val="right"/>
              <w:rPr>
                <w:rFonts w:ascii="宋体"/>
              </w:rPr>
            </w:pPr>
          </w:p>
        </w:tc>
      </w:tr>
      <w:tr w:rsidR="00C1563E" w14:paraId="7DCFEA7E" w14:textId="77777777">
        <w:trPr>
          <w:jc w:val="center"/>
        </w:trPr>
        <w:tc>
          <w:tcPr>
            <w:tcW w:w="0" w:type="auto"/>
            <w:gridSpan w:val="3"/>
            <w:shd w:val="clear" w:color="auto" w:fill="CCEEFF"/>
            <w:tcMar>
              <w:top w:w="40" w:type="dxa"/>
              <w:left w:w="245" w:type="dxa"/>
              <w:bottom w:w="40" w:type="dxa"/>
              <w:right w:w="20" w:type="dxa"/>
            </w:tcMar>
            <w:vAlign w:val="bottom"/>
          </w:tcPr>
          <w:p w14:paraId="7DCFEA75" w14:textId="77777777" w:rsidR="00C1563E" w:rsidRDefault="000B648B">
            <w:pPr>
              <w:textAlignment w:val="bottom"/>
            </w:pP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14:paraId="7DCFEA76" w14:textId="77777777" w:rsidR="00C1563E" w:rsidRDefault="000B648B">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7DCFEA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7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79" w14:textId="77777777" w:rsidR="00C1563E" w:rsidRDefault="000B648B">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7DCFEA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7C" w14:textId="77777777" w:rsidR="00C1563E" w:rsidRDefault="000B648B">
            <w:pPr>
              <w:jc w:val="right"/>
              <w:textAlignment w:val="bottom"/>
            </w:pPr>
            <w:r>
              <w:rPr>
                <w:rFonts w:ascii="Times New Roman" w:eastAsia="宋体" w:hAnsi="Times New Roman"/>
                <w:color w:val="000000"/>
                <w:sz w:val="20"/>
                <w:szCs w:val="20"/>
              </w:rPr>
              <w:t>756 </w:t>
            </w:r>
          </w:p>
        </w:tc>
        <w:tc>
          <w:tcPr>
            <w:tcW w:w="0" w:type="auto"/>
            <w:shd w:val="clear" w:color="auto" w:fill="CCEEFF"/>
            <w:tcMar>
              <w:top w:w="40" w:type="dxa"/>
              <w:left w:w="0" w:type="dxa"/>
              <w:bottom w:w="40" w:type="dxa"/>
              <w:right w:w="20" w:type="dxa"/>
            </w:tcMar>
            <w:vAlign w:val="bottom"/>
          </w:tcPr>
          <w:p w14:paraId="7DCFEA7D" w14:textId="77777777" w:rsidR="00C1563E" w:rsidRDefault="00C1563E">
            <w:pPr>
              <w:jc w:val="right"/>
              <w:rPr>
                <w:rFonts w:ascii="宋体"/>
              </w:rPr>
            </w:pPr>
          </w:p>
        </w:tc>
      </w:tr>
      <w:tr w:rsidR="00C1563E" w14:paraId="7DCFEA85" w14:textId="77777777">
        <w:trPr>
          <w:jc w:val="center"/>
        </w:trPr>
        <w:tc>
          <w:tcPr>
            <w:tcW w:w="0" w:type="auto"/>
            <w:gridSpan w:val="3"/>
            <w:shd w:val="clear" w:color="auto" w:fill="FFFFFF"/>
            <w:tcMar>
              <w:top w:w="40" w:type="dxa"/>
              <w:left w:w="260" w:type="dxa"/>
              <w:bottom w:w="40" w:type="dxa"/>
              <w:right w:w="20" w:type="dxa"/>
            </w:tcMar>
            <w:vAlign w:val="bottom"/>
          </w:tcPr>
          <w:p w14:paraId="7DCFEA7F" w14:textId="77777777" w:rsidR="00C1563E" w:rsidRDefault="000B648B">
            <w:pPr>
              <w:textAlignment w:val="bottom"/>
            </w:pPr>
            <w:r>
              <w:rPr>
                <w:rFonts w:ascii="Times New Roman" w:eastAsia="宋体" w:hAnsi="Times New Roman"/>
                <w:color w:val="000000"/>
                <w:sz w:val="20"/>
                <w:szCs w:val="20"/>
              </w:rPr>
              <w:t>Changes in assets and liabilities, net of effects from acquisitions and dispositions:</w:t>
            </w:r>
          </w:p>
        </w:tc>
        <w:tc>
          <w:tcPr>
            <w:tcW w:w="0" w:type="auto"/>
            <w:gridSpan w:val="3"/>
            <w:shd w:val="clear" w:color="auto" w:fill="FFFFFF"/>
            <w:tcMar>
              <w:top w:w="0" w:type="dxa"/>
              <w:left w:w="20" w:type="dxa"/>
              <w:bottom w:w="0" w:type="dxa"/>
              <w:right w:w="20" w:type="dxa"/>
            </w:tcMar>
          </w:tcPr>
          <w:p w14:paraId="7DCFEA8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8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8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8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84" w14:textId="77777777" w:rsidR="00C1563E" w:rsidRDefault="00C1563E">
            <w:pPr>
              <w:rPr>
                <w:rFonts w:ascii="宋体"/>
              </w:rPr>
            </w:pPr>
          </w:p>
        </w:tc>
      </w:tr>
      <w:tr w:rsidR="00C1563E" w14:paraId="7DCFEA8F" w14:textId="77777777">
        <w:trPr>
          <w:jc w:val="center"/>
        </w:trPr>
        <w:tc>
          <w:tcPr>
            <w:tcW w:w="0" w:type="auto"/>
            <w:gridSpan w:val="3"/>
            <w:shd w:val="clear" w:color="auto" w:fill="CCEEFF"/>
            <w:tcMar>
              <w:top w:w="40" w:type="dxa"/>
              <w:left w:w="395" w:type="dxa"/>
              <w:bottom w:w="40" w:type="dxa"/>
              <w:right w:w="20" w:type="dxa"/>
            </w:tcMar>
            <w:vAlign w:val="bottom"/>
          </w:tcPr>
          <w:p w14:paraId="7DCFEA86" w14:textId="77777777" w:rsidR="00C1563E" w:rsidRDefault="000B648B">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7DCFEA87" w14:textId="77777777" w:rsidR="00C1563E" w:rsidRDefault="000B648B">
            <w:pPr>
              <w:jc w:val="right"/>
              <w:textAlignment w:val="bottom"/>
            </w:pPr>
            <w:r>
              <w:rPr>
                <w:rFonts w:ascii="Times New Roman" w:eastAsia="宋体" w:hAnsi="Times New Roman"/>
                <w:color w:val="000000"/>
                <w:sz w:val="20"/>
                <w:szCs w:val="20"/>
              </w:rPr>
              <w:t>(396)</w:t>
            </w:r>
          </w:p>
        </w:tc>
        <w:tc>
          <w:tcPr>
            <w:tcW w:w="0" w:type="auto"/>
            <w:shd w:val="clear" w:color="auto" w:fill="CCEEFF"/>
            <w:tcMar>
              <w:top w:w="40" w:type="dxa"/>
              <w:left w:w="0" w:type="dxa"/>
              <w:bottom w:w="40" w:type="dxa"/>
              <w:right w:w="20" w:type="dxa"/>
            </w:tcMar>
            <w:vAlign w:val="bottom"/>
          </w:tcPr>
          <w:p w14:paraId="7DCFEA8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8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8A" w14:textId="77777777" w:rsidR="00C1563E" w:rsidRDefault="000B648B">
            <w:pPr>
              <w:jc w:val="right"/>
              <w:textAlignment w:val="bottom"/>
            </w:pPr>
            <w:r>
              <w:rPr>
                <w:rFonts w:ascii="Times New Roman" w:eastAsia="宋体" w:hAnsi="Times New Roman"/>
                <w:color w:val="000000"/>
                <w:sz w:val="20"/>
                <w:szCs w:val="20"/>
              </w:rPr>
              <w:t>(286)</w:t>
            </w:r>
          </w:p>
        </w:tc>
        <w:tc>
          <w:tcPr>
            <w:tcW w:w="0" w:type="auto"/>
            <w:shd w:val="clear" w:color="auto" w:fill="CCEEFF"/>
            <w:tcMar>
              <w:top w:w="40" w:type="dxa"/>
              <w:left w:w="0" w:type="dxa"/>
              <w:bottom w:w="40" w:type="dxa"/>
              <w:right w:w="20" w:type="dxa"/>
            </w:tcMar>
            <w:vAlign w:val="bottom"/>
          </w:tcPr>
          <w:p w14:paraId="7DCFEA8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8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8D" w14:textId="77777777" w:rsidR="00C1563E" w:rsidRDefault="000B648B">
            <w:pPr>
              <w:jc w:val="right"/>
              <w:textAlignment w:val="bottom"/>
            </w:pPr>
            <w:r>
              <w:rPr>
                <w:rFonts w:ascii="Times New Roman" w:eastAsia="宋体" w:hAnsi="Times New Roman"/>
                <w:color w:val="000000"/>
                <w:sz w:val="20"/>
                <w:szCs w:val="20"/>
              </w:rPr>
              <w:t>(1,104)</w:t>
            </w:r>
          </w:p>
        </w:tc>
        <w:tc>
          <w:tcPr>
            <w:tcW w:w="0" w:type="auto"/>
            <w:shd w:val="clear" w:color="auto" w:fill="CCEEFF"/>
            <w:tcMar>
              <w:top w:w="40" w:type="dxa"/>
              <w:left w:w="0" w:type="dxa"/>
              <w:bottom w:w="40" w:type="dxa"/>
              <w:right w:w="20" w:type="dxa"/>
            </w:tcMar>
            <w:vAlign w:val="bottom"/>
          </w:tcPr>
          <w:p w14:paraId="7DCFEA8E" w14:textId="77777777" w:rsidR="00C1563E" w:rsidRDefault="00C1563E">
            <w:pPr>
              <w:jc w:val="right"/>
              <w:rPr>
                <w:rFonts w:ascii="宋体"/>
              </w:rPr>
            </w:pPr>
          </w:p>
        </w:tc>
      </w:tr>
      <w:tr w:rsidR="00C1563E" w14:paraId="7DCFEA99" w14:textId="77777777">
        <w:trPr>
          <w:jc w:val="center"/>
        </w:trPr>
        <w:tc>
          <w:tcPr>
            <w:tcW w:w="0" w:type="auto"/>
            <w:gridSpan w:val="3"/>
            <w:shd w:val="clear" w:color="auto" w:fill="FFFFFF"/>
            <w:tcMar>
              <w:top w:w="40" w:type="dxa"/>
              <w:left w:w="395" w:type="dxa"/>
              <w:bottom w:w="40" w:type="dxa"/>
              <w:right w:w="20" w:type="dxa"/>
            </w:tcMar>
            <w:vAlign w:val="bottom"/>
          </w:tcPr>
          <w:p w14:paraId="7DCFEA90" w14:textId="77777777" w:rsidR="00C1563E" w:rsidRDefault="000B648B">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7DCFEA91" w14:textId="77777777" w:rsidR="00C1563E" w:rsidRDefault="000B648B">
            <w:pPr>
              <w:jc w:val="right"/>
              <w:textAlignment w:val="bottom"/>
            </w:pPr>
            <w:r>
              <w:rPr>
                <w:rFonts w:ascii="Times New Roman" w:eastAsia="宋体" w:hAnsi="Times New Roman"/>
                <w:color w:val="000000"/>
                <w:sz w:val="20"/>
                <w:szCs w:val="20"/>
              </w:rPr>
              <w:t>(728)</w:t>
            </w:r>
          </w:p>
        </w:tc>
        <w:tc>
          <w:tcPr>
            <w:tcW w:w="0" w:type="auto"/>
            <w:shd w:val="clear" w:color="auto" w:fill="FFFFFF"/>
            <w:tcMar>
              <w:top w:w="40" w:type="dxa"/>
              <w:left w:w="0" w:type="dxa"/>
              <w:bottom w:w="40" w:type="dxa"/>
              <w:right w:w="20" w:type="dxa"/>
            </w:tcMar>
            <w:vAlign w:val="bottom"/>
          </w:tcPr>
          <w:p w14:paraId="7DCFEA9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9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94" w14:textId="77777777" w:rsidR="00C1563E" w:rsidRDefault="000B648B">
            <w:pPr>
              <w:jc w:val="right"/>
              <w:textAlignment w:val="bottom"/>
            </w:pPr>
            <w:r>
              <w:rPr>
                <w:rFonts w:ascii="Times New Roman" w:eastAsia="宋体" w:hAnsi="Times New Roman"/>
                <w:color w:val="000000"/>
                <w:sz w:val="20"/>
                <w:szCs w:val="20"/>
              </w:rPr>
              <w:t>(1,329)</w:t>
            </w:r>
          </w:p>
        </w:tc>
        <w:tc>
          <w:tcPr>
            <w:tcW w:w="0" w:type="auto"/>
            <w:shd w:val="clear" w:color="auto" w:fill="FFFFFF"/>
            <w:tcMar>
              <w:top w:w="40" w:type="dxa"/>
              <w:left w:w="0" w:type="dxa"/>
              <w:bottom w:w="40" w:type="dxa"/>
              <w:right w:w="20" w:type="dxa"/>
            </w:tcMar>
            <w:vAlign w:val="bottom"/>
          </w:tcPr>
          <w:p w14:paraId="7DCFEA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9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97" w14:textId="77777777" w:rsidR="00C1563E" w:rsidRDefault="000B648B">
            <w:pPr>
              <w:jc w:val="right"/>
              <w:textAlignment w:val="bottom"/>
            </w:pPr>
            <w:r>
              <w:rPr>
                <w:rFonts w:ascii="Times New Roman" w:eastAsia="宋体" w:hAnsi="Times New Roman"/>
                <w:color w:val="000000"/>
                <w:sz w:val="20"/>
                <w:szCs w:val="20"/>
              </w:rPr>
              <w:t>(1,302)</w:t>
            </w:r>
          </w:p>
        </w:tc>
        <w:tc>
          <w:tcPr>
            <w:tcW w:w="0" w:type="auto"/>
            <w:shd w:val="clear" w:color="auto" w:fill="FFFFFF"/>
            <w:tcMar>
              <w:top w:w="40" w:type="dxa"/>
              <w:left w:w="0" w:type="dxa"/>
              <w:bottom w:w="40" w:type="dxa"/>
              <w:right w:w="20" w:type="dxa"/>
            </w:tcMar>
            <w:vAlign w:val="bottom"/>
          </w:tcPr>
          <w:p w14:paraId="7DCFEA98" w14:textId="77777777" w:rsidR="00C1563E" w:rsidRDefault="00C1563E">
            <w:pPr>
              <w:jc w:val="right"/>
              <w:rPr>
                <w:rFonts w:ascii="宋体"/>
              </w:rPr>
            </w:pPr>
          </w:p>
        </w:tc>
      </w:tr>
      <w:tr w:rsidR="00C1563E" w14:paraId="7DCFEAA3" w14:textId="77777777">
        <w:trPr>
          <w:jc w:val="center"/>
        </w:trPr>
        <w:tc>
          <w:tcPr>
            <w:tcW w:w="0" w:type="auto"/>
            <w:gridSpan w:val="3"/>
            <w:shd w:val="clear" w:color="auto" w:fill="CCEEFF"/>
            <w:tcMar>
              <w:top w:w="40" w:type="dxa"/>
              <w:left w:w="395" w:type="dxa"/>
              <w:bottom w:w="40" w:type="dxa"/>
              <w:right w:w="20" w:type="dxa"/>
            </w:tcMar>
            <w:vAlign w:val="bottom"/>
          </w:tcPr>
          <w:p w14:paraId="7DCFEA9A" w14:textId="77777777" w:rsidR="00C1563E" w:rsidRDefault="000B648B">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7DCFEA9B" w14:textId="77777777" w:rsidR="00C1563E" w:rsidRDefault="000B648B">
            <w:pPr>
              <w:jc w:val="right"/>
              <w:textAlignment w:val="bottom"/>
            </w:pPr>
            <w:r>
              <w:rPr>
                <w:rFonts w:ascii="Times New Roman" w:eastAsia="宋体" w:hAnsi="Times New Roman"/>
                <w:color w:val="000000"/>
                <w:sz w:val="20"/>
                <w:szCs w:val="20"/>
              </w:rPr>
              <w:t>(243)</w:t>
            </w:r>
          </w:p>
        </w:tc>
        <w:tc>
          <w:tcPr>
            <w:tcW w:w="0" w:type="auto"/>
            <w:shd w:val="clear" w:color="auto" w:fill="CCEEFF"/>
            <w:tcMar>
              <w:top w:w="40" w:type="dxa"/>
              <w:left w:w="0" w:type="dxa"/>
              <w:bottom w:w="40" w:type="dxa"/>
              <w:right w:w="20" w:type="dxa"/>
            </w:tcMar>
            <w:vAlign w:val="bottom"/>
          </w:tcPr>
          <w:p w14:paraId="7DCFEA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9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9E" w14:textId="77777777" w:rsidR="00C1563E" w:rsidRDefault="000B648B">
            <w:pPr>
              <w:jc w:val="right"/>
              <w:textAlignment w:val="bottom"/>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bottom"/>
          </w:tcPr>
          <w:p w14:paraId="7DCFEA9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A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A1" w14:textId="77777777" w:rsidR="00C1563E" w:rsidRDefault="000B648B">
            <w:pPr>
              <w:jc w:val="right"/>
              <w:textAlignment w:val="bottom"/>
            </w:pPr>
            <w:r>
              <w:rPr>
                <w:rFonts w:ascii="Times New Roman" w:eastAsia="宋体" w:hAnsi="Times New Roman"/>
                <w:color w:val="000000"/>
                <w:sz w:val="20"/>
                <w:szCs w:val="20"/>
              </w:rPr>
              <w:t>(1,445)</w:t>
            </w:r>
          </w:p>
        </w:tc>
        <w:tc>
          <w:tcPr>
            <w:tcW w:w="0" w:type="auto"/>
            <w:shd w:val="clear" w:color="auto" w:fill="CCEEFF"/>
            <w:tcMar>
              <w:top w:w="40" w:type="dxa"/>
              <w:left w:w="0" w:type="dxa"/>
              <w:bottom w:w="40" w:type="dxa"/>
              <w:right w:w="20" w:type="dxa"/>
            </w:tcMar>
            <w:vAlign w:val="bottom"/>
          </w:tcPr>
          <w:p w14:paraId="7DCFEAA2" w14:textId="77777777" w:rsidR="00C1563E" w:rsidRDefault="00C1563E">
            <w:pPr>
              <w:jc w:val="right"/>
              <w:rPr>
                <w:rFonts w:ascii="宋体"/>
              </w:rPr>
            </w:pPr>
          </w:p>
        </w:tc>
      </w:tr>
      <w:tr w:rsidR="00C1563E" w14:paraId="7DCFEAAD" w14:textId="77777777">
        <w:trPr>
          <w:jc w:val="center"/>
        </w:trPr>
        <w:tc>
          <w:tcPr>
            <w:tcW w:w="0" w:type="auto"/>
            <w:gridSpan w:val="3"/>
            <w:shd w:val="clear" w:color="auto" w:fill="FFFFFF"/>
            <w:tcMar>
              <w:top w:w="40" w:type="dxa"/>
              <w:left w:w="395" w:type="dxa"/>
              <w:bottom w:w="40" w:type="dxa"/>
              <w:right w:w="20" w:type="dxa"/>
            </w:tcMar>
            <w:vAlign w:val="bottom"/>
          </w:tcPr>
          <w:p w14:paraId="7DCFEAA4" w14:textId="77777777" w:rsidR="00C1563E" w:rsidRDefault="000B648B">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7DCFEAA5" w14:textId="77777777" w:rsidR="00C1563E" w:rsidRDefault="000B648B">
            <w:pPr>
              <w:jc w:val="right"/>
              <w:textAlignment w:val="bottom"/>
            </w:pPr>
            <w:r>
              <w:rPr>
                <w:rFonts w:ascii="Times New Roman" w:eastAsia="宋体" w:hAnsi="Times New Roman"/>
                <w:color w:val="000000"/>
                <w:sz w:val="20"/>
                <w:szCs w:val="20"/>
              </w:rPr>
              <w:t>(1,656)</w:t>
            </w:r>
          </w:p>
        </w:tc>
        <w:tc>
          <w:tcPr>
            <w:tcW w:w="0" w:type="auto"/>
            <w:shd w:val="clear" w:color="auto" w:fill="FFFFFF"/>
            <w:tcMar>
              <w:top w:w="40" w:type="dxa"/>
              <w:left w:w="0" w:type="dxa"/>
              <w:bottom w:w="40" w:type="dxa"/>
              <w:right w:w="20" w:type="dxa"/>
            </w:tcMar>
            <w:vAlign w:val="bottom"/>
          </w:tcPr>
          <w:p w14:paraId="7DCFEAA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A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A8" w14:textId="77777777" w:rsidR="00C1563E" w:rsidRDefault="000B648B">
            <w:pPr>
              <w:jc w:val="right"/>
              <w:textAlignment w:val="bottom"/>
            </w:pPr>
            <w:r>
              <w:rPr>
                <w:rFonts w:ascii="Times New Roman" w:eastAsia="宋体" w:hAnsi="Times New Roman"/>
                <w:color w:val="000000"/>
                <w:sz w:val="20"/>
                <w:szCs w:val="20"/>
              </w:rPr>
              <w:t>(1,559)</w:t>
            </w:r>
          </w:p>
        </w:tc>
        <w:tc>
          <w:tcPr>
            <w:tcW w:w="0" w:type="auto"/>
            <w:shd w:val="clear" w:color="auto" w:fill="FFFFFF"/>
            <w:tcMar>
              <w:top w:w="40" w:type="dxa"/>
              <w:left w:w="0" w:type="dxa"/>
              <w:bottom w:w="40" w:type="dxa"/>
              <w:right w:w="20" w:type="dxa"/>
            </w:tcMar>
            <w:vAlign w:val="bottom"/>
          </w:tcPr>
          <w:p w14:paraId="7DCFEAA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A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AB" w14:textId="77777777" w:rsidR="00C1563E" w:rsidRDefault="000B648B">
            <w:pPr>
              <w:jc w:val="right"/>
              <w:textAlignment w:val="bottom"/>
            </w:pPr>
            <w:r>
              <w:rPr>
                <w:rFonts w:ascii="Times New Roman" w:eastAsia="宋体" w:hAnsi="Times New Roman"/>
                <w:color w:val="000000"/>
                <w:sz w:val="20"/>
                <w:szCs w:val="20"/>
              </w:rPr>
              <w:t>564 </w:t>
            </w:r>
          </w:p>
        </w:tc>
        <w:tc>
          <w:tcPr>
            <w:tcW w:w="0" w:type="auto"/>
            <w:shd w:val="clear" w:color="auto" w:fill="FFFFFF"/>
            <w:tcMar>
              <w:top w:w="40" w:type="dxa"/>
              <w:left w:w="0" w:type="dxa"/>
              <w:bottom w:w="40" w:type="dxa"/>
              <w:right w:w="20" w:type="dxa"/>
            </w:tcMar>
            <w:vAlign w:val="bottom"/>
          </w:tcPr>
          <w:p w14:paraId="7DCFEAAC" w14:textId="77777777" w:rsidR="00C1563E" w:rsidRDefault="00C1563E">
            <w:pPr>
              <w:jc w:val="right"/>
              <w:rPr>
                <w:rFonts w:ascii="宋体"/>
              </w:rPr>
            </w:pPr>
          </w:p>
        </w:tc>
      </w:tr>
      <w:tr w:rsidR="00C1563E" w14:paraId="7DCFEAB7" w14:textId="77777777">
        <w:trPr>
          <w:jc w:val="center"/>
        </w:trPr>
        <w:tc>
          <w:tcPr>
            <w:tcW w:w="0" w:type="auto"/>
            <w:gridSpan w:val="3"/>
            <w:shd w:val="clear" w:color="auto" w:fill="CCEEFF"/>
            <w:tcMar>
              <w:top w:w="40" w:type="dxa"/>
              <w:left w:w="395" w:type="dxa"/>
              <w:bottom w:w="40" w:type="dxa"/>
              <w:right w:w="20" w:type="dxa"/>
            </w:tcMar>
            <w:vAlign w:val="bottom"/>
          </w:tcPr>
          <w:p w14:paraId="7DCFEAAE" w14:textId="77777777" w:rsidR="00C1563E" w:rsidRDefault="000B648B">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7DCFEAAF" w14:textId="77777777" w:rsidR="00C1563E" w:rsidRDefault="000B648B">
            <w:pPr>
              <w:jc w:val="right"/>
              <w:textAlignment w:val="bottom"/>
            </w:pPr>
            <w:r>
              <w:rPr>
                <w:rFonts w:ascii="Times New Roman" w:eastAsia="宋体" w:hAnsi="Times New Roman"/>
                <w:color w:val="000000"/>
                <w:sz w:val="20"/>
                <w:szCs w:val="20"/>
              </w:rPr>
              <w:t>1,598 </w:t>
            </w:r>
          </w:p>
        </w:tc>
        <w:tc>
          <w:tcPr>
            <w:tcW w:w="0" w:type="auto"/>
            <w:shd w:val="clear" w:color="auto" w:fill="CCEEFF"/>
            <w:tcMar>
              <w:top w:w="40" w:type="dxa"/>
              <w:left w:w="0" w:type="dxa"/>
              <w:bottom w:w="40" w:type="dxa"/>
              <w:right w:w="20" w:type="dxa"/>
            </w:tcMar>
            <w:vAlign w:val="bottom"/>
          </w:tcPr>
          <w:p w14:paraId="7DCFEAB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B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B2" w14:textId="77777777" w:rsidR="00C1563E" w:rsidRDefault="000B648B">
            <w:pPr>
              <w:jc w:val="right"/>
              <w:textAlignment w:val="bottom"/>
            </w:pPr>
            <w:r>
              <w:rPr>
                <w:rFonts w:ascii="Times New Roman" w:eastAsia="宋体" w:hAnsi="Times New Roman"/>
                <w:color w:val="000000"/>
                <w:sz w:val="20"/>
                <w:szCs w:val="20"/>
              </w:rPr>
              <w:t>894 </w:t>
            </w:r>
          </w:p>
        </w:tc>
        <w:tc>
          <w:tcPr>
            <w:tcW w:w="0" w:type="auto"/>
            <w:shd w:val="clear" w:color="auto" w:fill="CCEEFF"/>
            <w:tcMar>
              <w:top w:w="40" w:type="dxa"/>
              <w:left w:w="0" w:type="dxa"/>
              <w:bottom w:w="40" w:type="dxa"/>
              <w:right w:w="20" w:type="dxa"/>
            </w:tcMar>
            <w:vAlign w:val="bottom"/>
          </w:tcPr>
          <w:p w14:paraId="7DCFEA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B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B5" w14:textId="77777777" w:rsidR="00C1563E" w:rsidRDefault="000B648B">
            <w:pPr>
              <w:jc w:val="right"/>
              <w:textAlignment w:val="bottom"/>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bottom"/>
          </w:tcPr>
          <w:p w14:paraId="7DCFEAB6" w14:textId="77777777" w:rsidR="00C1563E" w:rsidRDefault="00C1563E">
            <w:pPr>
              <w:jc w:val="right"/>
              <w:rPr>
                <w:rFonts w:ascii="宋体"/>
              </w:rPr>
            </w:pPr>
          </w:p>
        </w:tc>
      </w:tr>
      <w:tr w:rsidR="00C1563E" w14:paraId="7DCFEAC1" w14:textId="77777777">
        <w:trPr>
          <w:jc w:val="center"/>
        </w:trPr>
        <w:tc>
          <w:tcPr>
            <w:tcW w:w="0" w:type="auto"/>
            <w:gridSpan w:val="3"/>
            <w:shd w:val="clear" w:color="auto" w:fill="FFFFFF"/>
            <w:tcMar>
              <w:top w:w="40" w:type="dxa"/>
              <w:left w:w="395" w:type="dxa"/>
              <w:bottom w:w="40" w:type="dxa"/>
              <w:right w:w="20" w:type="dxa"/>
            </w:tcMar>
            <w:vAlign w:val="bottom"/>
          </w:tcPr>
          <w:p w14:paraId="7DCFEAB8" w14:textId="77777777" w:rsidR="00C1563E" w:rsidRDefault="000B648B">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7DCFEAB9" w14:textId="77777777" w:rsidR="00C1563E" w:rsidRDefault="000B648B">
            <w:pPr>
              <w:jc w:val="right"/>
              <w:textAlignment w:val="bottom"/>
            </w:pPr>
            <w:r>
              <w:rPr>
                <w:rFonts w:ascii="Times New Roman" w:eastAsia="宋体" w:hAnsi="Times New Roman"/>
                <w:color w:val="000000"/>
                <w:sz w:val="20"/>
                <w:szCs w:val="20"/>
              </w:rPr>
              <w:t>2,815 </w:t>
            </w:r>
          </w:p>
        </w:tc>
        <w:tc>
          <w:tcPr>
            <w:tcW w:w="0" w:type="auto"/>
            <w:shd w:val="clear" w:color="auto" w:fill="FFFFFF"/>
            <w:tcMar>
              <w:top w:w="40" w:type="dxa"/>
              <w:left w:w="0" w:type="dxa"/>
              <w:bottom w:w="40" w:type="dxa"/>
              <w:right w:w="20" w:type="dxa"/>
            </w:tcMar>
            <w:vAlign w:val="bottom"/>
          </w:tcPr>
          <w:p w14:paraId="7DCFEAB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B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BC" w14:textId="77777777" w:rsidR="00C1563E" w:rsidRDefault="000B648B">
            <w:pPr>
              <w:jc w:val="right"/>
              <w:textAlignment w:val="bottom"/>
            </w:pPr>
            <w:r>
              <w:rPr>
                <w:rFonts w:ascii="Times New Roman" w:eastAsia="宋体" w:hAnsi="Times New Roman"/>
                <w:color w:val="000000"/>
                <w:sz w:val="20"/>
                <w:szCs w:val="20"/>
              </w:rPr>
              <w:t>3,727 </w:t>
            </w:r>
          </w:p>
        </w:tc>
        <w:tc>
          <w:tcPr>
            <w:tcW w:w="0" w:type="auto"/>
            <w:shd w:val="clear" w:color="auto" w:fill="FFFFFF"/>
            <w:tcMar>
              <w:top w:w="40" w:type="dxa"/>
              <w:left w:w="0" w:type="dxa"/>
              <w:bottom w:w="40" w:type="dxa"/>
              <w:right w:w="20" w:type="dxa"/>
            </w:tcMar>
            <w:vAlign w:val="bottom"/>
          </w:tcPr>
          <w:p w14:paraId="7DCFEAB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B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BF" w14:textId="77777777" w:rsidR="00C1563E" w:rsidRDefault="000B648B">
            <w:pPr>
              <w:jc w:val="right"/>
              <w:textAlignment w:val="bottom"/>
            </w:pPr>
            <w:r>
              <w:rPr>
                <w:rFonts w:ascii="Times New Roman" w:eastAsia="宋体" w:hAnsi="Times New Roman"/>
                <w:color w:val="000000"/>
                <w:sz w:val="20"/>
                <w:szCs w:val="20"/>
              </w:rPr>
              <w:t>3,418 </w:t>
            </w:r>
          </w:p>
        </w:tc>
        <w:tc>
          <w:tcPr>
            <w:tcW w:w="0" w:type="auto"/>
            <w:shd w:val="clear" w:color="auto" w:fill="FFFFFF"/>
            <w:tcMar>
              <w:top w:w="40" w:type="dxa"/>
              <w:left w:w="0" w:type="dxa"/>
              <w:bottom w:w="40" w:type="dxa"/>
              <w:right w:w="20" w:type="dxa"/>
            </w:tcMar>
            <w:vAlign w:val="bottom"/>
          </w:tcPr>
          <w:p w14:paraId="7DCFEAC0" w14:textId="77777777" w:rsidR="00C1563E" w:rsidRDefault="00C1563E">
            <w:pPr>
              <w:jc w:val="right"/>
              <w:rPr>
                <w:rFonts w:ascii="宋体"/>
              </w:rPr>
            </w:pPr>
          </w:p>
        </w:tc>
      </w:tr>
      <w:tr w:rsidR="00C1563E" w14:paraId="7DCFEACB" w14:textId="77777777">
        <w:trPr>
          <w:jc w:val="center"/>
        </w:trPr>
        <w:tc>
          <w:tcPr>
            <w:tcW w:w="0" w:type="auto"/>
            <w:gridSpan w:val="3"/>
            <w:shd w:val="clear" w:color="auto" w:fill="CCEEFF"/>
            <w:tcMar>
              <w:top w:w="40" w:type="dxa"/>
              <w:left w:w="500" w:type="dxa"/>
              <w:bottom w:w="40" w:type="dxa"/>
              <w:right w:w="20" w:type="dxa"/>
            </w:tcMar>
            <w:vAlign w:val="bottom"/>
          </w:tcPr>
          <w:p w14:paraId="7DCFEAC2" w14:textId="77777777" w:rsidR="00C1563E" w:rsidRDefault="000B648B">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AC3" w14:textId="77777777" w:rsidR="00C1563E" w:rsidRDefault="000B648B">
            <w:pPr>
              <w:jc w:val="right"/>
              <w:textAlignment w:val="bottom"/>
            </w:pPr>
            <w:r>
              <w:rPr>
                <w:rFonts w:ascii="Times New Roman" w:eastAsia="宋体" w:hAnsi="Times New Roman"/>
                <w:color w:val="000000"/>
                <w:sz w:val="20"/>
                <w:szCs w:val="20"/>
              </w:rPr>
              <w:t>11,407 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AC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C5"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AC6" w14:textId="77777777" w:rsidR="00C1563E" w:rsidRDefault="000B648B">
            <w:pPr>
              <w:jc w:val="right"/>
              <w:textAlignment w:val="bottom"/>
            </w:pPr>
            <w:r>
              <w:rPr>
                <w:rFonts w:ascii="Times New Roman" w:eastAsia="宋体" w:hAnsi="Times New Roman"/>
                <w:color w:val="000000"/>
                <w:sz w:val="20"/>
                <w:szCs w:val="20"/>
              </w:rPr>
              <w:t>9,291 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A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C8"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AC9" w14:textId="77777777" w:rsidR="00C1563E" w:rsidRDefault="000B648B">
            <w:pPr>
              <w:jc w:val="right"/>
              <w:textAlignment w:val="bottom"/>
            </w:pPr>
            <w:r>
              <w:rPr>
                <w:rFonts w:ascii="Times New Roman" w:eastAsia="宋体" w:hAnsi="Times New Roman"/>
                <w:color w:val="000000"/>
                <w:sz w:val="20"/>
                <w:szCs w:val="20"/>
              </w:rPr>
              <w:t>6,991 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ACA" w14:textId="77777777" w:rsidR="00C1563E" w:rsidRDefault="00C1563E">
            <w:pPr>
              <w:jc w:val="right"/>
              <w:rPr>
                <w:rFonts w:ascii="宋体"/>
              </w:rPr>
            </w:pPr>
          </w:p>
        </w:tc>
      </w:tr>
      <w:tr w:rsidR="00C1563E" w14:paraId="7DCFEAD2" w14:textId="77777777">
        <w:trPr>
          <w:jc w:val="center"/>
        </w:trPr>
        <w:tc>
          <w:tcPr>
            <w:tcW w:w="0" w:type="auto"/>
            <w:gridSpan w:val="3"/>
            <w:shd w:val="clear" w:color="auto" w:fill="FFFFFF"/>
            <w:tcMar>
              <w:top w:w="40" w:type="dxa"/>
              <w:left w:w="20" w:type="dxa"/>
              <w:bottom w:w="40" w:type="dxa"/>
              <w:right w:w="20" w:type="dxa"/>
            </w:tcMar>
            <w:vAlign w:val="bottom"/>
          </w:tcPr>
          <w:p w14:paraId="7DCFEACC" w14:textId="77777777" w:rsidR="00C1563E" w:rsidRDefault="000B648B">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7DCFEAC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CE"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AC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AD0"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AD1" w14:textId="77777777" w:rsidR="00C1563E" w:rsidRDefault="00C1563E">
            <w:pPr>
              <w:rPr>
                <w:rFonts w:ascii="宋体"/>
              </w:rPr>
            </w:pPr>
          </w:p>
        </w:tc>
      </w:tr>
      <w:tr w:rsidR="00C1563E" w14:paraId="7DCFEADC" w14:textId="77777777">
        <w:trPr>
          <w:jc w:val="center"/>
        </w:trPr>
        <w:tc>
          <w:tcPr>
            <w:tcW w:w="0" w:type="auto"/>
            <w:gridSpan w:val="3"/>
            <w:shd w:val="clear" w:color="auto" w:fill="CCEEFF"/>
            <w:tcMar>
              <w:top w:w="40" w:type="dxa"/>
              <w:left w:w="125" w:type="dxa"/>
              <w:bottom w:w="40" w:type="dxa"/>
              <w:right w:w="20" w:type="dxa"/>
            </w:tcMar>
            <w:vAlign w:val="bottom"/>
          </w:tcPr>
          <w:p w14:paraId="7DCFEAD3" w14:textId="77777777" w:rsidR="00C1563E" w:rsidRDefault="000B648B">
            <w:pPr>
              <w:textAlignment w:val="bottom"/>
            </w:pPr>
            <w:r>
              <w:rPr>
                <w:rFonts w:ascii="Times New Roman" w:eastAsia="宋体" w:hAnsi="Times New Roman"/>
                <w:color w:val="000000"/>
                <w:sz w:val="20"/>
                <w:szCs w:val="20"/>
              </w:rPr>
              <w:t>Purchases of investments</w:t>
            </w:r>
          </w:p>
        </w:tc>
        <w:tc>
          <w:tcPr>
            <w:tcW w:w="0" w:type="auto"/>
            <w:gridSpan w:val="2"/>
            <w:shd w:val="clear" w:color="auto" w:fill="CCEEFF"/>
            <w:tcMar>
              <w:top w:w="40" w:type="dxa"/>
              <w:left w:w="20" w:type="dxa"/>
              <w:bottom w:w="40" w:type="dxa"/>
              <w:right w:w="0" w:type="dxa"/>
            </w:tcMar>
            <w:vAlign w:val="bottom"/>
          </w:tcPr>
          <w:p w14:paraId="7DCFEAD4" w14:textId="77777777" w:rsidR="00C1563E" w:rsidRDefault="000B648B">
            <w:pPr>
              <w:jc w:val="right"/>
              <w:textAlignment w:val="bottom"/>
            </w:pPr>
            <w:r>
              <w:rPr>
                <w:rFonts w:ascii="Times New Roman" w:eastAsia="宋体" w:hAnsi="Times New Roman"/>
                <w:color w:val="000000"/>
                <w:sz w:val="20"/>
                <w:szCs w:val="20"/>
              </w:rPr>
              <w:t>(338)</w:t>
            </w:r>
          </w:p>
        </w:tc>
        <w:tc>
          <w:tcPr>
            <w:tcW w:w="0" w:type="auto"/>
            <w:shd w:val="clear" w:color="auto" w:fill="CCEEFF"/>
            <w:tcMar>
              <w:top w:w="40" w:type="dxa"/>
              <w:left w:w="0" w:type="dxa"/>
              <w:bottom w:w="40" w:type="dxa"/>
              <w:right w:w="20" w:type="dxa"/>
            </w:tcMar>
            <w:vAlign w:val="bottom"/>
          </w:tcPr>
          <w:p w14:paraId="7DCFEAD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D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D7" w14:textId="77777777" w:rsidR="00C1563E" w:rsidRDefault="000B648B">
            <w:pPr>
              <w:jc w:val="right"/>
              <w:textAlignment w:val="bottom"/>
            </w:pPr>
            <w:r>
              <w:rPr>
                <w:rFonts w:ascii="Times New Roman" w:eastAsia="宋体" w:hAnsi="Times New Roman"/>
                <w:color w:val="000000"/>
                <w:sz w:val="20"/>
                <w:szCs w:val="20"/>
              </w:rPr>
              <w:t>(181)</w:t>
            </w:r>
          </w:p>
        </w:tc>
        <w:tc>
          <w:tcPr>
            <w:tcW w:w="0" w:type="auto"/>
            <w:shd w:val="clear" w:color="auto" w:fill="CCEEFF"/>
            <w:tcMar>
              <w:top w:w="40" w:type="dxa"/>
              <w:left w:w="0" w:type="dxa"/>
              <w:bottom w:w="40" w:type="dxa"/>
              <w:right w:w="20" w:type="dxa"/>
            </w:tcMar>
            <w:vAlign w:val="bottom"/>
          </w:tcPr>
          <w:p w14:paraId="7DCFEA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D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DA" w14:textId="77777777" w:rsidR="00C1563E" w:rsidRDefault="000B648B">
            <w:pPr>
              <w:jc w:val="right"/>
              <w:textAlignment w:val="bottom"/>
            </w:pPr>
            <w:r>
              <w:rPr>
                <w:rFonts w:ascii="Times New Roman" w:eastAsia="宋体" w:hAnsi="Times New Roman"/>
                <w:color w:val="000000"/>
                <w:sz w:val="20"/>
                <w:szCs w:val="20"/>
              </w:rPr>
              <w:t>(925)</w:t>
            </w:r>
          </w:p>
        </w:tc>
        <w:tc>
          <w:tcPr>
            <w:tcW w:w="0" w:type="auto"/>
            <w:shd w:val="clear" w:color="auto" w:fill="CCEEFF"/>
            <w:tcMar>
              <w:top w:w="40" w:type="dxa"/>
              <w:left w:w="0" w:type="dxa"/>
              <w:bottom w:w="40" w:type="dxa"/>
              <w:right w:w="20" w:type="dxa"/>
            </w:tcMar>
            <w:vAlign w:val="bottom"/>
          </w:tcPr>
          <w:p w14:paraId="7DCFEADB" w14:textId="77777777" w:rsidR="00C1563E" w:rsidRDefault="00C1563E">
            <w:pPr>
              <w:jc w:val="right"/>
              <w:rPr>
                <w:rFonts w:ascii="宋体"/>
              </w:rPr>
            </w:pPr>
          </w:p>
        </w:tc>
      </w:tr>
      <w:tr w:rsidR="00C1563E" w14:paraId="7DCFEAE6" w14:textId="77777777">
        <w:trPr>
          <w:jc w:val="center"/>
        </w:trPr>
        <w:tc>
          <w:tcPr>
            <w:tcW w:w="0" w:type="auto"/>
            <w:gridSpan w:val="3"/>
            <w:shd w:val="clear" w:color="auto" w:fill="FFFFFF"/>
            <w:tcMar>
              <w:top w:w="40" w:type="dxa"/>
              <w:left w:w="125" w:type="dxa"/>
              <w:bottom w:w="40" w:type="dxa"/>
              <w:right w:w="20" w:type="dxa"/>
            </w:tcMar>
            <w:vAlign w:val="bottom"/>
          </w:tcPr>
          <w:p w14:paraId="7DCFEADD" w14:textId="77777777" w:rsidR="00C1563E" w:rsidRDefault="000B648B">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FFFFFF"/>
            <w:tcMar>
              <w:top w:w="40" w:type="dxa"/>
              <w:left w:w="20" w:type="dxa"/>
              <w:bottom w:w="40" w:type="dxa"/>
              <w:right w:w="0" w:type="dxa"/>
            </w:tcMar>
            <w:vAlign w:val="bottom"/>
          </w:tcPr>
          <w:p w14:paraId="7DCFEADE" w14:textId="77777777" w:rsidR="00C1563E" w:rsidRDefault="000B648B">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7DCFEAD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E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E1" w14:textId="77777777" w:rsidR="00C1563E" w:rsidRDefault="000B648B">
            <w:pPr>
              <w:jc w:val="right"/>
              <w:textAlignment w:val="bottom"/>
            </w:pPr>
            <w:r>
              <w:rPr>
                <w:rFonts w:ascii="Times New Roman" w:eastAsia="宋体" w:hAnsi="Times New Roman"/>
                <w:color w:val="000000"/>
                <w:sz w:val="20"/>
                <w:szCs w:val="20"/>
              </w:rPr>
              <w:t>497 </w:t>
            </w:r>
          </w:p>
        </w:tc>
        <w:tc>
          <w:tcPr>
            <w:tcW w:w="0" w:type="auto"/>
            <w:shd w:val="clear" w:color="auto" w:fill="FFFFFF"/>
            <w:tcMar>
              <w:top w:w="40" w:type="dxa"/>
              <w:left w:w="0" w:type="dxa"/>
              <w:bottom w:w="40" w:type="dxa"/>
              <w:right w:w="20" w:type="dxa"/>
            </w:tcMar>
            <w:vAlign w:val="bottom"/>
          </w:tcPr>
          <w:p w14:paraId="7DCFEAE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E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E4" w14:textId="77777777" w:rsidR="00C1563E" w:rsidRDefault="000B648B">
            <w:pPr>
              <w:jc w:val="right"/>
              <w:textAlignment w:val="bottom"/>
            </w:pPr>
            <w:r>
              <w:rPr>
                <w:rFonts w:ascii="Times New Roman" w:eastAsia="宋体" w:hAnsi="Times New Roman"/>
                <w:color w:val="000000"/>
                <w:sz w:val="20"/>
                <w:szCs w:val="20"/>
              </w:rPr>
              <w:t>6,612 </w:t>
            </w:r>
          </w:p>
        </w:tc>
        <w:tc>
          <w:tcPr>
            <w:tcW w:w="0" w:type="auto"/>
            <w:shd w:val="clear" w:color="auto" w:fill="FFFFFF"/>
            <w:tcMar>
              <w:top w:w="40" w:type="dxa"/>
              <w:left w:w="0" w:type="dxa"/>
              <w:bottom w:w="40" w:type="dxa"/>
              <w:right w:w="20" w:type="dxa"/>
            </w:tcMar>
            <w:vAlign w:val="bottom"/>
          </w:tcPr>
          <w:p w14:paraId="7DCFEAE5" w14:textId="77777777" w:rsidR="00C1563E" w:rsidRDefault="00C1563E">
            <w:pPr>
              <w:jc w:val="right"/>
              <w:rPr>
                <w:rFonts w:ascii="宋体"/>
              </w:rPr>
            </w:pPr>
          </w:p>
        </w:tc>
      </w:tr>
      <w:tr w:rsidR="00C1563E" w14:paraId="7DCFEAF0" w14:textId="77777777">
        <w:trPr>
          <w:jc w:val="center"/>
        </w:trPr>
        <w:tc>
          <w:tcPr>
            <w:tcW w:w="0" w:type="auto"/>
            <w:gridSpan w:val="3"/>
            <w:shd w:val="clear" w:color="auto" w:fill="CCEEFF"/>
            <w:tcMar>
              <w:top w:w="40" w:type="dxa"/>
              <w:left w:w="155" w:type="dxa"/>
              <w:bottom w:w="40" w:type="dxa"/>
              <w:right w:w="20" w:type="dxa"/>
            </w:tcMar>
            <w:vAlign w:val="bottom"/>
          </w:tcPr>
          <w:p w14:paraId="7DCFEAE7" w14:textId="77777777" w:rsidR="00C1563E" w:rsidRDefault="000B648B">
            <w:pPr>
              <w:textAlignment w:val="bottom"/>
            </w:pPr>
            <w:r>
              <w:rPr>
                <w:rFonts w:ascii="Times New Roman" w:eastAsia="宋体" w:hAnsi="Times New Roman"/>
                <w:color w:val="000000"/>
                <w:sz w:val="20"/>
                <w:szCs w:val="20"/>
              </w:rPr>
              <w:t>Capital expenditures and capitalized software development costs</w:t>
            </w:r>
          </w:p>
        </w:tc>
        <w:tc>
          <w:tcPr>
            <w:tcW w:w="0" w:type="auto"/>
            <w:gridSpan w:val="2"/>
            <w:shd w:val="clear" w:color="auto" w:fill="CCEEFF"/>
            <w:tcMar>
              <w:top w:w="40" w:type="dxa"/>
              <w:left w:w="20" w:type="dxa"/>
              <w:bottom w:w="40" w:type="dxa"/>
              <w:right w:w="0" w:type="dxa"/>
            </w:tcMar>
            <w:vAlign w:val="bottom"/>
          </w:tcPr>
          <w:p w14:paraId="7DCFEAE8" w14:textId="77777777" w:rsidR="00C1563E" w:rsidRDefault="000B648B">
            <w:pPr>
              <w:jc w:val="right"/>
              <w:textAlignment w:val="bottom"/>
            </w:pPr>
            <w:r>
              <w:rPr>
                <w:rFonts w:ascii="Times New Roman" w:eastAsia="宋体" w:hAnsi="Times New Roman"/>
                <w:color w:val="000000"/>
                <w:sz w:val="20"/>
                <w:szCs w:val="20"/>
              </w:rPr>
              <w:t>(2,082)</w:t>
            </w:r>
          </w:p>
        </w:tc>
        <w:tc>
          <w:tcPr>
            <w:tcW w:w="0" w:type="auto"/>
            <w:shd w:val="clear" w:color="auto" w:fill="CCEEFF"/>
            <w:tcMar>
              <w:top w:w="40" w:type="dxa"/>
              <w:left w:w="0" w:type="dxa"/>
              <w:bottom w:w="40" w:type="dxa"/>
              <w:right w:w="20" w:type="dxa"/>
            </w:tcMar>
            <w:vAlign w:val="bottom"/>
          </w:tcPr>
          <w:p w14:paraId="7DCFEAE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E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EB" w14:textId="77777777" w:rsidR="00C1563E" w:rsidRDefault="000B648B">
            <w:pPr>
              <w:jc w:val="right"/>
              <w:textAlignment w:val="bottom"/>
            </w:pPr>
            <w:r>
              <w:rPr>
                <w:rFonts w:ascii="Times New Roman" w:eastAsia="宋体" w:hAnsi="Times New Roman"/>
                <w:color w:val="000000"/>
                <w:sz w:val="20"/>
                <w:szCs w:val="20"/>
              </w:rPr>
              <w:t>(2,576)</w:t>
            </w:r>
          </w:p>
        </w:tc>
        <w:tc>
          <w:tcPr>
            <w:tcW w:w="0" w:type="auto"/>
            <w:shd w:val="clear" w:color="auto" w:fill="CCEEFF"/>
            <w:tcMar>
              <w:top w:w="40" w:type="dxa"/>
              <w:left w:w="0" w:type="dxa"/>
              <w:bottom w:w="40" w:type="dxa"/>
              <w:right w:w="20" w:type="dxa"/>
            </w:tcMar>
            <w:vAlign w:val="bottom"/>
          </w:tcPr>
          <w:p w14:paraId="7DCFEAE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E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EE" w14:textId="77777777" w:rsidR="00C1563E" w:rsidRDefault="000B648B">
            <w:pPr>
              <w:jc w:val="right"/>
              <w:textAlignment w:val="bottom"/>
            </w:pPr>
            <w:r>
              <w:rPr>
                <w:rFonts w:ascii="Times New Roman" w:eastAsia="宋体" w:hAnsi="Times New Roman"/>
                <w:color w:val="000000"/>
                <w:sz w:val="20"/>
                <w:szCs w:val="20"/>
              </w:rPr>
              <w:t>(1,497)</w:t>
            </w:r>
          </w:p>
        </w:tc>
        <w:tc>
          <w:tcPr>
            <w:tcW w:w="0" w:type="auto"/>
            <w:shd w:val="clear" w:color="auto" w:fill="CCEEFF"/>
            <w:tcMar>
              <w:top w:w="40" w:type="dxa"/>
              <w:left w:w="0" w:type="dxa"/>
              <w:bottom w:w="40" w:type="dxa"/>
              <w:right w:w="20" w:type="dxa"/>
            </w:tcMar>
            <w:vAlign w:val="bottom"/>
          </w:tcPr>
          <w:p w14:paraId="7DCFEAEF" w14:textId="77777777" w:rsidR="00C1563E" w:rsidRDefault="00C1563E">
            <w:pPr>
              <w:jc w:val="right"/>
              <w:rPr>
                <w:rFonts w:ascii="宋体"/>
              </w:rPr>
            </w:pPr>
          </w:p>
        </w:tc>
      </w:tr>
      <w:tr w:rsidR="00C1563E" w14:paraId="7DCFEAFA" w14:textId="77777777">
        <w:trPr>
          <w:jc w:val="center"/>
        </w:trPr>
        <w:tc>
          <w:tcPr>
            <w:tcW w:w="0" w:type="auto"/>
            <w:gridSpan w:val="3"/>
            <w:shd w:val="clear" w:color="auto" w:fill="FFFFFF"/>
            <w:tcMar>
              <w:top w:w="40" w:type="dxa"/>
              <w:left w:w="155" w:type="dxa"/>
              <w:bottom w:w="40" w:type="dxa"/>
              <w:right w:w="20" w:type="dxa"/>
            </w:tcMar>
            <w:vAlign w:val="bottom"/>
          </w:tcPr>
          <w:p w14:paraId="7DCFEAF1" w14:textId="77777777" w:rsidR="00C1563E" w:rsidRDefault="000B648B">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FFFFFF"/>
            <w:tcMar>
              <w:top w:w="40" w:type="dxa"/>
              <w:left w:w="20" w:type="dxa"/>
              <w:bottom w:w="40" w:type="dxa"/>
              <w:right w:w="0" w:type="dxa"/>
            </w:tcMar>
            <w:vAlign w:val="bottom"/>
          </w:tcPr>
          <w:p w14:paraId="7DCFEAF2" w14:textId="77777777" w:rsidR="00C1563E" w:rsidRDefault="000B648B">
            <w:pPr>
              <w:jc w:val="right"/>
              <w:textAlignment w:val="bottom"/>
            </w:pPr>
            <w:r>
              <w:rPr>
                <w:rFonts w:ascii="Times New Roman" w:eastAsia="宋体" w:hAnsi="Times New Roman"/>
                <w:color w:val="000000"/>
                <w:sz w:val="20"/>
                <w:szCs w:val="20"/>
              </w:rPr>
              <w:t>(424)</w:t>
            </w:r>
          </w:p>
        </w:tc>
        <w:tc>
          <w:tcPr>
            <w:tcW w:w="0" w:type="auto"/>
            <w:shd w:val="clear" w:color="auto" w:fill="FFFFFF"/>
            <w:tcMar>
              <w:top w:w="40" w:type="dxa"/>
              <w:left w:w="0" w:type="dxa"/>
              <w:bottom w:w="40" w:type="dxa"/>
              <w:right w:w="20" w:type="dxa"/>
            </w:tcMar>
            <w:vAlign w:val="bottom"/>
          </w:tcPr>
          <w:p w14:paraId="7DCFEAF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F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F5" w14:textId="77777777" w:rsidR="00C1563E" w:rsidRDefault="000B648B">
            <w:pPr>
              <w:jc w:val="right"/>
              <w:textAlignment w:val="bottom"/>
            </w:pPr>
            <w:r>
              <w:rPr>
                <w:rFonts w:ascii="Times New Roman" w:eastAsia="宋体" w:hAnsi="Times New Roman"/>
                <w:color w:val="000000"/>
                <w:sz w:val="20"/>
                <w:szCs w:val="20"/>
              </w:rPr>
              <w:t>(2,463)</w:t>
            </w:r>
          </w:p>
        </w:tc>
        <w:tc>
          <w:tcPr>
            <w:tcW w:w="0" w:type="auto"/>
            <w:shd w:val="clear" w:color="auto" w:fill="FFFFFF"/>
            <w:tcMar>
              <w:top w:w="40" w:type="dxa"/>
              <w:left w:w="0" w:type="dxa"/>
              <w:bottom w:w="40" w:type="dxa"/>
              <w:right w:w="20" w:type="dxa"/>
            </w:tcMar>
            <w:vAlign w:val="bottom"/>
          </w:tcPr>
          <w:p w14:paraId="7DCFEAF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AF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AF8" w14:textId="77777777" w:rsidR="00C1563E" w:rsidRDefault="000B648B">
            <w:pPr>
              <w:jc w:val="right"/>
              <w:textAlignment w:val="bottom"/>
            </w:pPr>
            <w:r>
              <w:rPr>
                <w:rFonts w:ascii="Times New Roman" w:eastAsia="宋体" w:hAnsi="Times New Roman"/>
                <w:color w:val="000000"/>
                <w:sz w:val="20"/>
                <w:szCs w:val="20"/>
              </w:rPr>
              <w:t>(971)</w:t>
            </w:r>
          </w:p>
        </w:tc>
        <w:tc>
          <w:tcPr>
            <w:tcW w:w="0" w:type="auto"/>
            <w:shd w:val="clear" w:color="auto" w:fill="FFFFFF"/>
            <w:tcMar>
              <w:top w:w="40" w:type="dxa"/>
              <w:left w:w="0" w:type="dxa"/>
              <w:bottom w:w="40" w:type="dxa"/>
              <w:right w:w="20" w:type="dxa"/>
            </w:tcMar>
            <w:vAlign w:val="bottom"/>
          </w:tcPr>
          <w:p w14:paraId="7DCFEAF9" w14:textId="77777777" w:rsidR="00C1563E" w:rsidRDefault="00C1563E">
            <w:pPr>
              <w:jc w:val="right"/>
              <w:rPr>
                <w:rFonts w:ascii="宋体"/>
              </w:rPr>
            </w:pPr>
          </w:p>
        </w:tc>
      </w:tr>
      <w:tr w:rsidR="00C1563E" w14:paraId="7DCFEB04" w14:textId="77777777">
        <w:trPr>
          <w:jc w:val="center"/>
        </w:trPr>
        <w:tc>
          <w:tcPr>
            <w:tcW w:w="0" w:type="auto"/>
            <w:gridSpan w:val="3"/>
            <w:shd w:val="clear" w:color="auto" w:fill="CCEEFF"/>
            <w:tcMar>
              <w:top w:w="40" w:type="dxa"/>
              <w:left w:w="155" w:type="dxa"/>
              <w:bottom w:w="40" w:type="dxa"/>
              <w:right w:w="20" w:type="dxa"/>
            </w:tcMar>
            <w:vAlign w:val="bottom"/>
          </w:tcPr>
          <w:p w14:paraId="7DCFEAFB" w14:textId="77777777" w:rsidR="00C1563E" w:rsidRDefault="000B648B">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CCEEFF"/>
            <w:tcMar>
              <w:top w:w="40" w:type="dxa"/>
              <w:left w:w="20" w:type="dxa"/>
              <w:bottom w:w="40" w:type="dxa"/>
              <w:right w:w="0" w:type="dxa"/>
            </w:tcMar>
            <w:vAlign w:val="bottom"/>
          </w:tcPr>
          <w:p w14:paraId="7DCFEAFC" w14:textId="77777777" w:rsidR="00C1563E" w:rsidRDefault="000B648B">
            <w:pPr>
              <w:jc w:val="right"/>
              <w:textAlignment w:val="bottom"/>
            </w:pPr>
            <w:r>
              <w:rPr>
                <w:rFonts w:ascii="Times New Roman" w:eastAsia="宋体" w:hAnsi="Times New Roman"/>
                <w:color w:val="000000"/>
                <w:sz w:val="20"/>
                <w:szCs w:val="20"/>
              </w:rPr>
              <w:t>2,187 </w:t>
            </w:r>
          </w:p>
        </w:tc>
        <w:tc>
          <w:tcPr>
            <w:tcW w:w="0" w:type="auto"/>
            <w:shd w:val="clear" w:color="auto" w:fill="CCEEFF"/>
            <w:tcMar>
              <w:top w:w="40" w:type="dxa"/>
              <w:left w:w="0" w:type="dxa"/>
              <w:bottom w:w="40" w:type="dxa"/>
              <w:right w:w="20" w:type="dxa"/>
            </w:tcMar>
            <w:vAlign w:val="bottom"/>
          </w:tcPr>
          <w:p w14:paraId="7DCFEAF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AF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AFF" w14:textId="77777777" w:rsidR="00C1563E" w:rsidRDefault="000B648B">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DCFEB0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0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02" w14:textId="77777777" w:rsidR="00C1563E" w:rsidRDefault="000B648B">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7DCFEB03" w14:textId="77777777" w:rsidR="00C1563E" w:rsidRDefault="00C1563E">
            <w:pPr>
              <w:jc w:val="right"/>
              <w:rPr>
                <w:rFonts w:ascii="宋体"/>
              </w:rPr>
            </w:pPr>
          </w:p>
        </w:tc>
      </w:tr>
      <w:tr w:rsidR="00C1563E" w14:paraId="7DCFEB0E" w14:textId="77777777">
        <w:trPr>
          <w:jc w:val="center"/>
        </w:trPr>
        <w:tc>
          <w:tcPr>
            <w:tcW w:w="0" w:type="auto"/>
            <w:gridSpan w:val="3"/>
            <w:shd w:val="clear" w:color="auto" w:fill="FFFFFF"/>
            <w:tcMar>
              <w:top w:w="40" w:type="dxa"/>
              <w:left w:w="155" w:type="dxa"/>
              <w:bottom w:w="40" w:type="dxa"/>
              <w:right w:w="20" w:type="dxa"/>
            </w:tcMar>
            <w:vAlign w:val="bottom"/>
          </w:tcPr>
          <w:p w14:paraId="7DCFEB05"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DCFEB06" w14:textId="77777777" w:rsidR="00C1563E" w:rsidRDefault="000B648B">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DCFEB0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0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09" w14:textId="77777777" w:rsidR="00C1563E" w:rsidRDefault="000B648B">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7DCFEB0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0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0C" w14:textId="77777777" w:rsidR="00C1563E" w:rsidRDefault="000B648B">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7DCFEB0D" w14:textId="77777777" w:rsidR="00C1563E" w:rsidRDefault="00C1563E">
            <w:pPr>
              <w:jc w:val="right"/>
              <w:rPr>
                <w:rFonts w:ascii="宋体"/>
              </w:rPr>
            </w:pPr>
          </w:p>
        </w:tc>
      </w:tr>
      <w:tr w:rsidR="00C1563E" w14:paraId="7DCFEB18" w14:textId="77777777">
        <w:trPr>
          <w:jc w:val="center"/>
        </w:trPr>
        <w:tc>
          <w:tcPr>
            <w:tcW w:w="0" w:type="auto"/>
            <w:gridSpan w:val="3"/>
            <w:shd w:val="clear" w:color="auto" w:fill="CCEEFF"/>
            <w:tcMar>
              <w:top w:w="40" w:type="dxa"/>
              <w:left w:w="500" w:type="dxa"/>
              <w:bottom w:w="40" w:type="dxa"/>
              <w:right w:w="20" w:type="dxa"/>
            </w:tcMar>
            <w:vAlign w:val="bottom"/>
          </w:tcPr>
          <w:p w14:paraId="7DCFEB0F" w14:textId="77777777" w:rsidR="00C1563E" w:rsidRDefault="000B648B">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10" w14:textId="77777777" w:rsidR="00C1563E" w:rsidRDefault="000B648B">
            <w:pPr>
              <w:jc w:val="right"/>
              <w:textAlignment w:val="bottom"/>
            </w:pPr>
            <w:r>
              <w:rPr>
                <w:rFonts w:ascii="Times New Roman" w:eastAsia="宋体" w:hAnsi="Times New Roman"/>
                <w:color w:val="000000"/>
                <w:sz w:val="20"/>
                <w:szCs w:val="20"/>
              </w:rPr>
              <w:t>(460)</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1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1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13" w14:textId="77777777" w:rsidR="00C1563E" w:rsidRDefault="000B648B">
            <w:pPr>
              <w:jc w:val="right"/>
              <w:textAlignment w:val="bottom"/>
            </w:pPr>
            <w:r>
              <w:rPr>
                <w:rFonts w:ascii="Times New Roman" w:eastAsia="宋体" w:hAnsi="Times New Roman"/>
                <w:color w:val="000000"/>
                <w:sz w:val="20"/>
                <w:szCs w:val="20"/>
              </w:rPr>
              <w:t>(4,686)</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1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15"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16" w14:textId="77777777" w:rsidR="00C1563E" w:rsidRDefault="000B648B">
            <w:pPr>
              <w:jc w:val="right"/>
              <w:textAlignment w:val="bottom"/>
            </w:pPr>
            <w:r>
              <w:rPr>
                <w:rFonts w:ascii="Times New Roman" w:eastAsia="宋体" w:hAnsi="Times New Roman"/>
                <w:color w:val="000000"/>
                <w:sz w:val="20"/>
                <w:szCs w:val="20"/>
              </w:rPr>
              <w:t>3,389 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17" w14:textId="77777777" w:rsidR="00C1563E" w:rsidRDefault="00C1563E">
            <w:pPr>
              <w:jc w:val="right"/>
              <w:rPr>
                <w:rFonts w:ascii="宋体"/>
              </w:rPr>
            </w:pPr>
          </w:p>
        </w:tc>
      </w:tr>
      <w:tr w:rsidR="00C1563E" w14:paraId="7DCFEB1F" w14:textId="77777777">
        <w:trPr>
          <w:jc w:val="center"/>
        </w:trPr>
        <w:tc>
          <w:tcPr>
            <w:tcW w:w="0" w:type="auto"/>
            <w:gridSpan w:val="3"/>
            <w:shd w:val="clear" w:color="auto" w:fill="FFFFFF"/>
            <w:tcMar>
              <w:top w:w="40" w:type="dxa"/>
              <w:left w:w="20" w:type="dxa"/>
              <w:bottom w:w="40" w:type="dxa"/>
              <w:right w:w="20" w:type="dxa"/>
            </w:tcMar>
            <w:vAlign w:val="bottom"/>
          </w:tcPr>
          <w:p w14:paraId="7DCFEB19" w14:textId="77777777" w:rsidR="00C1563E" w:rsidRDefault="000B648B">
            <w:pPr>
              <w:textAlignment w:val="bottom"/>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7DCFEB1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B1B"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B1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EB1D"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CFEB1E" w14:textId="77777777" w:rsidR="00C1563E" w:rsidRDefault="00C1563E">
            <w:pPr>
              <w:rPr>
                <w:rFonts w:ascii="宋体"/>
              </w:rPr>
            </w:pPr>
          </w:p>
        </w:tc>
      </w:tr>
      <w:tr w:rsidR="00C1563E" w14:paraId="7DCFEB29" w14:textId="77777777">
        <w:trPr>
          <w:jc w:val="center"/>
        </w:trPr>
        <w:tc>
          <w:tcPr>
            <w:tcW w:w="0" w:type="auto"/>
            <w:gridSpan w:val="3"/>
            <w:shd w:val="clear" w:color="auto" w:fill="CCEEFF"/>
            <w:tcMar>
              <w:top w:w="40" w:type="dxa"/>
              <w:left w:w="140" w:type="dxa"/>
              <w:bottom w:w="40" w:type="dxa"/>
              <w:right w:w="20" w:type="dxa"/>
            </w:tcMar>
            <w:vAlign w:val="bottom"/>
          </w:tcPr>
          <w:p w14:paraId="7DCFEB20" w14:textId="77777777" w:rsidR="00C1563E" w:rsidRDefault="000B648B">
            <w:pPr>
              <w:textAlignment w:val="bottom"/>
            </w:pPr>
            <w:r>
              <w:rPr>
                <w:rFonts w:ascii="Times New Roman" w:eastAsia="宋体" w:hAnsi="Times New Roman"/>
                <w:color w:val="000000"/>
                <w:sz w:val="20"/>
                <w:szCs w:val="20"/>
              </w:rPr>
              <w:t>Dividends paid to VMware, Inc.’s public stockholders</w:t>
            </w:r>
          </w:p>
        </w:tc>
        <w:tc>
          <w:tcPr>
            <w:tcW w:w="0" w:type="auto"/>
            <w:gridSpan w:val="2"/>
            <w:shd w:val="clear" w:color="auto" w:fill="CCEEFF"/>
            <w:tcMar>
              <w:top w:w="40" w:type="dxa"/>
              <w:left w:w="20" w:type="dxa"/>
              <w:bottom w:w="40" w:type="dxa"/>
              <w:right w:w="0" w:type="dxa"/>
            </w:tcMar>
            <w:vAlign w:val="bottom"/>
          </w:tcPr>
          <w:p w14:paraId="7DCFEB2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B2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2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2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EB2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2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27" w14:textId="77777777" w:rsidR="00C1563E" w:rsidRDefault="000B648B">
            <w:pPr>
              <w:jc w:val="right"/>
              <w:textAlignment w:val="bottom"/>
            </w:pPr>
            <w:r>
              <w:rPr>
                <w:rFonts w:ascii="Times New Roman" w:eastAsia="宋体" w:hAnsi="Times New Roman"/>
                <w:color w:val="000000"/>
                <w:sz w:val="20"/>
                <w:szCs w:val="20"/>
              </w:rPr>
              <w:t>(2,134)</w:t>
            </w:r>
          </w:p>
        </w:tc>
        <w:tc>
          <w:tcPr>
            <w:tcW w:w="0" w:type="auto"/>
            <w:shd w:val="clear" w:color="auto" w:fill="CCEEFF"/>
            <w:tcMar>
              <w:top w:w="40" w:type="dxa"/>
              <w:left w:w="0" w:type="dxa"/>
              <w:bottom w:w="40" w:type="dxa"/>
              <w:right w:w="20" w:type="dxa"/>
            </w:tcMar>
            <w:vAlign w:val="bottom"/>
          </w:tcPr>
          <w:p w14:paraId="7DCFEB28" w14:textId="77777777" w:rsidR="00C1563E" w:rsidRDefault="00C1563E">
            <w:pPr>
              <w:jc w:val="right"/>
              <w:rPr>
                <w:rFonts w:ascii="宋体"/>
              </w:rPr>
            </w:pPr>
          </w:p>
        </w:tc>
      </w:tr>
      <w:tr w:rsidR="00C1563E" w14:paraId="7DCFEB33" w14:textId="77777777">
        <w:trPr>
          <w:jc w:val="center"/>
        </w:trPr>
        <w:tc>
          <w:tcPr>
            <w:tcW w:w="0" w:type="auto"/>
            <w:gridSpan w:val="3"/>
            <w:shd w:val="clear" w:color="auto" w:fill="FFFFFF"/>
            <w:tcMar>
              <w:top w:w="40" w:type="dxa"/>
              <w:left w:w="140" w:type="dxa"/>
              <w:bottom w:w="40" w:type="dxa"/>
              <w:right w:w="20" w:type="dxa"/>
            </w:tcMar>
            <w:vAlign w:val="bottom"/>
          </w:tcPr>
          <w:p w14:paraId="7DCFEB2A" w14:textId="77777777" w:rsidR="00C1563E" w:rsidRDefault="000B648B">
            <w:pPr>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FFFFFF"/>
            <w:tcMar>
              <w:top w:w="40" w:type="dxa"/>
              <w:left w:w="20" w:type="dxa"/>
              <w:bottom w:w="40" w:type="dxa"/>
              <w:right w:w="0" w:type="dxa"/>
            </w:tcMar>
            <w:vAlign w:val="bottom"/>
          </w:tcPr>
          <w:p w14:paraId="7DCFEB2B" w14:textId="77777777" w:rsidR="00C1563E" w:rsidRDefault="000B648B">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7DCFEB2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2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2E" w14:textId="77777777" w:rsidR="00C1563E" w:rsidRDefault="000B648B">
            <w:pPr>
              <w:jc w:val="right"/>
              <w:textAlignment w:val="bottom"/>
            </w:pPr>
            <w:r>
              <w:rPr>
                <w:rFonts w:ascii="Times New Roman" w:eastAsia="宋体" w:hAnsi="Times New Roman"/>
                <w:color w:val="000000"/>
                <w:sz w:val="20"/>
                <w:szCs w:val="20"/>
              </w:rPr>
              <w:t>658 </w:t>
            </w:r>
          </w:p>
        </w:tc>
        <w:tc>
          <w:tcPr>
            <w:tcW w:w="0" w:type="auto"/>
            <w:shd w:val="clear" w:color="auto" w:fill="FFFFFF"/>
            <w:tcMar>
              <w:top w:w="40" w:type="dxa"/>
              <w:left w:w="0" w:type="dxa"/>
              <w:bottom w:w="40" w:type="dxa"/>
              <w:right w:w="20" w:type="dxa"/>
            </w:tcMar>
            <w:vAlign w:val="bottom"/>
          </w:tcPr>
          <w:p w14:paraId="7DCFEB2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3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31" w14:textId="77777777" w:rsidR="00C1563E" w:rsidRDefault="000B648B">
            <w:pPr>
              <w:jc w:val="right"/>
              <w:textAlignment w:val="bottom"/>
            </w:pPr>
            <w:r>
              <w:rPr>
                <w:rFonts w:ascii="Times New Roman" w:eastAsia="宋体" w:hAnsi="Times New Roman"/>
                <w:color w:val="000000"/>
                <w:sz w:val="20"/>
                <w:szCs w:val="20"/>
              </w:rPr>
              <w:t>805 </w:t>
            </w:r>
          </w:p>
        </w:tc>
        <w:tc>
          <w:tcPr>
            <w:tcW w:w="0" w:type="auto"/>
            <w:shd w:val="clear" w:color="auto" w:fill="FFFFFF"/>
            <w:tcMar>
              <w:top w:w="40" w:type="dxa"/>
              <w:left w:w="0" w:type="dxa"/>
              <w:bottom w:w="40" w:type="dxa"/>
              <w:right w:w="20" w:type="dxa"/>
            </w:tcMar>
            <w:vAlign w:val="bottom"/>
          </w:tcPr>
          <w:p w14:paraId="7DCFEB32" w14:textId="77777777" w:rsidR="00C1563E" w:rsidRDefault="00C1563E">
            <w:pPr>
              <w:jc w:val="right"/>
              <w:rPr>
                <w:rFonts w:ascii="宋体"/>
              </w:rPr>
            </w:pPr>
          </w:p>
        </w:tc>
      </w:tr>
      <w:tr w:rsidR="00C1563E" w14:paraId="7DCFEB3D" w14:textId="77777777">
        <w:trPr>
          <w:jc w:val="center"/>
        </w:trPr>
        <w:tc>
          <w:tcPr>
            <w:tcW w:w="0" w:type="auto"/>
            <w:gridSpan w:val="3"/>
            <w:shd w:val="clear" w:color="auto" w:fill="CCEEFF"/>
            <w:tcMar>
              <w:top w:w="40" w:type="dxa"/>
              <w:left w:w="140" w:type="dxa"/>
              <w:bottom w:w="40" w:type="dxa"/>
              <w:right w:w="20" w:type="dxa"/>
            </w:tcMar>
            <w:vAlign w:val="bottom"/>
          </w:tcPr>
          <w:p w14:paraId="7DCFEB34" w14:textId="77777777" w:rsidR="00C1563E" w:rsidRDefault="000B648B">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CCEEFF"/>
            <w:tcMar>
              <w:top w:w="40" w:type="dxa"/>
              <w:left w:w="20" w:type="dxa"/>
              <w:bottom w:w="40" w:type="dxa"/>
              <w:right w:w="0" w:type="dxa"/>
            </w:tcMar>
            <w:vAlign w:val="bottom"/>
          </w:tcPr>
          <w:p w14:paraId="7DCFEB35" w14:textId="77777777" w:rsidR="00C1563E" w:rsidRDefault="000B648B">
            <w:pPr>
              <w:jc w:val="right"/>
              <w:textAlignment w:val="bottom"/>
            </w:pPr>
            <w:r>
              <w:rPr>
                <w:rFonts w:ascii="Times New Roman" w:eastAsia="宋体" w:hAnsi="Times New Roman"/>
                <w:color w:val="000000"/>
                <w:sz w:val="20"/>
                <w:szCs w:val="20"/>
              </w:rPr>
              <w:t>(241)</w:t>
            </w:r>
          </w:p>
        </w:tc>
        <w:tc>
          <w:tcPr>
            <w:tcW w:w="0" w:type="auto"/>
            <w:shd w:val="clear" w:color="auto" w:fill="CCEEFF"/>
            <w:tcMar>
              <w:top w:w="40" w:type="dxa"/>
              <w:left w:w="0" w:type="dxa"/>
              <w:bottom w:w="40" w:type="dxa"/>
              <w:right w:w="20" w:type="dxa"/>
            </w:tcMar>
            <w:vAlign w:val="bottom"/>
          </w:tcPr>
          <w:p w14:paraId="7DCFEB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3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38"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7DCFEB3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3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3B" w14:textId="77777777" w:rsidR="00C1563E" w:rsidRDefault="000B648B">
            <w:pPr>
              <w:jc w:val="right"/>
              <w:textAlignment w:val="bottom"/>
            </w:pPr>
            <w:r>
              <w:rPr>
                <w:rFonts w:ascii="Times New Roman" w:eastAsia="宋体" w:hAnsi="Times New Roman"/>
                <w:color w:val="000000"/>
                <w:sz w:val="20"/>
                <w:szCs w:val="20"/>
              </w:rPr>
              <w:t>(14,075)</w:t>
            </w:r>
          </w:p>
        </w:tc>
        <w:tc>
          <w:tcPr>
            <w:tcW w:w="0" w:type="auto"/>
            <w:shd w:val="clear" w:color="auto" w:fill="CCEEFF"/>
            <w:tcMar>
              <w:top w:w="40" w:type="dxa"/>
              <w:left w:w="0" w:type="dxa"/>
              <w:bottom w:w="40" w:type="dxa"/>
              <w:right w:w="20" w:type="dxa"/>
            </w:tcMar>
            <w:vAlign w:val="bottom"/>
          </w:tcPr>
          <w:p w14:paraId="7DCFEB3C" w14:textId="77777777" w:rsidR="00C1563E" w:rsidRDefault="00C1563E">
            <w:pPr>
              <w:jc w:val="right"/>
              <w:rPr>
                <w:rFonts w:ascii="宋体"/>
              </w:rPr>
            </w:pPr>
          </w:p>
        </w:tc>
      </w:tr>
      <w:tr w:rsidR="00C1563E" w14:paraId="7DCFEB47" w14:textId="77777777">
        <w:trPr>
          <w:jc w:val="center"/>
        </w:trPr>
        <w:tc>
          <w:tcPr>
            <w:tcW w:w="0" w:type="auto"/>
            <w:gridSpan w:val="3"/>
            <w:shd w:val="clear" w:color="auto" w:fill="FFFFFF"/>
            <w:tcMar>
              <w:top w:w="40" w:type="dxa"/>
              <w:left w:w="155" w:type="dxa"/>
              <w:bottom w:w="40" w:type="dxa"/>
              <w:right w:w="20" w:type="dxa"/>
            </w:tcMar>
            <w:vAlign w:val="bottom"/>
          </w:tcPr>
          <w:p w14:paraId="7DCFEB3E" w14:textId="77777777" w:rsidR="00C1563E" w:rsidRDefault="000B648B">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FFFFFF"/>
            <w:tcMar>
              <w:top w:w="40" w:type="dxa"/>
              <w:left w:w="20" w:type="dxa"/>
              <w:bottom w:w="40" w:type="dxa"/>
              <w:right w:w="0" w:type="dxa"/>
            </w:tcMar>
            <w:vAlign w:val="bottom"/>
          </w:tcPr>
          <w:p w14:paraId="7DCFEB3F" w14:textId="77777777" w:rsidR="00C1563E" w:rsidRDefault="000B648B">
            <w:pPr>
              <w:jc w:val="right"/>
              <w:textAlignment w:val="bottom"/>
            </w:pPr>
            <w:r>
              <w:rPr>
                <w:rFonts w:ascii="Times New Roman" w:eastAsia="宋体" w:hAnsi="Times New Roman"/>
                <w:color w:val="000000"/>
                <w:sz w:val="20"/>
                <w:szCs w:val="20"/>
              </w:rPr>
              <w:t>(1,363)</w:t>
            </w:r>
          </w:p>
        </w:tc>
        <w:tc>
          <w:tcPr>
            <w:tcW w:w="0" w:type="auto"/>
            <w:shd w:val="clear" w:color="auto" w:fill="FFFFFF"/>
            <w:tcMar>
              <w:top w:w="40" w:type="dxa"/>
              <w:left w:w="0" w:type="dxa"/>
              <w:bottom w:w="40" w:type="dxa"/>
              <w:right w:w="20" w:type="dxa"/>
            </w:tcMar>
            <w:vAlign w:val="bottom"/>
          </w:tcPr>
          <w:p w14:paraId="7DCFEB4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4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42" w14:textId="77777777" w:rsidR="00C1563E" w:rsidRDefault="000B648B">
            <w:pPr>
              <w:jc w:val="right"/>
              <w:textAlignment w:val="bottom"/>
            </w:pPr>
            <w:r>
              <w:rPr>
                <w:rFonts w:ascii="Times New Roman" w:eastAsia="宋体" w:hAnsi="Times New Roman"/>
                <w:color w:val="000000"/>
                <w:sz w:val="20"/>
                <w:szCs w:val="20"/>
              </w:rPr>
              <w:t>(3,547)</w:t>
            </w:r>
          </w:p>
        </w:tc>
        <w:tc>
          <w:tcPr>
            <w:tcW w:w="0" w:type="auto"/>
            <w:shd w:val="clear" w:color="auto" w:fill="FFFFFF"/>
            <w:tcMar>
              <w:top w:w="40" w:type="dxa"/>
              <w:left w:w="0" w:type="dxa"/>
              <w:bottom w:w="40" w:type="dxa"/>
              <w:right w:w="20" w:type="dxa"/>
            </w:tcMar>
            <w:vAlign w:val="bottom"/>
          </w:tcPr>
          <w:p w14:paraId="7DCFEB4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4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45" w14:textId="77777777" w:rsidR="00C1563E" w:rsidRDefault="000B648B">
            <w:pPr>
              <w:jc w:val="right"/>
              <w:textAlignment w:val="bottom"/>
            </w:pPr>
            <w:r>
              <w:rPr>
                <w:rFonts w:ascii="Times New Roman" w:eastAsia="宋体" w:hAnsi="Times New Roman"/>
                <w:color w:val="000000"/>
                <w:sz w:val="20"/>
                <w:szCs w:val="20"/>
              </w:rPr>
              <w:t>(415)</w:t>
            </w:r>
          </w:p>
        </w:tc>
        <w:tc>
          <w:tcPr>
            <w:tcW w:w="0" w:type="auto"/>
            <w:shd w:val="clear" w:color="auto" w:fill="FFFFFF"/>
            <w:tcMar>
              <w:top w:w="40" w:type="dxa"/>
              <w:left w:w="0" w:type="dxa"/>
              <w:bottom w:w="40" w:type="dxa"/>
              <w:right w:w="20" w:type="dxa"/>
            </w:tcMar>
            <w:vAlign w:val="bottom"/>
          </w:tcPr>
          <w:p w14:paraId="7DCFEB46" w14:textId="77777777" w:rsidR="00C1563E" w:rsidRDefault="00C1563E">
            <w:pPr>
              <w:jc w:val="right"/>
              <w:rPr>
                <w:rFonts w:ascii="宋体"/>
              </w:rPr>
            </w:pPr>
          </w:p>
        </w:tc>
      </w:tr>
      <w:tr w:rsidR="00C1563E" w14:paraId="7DCFEB51" w14:textId="77777777">
        <w:trPr>
          <w:jc w:val="center"/>
        </w:trPr>
        <w:tc>
          <w:tcPr>
            <w:tcW w:w="0" w:type="auto"/>
            <w:gridSpan w:val="3"/>
            <w:shd w:val="clear" w:color="auto" w:fill="CCEEFF"/>
            <w:tcMar>
              <w:top w:w="40" w:type="dxa"/>
              <w:left w:w="155" w:type="dxa"/>
              <w:bottom w:w="40" w:type="dxa"/>
              <w:right w:w="20" w:type="dxa"/>
            </w:tcMar>
            <w:vAlign w:val="bottom"/>
          </w:tcPr>
          <w:p w14:paraId="7DCFEB48" w14:textId="77777777" w:rsidR="00C1563E" w:rsidRDefault="000B648B">
            <w:pPr>
              <w:textAlignment w:val="bottom"/>
            </w:pPr>
            <w:r>
              <w:rPr>
                <w:rFonts w:ascii="Times New Roman" w:eastAsia="宋体" w:hAnsi="Times New Roman"/>
                <w:color w:val="000000"/>
                <w:sz w:val="20"/>
                <w:szCs w:val="20"/>
              </w:rPr>
              <w:t>Proceeds from debt</w:t>
            </w:r>
          </w:p>
        </w:tc>
        <w:tc>
          <w:tcPr>
            <w:tcW w:w="0" w:type="auto"/>
            <w:gridSpan w:val="2"/>
            <w:shd w:val="clear" w:color="auto" w:fill="CCEEFF"/>
            <w:tcMar>
              <w:top w:w="40" w:type="dxa"/>
              <w:left w:w="20" w:type="dxa"/>
              <w:bottom w:w="40" w:type="dxa"/>
              <w:right w:w="0" w:type="dxa"/>
            </w:tcMar>
            <w:vAlign w:val="bottom"/>
          </w:tcPr>
          <w:p w14:paraId="7DCFEB49" w14:textId="77777777" w:rsidR="00C1563E" w:rsidRDefault="000B648B">
            <w:pPr>
              <w:jc w:val="right"/>
              <w:textAlignment w:val="bottom"/>
            </w:pPr>
            <w:r>
              <w:rPr>
                <w:rFonts w:ascii="Times New Roman" w:eastAsia="宋体" w:hAnsi="Times New Roman"/>
                <w:color w:val="000000"/>
                <w:sz w:val="20"/>
                <w:szCs w:val="20"/>
              </w:rPr>
              <w:t>16,391 </w:t>
            </w:r>
          </w:p>
        </w:tc>
        <w:tc>
          <w:tcPr>
            <w:tcW w:w="0" w:type="auto"/>
            <w:shd w:val="clear" w:color="auto" w:fill="CCEEFF"/>
            <w:tcMar>
              <w:top w:w="40" w:type="dxa"/>
              <w:left w:w="0" w:type="dxa"/>
              <w:bottom w:w="40" w:type="dxa"/>
              <w:right w:w="20" w:type="dxa"/>
            </w:tcMar>
            <w:vAlign w:val="bottom"/>
          </w:tcPr>
          <w:p w14:paraId="7DCFEB4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4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4C" w14:textId="77777777" w:rsidR="00C1563E" w:rsidRDefault="000B648B">
            <w:pPr>
              <w:jc w:val="right"/>
              <w:textAlignment w:val="bottom"/>
            </w:pPr>
            <w:r>
              <w:rPr>
                <w:rFonts w:ascii="Times New Roman" w:eastAsia="宋体" w:hAnsi="Times New Roman"/>
                <w:color w:val="000000"/>
                <w:sz w:val="20"/>
                <w:szCs w:val="20"/>
              </w:rPr>
              <w:t>20,481 </w:t>
            </w:r>
          </w:p>
        </w:tc>
        <w:tc>
          <w:tcPr>
            <w:tcW w:w="0" w:type="auto"/>
            <w:shd w:val="clear" w:color="auto" w:fill="CCEEFF"/>
            <w:tcMar>
              <w:top w:w="40" w:type="dxa"/>
              <w:left w:w="0" w:type="dxa"/>
              <w:bottom w:w="40" w:type="dxa"/>
              <w:right w:w="20" w:type="dxa"/>
            </w:tcMar>
            <w:vAlign w:val="bottom"/>
          </w:tcPr>
          <w:p w14:paraId="7DCFEB4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4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4F" w14:textId="77777777" w:rsidR="00C1563E" w:rsidRDefault="000B648B">
            <w:pPr>
              <w:jc w:val="right"/>
              <w:textAlignment w:val="bottom"/>
            </w:pPr>
            <w:r>
              <w:rPr>
                <w:rFonts w:ascii="Times New Roman" w:eastAsia="宋体" w:hAnsi="Times New Roman"/>
                <w:color w:val="000000"/>
                <w:sz w:val="20"/>
                <w:szCs w:val="20"/>
              </w:rPr>
              <w:t>13,045 </w:t>
            </w:r>
          </w:p>
        </w:tc>
        <w:tc>
          <w:tcPr>
            <w:tcW w:w="0" w:type="auto"/>
            <w:shd w:val="clear" w:color="auto" w:fill="CCEEFF"/>
            <w:tcMar>
              <w:top w:w="40" w:type="dxa"/>
              <w:left w:w="0" w:type="dxa"/>
              <w:bottom w:w="40" w:type="dxa"/>
              <w:right w:w="20" w:type="dxa"/>
            </w:tcMar>
            <w:vAlign w:val="bottom"/>
          </w:tcPr>
          <w:p w14:paraId="7DCFEB50" w14:textId="77777777" w:rsidR="00C1563E" w:rsidRDefault="00C1563E">
            <w:pPr>
              <w:jc w:val="right"/>
              <w:rPr>
                <w:rFonts w:ascii="宋体"/>
              </w:rPr>
            </w:pPr>
          </w:p>
        </w:tc>
      </w:tr>
      <w:tr w:rsidR="00C1563E" w14:paraId="7DCFEB5B" w14:textId="77777777">
        <w:trPr>
          <w:jc w:val="center"/>
        </w:trPr>
        <w:tc>
          <w:tcPr>
            <w:tcW w:w="0" w:type="auto"/>
            <w:gridSpan w:val="3"/>
            <w:shd w:val="clear" w:color="auto" w:fill="FFFFFF"/>
            <w:tcMar>
              <w:top w:w="40" w:type="dxa"/>
              <w:left w:w="155" w:type="dxa"/>
              <w:bottom w:w="40" w:type="dxa"/>
              <w:right w:w="20" w:type="dxa"/>
            </w:tcMar>
            <w:vAlign w:val="bottom"/>
          </w:tcPr>
          <w:p w14:paraId="7DCFEB52" w14:textId="77777777" w:rsidR="00C1563E" w:rsidRDefault="000B648B">
            <w:pPr>
              <w:textAlignment w:val="bottom"/>
            </w:pPr>
            <w:r>
              <w:rPr>
                <w:rFonts w:ascii="Times New Roman" w:eastAsia="宋体" w:hAnsi="Times New Roman"/>
                <w:color w:val="000000"/>
                <w:sz w:val="20"/>
                <w:szCs w:val="20"/>
              </w:rPr>
              <w:t>Repayments of debt</w:t>
            </w:r>
          </w:p>
        </w:tc>
        <w:tc>
          <w:tcPr>
            <w:tcW w:w="0" w:type="auto"/>
            <w:gridSpan w:val="2"/>
            <w:shd w:val="clear" w:color="auto" w:fill="FFFFFF"/>
            <w:tcMar>
              <w:top w:w="40" w:type="dxa"/>
              <w:left w:w="20" w:type="dxa"/>
              <w:bottom w:w="40" w:type="dxa"/>
              <w:right w:w="0" w:type="dxa"/>
            </w:tcMar>
            <w:vAlign w:val="bottom"/>
          </w:tcPr>
          <w:p w14:paraId="7DCFEB53" w14:textId="77777777" w:rsidR="00C1563E" w:rsidRDefault="000B648B">
            <w:pPr>
              <w:jc w:val="right"/>
              <w:textAlignment w:val="bottom"/>
            </w:pPr>
            <w:r>
              <w:rPr>
                <w:rFonts w:ascii="Times New Roman" w:eastAsia="宋体" w:hAnsi="Times New Roman"/>
                <w:color w:val="000000"/>
                <w:sz w:val="20"/>
                <w:szCs w:val="20"/>
              </w:rPr>
              <w:t>(20,919)</w:t>
            </w:r>
          </w:p>
        </w:tc>
        <w:tc>
          <w:tcPr>
            <w:tcW w:w="0" w:type="auto"/>
            <w:shd w:val="clear" w:color="auto" w:fill="FFFFFF"/>
            <w:tcMar>
              <w:top w:w="40" w:type="dxa"/>
              <w:left w:w="0" w:type="dxa"/>
              <w:bottom w:w="40" w:type="dxa"/>
              <w:right w:w="20" w:type="dxa"/>
            </w:tcMar>
            <w:vAlign w:val="bottom"/>
          </w:tcPr>
          <w:p w14:paraId="7DCFEB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56" w14:textId="77777777" w:rsidR="00C1563E" w:rsidRDefault="000B648B">
            <w:pPr>
              <w:jc w:val="right"/>
              <w:textAlignment w:val="bottom"/>
            </w:pPr>
            <w:r>
              <w:rPr>
                <w:rFonts w:ascii="Times New Roman" w:eastAsia="宋体" w:hAnsi="Times New Roman"/>
                <w:color w:val="000000"/>
                <w:sz w:val="20"/>
                <w:szCs w:val="20"/>
              </w:rPr>
              <w:t>(22,117)</w:t>
            </w:r>
          </w:p>
        </w:tc>
        <w:tc>
          <w:tcPr>
            <w:tcW w:w="0" w:type="auto"/>
            <w:shd w:val="clear" w:color="auto" w:fill="FFFFFF"/>
            <w:tcMar>
              <w:top w:w="40" w:type="dxa"/>
              <w:left w:w="0" w:type="dxa"/>
              <w:bottom w:w="40" w:type="dxa"/>
              <w:right w:w="20" w:type="dxa"/>
            </w:tcMar>
            <w:vAlign w:val="bottom"/>
          </w:tcPr>
          <w:p w14:paraId="7DCFEB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B59" w14:textId="77777777" w:rsidR="00C1563E" w:rsidRDefault="000B648B">
            <w:pPr>
              <w:jc w:val="right"/>
              <w:textAlignment w:val="bottom"/>
            </w:pPr>
            <w:r>
              <w:rPr>
                <w:rFonts w:ascii="Times New Roman" w:eastAsia="宋体" w:hAnsi="Times New Roman"/>
                <w:color w:val="000000"/>
                <w:sz w:val="20"/>
                <w:szCs w:val="20"/>
              </w:rPr>
              <w:t>(11,451)</w:t>
            </w:r>
          </w:p>
        </w:tc>
        <w:tc>
          <w:tcPr>
            <w:tcW w:w="0" w:type="auto"/>
            <w:shd w:val="clear" w:color="auto" w:fill="FFFFFF"/>
            <w:tcMar>
              <w:top w:w="40" w:type="dxa"/>
              <w:left w:w="0" w:type="dxa"/>
              <w:bottom w:w="40" w:type="dxa"/>
              <w:right w:w="20" w:type="dxa"/>
            </w:tcMar>
            <w:vAlign w:val="bottom"/>
          </w:tcPr>
          <w:p w14:paraId="7DCFEB5A" w14:textId="77777777" w:rsidR="00C1563E" w:rsidRDefault="00C1563E">
            <w:pPr>
              <w:jc w:val="right"/>
              <w:rPr>
                <w:rFonts w:ascii="宋体"/>
              </w:rPr>
            </w:pPr>
          </w:p>
        </w:tc>
      </w:tr>
      <w:tr w:rsidR="00C1563E" w14:paraId="7DCFEB65" w14:textId="77777777">
        <w:trPr>
          <w:jc w:val="center"/>
        </w:trPr>
        <w:tc>
          <w:tcPr>
            <w:tcW w:w="0" w:type="auto"/>
            <w:gridSpan w:val="3"/>
            <w:shd w:val="clear" w:color="auto" w:fill="CCEEFF"/>
            <w:tcMar>
              <w:top w:w="40" w:type="dxa"/>
              <w:left w:w="155" w:type="dxa"/>
              <w:bottom w:w="40" w:type="dxa"/>
              <w:right w:w="20" w:type="dxa"/>
            </w:tcMar>
            <w:vAlign w:val="bottom"/>
          </w:tcPr>
          <w:p w14:paraId="7DCFEB5C"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CFEB5D" w14:textId="77777777" w:rsidR="00C1563E" w:rsidRDefault="000B648B">
            <w:pPr>
              <w:jc w:val="right"/>
              <w:textAlignment w:val="bottom"/>
            </w:pPr>
            <w:r>
              <w:rPr>
                <w:rFonts w:ascii="Times New Roman" w:eastAsia="宋体" w:hAnsi="Times New Roman"/>
                <w:color w:val="000000"/>
                <w:sz w:val="20"/>
                <w:szCs w:val="20"/>
              </w:rPr>
              <w:t>(270)</w:t>
            </w:r>
          </w:p>
        </w:tc>
        <w:tc>
          <w:tcPr>
            <w:tcW w:w="0" w:type="auto"/>
            <w:shd w:val="clear" w:color="auto" w:fill="CCEEFF"/>
            <w:tcMar>
              <w:top w:w="40" w:type="dxa"/>
              <w:left w:w="0" w:type="dxa"/>
              <w:bottom w:w="40" w:type="dxa"/>
              <w:right w:w="20" w:type="dxa"/>
            </w:tcMar>
            <w:vAlign w:val="bottom"/>
          </w:tcPr>
          <w:p w14:paraId="7DCFEB5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5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60" w14:textId="77777777" w:rsidR="00C1563E" w:rsidRDefault="000B648B">
            <w:pPr>
              <w:jc w:val="right"/>
              <w:textAlignment w:val="bottom"/>
            </w:pPr>
            <w:r>
              <w:rPr>
                <w:rFonts w:ascii="Times New Roman" w:eastAsia="宋体" w:hAnsi="Times New Roman"/>
                <w:color w:val="000000"/>
                <w:sz w:val="20"/>
                <w:szCs w:val="20"/>
              </w:rPr>
              <w:t>(71)</w:t>
            </w:r>
          </w:p>
        </w:tc>
        <w:tc>
          <w:tcPr>
            <w:tcW w:w="0" w:type="auto"/>
            <w:shd w:val="clear" w:color="auto" w:fill="CCEEFF"/>
            <w:tcMar>
              <w:top w:w="40" w:type="dxa"/>
              <w:left w:w="0" w:type="dxa"/>
              <w:bottom w:w="40" w:type="dxa"/>
              <w:right w:w="20" w:type="dxa"/>
            </w:tcMar>
            <w:vAlign w:val="bottom"/>
          </w:tcPr>
          <w:p w14:paraId="7DCFEB6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6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63" w14:textId="77777777" w:rsidR="00C1563E" w:rsidRDefault="000B648B">
            <w:pPr>
              <w:jc w:val="right"/>
              <w:textAlignment w:val="bottom"/>
            </w:pPr>
            <w:r>
              <w:rPr>
                <w:rFonts w:ascii="Times New Roman" w:eastAsia="宋体" w:hAnsi="Times New Roman"/>
                <w:color w:val="000000"/>
                <w:sz w:val="20"/>
                <w:szCs w:val="20"/>
              </w:rPr>
              <w:t>(104)</w:t>
            </w:r>
          </w:p>
        </w:tc>
        <w:tc>
          <w:tcPr>
            <w:tcW w:w="0" w:type="auto"/>
            <w:shd w:val="clear" w:color="auto" w:fill="CCEEFF"/>
            <w:tcMar>
              <w:top w:w="40" w:type="dxa"/>
              <w:left w:w="0" w:type="dxa"/>
              <w:bottom w:w="40" w:type="dxa"/>
              <w:right w:w="20" w:type="dxa"/>
            </w:tcMar>
            <w:vAlign w:val="bottom"/>
          </w:tcPr>
          <w:p w14:paraId="7DCFEB64" w14:textId="77777777" w:rsidR="00C1563E" w:rsidRDefault="00C1563E">
            <w:pPr>
              <w:jc w:val="right"/>
              <w:rPr>
                <w:rFonts w:ascii="宋体"/>
              </w:rPr>
            </w:pPr>
          </w:p>
        </w:tc>
      </w:tr>
      <w:tr w:rsidR="00C1563E" w14:paraId="7DCFEB6F" w14:textId="77777777">
        <w:trPr>
          <w:jc w:val="center"/>
        </w:trPr>
        <w:tc>
          <w:tcPr>
            <w:tcW w:w="0" w:type="auto"/>
            <w:gridSpan w:val="3"/>
            <w:shd w:val="clear" w:color="auto" w:fill="FFFFFF"/>
            <w:tcMar>
              <w:top w:w="40" w:type="dxa"/>
              <w:left w:w="485" w:type="dxa"/>
              <w:bottom w:w="40" w:type="dxa"/>
              <w:right w:w="20" w:type="dxa"/>
            </w:tcMar>
            <w:vAlign w:val="bottom"/>
          </w:tcPr>
          <w:p w14:paraId="7DCFEB66" w14:textId="77777777" w:rsidR="00C1563E" w:rsidRDefault="000B648B">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67" w14:textId="77777777" w:rsidR="00C1563E" w:rsidRDefault="000B648B">
            <w:pPr>
              <w:jc w:val="right"/>
              <w:textAlignment w:val="bottom"/>
            </w:pPr>
            <w:r>
              <w:rPr>
                <w:rFonts w:ascii="Times New Roman" w:eastAsia="宋体" w:hAnsi="Times New Roman"/>
                <w:color w:val="000000"/>
                <w:sz w:val="20"/>
                <w:szCs w:val="20"/>
              </w:rPr>
              <w:t>(5,950)</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6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69"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6A" w14:textId="77777777" w:rsidR="00C1563E" w:rsidRDefault="000B648B">
            <w:pPr>
              <w:jc w:val="right"/>
              <w:textAlignment w:val="bottom"/>
            </w:pPr>
            <w:r>
              <w:rPr>
                <w:rFonts w:ascii="Times New Roman" w:eastAsia="宋体" w:hAnsi="Times New Roman"/>
                <w:color w:val="000000"/>
                <w:sz w:val="20"/>
                <w:szCs w:val="20"/>
              </w:rPr>
              <w:t>(4,604)</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6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6C"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6D" w14:textId="77777777" w:rsidR="00C1563E" w:rsidRDefault="000B648B">
            <w:pPr>
              <w:jc w:val="right"/>
              <w:textAlignment w:val="bottom"/>
            </w:pPr>
            <w:r>
              <w:rPr>
                <w:rFonts w:ascii="Times New Roman" w:eastAsia="宋体" w:hAnsi="Times New Roman"/>
                <w:color w:val="000000"/>
                <w:sz w:val="20"/>
                <w:szCs w:val="20"/>
              </w:rPr>
              <w:t>(14,329)</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6E" w14:textId="77777777" w:rsidR="00C1563E" w:rsidRDefault="00C1563E">
            <w:pPr>
              <w:jc w:val="right"/>
              <w:rPr>
                <w:rFonts w:ascii="宋体"/>
              </w:rPr>
            </w:pPr>
          </w:p>
        </w:tc>
      </w:tr>
      <w:tr w:rsidR="00C1563E" w14:paraId="7DCFEB79" w14:textId="77777777">
        <w:trPr>
          <w:jc w:val="center"/>
        </w:trPr>
        <w:tc>
          <w:tcPr>
            <w:tcW w:w="0" w:type="auto"/>
            <w:gridSpan w:val="3"/>
            <w:shd w:val="clear" w:color="auto" w:fill="CCEEFF"/>
            <w:tcMar>
              <w:top w:w="40" w:type="dxa"/>
              <w:left w:w="20" w:type="dxa"/>
              <w:bottom w:w="40" w:type="dxa"/>
              <w:right w:w="20" w:type="dxa"/>
            </w:tcMar>
            <w:vAlign w:val="bottom"/>
          </w:tcPr>
          <w:p w14:paraId="7DCFEB70" w14:textId="77777777" w:rsidR="00C1563E" w:rsidRDefault="000B648B">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71" w14:textId="77777777" w:rsidR="00C1563E" w:rsidRDefault="000B648B">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7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73"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74" w14:textId="77777777" w:rsidR="00C1563E" w:rsidRDefault="000B648B">
            <w:pPr>
              <w:jc w:val="right"/>
              <w:textAlignment w:val="bottom"/>
            </w:pPr>
            <w:r>
              <w:rPr>
                <w:rFonts w:ascii="Times New Roman" w:eastAsia="宋体" w:hAnsi="Times New Roman"/>
                <w:color w:val="000000"/>
                <w:sz w:val="20"/>
                <w:szCs w:val="20"/>
              </w:rPr>
              <w:t>(90)</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7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7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B77" w14:textId="77777777" w:rsidR="00C1563E" w:rsidRDefault="000B648B">
            <w:pPr>
              <w:jc w:val="right"/>
              <w:textAlignment w:val="bottom"/>
            </w:pPr>
            <w:r>
              <w:rPr>
                <w:rFonts w:ascii="Times New Roman" w:eastAsia="宋体" w:hAnsi="Times New Roman"/>
                <w:color w:val="000000"/>
                <w:sz w:val="20"/>
                <w:szCs w:val="20"/>
              </w:rPr>
              <w:t>(189)</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B78" w14:textId="77777777" w:rsidR="00C1563E" w:rsidRDefault="00C1563E">
            <w:pPr>
              <w:jc w:val="right"/>
              <w:rPr>
                <w:rFonts w:ascii="宋体"/>
              </w:rPr>
            </w:pPr>
          </w:p>
        </w:tc>
      </w:tr>
      <w:tr w:rsidR="00C1563E" w14:paraId="7DCFEB83" w14:textId="77777777">
        <w:trPr>
          <w:jc w:val="center"/>
        </w:trPr>
        <w:tc>
          <w:tcPr>
            <w:tcW w:w="0" w:type="auto"/>
            <w:gridSpan w:val="3"/>
            <w:shd w:val="clear" w:color="auto" w:fill="FFFFFF"/>
            <w:tcMar>
              <w:top w:w="40" w:type="dxa"/>
              <w:left w:w="20" w:type="dxa"/>
              <w:bottom w:w="40" w:type="dxa"/>
              <w:right w:w="20" w:type="dxa"/>
            </w:tcMar>
            <w:vAlign w:val="bottom"/>
          </w:tcPr>
          <w:p w14:paraId="7DCFEB7A" w14:textId="77777777" w:rsidR="00C1563E" w:rsidRDefault="000B648B">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7B" w14:textId="77777777" w:rsidR="00C1563E" w:rsidRDefault="000B648B">
            <w:pPr>
              <w:jc w:val="right"/>
              <w:textAlignment w:val="bottom"/>
            </w:pPr>
            <w:r>
              <w:rPr>
                <w:rFonts w:ascii="Times New Roman" w:eastAsia="宋体" w:hAnsi="Times New Roman"/>
                <w:color w:val="000000"/>
                <w:sz w:val="20"/>
                <w:szCs w:val="20"/>
              </w:rPr>
              <w:t>5,033 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7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7E" w14:textId="77777777" w:rsidR="00C1563E" w:rsidRDefault="000B648B">
            <w:pPr>
              <w:jc w:val="right"/>
              <w:textAlignment w:val="bottom"/>
            </w:pPr>
            <w:r>
              <w:rPr>
                <w:rFonts w:ascii="Times New Roman" w:eastAsia="宋体" w:hAnsi="Times New Roman"/>
                <w:color w:val="000000"/>
                <w:sz w:val="20"/>
                <w:szCs w:val="20"/>
              </w:rPr>
              <w:t>(89)</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8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EB81" w14:textId="77777777" w:rsidR="00C1563E" w:rsidRDefault="000B648B">
            <w:pPr>
              <w:jc w:val="right"/>
              <w:textAlignment w:val="bottom"/>
            </w:pPr>
            <w:r>
              <w:rPr>
                <w:rFonts w:ascii="Times New Roman" w:eastAsia="宋体" w:hAnsi="Times New Roman"/>
                <w:color w:val="000000"/>
                <w:sz w:val="20"/>
                <w:szCs w:val="20"/>
              </w:rPr>
              <w:t>(4,138)</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82" w14:textId="77777777" w:rsidR="00C1563E" w:rsidRDefault="00C1563E">
            <w:pPr>
              <w:jc w:val="right"/>
              <w:rPr>
                <w:rFonts w:ascii="宋体"/>
              </w:rPr>
            </w:pPr>
          </w:p>
        </w:tc>
      </w:tr>
      <w:tr w:rsidR="00C1563E" w14:paraId="7DCFEB8D" w14:textId="77777777">
        <w:trPr>
          <w:jc w:val="center"/>
        </w:trPr>
        <w:tc>
          <w:tcPr>
            <w:tcW w:w="0" w:type="auto"/>
            <w:gridSpan w:val="3"/>
            <w:shd w:val="clear" w:color="auto" w:fill="CCEEFF"/>
            <w:tcMar>
              <w:top w:w="40" w:type="dxa"/>
              <w:left w:w="20" w:type="dxa"/>
              <w:bottom w:w="40" w:type="dxa"/>
              <w:right w:w="20" w:type="dxa"/>
            </w:tcMar>
            <w:vAlign w:val="bottom"/>
          </w:tcPr>
          <w:p w14:paraId="7DCFEB84" w14:textId="77777777" w:rsidR="00C1563E" w:rsidRDefault="000B648B">
            <w:pPr>
              <w:textAlignment w:val="bottom"/>
            </w:pPr>
            <w:r>
              <w:rPr>
                <w:rFonts w:ascii="Times New Roman" w:eastAsia="宋体" w:hAnsi="Times New Roman"/>
                <w:color w:val="000000"/>
                <w:sz w:val="20"/>
                <w:szCs w:val="20"/>
              </w:rPr>
              <w:t>Cash, cash</w:t>
            </w:r>
            <w:r>
              <w:rPr>
                <w:rFonts w:ascii="Times New Roman" w:eastAsia="宋体" w:hAnsi="Times New Roman"/>
                <w:color w:val="000000"/>
                <w:sz w:val="20"/>
                <w:szCs w:val="20"/>
              </w:rPr>
              <w:t xml:space="preserve"> equivalents, and restricted cash at beginning of the period</w:t>
            </w:r>
          </w:p>
        </w:tc>
        <w:tc>
          <w:tcPr>
            <w:tcW w:w="0" w:type="auto"/>
            <w:gridSpan w:val="2"/>
            <w:shd w:val="clear" w:color="auto" w:fill="CCEEFF"/>
            <w:tcMar>
              <w:top w:w="40" w:type="dxa"/>
              <w:left w:w="20" w:type="dxa"/>
              <w:bottom w:w="40" w:type="dxa"/>
              <w:right w:w="0" w:type="dxa"/>
            </w:tcMar>
            <w:vAlign w:val="bottom"/>
          </w:tcPr>
          <w:p w14:paraId="7DCFEB85" w14:textId="77777777" w:rsidR="00C1563E" w:rsidRDefault="000B648B">
            <w:pPr>
              <w:jc w:val="right"/>
              <w:textAlignment w:val="bottom"/>
            </w:pPr>
            <w:r>
              <w:rPr>
                <w:rFonts w:ascii="Times New Roman" w:eastAsia="宋体" w:hAnsi="Times New Roman"/>
                <w:color w:val="000000"/>
                <w:sz w:val="20"/>
                <w:szCs w:val="20"/>
              </w:rPr>
              <w:t>10,151 </w:t>
            </w:r>
          </w:p>
        </w:tc>
        <w:tc>
          <w:tcPr>
            <w:tcW w:w="0" w:type="auto"/>
            <w:shd w:val="clear" w:color="auto" w:fill="CCEEFF"/>
            <w:tcMar>
              <w:top w:w="40" w:type="dxa"/>
              <w:left w:w="0" w:type="dxa"/>
              <w:bottom w:w="40" w:type="dxa"/>
              <w:right w:w="20" w:type="dxa"/>
            </w:tcMar>
            <w:vAlign w:val="bottom"/>
          </w:tcPr>
          <w:p w14:paraId="7DCFEB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88" w14:textId="77777777" w:rsidR="00C1563E" w:rsidRDefault="000B648B">
            <w:pPr>
              <w:jc w:val="right"/>
              <w:textAlignment w:val="bottom"/>
            </w:pPr>
            <w:r>
              <w:rPr>
                <w:rFonts w:ascii="Times New Roman" w:eastAsia="宋体" w:hAnsi="Times New Roman"/>
                <w:color w:val="000000"/>
                <w:sz w:val="20"/>
                <w:szCs w:val="20"/>
              </w:rPr>
              <w:t>10,240 </w:t>
            </w:r>
          </w:p>
        </w:tc>
        <w:tc>
          <w:tcPr>
            <w:tcW w:w="0" w:type="auto"/>
            <w:shd w:val="clear" w:color="auto" w:fill="CCEEFF"/>
            <w:tcMar>
              <w:top w:w="40" w:type="dxa"/>
              <w:left w:w="0" w:type="dxa"/>
              <w:bottom w:w="40" w:type="dxa"/>
              <w:right w:w="20" w:type="dxa"/>
            </w:tcMar>
            <w:vAlign w:val="bottom"/>
          </w:tcPr>
          <w:p w14:paraId="7DCFEB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8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B8B" w14:textId="77777777" w:rsidR="00C1563E" w:rsidRDefault="000B648B">
            <w:pPr>
              <w:jc w:val="right"/>
              <w:textAlignment w:val="bottom"/>
            </w:pPr>
            <w:r>
              <w:rPr>
                <w:rFonts w:ascii="Times New Roman" w:eastAsia="宋体" w:hAnsi="Times New Roman"/>
                <w:color w:val="000000"/>
                <w:sz w:val="20"/>
                <w:szCs w:val="20"/>
              </w:rPr>
              <w:t>14,378 </w:t>
            </w:r>
          </w:p>
        </w:tc>
        <w:tc>
          <w:tcPr>
            <w:tcW w:w="0" w:type="auto"/>
            <w:shd w:val="clear" w:color="auto" w:fill="CCEEFF"/>
            <w:tcMar>
              <w:top w:w="40" w:type="dxa"/>
              <w:left w:w="0" w:type="dxa"/>
              <w:bottom w:w="40" w:type="dxa"/>
              <w:right w:w="20" w:type="dxa"/>
            </w:tcMar>
            <w:vAlign w:val="bottom"/>
          </w:tcPr>
          <w:p w14:paraId="7DCFEB8C" w14:textId="77777777" w:rsidR="00C1563E" w:rsidRDefault="00C1563E">
            <w:pPr>
              <w:jc w:val="right"/>
              <w:rPr>
                <w:rFonts w:ascii="宋体"/>
              </w:rPr>
            </w:pPr>
          </w:p>
        </w:tc>
      </w:tr>
      <w:tr w:rsidR="00C1563E" w14:paraId="7DCFEB9A" w14:textId="77777777">
        <w:trPr>
          <w:jc w:val="center"/>
        </w:trPr>
        <w:tc>
          <w:tcPr>
            <w:tcW w:w="0" w:type="auto"/>
            <w:gridSpan w:val="3"/>
            <w:shd w:val="clear" w:color="auto" w:fill="FFFFFF"/>
            <w:tcMar>
              <w:top w:w="40" w:type="dxa"/>
              <w:left w:w="20" w:type="dxa"/>
              <w:bottom w:w="40" w:type="dxa"/>
              <w:right w:w="20" w:type="dxa"/>
            </w:tcMar>
            <w:vAlign w:val="bottom"/>
          </w:tcPr>
          <w:p w14:paraId="7DCFEB8E" w14:textId="77777777" w:rsidR="00C1563E" w:rsidRDefault="000B648B">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EB8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B90" w14:textId="77777777" w:rsidR="00C1563E" w:rsidRDefault="000B648B">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9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9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B9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B94" w14:textId="77777777" w:rsidR="00C1563E" w:rsidRDefault="000B648B">
            <w:pPr>
              <w:jc w:val="right"/>
              <w:textAlignment w:val="bottom"/>
            </w:pPr>
            <w:r>
              <w:rPr>
                <w:rFonts w:ascii="Times New Roman" w:eastAsia="宋体" w:hAnsi="Times New Roman"/>
                <w:color w:val="000000"/>
                <w:sz w:val="20"/>
                <w:szCs w:val="20"/>
              </w:rPr>
              <w:t>10,151 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9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EB9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EB98" w14:textId="77777777" w:rsidR="00C1563E" w:rsidRDefault="000B648B">
            <w:pPr>
              <w:jc w:val="right"/>
              <w:textAlignment w:val="bottom"/>
            </w:pPr>
            <w:r>
              <w:rPr>
                <w:rFonts w:ascii="Times New Roman" w:eastAsia="宋体" w:hAnsi="Times New Roman"/>
                <w:color w:val="000000"/>
                <w:sz w:val="20"/>
                <w:szCs w:val="20"/>
              </w:rPr>
              <w:t>10,240 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EB99" w14:textId="77777777" w:rsidR="00C1563E" w:rsidRDefault="00C1563E">
            <w:pPr>
              <w:jc w:val="right"/>
              <w:rPr>
                <w:rFonts w:ascii="宋体"/>
              </w:rPr>
            </w:pPr>
          </w:p>
        </w:tc>
      </w:tr>
      <w:tr w:rsidR="00C1563E" w14:paraId="7DCFEBA7" w14:textId="77777777">
        <w:trPr>
          <w:jc w:val="center"/>
        </w:trPr>
        <w:tc>
          <w:tcPr>
            <w:tcW w:w="0" w:type="auto"/>
            <w:gridSpan w:val="3"/>
            <w:shd w:val="clear" w:color="auto" w:fill="CCEEFF"/>
            <w:tcMar>
              <w:top w:w="40" w:type="dxa"/>
              <w:left w:w="20" w:type="dxa"/>
              <w:bottom w:w="40" w:type="dxa"/>
              <w:right w:w="20" w:type="dxa"/>
            </w:tcMar>
            <w:vAlign w:val="bottom"/>
          </w:tcPr>
          <w:p w14:paraId="7DCFEB9B" w14:textId="77777777" w:rsidR="00C1563E" w:rsidRDefault="000B648B">
            <w:pPr>
              <w:textAlignment w:val="bottom"/>
            </w:pPr>
            <w:r>
              <w:rPr>
                <w:rFonts w:ascii="Times New Roman" w:eastAsia="宋体" w:hAnsi="Times New Roman"/>
                <w:color w:val="000000"/>
                <w:sz w:val="20"/>
                <w:szCs w:val="20"/>
              </w:rPr>
              <w:t>Income tax paid</w:t>
            </w:r>
          </w:p>
        </w:tc>
        <w:tc>
          <w:tcPr>
            <w:tcW w:w="0" w:type="auto"/>
            <w:tcBorders>
              <w:top w:val="double" w:sz="6" w:space="0" w:color="000000"/>
            </w:tcBorders>
            <w:shd w:val="clear" w:color="auto" w:fill="CCEEFF"/>
            <w:tcMar>
              <w:top w:w="40" w:type="dxa"/>
              <w:left w:w="20" w:type="dxa"/>
              <w:bottom w:w="40" w:type="dxa"/>
              <w:right w:w="0" w:type="dxa"/>
            </w:tcMar>
            <w:vAlign w:val="bottom"/>
          </w:tcPr>
          <w:p w14:paraId="7DCFEB9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EB9D" w14:textId="77777777" w:rsidR="00C1563E" w:rsidRDefault="000B648B">
            <w:pPr>
              <w:jc w:val="right"/>
              <w:textAlignment w:val="bottom"/>
            </w:pPr>
            <w:r>
              <w:rPr>
                <w:rFonts w:ascii="Times New Roman" w:eastAsia="宋体" w:hAnsi="Times New Roman"/>
                <w:color w:val="000000"/>
                <w:sz w:val="20"/>
                <w:szCs w:val="20"/>
              </w:rPr>
              <w:t>1,421 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EB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9F"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EBA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EBA1" w14:textId="77777777" w:rsidR="00C1563E" w:rsidRDefault="000B648B">
            <w:pPr>
              <w:jc w:val="right"/>
              <w:textAlignment w:val="bottom"/>
            </w:pPr>
            <w:r>
              <w:rPr>
                <w:rFonts w:ascii="Times New Roman" w:eastAsia="宋体" w:hAnsi="Times New Roman"/>
                <w:color w:val="000000"/>
                <w:sz w:val="20"/>
                <w:szCs w:val="20"/>
              </w:rPr>
              <w:t>1,414 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EB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BA3"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EBA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EBA5" w14:textId="77777777" w:rsidR="00C1563E" w:rsidRDefault="000B648B">
            <w:pPr>
              <w:jc w:val="right"/>
              <w:textAlignment w:val="bottom"/>
            </w:pPr>
            <w:r>
              <w:rPr>
                <w:rFonts w:ascii="Times New Roman" w:eastAsia="宋体" w:hAnsi="Times New Roman"/>
                <w:color w:val="000000"/>
                <w:sz w:val="20"/>
                <w:szCs w:val="20"/>
              </w:rPr>
              <w:t>747 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EBA6" w14:textId="77777777" w:rsidR="00C1563E" w:rsidRDefault="00C1563E">
            <w:pPr>
              <w:jc w:val="right"/>
              <w:rPr>
                <w:rFonts w:ascii="宋体"/>
              </w:rPr>
            </w:pPr>
          </w:p>
        </w:tc>
      </w:tr>
      <w:tr w:rsidR="00C1563E" w14:paraId="7DCFEBB4" w14:textId="77777777">
        <w:trPr>
          <w:jc w:val="center"/>
        </w:trPr>
        <w:tc>
          <w:tcPr>
            <w:tcW w:w="0" w:type="auto"/>
            <w:gridSpan w:val="3"/>
            <w:shd w:val="clear" w:color="auto" w:fill="FFFFFF"/>
            <w:tcMar>
              <w:top w:w="40" w:type="dxa"/>
              <w:left w:w="20" w:type="dxa"/>
              <w:bottom w:w="40" w:type="dxa"/>
              <w:right w:w="20" w:type="dxa"/>
            </w:tcMar>
            <w:vAlign w:val="bottom"/>
          </w:tcPr>
          <w:p w14:paraId="7DCFEBA8" w14:textId="77777777" w:rsidR="00C1563E" w:rsidRDefault="000B648B">
            <w:pPr>
              <w:textAlignment w:val="bottom"/>
            </w:pPr>
            <w:r>
              <w:rPr>
                <w:rFonts w:ascii="Times New Roman" w:eastAsia="宋体" w:hAnsi="Times New Roman"/>
                <w:color w:val="000000"/>
                <w:sz w:val="20"/>
                <w:szCs w:val="20"/>
              </w:rPr>
              <w:t>Interest paid</w:t>
            </w:r>
          </w:p>
        </w:tc>
        <w:tc>
          <w:tcPr>
            <w:tcW w:w="0" w:type="auto"/>
            <w:shd w:val="clear" w:color="auto" w:fill="FFFFFF"/>
            <w:tcMar>
              <w:top w:w="40" w:type="dxa"/>
              <w:left w:w="20" w:type="dxa"/>
              <w:bottom w:w="40" w:type="dxa"/>
              <w:right w:w="0" w:type="dxa"/>
            </w:tcMar>
            <w:vAlign w:val="bottom"/>
          </w:tcPr>
          <w:p w14:paraId="7DCFEBA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BAA" w14:textId="77777777" w:rsidR="00C1563E" w:rsidRDefault="000B648B">
            <w:pPr>
              <w:jc w:val="right"/>
              <w:textAlignment w:val="bottom"/>
            </w:pPr>
            <w:r>
              <w:rPr>
                <w:rFonts w:ascii="Times New Roman" w:eastAsia="宋体" w:hAnsi="Times New Roman"/>
                <w:color w:val="000000"/>
                <w:sz w:val="20"/>
                <w:szCs w:val="20"/>
              </w:rPr>
              <w:t>2,279 </w:t>
            </w:r>
          </w:p>
        </w:tc>
        <w:tc>
          <w:tcPr>
            <w:tcW w:w="0" w:type="auto"/>
            <w:shd w:val="clear" w:color="auto" w:fill="FFFFFF"/>
            <w:tcMar>
              <w:top w:w="40" w:type="dxa"/>
              <w:left w:w="0" w:type="dxa"/>
              <w:bottom w:w="40" w:type="dxa"/>
              <w:right w:w="20" w:type="dxa"/>
            </w:tcMar>
            <w:vAlign w:val="bottom"/>
          </w:tcPr>
          <w:p w14:paraId="7DCFEBA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A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BA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BAE" w14:textId="77777777" w:rsidR="00C1563E" w:rsidRDefault="000B648B">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DCFEB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BB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BB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EBB2" w14:textId="77777777" w:rsidR="00C1563E" w:rsidRDefault="000B648B">
            <w:pPr>
              <w:jc w:val="right"/>
              <w:textAlignment w:val="bottom"/>
            </w:pPr>
            <w:r>
              <w:rPr>
                <w:rFonts w:ascii="Times New Roman" w:eastAsia="宋体" w:hAnsi="Times New Roman"/>
                <w:color w:val="000000"/>
                <w:sz w:val="20"/>
                <w:szCs w:val="20"/>
              </w:rPr>
              <w:t>2,347 </w:t>
            </w:r>
          </w:p>
        </w:tc>
        <w:tc>
          <w:tcPr>
            <w:tcW w:w="0" w:type="auto"/>
            <w:shd w:val="clear" w:color="auto" w:fill="FFFFFF"/>
            <w:tcMar>
              <w:top w:w="40" w:type="dxa"/>
              <w:left w:w="0" w:type="dxa"/>
              <w:bottom w:w="40" w:type="dxa"/>
              <w:right w:w="20" w:type="dxa"/>
            </w:tcMar>
            <w:vAlign w:val="bottom"/>
          </w:tcPr>
          <w:p w14:paraId="7DCFEBB3" w14:textId="77777777" w:rsidR="00C1563E" w:rsidRDefault="00C1563E">
            <w:pPr>
              <w:jc w:val="right"/>
              <w:rPr>
                <w:rFonts w:ascii="宋体"/>
              </w:rPr>
            </w:pPr>
          </w:p>
        </w:tc>
      </w:tr>
    </w:tbl>
    <w:p w14:paraId="7DCFEBB5" w14:textId="77777777" w:rsidR="00C1563E" w:rsidRDefault="000B648B">
      <w:pPr>
        <w:jc w:val="center"/>
      </w:pPr>
      <w:r>
        <w:rPr>
          <w:rFonts w:ascii="Times New Roman" w:eastAsia="宋体" w:hAnsi="Times New Roman"/>
          <w:color w:val="000000"/>
          <w:sz w:val="20"/>
          <w:szCs w:val="20"/>
        </w:rPr>
        <w:t>The accompanying notes are an integral part of these Consolidated Financial Statements.</w:t>
      </w:r>
    </w:p>
    <w:p w14:paraId="7DCFEBB6" w14:textId="77777777" w:rsidR="00C1563E" w:rsidRDefault="00C1563E">
      <w:pPr>
        <w:jc w:val="center"/>
      </w:pPr>
    </w:p>
    <w:p w14:paraId="7DCFEBB7" w14:textId="77777777" w:rsidR="00C1563E" w:rsidRDefault="000B648B">
      <w:pPr>
        <w:jc w:val="center"/>
      </w:pPr>
      <w:r>
        <w:rPr>
          <w:rFonts w:ascii="Times New Roman" w:eastAsia="宋体" w:hAnsi="Times New Roman"/>
          <w:color w:val="000000"/>
          <w:sz w:val="20"/>
          <w:szCs w:val="20"/>
        </w:rPr>
        <w:t>77</w:t>
      </w:r>
    </w:p>
    <w:p w14:paraId="7DCFEBB8" w14:textId="77777777" w:rsidR="00C1563E" w:rsidRDefault="00C1563E">
      <w:pPr>
        <w:jc w:val="center"/>
      </w:pPr>
    </w:p>
    <w:p w14:paraId="7DCFEBB9" w14:textId="77777777" w:rsidR="00C1563E" w:rsidRDefault="000B648B">
      <w:r>
        <w:pict w14:anchorId="7DD025B7">
          <v:rect id="_x0000_i1101" style="width:415.3pt;height:1.5pt" o:hralign="center" o:hrstd="t" o:hr="t" fillcolor="#a0a0a0" stroked="f"/>
        </w:pict>
      </w:r>
    </w:p>
    <w:p w14:paraId="7DCFEBBA" w14:textId="77777777" w:rsidR="00C1563E" w:rsidRDefault="000B648B">
      <w:hyperlink r:id="rId237" w:anchor="i418e32e4a35149ffbf7d3a25d66881b8_10" w:history="1">
        <w:r>
          <w:rPr>
            <w:rStyle w:val="a5"/>
            <w:rFonts w:ascii="Times New Roman" w:eastAsia="宋体" w:hAnsi="Times New Roman"/>
            <w:sz w:val="20"/>
            <w:szCs w:val="20"/>
          </w:rPr>
          <w:t>Table of Contents</w:t>
        </w:r>
      </w:hyperlink>
    </w:p>
    <w:p w14:paraId="7DCFEBBB"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BBC" w14:textId="77777777" w:rsidR="00C1563E" w:rsidRDefault="000B648B">
      <w:pPr>
        <w:spacing w:after="60"/>
        <w:jc w:val="center"/>
      </w:pPr>
      <w:r>
        <w:rPr>
          <w:rFonts w:ascii="Times New Roman" w:eastAsia="宋体" w:hAnsi="Times New Roman"/>
          <w:b/>
          <w:bCs/>
          <w:color w:val="000000"/>
          <w:sz w:val="20"/>
          <w:szCs w:val="20"/>
        </w:rPr>
        <w:t>CONSOLIDATED STATEMENTS OF STOCKHOLDERS’ EQUITY (DEFICIT)</w:t>
      </w:r>
    </w:p>
    <w:p w14:paraId="7DCFEBBD" w14:textId="77777777" w:rsidR="00C1563E" w:rsidRDefault="000B648B">
      <w:pPr>
        <w:jc w:val="center"/>
      </w:pPr>
      <w:r>
        <w:rPr>
          <w:rFonts w:ascii="Times New Roman" w:eastAsia="宋体" w:hAnsi="Times New Roman"/>
          <w:color w:val="000000"/>
          <w:sz w:val="20"/>
          <w:szCs w:val="20"/>
          <w:shd w:val="clear" w:color="auto" w:fill="FFFFFF"/>
        </w:rPr>
        <w:t>(in</w:t>
      </w:r>
      <w:r>
        <w:rPr>
          <w:rFonts w:ascii="Times New Roman" w:eastAsia="宋体" w:hAnsi="Times New Roman"/>
          <w:color w:val="000000"/>
          <w:sz w:val="20"/>
          <w:szCs w:val="20"/>
          <w:shd w:val="clear" w:color="auto" w:fill="FFFFFF"/>
        </w:rPr>
        <w:t xml:space="preserve"> millions; continued on next page</w:t>
      </w:r>
      <w:r>
        <w:rPr>
          <w:rFonts w:ascii="Times New Roman" w:eastAsia="宋体" w:hAnsi="Times New Roman"/>
          <w:color w:val="000000"/>
          <w:sz w:val="20"/>
          <w:szCs w:val="20"/>
        </w:rPr>
        <w:t>)</w:t>
      </w:r>
    </w:p>
    <w:p w14:paraId="7DCFEBBE" w14:textId="77777777" w:rsidR="00C1563E" w:rsidRDefault="00C1563E">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793"/>
        <w:gridCol w:w="37"/>
        <w:gridCol w:w="95"/>
        <w:gridCol w:w="300"/>
        <w:gridCol w:w="35"/>
        <w:gridCol w:w="40"/>
        <w:gridCol w:w="33"/>
        <w:gridCol w:w="35"/>
        <w:gridCol w:w="91"/>
        <w:gridCol w:w="395"/>
        <w:gridCol w:w="34"/>
        <w:gridCol w:w="40"/>
        <w:gridCol w:w="31"/>
        <w:gridCol w:w="34"/>
        <w:gridCol w:w="92"/>
        <w:gridCol w:w="302"/>
        <w:gridCol w:w="34"/>
        <w:gridCol w:w="40"/>
        <w:gridCol w:w="31"/>
        <w:gridCol w:w="34"/>
        <w:gridCol w:w="90"/>
        <w:gridCol w:w="395"/>
        <w:gridCol w:w="34"/>
        <w:gridCol w:w="40"/>
        <w:gridCol w:w="31"/>
        <w:gridCol w:w="34"/>
        <w:gridCol w:w="92"/>
        <w:gridCol w:w="302"/>
        <w:gridCol w:w="34"/>
        <w:gridCol w:w="40"/>
        <w:gridCol w:w="31"/>
        <w:gridCol w:w="34"/>
        <w:gridCol w:w="99"/>
        <w:gridCol w:w="367"/>
        <w:gridCol w:w="34"/>
        <w:gridCol w:w="40"/>
        <w:gridCol w:w="31"/>
        <w:gridCol w:w="34"/>
        <w:gridCol w:w="92"/>
        <w:gridCol w:w="302"/>
        <w:gridCol w:w="34"/>
        <w:gridCol w:w="40"/>
        <w:gridCol w:w="31"/>
        <w:gridCol w:w="34"/>
        <w:gridCol w:w="90"/>
        <w:gridCol w:w="385"/>
        <w:gridCol w:w="34"/>
        <w:gridCol w:w="40"/>
        <w:gridCol w:w="31"/>
        <w:gridCol w:w="34"/>
        <w:gridCol w:w="104"/>
        <w:gridCol w:w="626"/>
        <w:gridCol w:w="34"/>
        <w:gridCol w:w="40"/>
        <w:gridCol w:w="31"/>
        <w:gridCol w:w="34"/>
        <w:gridCol w:w="105"/>
        <w:gridCol w:w="747"/>
        <w:gridCol w:w="34"/>
        <w:gridCol w:w="40"/>
        <w:gridCol w:w="31"/>
        <w:gridCol w:w="900"/>
      </w:tblGrid>
      <w:tr w:rsidR="00C1563E" w14:paraId="7DCFEBFE" w14:textId="77777777">
        <w:trPr>
          <w:jc w:val="center"/>
        </w:trPr>
        <w:tc>
          <w:tcPr>
            <w:tcW w:w="50" w:type="pct"/>
            <w:shd w:val="clear" w:color="auto" w:fill="auto"/>
          </w:tcPr>
          <w:p w14:paraId="7DCFEBBF" w14:textId="77777777" w:rsidR="00C1563E" w:rsidRDefault="00C1563E">
            <w:pPr>
              <w:rPr>
                <w:rFonts w:ascii="宋体"/>
              </w:rPr>
            </w:pPr>
          </w:p>
        </w:tc>
        <w:tc>
          <w:tcPr>
            <w:tcW w:w="675" w:type="pct"/>
            <w:shd w:val="clear" w:color="auto" w:fill="auto"/>
          </w:tcPr>
          <w:p w14:paraId="7DCFEBC0" w14:textId="77777777" w:rsidR="00C1563E" w:rsidRDefault="00C1563E">
            <w:pPr>
              <w:rPr>
                <w:rFonts w:ascii="宋体"/>
              </w:rPr>
            </w:pPr>
          </w:p>
        </w:tc>
        <w:tc>
          <w:tcPr>
            <w:tcW w:w="5" w:type="pct"/>
            <w:shd w:val="clear" w:color="auto" w:fill="auto"/>
          </w:tcPr>
          <w:p w14:paraId="7DCFEBC1" w14:textId="77777777" w:rsidR="00C1563E" w:rsidRDefault="00C1563E">
            <w:pPr>
              <w:rPr>
                <w:rFonts w:ascii="宋体"/>
              </w:rPr>
            </w:pPr>
          </w:p>
        </w:tc>
        <w:tc>
          <w:tcPr>
            <w:tcW w:w="50" w:type="pct"/>
            <w:shd w:val="clear" w:color="auto" w:fill="auto"/>
          </w:tcPr>
          <w:p w14:paraId="7DCFEBC2" w14:textId="77777777" w:rsidR="00C1563E" w:rsidRDefault="00C1563E">
            <w:pPr>
              <w:rPr>
                <w:rFonts w:ascii="宋体"/>
              </w:rPr>
            </w:pPr>
          </w:p>
        </w:tc>
        <w:tc>
          <w:tcPr>
            <w:tcW w:w="177" w:type="pct"/>
            <w:shd w:val="clear" w:color="auto" w:fill="auto"/>
          </w:tcPr>
          <w:p w14:paraId="7DCFEBC3" w14:textId="77777777" w:rsidR="00C1563E" w:rsidRDefault="00C1563E">
            <w:pPr>
              <w:rPr>
                <w:rFonts w:ascii="宋体"/>
              </w:rPr>
            </w:pPr>
          </w:p>
        </w:tc>
        <w:tc>
          <w:tcPr>
            <w:tcW w:w="5" w:type="pct"/>
            <w:shd w:val="clear" w:color="auto" w:fill="auto"/>
          </w:tcPr>
          <w:p w14:paraId="7DCFEBC4" w14:textId="77777777" w:rsidR="00C1563E" w:rsidRDefault="00C1563E">
            <w:pPr>
              <w:rPr>
                <w:rFonts w:ascii="宋体"/>
              </w:rPr>
            </w:pPr>
          </w:p>
        </w:tc>
        <w:tc>
          <w:tcPr>
            <w:tcW w:w="5" w:type="pct"/>
            <w:shd w:val="clear" w:color="auto" w:fill="auto"/>
          </w:tcPr>
          <w:p w14:paraId="7DCFEBC5" w14:textId="77777777" w:rsidR="00C1563E" w:rsidRDefault="00C1563E">
            <w:pPr>
              <w:rPr>
                <w:rFonts w:ascii="宋体"/>
              </w:rPr>
            </w:pPr>
          </w:p>
        </w:tc>
        <w:tc>
          <w:tcPr>
            <w:tcW w:w="11" w:type="pct"/>
            <w:shd w:val="clear" w:color="auto" w:fill="auto"/>
          </w:tcPr>
          <w:p w14:paraId="7DCFEBC6" w14:textId="77777777" w:rsidR="00C1563E" w:rsidRDefault="00C1563E">
            <w:pPr>
              <w:rPr>
                <w:rFonts w:ascii="宋体"/>
              </w:rPr>
            </w:pPr>
          </w:p>
        </w:tc>
        <w:tc>
          <w:tcPr>
            <w:tcW w:w="5" w:type="pct"/>
            <w:shd w:val="clear" w:color="auto" w:fill="auto"/>
          </w:tcPr>
          <w:p w14:paraId="7DCFEBC7" w14:textId="77777777" w:rsidR="00C1563E" w:rsidRDefault="00C1563E">
            <w:pPr>
              <w:rPr>
                <w:rFonts w:ascii="宋体"/>
              </w:rPr>
            </w:pPr>
          </w:p>
        </w:tc>
        <w:tc>
          <w:tcPr>
            <w:tcW w:w="50" w:type="pct"/>
            <w:shd w:val="clear" w:color="auto" w:fill="auto"/>
          </w:tcPr>
          <w:p w14:paraId="7DCFEBC8" w14:textId="77777777" w:rsidR="00C1563E" w:rsidRDefault="00C1563E">
            <w:pPr>
              <w:rPr>
                <w:rFonts w:ascii="宋体"/>
              </w:rPr>
            </w:pPr>
          </w:p>
        </w:tc>
        <w:tc>
          <w:tcPr>
            <w:tcW w:w="204" w:type="pct"/>
            <w:shd w:val="clear" w:color="auto" w:fill="auto"/>
          </w:tcPr>
          <w:p w14:paraId="7DCFEBC9" w14:textId="77777777" w:rsidR="00C1563E" w:rsidRDefault="00C1563E">
            <w:pPr>
              <w:rPr>
                <w:rFonts w:ascii="宋体"/>
              </w:rPr>
            </w:pPr>
          </w:p>
        </w:tc>
        <w:tc>
          <w:tcPr>
            <w:tcW w:w="5" w:type="pct"/>
            <w:shd w:val="clear" w:color="auto" w:fill="auto"/>
          </w:tcPr>
          <w:p w14:paraId="7DCFEBCA" w14:textId="77777777" w:rsidR="00C1563E" w:rsidRDefault="00C1563E">
            <w:pPr>
              <w:rPr>
                <w:rFonts w:ascii="宋体"/>
              </w:rPr>
            </w:pPr>
          </w:p>
        </w:tc>
        <w:tc>
          <w:tcPr>
            <w:tcW w:w="5" w:type="pct"/>
            <w:shd w:val="clear" w:color="auto" w:fill="auto"/>
          </w:tcPr>
          <w:p w14:paraId="7DCFEBCB" w14:textId="77777777" w:rsidR="00C1563E" w:rsidRDefault="00C1563E">
            <w:pPr>
              <w:rPr>
                <w:rFonts w:ascii="宋体"/>
              </w:rPr>
            </w:pPr>
          </w:p>
        </w:tc>
        <w:tc>
          <w:tcPr>
            <w:tcW w:w="11" w:type="pct"/>
            <w:shd w:val="clear" w:color="auto" w:fill="auto"/>
          </w:tcPr>
          <w:p w14:paraId="7DCFEBCC" w14:textId="77777777" w:rsidR="00C1563E" w:rsidRDefault="00C1563E">
            <w:pPr>
              <w:rPr>
                <w:rFonts w:ascii="宋体"/>
              </w:rPr>
            </w:pPr>
          </w:p>
        </w:tc>
        <w:tc>
          <w:tcPr>
            <w:tcW w:w="5" w:type="pct"/>
            <w:shd w:val="clear" w:color="auto" w:fill="auto"/>
          </w:tcPr>
          <w:p w14:paraId="7DCFEBCD" w14:textId="77777777" w:rsidR="00C1563E" w:rsidRDefault="00C1563E">
            <w:pPr>
              <w:rPr>
                <w:rFonts w:ascii="宋体"/>
              </w:rPr>
            </w:pPr>
          </w:p>
        </w:tc>
        <w:tc>
          <w:tcPr>
            <w:tcW w:w="50" w:type="pct"/>
            <w:shd w:val="clear" w:color="auto" w:fill="auto"/>
          </w:tcPr>
          <w:p w14:paraId="7DCFEBCE" w14:textId="77777777" w:rsidR="00C1563E" w:rsidRDefault="00C1563E">
            <w:pPr>
              <w:rPr>
                <w:rFonts w:ascii="宋体"/>
              </w:rPr>
            </w:pPr>
          </w:p>
        </w:tc>
        <w:tc>
          <w:tcPr>
            <w:tcW w:w="183" w:type="pct"/>
            <w:shd w:val="clear" w:color="auto" w:fill="auto"/>
          </w:tcPr>
          <w:p w14:paraId="7DCFEBCF" w14:textId="77777777" w:rsidR="00C1563E" w:rsidRDefault="00C1563E">
            <w:pPr>
              <w:rPr>
                <w:rFonts w:ascii="宋体"/>
              </w:rPr>
            </w:pPr>
          </w:p>
        </w:tc>
        <w:tc>
          <w:tcPr>
            <w:tcW w:w="5" w:type="pct"/>
            <w:shd w:val="clear" w:color="auto" w:fill="auto"/>
          </w:tcPr>
          <w:p w14:paraId="7DCFEBD0" w14:textId="77777777" w:rsidR="00C1563E" w:rsidRDefault="00C1563E">
            <w:pPr>
              <w:rPr>
                <w:rFonts w:ascii="宋体"/>
              </w:rPr>
            </w:pPr>
          </w:p>
        </w:tc>
        <w:tc>
          <w:tcPr>
            <w:tcW w:w="5" w:type="pct"/>
            <w:shd w:val="clear" w:color="auto" w:fill="auto"/>
          </w:tcPr>
          <w:p w14:paraId="7DCFEBD1" w14:textId="77777777" w:rsidR="00C1563E" w:rsidRDefault="00C1563E">
            <w:pPr>
              <w:rPr>
                <w:rFonts w:ascii="宋体"/>
              </w:rPr>
            </w:pPr>
          </w:p>
        </w:tc>
        <w:tc>
          <w:tcPr>
            <w:tcW w:w="11" w:type="pct"/>
            <w:shd w:val="clear" w:color="auto" w:fill="auto"/>
          </w:tcPr>
          <w:p w14:paraId="7DCFEBD2" w14:textId="77777777" w:rsidR="00C1563E" w:rsidRDefault="00C1563E">
            <w:pPr>
              <w:rPr>
                <w:rFonts w:ascii="宋体"/>
              </w:rPr>
            </w:pPr>
          </w:p>
        </w:tc>
        <w:tc>
          <w:tcPr>
            <w:tcW w:w="5" w:type="pct"/>
            <w:shd w:val="clear" w:color="auto" w:fill="auto"/>
          </w:tcPr>
          <w:p w14:paraId="7DCFEBD3" w14:textId="77777777" w:rsidR="00C1563E" w:rsidRDefault="00C1563E">
            <w:pPr>
              <w:rPr>
                <w:rFonts w:ascii="宋体"/>
              </w:rPr>
            </w:pPr>
          </w:p>
        </w:tc>
        <w:tc>
          <w:tcPr>
            <w:tcW w:w="50" w:type="pct"/>
            <w:shd w:val="clear" w:color="auto" w:fill="auto"/>
          </w:tcPr>
          <w:p w14:paraId="7DCFEBD4" w14:textId="77777777" w:rsidR="00C1563E" w:rsidRDefault="00C1563E">
            <w:pPr>
              <w:rPr>
                <w:rFonts w:ascii="宋体"/>
              </w:rPr>
            </w:pPr>
          </w:p>
        </w:tc>
        <w:tc>
          <w:tcPr>
            <w:tcW w:w="204" w:type="pct"/>
            <w:shd w:val="clear" w:color="auto" w:fill="auto"/>
          </w:tcPr>
          <w:p w14:paraId="7DCFEBD5" w14:textId="77777777" w:rsidR="00C1563E" w:rsidRDefault="00C1563E">
            <w:pPr>
              <w:rPr>
                <w:rFonts w:ascii="宋体"/>
              </w:rPr>
            </w:pPr>
          </w:p>
        </w:tc>
        <w:tc>
          <w:tcPr>
            <w:tcW w:w="5" w:type="pct"/>
            <w:shd w:val="clear" w:color="auto" w:fill="auto"/>
          </w:tcPr>
          <w:p w14:paraId="7DCFEBD6" w14:textId="77777777" w:rsidR="00C1563E" w:rsidRDefault="00C1563E">
            <w:pPr>
              <w:rPr>
                <w:rFonts w:ascii="宋体"/>
              </w:rPr>
            </w:pPr>
          </w:p>
        </w:tc>
        <w:tc>
          <w:tcPr>
            <w:tcW w:w="5" w:type="pct"/>
            <w:shd w:val="clear" w:color="auto" w:fill="auto"/>
          </w:tcPr>
          <w:p w14:paraId="7DCFEBD7" w14:textId="77777777" w:rsidR="00C1563E" w:rsidRDefault="00C1563E">
            <w:pPr>
              <w:rPr>
                <w:rFonts w:ascii="宋体"/>
              </w:rPr>
            </w:pPr>
          </w:p>
        </w:tc>
        <w:tc>
          <w:tcPr>
            <w:tcW w:w="11" w:type="pct"/>
            <w:shd w:val="clear" w:color="auto" w:fill="auto"/>
          </w:tcPr>
          <w:p w14:paraId="7DCFEBD8" w14:textId="77777777" w:rsidR="00C1563E" w:rsidRDefault="00C1563E">
            <w:pPr>
              <w:rPr>
                <w:rFonts w:ascii="宋体"/>
              </w:rPr>
            </w:pPr>
          </w:p>
        </w:tc>
        <w:tc>
          <w:tcPr>
            <w:tcW w:w="5" w:type="pct"/>
            <w:shd w:val="clear" w:color="auto" w:fill="auto"/>
          </w:tcPr>
          <w:p w14:paraId="7DCFEBD9" w14:textId="77777777" w:rsidR="00C1563E" w:rsidRDefault="00C1563E">
            <w:pPr>
              <w:rPr>
                <w:rFonts w:ascii="宋体"/>
              </w:rPr>
            </w:pPr>
          </w:p>
        </w:tc>
        <w:tc>
          <w:tcPr>
            <w:tcW w:w="50" w:type="pct"/>
            <w:shd w:val="clear" w:color="auto" w:fill="auto"/>
          </w:tcPr>
          <w:p w14:paraId="7DCFEBDA" w14:textId="77777777" w:rsidR="00C1563E" w:rsidRDefault="00C1563E">
            <w:pPr>
              <w:rPr>
                <w:rFonts w:ascii="宋体"/>
              </w:rPr>
            </w:pPr>
          </w:p>
        </w:tc>
        <w:tc>
          <w:tcPr>
            <w:tcW w:w="183" w:type="pct"/>
            <w:shd w:val="clear" w:color="auto" w:fill="auto"/>
          </w:tcPr>
          <w:p w14:paraId="7DCFEBDB" w14:textId="77777777" w:rsidR="00C1563E" w:rsidRDefault="00C1563E">
            <w:pPr>
              <w:rPr>
                <w:rFonts w:ascii="宋体"/>
              </w:rPr>
            </w:pPr>
          </w:p>
        </w:tc>
        <w:tc>
          <w:tcPr>
            <w:tcW w:w="5" w:type="pct"/>
            <w:shd w:val="clear" w:color="auto" w:fill="auto"/>
          </w:tcPr>
          <w:p w14:paraId="7DCFEBDC" w14:textId="77777777" w:rsidR="00C1563E" w:rsidRDefault="00C1563E">
            <w:pPr>
              <w:rPr>
                <w:rFonts w:ascii="宋体"/>
              </w:rPr>
            </w:pPr>
          </w:p>
        </w:tc>
        <w:tc>
          <w:tcPr>
            <w:tcW w:w="5" w:type="pct"/>
            <w:shd w:val="clear" w:color="auto" w:fill="auto"/>
          </w:tcPr>
          <w:p w14:paraId="7DCFEBDD" w14:textId="77777777" w:rsidR="00C1563E" w:rsidRDefault="00C1563E">
            <w:pPr>
              <w:rPr>
                <w:rFonts w:ascii="宋体"/>
              </w:rPr>
            </w:pPr>
          </w:p>
        </w:tc>
        <w:tc>
          <w:tcPr>
            <w:tcW w:w="11" w:type="pct"/>
            <w:shd w:val="clear" w:color="auto" w:fill="auto"/>
          </w:tcPr>
          <w:p w14:paraId="7DCFEBDE" w14:textId="77777777" w:rsidR="00C1563E" w:rsidRDefault="00C1563E">
            <w:pPr>
              <w:rPr>
                <w:rFonts w:ascii="宋体"/>
              </w:rPr>
            </w:pPr>
          </w:p>
        </w:tc>
        <w:tc>
          <w:tcPr>
            <w:tcW w:w="5" w:type="pct"/>
            <w:shd w:val="clear" w:color="auto" w:fill="auto"/>
          </w:tcPr>
          <w:p w14:paraId="7DCFEBDF" w14:textId="77777777" w:rsidR="00C1563E" w:rsidRDefault="00C1563E">
            <w:pPr>
              <w:rPr>
                <w:rFonts w:ascii="宋体"/>
              </w:rPr>
            </w:pPr>
          </w:p>
        </w:tc>
        <w:tc>
          <w:tcPr>
            <w:tcW w:w="50" w:type="pct"/>
            <w:shd w:val="clear" w:color="auto" w:fill="auto"/>
          </w:tcPr>
          <w:p w14:paraId="7DCFEBE0" w14:textId="77777777" w:rsidR="00C1563E" w:rsidRDefault="00C1563E">
            <w:pPr>
              <w:rPr>
                <w:rFonts w:ascii="宋体"/>
              </w:rPr>
            </w:pPr>
          </w:p>
        </w:tc>
        <w:tc>
          <w:tcPr>
            <w:tcW w:w="204" w:type="pct"/>
            <w:shd w:val="clear" w:color="auto" w:fill="auto"/>
          </w:tcPr>
          <w:p w14:paraId="7DCFEBE1" w14:textId="77777777" w:rsidR="00C1563E" w:rsidRDefault="00C1563E">
            <w:pPr>
              <w:rPr>
                <w:rFonts w:ascii="宋体"/>
              </w:rPr>
            </w:pPr>
          </w:p>
        </w:tc>
        <w:tc>
          <w:tcPr>
            <w:tcW w:w="5" w:type="pct"/>
            <w:shd w:val="clear" w:color="auto" w:fill="auto"/>
          </w:tcPr>
          <w:p w14:paraId="7DCFEBE2" w14:textId="77777777" w:rsidR="00C1563E" w:rsidRDefault="00C1563E">
            <w:pPr>
              <w:rPr>
                <w:rFonts w:ascii="宋体"/>
              </w:rPr>
            </w:pPr>
          </w:p>
        </w:tc>
        <w:tc>
          <w:tcPr>
            <w:tcW w:w="5" w:type="pct"/>
            <w:shd w:val="clear" w:color="auto" w:fill="auto"/>
          </w:tcPr>
          <w:p w14:paraId="7DCFEBE3" w14:textId="77777777" w:rsidR="00C1563E" w:rsidRDefault="00C1563E">
            <w:pPr>
              <w:rPr>
                <w:rFonts w:ascii="宋体"/>
              </w:rPr>
            </w:pPr>
          </w:p>
        </w:tc>
        <w:tc>
          <w:tcPr>
            <w:tcW w:w="11" w:type="pct"/>
            <w:shd w:val="clear" w:color="auto" w:fill="auto"/>
          </w:tcPr>
          <w:p w14:paraId="7DCFEBE4" w14:textId="77777777" w:rsidR="00C1563E" w:rsidRDefault="00C1563E">
            <w:pPr>
              <w:rPr>
                <w:rFonts w:ascii="宋体"/>
              </w:rPr>
            </w:pPr>
          </w:p>
        </w:tc>
        <w:tc>
          <w:tcPr>
            <w:tcW w:w="5" w:type="pct"/>
            <w:shd w:val="clear" w:color="auto" w:fill="auto"/>
          </w:tcPr>
          <w:p w14:paraId="7DCFEBE5" w14:textId="77777777" w:rsidR="00C1563E" w:rsidRDefault="00C1563E">
            <w:pPr>
              <w:rPr>
                <w:rFonts w:ascii="宋体"/>
              </w:rPr>
            </w:pPr>
          </w:p>
        </w:tc>
        <w:tc>
          <w:tcPr>
            <w:tcW w:w="50" w:type="pct"/>
            <w:shd w:val="clear" w:color="auto" w:fill="auto"/>
          </w:tcPr>
          <w:p w14:paraId="7DCFEBE6" w14:textId="77777777" w:rsidR="00C1563E" w:rsidRDefault="00C1563E">
            <w:pPr>
              <w:rPr>
                <w:rFonts w:ascii="宋体"/>
              </w:rPr>
            </w:pPr>
          </w:p>
        </w:tc>
        <w:tc>
          <w:tcPr>
            <w:tcW w:w="183" w:type="pct"/>
            <w:shd w:val="clear" w:color="auto" w:fill="auto"/>
          </w:tcPr>
          <w:p w14:paraId="7DCFEBE7" w14:textId="77777777" w:rsidR="00C1563E" w:rsidRDefault="00C1563E">
            <w:pPr>
              <w:rPr>
                <w:rFonts w:ascii="宋体"/>
              </w:rPr>
            </w:pPr>
          </w:p>
        </w:tc>
        <w:tc>
          <w:tcPr>
            <w:tcW w:w="5" w:type="pct"/>
            <w:shd w:val="clear" w:color="auto" w:fill="auto"/>
          </w:tcPr>
          <w:p w14:paraId="7DCFEBE8" w14:textId="77777777" w:rsidR="00C1563E" w:rsidRDefault="00C1563E">
            <w:pPr>
              <w:rPr>
                <w:rFonts w:ascii="宋体"/>
              </w:rPr>
            </w:pPr>
          </w:p>
        </w:tc>
        <w:tc>
          <w:tcPr>
            <w:tcW w:w="5" w:type="pct"/>
            <w:shd w:val="clear" w:color="auto" w:fill="auto"/>
          </w:tcPr>
          <w:p w14:paraId="7DCFEBE9" w14:textId="77777777" w:rsidR="00C1563E" w:rsidRDefault="00C1563E">
            <w:pPr>
              <w:rPr>
                <w:rFonts w:ascii="宋体"/>
              </w:rPr>
            </w:pPr>
          </w:p>
        </w:tc>
        <w:tc>
          <w:tcPr>
            <w:tcW w:w="11" w:type="pct"/>
            <w:shd w:val="clear" w:color="auto" w:fill="auto"/>
          </w:tcPr>
          <w:p w14:paraId="7DCFEBEA" w14:textId="77777777" w:rsidR="00C1563E" w:rsidRDefault="00C1563E">
            <w:pPr>
              <w:rPr>
                <w:rFonts w:ascii="宋体"/>
              </w:rPr>
            </w:pPr>
          </w:p>
        </w:tc>
        <w:tc>
          <w:tcPr>
            <w:tcW w:w="5" w:type="pct"/>
            <w:shd w:val="clear" w:color="auto" w:fill="auto"/>
          </w:tcPr>
          <w:p w14:paraId="7DCFEBEB" w14:textId="77777777" w:rsidR="00C1563E" w:rsidRDefault="00C1563E">
            <w:pPr>
              <w:rPr>
                <w:rFonts w:ascii="宋体"/>
              </w:rPr>
            </w:pPr>
          </w:p>
        </w:tc>
        <w:tc>
          <w:tcPr>
            <w:tcW w:w="50" w:type="pct"/>
            <w:shd w:val="clear" w:color="auto" w:fill="auto"/>
          </w:tcPr>
          <w:p w14:paraId="7DCFEBEC" w14:textId="77777777" w:rsidR="00C1563E" w:rsidRDefault="00C1563E">
            <w:pPr>
              <w:rPr>
                <w:rFonts w:ascii="宋体"/>
              </w:rPr>
            </w:pPr>
          </w:p>
        </w:tc>
        <w:tc>
          <w:tcPr>
            <w:tcW w:w="204" w:type="pct"/>
            <w:shd w:val="clear" w:color="auto" w:fill="auto"/>
          </w:tcPr>
          <w:p w14:paraId="7DCFEBED" w14:textId="77777777" w:rsidR="00C1563E" w:rsidRDefault="00C1563E">
            <w:pPr>
              <w:rPr>
                <w:rFonts w:ascii="宋体"/>
              </w:rPr>
            </w:pPr>
          </w:p>
        </w:tc>
        <w:tc>
          <w:tcPr>
            <w:tcW w:w="5" w:type="pct"/>
            <w:shd w:val="clear" w:color="auto" w:fill="auto"/>
          </w:tcPr>
          <w:p w14:paraId="7DCFEBEE" w14:textId="77777777" w:rsidR="00C1563E" w:rsidRDefault="00C1563E">
            <w:pPr>
              <w:rPr>
                <w:rFonts w:ascii="宋体"/>
              </w:rPr>
            </w:pPr>
          </w:p>
        </w:tc>
        <w:tc>
          <w:tcPr>
            <w:tcW w:w="5" w:type="pct"/>
            <w:shd w:val="clear" w:color="auto" w:fill="auto"/>
          </w:tcPr>
          <w:p w14:paraId="7DCFEBEF" w14:textId="77777777" w:rsidR="00C1563E" w:rsidRDefault="00C1563E">
            <w:pPr>
              <w:rPr>
                <w:rFonts w:ascii="宋体"/>
              </w:rPr>
            </w:pPr>
          </w:p>
        </w:tc>
        <w:tc>
          <w:tcPr>
            <w:tcW w:w="11" w:type="pct"/>
            <w:shd w:val="clear" w:color="auto" w:fill="auto"/>
          </w:tcPr>
          <w:p w14:paraId="7DCFEBF0" w14:textId="77777777" w:rsidR="00C1563E" w:rsidRDefault="00C1563E">
            <w:pPr>
              <w:rPr>
                <w:rFonts w:ascii="宋体"/>
              </w:rPr>
            </w:pPr>
          </w:p>
        </w:tc>
        <w:tc>
          <w:tcPr>
            <w:tcW w:w="5" w:type="pct"/>
            <w:shd w:val="clear" w:color="auto" w:fill="auto"/>
          </w:tcPr>
          <w:p w14:paraId="7DCFEBF1" w14:textId="77777777" w:rsidR="00C1563E" w:rsidRDefault="00C1563E">
            <w:pPr>
              <w:rPr>
                <w:rFonts w:ascii="宋体"/>
              </w:rPr>
            </w:pPr>
          </w:p>
        </w:tc>
        <w:tc>
          <w:tcPr>
            <w:tcW w:w="50" w:type="pct"/>
            <w:shd w:val="clear" w:color="auto" w:fill="auto"/>
          </w:tcPr>
          <w:p w14:paraId="7DCFEBF2" w14:textId="77777777" w:rsidR="00C1563E" w:rsidRDefault="00C1563E">
            <w:pPr>
              <w:rPr>
                <w:rFonts w:ascii="宋体"/>
              </w:rPr>
            </w:pPr>
          </w:p>
        </w:tc>
        <w:tc>
          <w:tcPr>
            <w:tcW w:w="334" w:type="pct"/>
            <w:shd w:val="clear" w:color="auto" w:fill="auto"/>
          </w:tcPr>
          <w:p w14:paraId="7DCFEBF3" w14:textId="77777777" w:rsidR="00C1563E" w:rsidRDefault="00C1563E">
            <w:pPr>
              <w:rPr>
                <w:rFonts w:ascii="宋体"/>
              </w:rPr>
            </w:pPr>
          </w:p>
        </w:tc>
        <w:tc>
          <w:tcPr>
            <w:tcW w:w="5" w:type="pct"/>
            <w:shd w:val="clear" w:color="auto" w:fill="auto"/>
          </w:tcPr>
          <w:p w14:paraId="7DCFEBF4" w14:textId="77777777" w:rsidR="00C1563E" w:rsidRDefault="00C1563E">
            <w:pPr>
              <w:rPr>
                <w:rFonts w:ascii="宋体"/>
              </w:rPr>
            </w:pPr>
          </w:p>
        </w:tc>
        <w:tc>
          <w:tcPr>
            <w:tcW w:w="5" w:type="pct"/>
            <w:shd w:val="clear" w:color="auto" w:fill="auto"/>
          </w:tcPr>
          <w:p w14:paraId="7DCFEBF5" w14:textId="77777777" w:rsidR="00C1563E" w:rsidRDefault="00C1563E">
            <w:pPr>
              <w:rPr>
                <w:rFonts w:ascii="宋体"/>
              </w:rPr>
            </w:pPr>
          </w:p>
        </w:tc>
        <w:tc>
          <w:tcPr>
            <w:tcW w:w="11" w:type="pct"/>
            <w:shd w:val="clear" w:color="auto" w:fill="auto"/>
          </w:tcPr>
          <w:p w14:paraId="7DCFEBF6" w14:textId="77777777" w:rsidR="00C1563E" w:rsidRDefault="00C1563E">
            <w:pPr>
              <w:rPr>
                <w:rFonts w:ascii="宋体"/>
              </w:rPr>
            </w:pPr>
          </w:p>
        </w:tc>
        <w:tc>
          <w:tcPr>
            <w:tcW w:w="5" w:type="pct"/>
            <w:shd w:val="clear" w:color="auto" w:fill="auto"/>
          </w:tcPr>
          <w:p w14:paraId="7DCFEBF7" w14:textId="77777777" w:rsidR="00C1563E" w:rsidRDefault="00C1563E">
            <w:pPr>
              <w:rPr>
                <w:rFonts w:ascii="宋体"/>
              </w:rPr>
            </w:pPr>
          </w:p>
        </w:tc>
        <w:tc>
          <w:tcPr>
            <w:tcW w:w="50" w:type="pct"/>
            <w:shd w:val="clear" w:color="auto" w:fill="auto"/>
          </w:tcPr>
          <w:p w14:paraId="7DCFEBF8" w14:textId="77777777" w:rsidR="00C1563E" w:rsidRDefault="00C1563E">
            <w:pPr>
              <w:rPr>
                <w:rFonts w:ascii="宋体"/>
              </w:rPr>
            </w:pPr>
          </w:p>
        </w:tc>
        <w:tc>
          <w:tcPr>
            <w:tcW w:w="394" w:type="pct"/>
            <w:shd w:val="clear" w:color="auto" w:fill="auto"/>
          </w:tcPr>
          <w:p w14:paraId="7DCFEBF9" w14:textId="77777777" w:rsidR="00C1563E" w:rsidRDefault="00C1563E">
            <w:pPr>
              <w:rPr>
                <w:rFonts w:ascii="宋体"/>
              </w:rPr>
            </w:pPr>
          </w:p>
        </w:tc>
        <w:tc>
          <w:tcPr>
            <w:tcW w:w="5" w:type="pct"/>
            <w:shd w:val="clear" w:color="auto" w:fill="auto"/>
          </w:tcPr>
          <w:p w14:paraId="7DCFEBFA" w14:textId="77777777" w:rsidR="00C1563E" w:rsidRDefault="00C1563E">
            <w:pPr>
              <w:rPr>
                <w:rFonts w:ascii="宋体"/>
              </w:rPr>
            </w:pPr>
          </w:p>
        </w:tc>
        <w:tc>
          <w:tcPr>
            <w:tcW w:w="5" w:type="pct"/>
            <w:shd w:val="clear" w:color="auto" w:fill="auto"/>
          </w:tcPr>
          <w:p w14:paraId="7DCFEBFB" w14:textId="77777777" w:rsidR="00C1563E" w:rsidRDefault="00C1563E">
            <w:pPr>
              <w:rPr>
                <w:rFonts w:ascii="宋体"/>
              </w:rPr>
            </w:pPr>
          </w:p>
        </w:tc>
        <w:tc>
          <w:tcPr>
            <w:tcW w:w="11" w:type="pct"/>
            <w:shd w:val="clear" w:color="auto" w:fill="auto"/>
          </w:tcPr>
          <w:p w14:paraId="7DCFEBFC" w14:textId="77777777" w:rsidR="00C1563E" w:rsidRDefault="00C1563E">
            <w:pPr>
              <w:rPr>
                <w:rFonts w:ascii="宋体"/>
              </w:rPr>
            </w:pPr>
          </w:p>
        </w:tc>
        <w:tc>
          <w:tcPr>
            <w:tcW w:w="5" w:type="pct"/>
            <w:shd w:val="clear" w:color="auto" w:fill="auto"/>
          </w:tcPr>
          <w:p w14:paraId="7DCFEBFD" w14:textId="77777777" w:rsidR="00C1563E" w:rsidRDefault="00C1563E">
            <w:pPr>
              <w:rPr>
                <w:rFonts w:ascii="宋体"/>
              </w:rPr>
            </w:pPr>
          </w:p>
        </w:tc>
      </w:tr>
      <w:tr w:rsidR="00C1563E" w14:paraId="7DCFEC09" w14:textId="77777777">
        <w:trPr>
          <w:jc w:val="center"/>
        </w:trPr>
        <w:tc>
          <w:tcPr>
            <w:tcW w:w="0" w:type="auto"/>
            <w:gridSpan w:val="3"/>
            <w:shd w:val="clear" w:color="auto" w:fill="auto"/>
            <w:tcMar>
              <w:top w:w="0" w:type="dxa"/>
              <w:left w:w="20" w:type="dxa"/>
              <w:bottom w:w="0" w:type="dxa"/>
              <w:right w:w="20" w:type="dxa"/>
            </w:tcMar>
          </w:tcPr>
          <w:p w14:paraId="7DCFEBFF" w14:textId="77777777" w:rsidR="00C1563E" w:rsidRDefault="00C1563E">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DCFEC00" w14:textId="77777777" w:rsidR="00C1563E" w:rsidRDefault="000B648B">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DCFEC01" w14:textId="77777777" w:rsidR="00C1563E" w:rsidRDefault="00C1563E">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DCFEC02" w14:textId="77777777" w:rsidR="00C1563E" w:rsidRDefault="000B648B">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DCFEC0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0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0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06" w14:textId="77777777" w:rsidR="00C1563E" w:rsidRDefault="00C1563E">
            <w:pPr>
              <w:rPr>
                <w:rFonts w:ascii="宋体"/>
              </w:rPr>
            </w:pPr>
          </w:p>
        </w:tc>
        <w:tc>
          <w:tcPr>
            <w:tcW w:w="0" w:type="auto"/>
            <w:gridSpan w:val="2"/>
            <w:shd w:val="clear" w:color="auto" w:fill="auto"/>
            <w:tcMar>
              <w:top w:w="0" w:type="dxa"/>
              <w:left w:w="20" w:type="dxa"/>
              <w:bottom w:w="0" w:type="dxa"/>
              <w:right w:w="20" w:type="dxa"/>
            </w:tcMar>
          </w:tcPr>
          <w:p w14:paraId="7DCFEC07" w14:textId="77777777" w:rsidR="00C1563E" w:rsidRDefault="00C1563E">
            <w:pPr>
              <w:rPr>
                <w:rFonts w:ascii="宋体"/>
              </w:rPr>
            </w:pPr>
          </w:p>
        </w:tc>
        <w:tc>
          <w:tcPr>
            <w:tcW w:w="0" w:type="auto"/>
            <w:shd w:val="clear" w:color="auto" w:fill="auto"/>
            <w:tcMar>
              <w:top w:w="0" w:type="dxa"/>
              <w:left w:w="20" w:type="dxa"/>
              <w:bottom w:w="0" w:type="dxa"/>
              <w:right w:w="20" w:type="dxa"/>
            </w:tcMar>
          </w:tcPr>
          <w:p w14:paraId="7DCFEC08" w14:textId="77777777" w:rsidR="00C1563E" w:rsidRDefault="00C1563E">
            <w:pPr>
              <w:rPr>
                <w:rFonts w:ascii="宋体"/>
              </w:rPr>
            </w:pPr>
          </w:p>
        </w:tc>
      </w:tr>
      <w:tr w:rsidR="00C1563E" w14:paraId="7DCFEC18" w14:textId="77777777">
        <w:trPr>
          <w:jc w:val="center"/>
        </w:trPr>
        <w:tc>
          <w:tcPr>
            <w:tcW w:w="0" w:type="auto"/>
            <w:gridSpan w:val="3"/>
            <w:shd w:val="clear" w:color="auto" w:fill="auto"/>
            <w:tcMar>
              <w:top w:w="0" w:type="dxa"/>
              <w:left w:w="20" w:type="dxa"/>
              <w:bottom w:w="0" w:type="dxa"/>
              <w:right w:w="20" w:type="dxa"/>
            </w:tcMar>
          </w:tcPr>
          <w:p w14:paraId="7DCFEC0A"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EC0B" w14:textId="77777777" w:rsidR="00C1563E" w:rsidRDefault="000B648B">
            <w:pPr>
              <w:jc w:val="center"/>
              <w:textAlignment w:val="bottom"/>
            </w:pPr>
            <w:r>
              <w:rPr>
                <w:rFonts w:ascii="Times New Roman" w:eastAsia="宋体" w:hAnsi="Times New Roman"/>
                <w:b/>
                <w:bCs/>
                <w:color w:val="000000"/>
                <w:sz w:val="18"/>
                <w:szCs w:val="18"/>
              </w:rPr>
              <w:t>DHI Group</w:t>
            </w:r>
          </w:p>
        </w:tc>
        <w:tc>
          <w:tcPr>
            <w:tcW w:w="0" w:type="auto"/>
            <w:gridSpan w:val="3"/>
            <w:tcBorders>
              <w:top w:val="single" w:sz="8" w:space="0" w:color="000000"/>
            </w:tcBorders>
            <w:shd w:val="clear" w:color="auto" w:fill="auto"/>
            <w:tcMar>
              <w:top w:w="0" w:type="dxa"/>
              <w:left w:w="20" w:type="dxa"/>
              <w:bottom w:w="0" w:type="dxa"/>
              <w:right w:w="20" w:type="dxa"/>
            </w:tcMar>
          </w:tcPr>
          <w:p w14:paraId="7DCFEC0C"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EC0D" w14:textId="77777777" w:rsidR="00C1563E" w:rsidRDefault="000B648B">
            <w:pPr>
              <w:jc w:val="center"/>
              <w:textAlignment w:val="bottom"/>
            </w:pPr>
            <w:r>
              <w:rPr>
                <w:rFonts w:ascii="Times New Roman" w:eastAsia="宋体" w:hAnsi="Times New Roman"/>
                <w:b/>
                <w:bCs/>
                <w:color w:val="000000"/>
                <w:sz w:val="18"/>
                <w:szCs w:val="18"/>
              </w:rPr>
              <w:t xml:space="preserve">Class V </w:t>
            </w:r>
            <w:r>
              <w:rPr>
                <w:rFonts w:ascii="Times New Roman" w:eastAsia="宋体" w:hAnsi="Times New Roman"/>
                <w:b/>
                <w:bCs/>
                <w:color w:val="000000"/>
                <w:sz w:val="18"/>
                <w:szCs w:val="18"/>
              </w:rPr>
              <w:t>Common Stock</w:t>
            </w:r>
          </w:p>
        </w:tc>
        <w:tc>
          <w:tcPr>
            <w:tcW w:w="0" w:type="auto"/>
            <w:gridSpan w:val="3"/>
            <w:shd w:val="clear" w:color="auto" w:fill="auto"/>
            <w:tcMar>
              <w:top w:w="0" w:type="dxa"/>
              <w:left w:w="20" w:type="dxa"/>
              <w:bottom w:w="0" w:type="dxa"/>
              <w:right w:w="20" w:type="dxa"/>
            </w:tcMar>
          </w:tcPr>
          <w:p w14:paraId="7DCFEC0E"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EC0F" w14:textId="77777777" w:rsidR="00C1563E" w:rsidRDefault="000B648B">
            <w:pPr>
              <w:jc w:val="center"/>
              <w:textAlignment w:val="bottom"/>
            </w:pPr>
            <w:r>
              <w:rPr>
                <w:rFonts w:ascii="Times New Roman" w:eastAsia="宋体" w:hAnsi="Times New Roman"/>
                <w:b/>
                <w:bCs/>
                <w:color w:val="000000"/>
                <w:sz w:val="18"/>
                <w:szCs w:val="18"/>
              </w:rPr>
              <w:t>DHI Group</w:t>
            </w:r>
          </w:p>
        </w:tc>
        <w:tc>
          <w:tcPr>
            <w:tcW w:w="0" w:type="auto"/>
            <w:gridSpan w:val="3"/>
            <w:tcBorders>
              <w:top w:val="single" w:sz="8" w:space="0" w:color="000000"/>
            </w:tcBorders>
            <w:shd w:val="clear" w:color="auto" w:fill="auto"/>
            <w:tcMar>
              <w:top w:w="0" w:type="dxa"/>
              <w:left w:w="20" w:type="dxa"/>
              <w:bottom w:w="0" w:type="dxa"/>
              <w:right w:w="20" w:type="dxa"/>
            </w:tcMar>
          </w:tcPr>
          <w:p w14:paraId="7DCFEC10"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EC11" w14:textId="77777777" w:rsidR="00C1563E" w:rsidRDefault="000B648B">
            <w:pPr>
              <w:jc w:val="center"/>
              <w:textAlignment w:val="bottom"/>
            </w:pPr>
            <w:r>
              <w:rPr>
                <w:rFonts w:ascii="Times New Roman" w:eastAsia="宋体" w:hAnsi="Times New Roman"/>
                <w:b/>
                <w:bCs/>
                <w:color w:val="000000"/>
                <w:sz w:val="18"/>
                <w:szCs w:val="18"/>
              </w:rPr>
              <w:t>Class V Common Stock</w:t>
            </w:r>
          </w:p>
        </w:tc>
        <w:tc>
          <w:tcPr>
            <w:tcW w:w="0" w:type="auto"/>
            <w:gridSpan w:val="3"/>
            <w:shd w:val="clear" w:color="auto" w:fill="auto"/>
            <w:tcMar>
              <w:top w:w="0" w:type="dxa"/>
              <w:left w:w="20" w:type="dxa"/>
              <w:bottom w:w="0" w:type="dxa"/>
              <w:right w:w="20" w:type="dxa"/>
            </w:tcMar>
          </w:tcPr>
          <w:p w14:paraId="7DCFEC1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1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1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C15" w14:textId="77777777" w:rsidR="00C1563E" w:rsidRDefault="00C1563E">
            <w:pPr>
              <w:rPr>
                <w:rFonts w:ascii="宋体"/>
              </w:rPr>
            </w:pPr>
          </w:p>
        </w:tc>
        <w:tc>
          <w:tcPr>
            <w:tcW w:w="0" w:type="auto"/>
            <w:gridSpan w:val="2"/>
            <w:shd w:val="clear" w:color="auto" w:fill="auto"/>
            <w:tcMar>
              <w:top w:w="0" w:type="dxa"/>
              <w:left w:w="20" w:type="dxa"/>
              <w:bottom w:w="0" w:type="dxa"/>
              <w:right w:w="20" w:type="dxa"/>
            </w:tcMar>
          </w:tcPr>
          <w:p w14:paraId="7DCFEC16" w14:textId="77777777" w:rsidR="00C1563E" w:rsidRDefault="00C1563E">
            <w:pPr>
              <w:rPr>
                <w:rFonts w:ascii="宋体"/>
              </w:rPr>
            </w:pPr>
          </w:p>
        </w:tc>
        <w:tc>
          <w:tcPr>
            <w:tcW w:w="0" w:type="auto"/>
            <w:shd w:val="clear" w:color="auto" w:fill="auto"/>
            <w:tcMar>
              <w:top w:w="0" w:type="dxa"/>
              <w:left w:w="20" w:type="dxa"/>
              <w:bottom w:w="0" w:type="dxa"/>
              <w:right w:w="20" w:type="dxa"/>
            </w:tcMar>
          </w:tcPr>
          <w:p w14:paraId="7DCFEC17" w14:textId="77777777" w:rsidR="00C1563E" w:rsidRDefault="00C1563E">
            <w:pPr>
              <w:rPr>
                <w:rFonts w:ascii="宋体"/>
              </w:rPr>
            </w:pPr>
          </w:p>
        </w:tc>
      </w:tr>
      <w:tr w:rsidR="00C1563E" w14:paraId="7DCFEC31" w14:textId="77777777">
        <w:trPr>
          <w:jc w:val="center"/>
        </w:trPr>
        <w:tc>
          <w:tcPr>
            <w:tcW w:w="0" w:type="auto"/>
            <w:gridSpan w:val="3"/>
            <w:shd w:val="clear" w:color="auto" w:fill="auto"/>
            <w:tcMar>
              <w:top w:w="0" w:type="dxa"/>
              <w:left w:w="20" w:type="dxa"/>
              <w:bottom w:w="0" w:type="dxa"/>
              <w:right w:w="20" w:type="dxa"/>
            </w:tcMar>
          </w:tcPr>
          <w:p w14:paraId="7DCFEC19"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1A" w14:textId="77777777" w:rsidR="00C1563E" w:rsidRDefault="000B648B">
            <w:pPr>
              <w:jc w:val="center"/>
              <w:textAlignment w:val="bottom"/>
            </w:pPr>
            <w:r>
              <w:rPr>
                <w:rFonts w:ascii="Times New Roman" w:eastAsia="宋体" w:hAnsi="Times New Roman"/>
                <w:b/>
                <w:bCs/>
                <w:color w:val="000000"/>
                <w:sz w:val="17"/>
                <w:szCs w:val="17"/>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C1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1C" w14:textId="77777777" w:rsidR="00C1563E" w:rsidRDefault="000B648B">
            <w:pPr>
              <w:jc w:val="center"/>
              <w:textAlignment w:val="bottom"/>
            </w:pPr>
            <w:r>
              <w:rPr>
                <w:rFonts w:ascii="Times New Roman" w:eastAsia="宋体" w:hAnsi="Times New Roman"/>
                <w:b/>
                <w:bCs/>
                <w:color w:val="000000"/>
                <w:sz w:val="17"/>
                <w:szCs w:val="17"/>
              </w:rPr>
              <w:t>Amount</w:t>
            </w:r>
          </w:p>
        </w:tc>
        <w:tc>
          <w:tcPr>
            <w:tcW w:w="0" w:type="auto"/>
            <w:gridSpan w:val="3"/>
            <w:shd w:val="clear" w:color="auto" w:fill="auto"/>
            <w:tcMar>
              <w:top w:w="0" w:type="dxa"/>
              <w:left w:w="20" w:type="dxa"/>
              <w:bottom w:w="0" w:type="dxa"/>
              <w:right w:w="20" w:type="dxa"/>
            </w:tcMar>
          </w:tcPr>
          <w:p w14:paraId="7DCFEC1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1E" w14:textId="77777777" w:rsidR="00C1563E" w:rsidRDefault="000B648B">
            <w:pPr>
              <w:jc w:val="center"/>
              <w:textAlignment w:val="bottom"/>
            </w:pPr>
            <w:r>
              <w:rPr>
                <w:rFonts w:ascii="Times New Roman" w:eastAsia="宋体" w:hAnsi="Times New Roman"/>
                <w:b/>
                <w:bCs/>
                <w:color w:val="000000"/>
                <w:sz w:val="17"/>
                <w:szCs w:val="17"/>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C1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20" w14:textId="77777777" w:rsidR="00C1563E" w:rsidRDefault="000B648B">
            <w:pPr>
              <w:jc w:val="center"/>
              <w:textAlignment w:val="bottom"/>
            </w:pPr>
            <w:r>
              <w:rPr>
                <w:rFonts w:ascii="Times New Roman" w:eastAsia="宋体" w:hAnsi="Times New Roman"/>
                <w:b/>
                <w:bCs/>
                <w:color w:val="000000"/>
                <w:sz w:val="17"/>
                <w:szCs w:val="17"/>
              </w:rPr>
              <w:t>Amount</w:t>
            </w:r>
          </w:p>
        </w:tc>
        <w:tc>
          <w:tcPr>
            <w:tcW w:w="0" w:type="auto"/>
            <w:gridSpan w:val="3"/>
            <w:shd w:val="clear" w:color="auto" w:fill="auto"/>
            <w:tcMar>
              <w:top w:w="0" w:type="dxa"/>
              <w:left w:w="20" w:type="dxa"/>
              <w:bottom w:w="0" w:type="dxa"/>
              <w:right w:w="20" w:type="dxa"/>
            </w:tcMar>
          </w:tcPr>
          <w:p w14:paraId="7DCFEC21"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22" w14:textId="77777777" w:rsidR="00C1563E" w:rsidRDefault="000B648B">
            <w:pPr>
              <w:jc w:val="center"/>
              <w:textAlignment w:val="bottom"/>
            </w:pPr>
            <w:r>
              <w:rPr>
                <w:rFonts w:ascii="Times New Roman" w:eastAsia="宋体" w:hAnsi="Times New Roman"/>
                <w:b/>
                <w:bCs/>
                <w:color w:val="000000"/>
                <w:sz w:val="17"/>
                <w:szCs w:val="17"/>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C23"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24" w14:textId="77777777" w:rsidR="00C1563E" w:rsidRDefault="000B648B">
            <w:pPr>
              <w:jc w:val="center"/>
              <w:textAlignment w:val="bottom"/>
            </w:pPr>
            <w:r>
              <w:rPr>
                <w:rFonts w:ascii="Times New Roman" w:eastAsia="宋体" w:hAnsi="Times New Roman"/>
                <w:b/>
                <w:bCs/>
                <w:color w:val="000000"/>
                <w:sz w:val="17"/>
                <w:szCs w:val="17"/>
              </w:rPr>
              <w:t>Amount</w:t>
            </w:r>
          </w:p>
        </w:tc>
        <w:tc>
          <w:tcPr>
            <w:tcW w:w="0" w:type="auto"/>
            <w:gridSpan w:val="3"/>
            <w:shd w:val="clear" w:color="auto" w:fill="auto"/>
            <w:tcMar>
              <w:top w:w="0" w:type="dxa"/>
              <w:left w:w="20" w:type="dxa"/>
              <w:bottom w:w="0" w:type="dxa"/>
              <w:right w:w="20" w:type="dxa"/>
            </w:tcMar>
          </w:tcPr>
          <w:p w14:paraId="7DCFEC25"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26" w14:textId="77777777" w:rsidR="00C1563E" w:rsidRDefault="000B648B">
            <w:pPr>
              <w:jc w:val="center"/>
              <w:textAlignment w:val="bottom"/>
            </w:pPr>
            <w:r>
              <w:rPr>
                <w:rFonts w:ascii="Times New Roman" w:eastAsia="宋体" w:hAnsi="Times New Roman"/>
                <w:b/>
                <w:bCs/>
                <w:color w:val="000000"/>
                <w:sz w:val="17"/>
                <w:szCs w:val="17"/>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C2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C28" w14:textId="77777777" w:rsidR="00C1563E" w:rsidRDefault="000B648B">
            <w:pPr>
              <w:jc w:val="center"/>
              <w:textAlignment w:val="bottom"/>
            </w:pPr>
            <w:r>
              <w:rPr>
                <w:rFonts w:ascii="Times New Roman" w:eastAsia="宋体" w:hAnsi="Times New Roman"/>
                <w:b/>
                <w:bCs/>
                <w:color w:val="000000"/>
                <w:sz w:val="17"/>
                <w:szCs w:val="17"/>
              </w:rPr>
              <w:t>Amount</w:t>
            </w:r>
          </w:p>
        </w:tc>
        <w:tc>
          <w:tcPr>
            <w:tcW w:w="0" w:type="auto"/>
            <w:gridSpan w:val="3"/>
            <w:shd w:val="clear" w:color="auto" w:fill="auto"/>
            <w:tcMar>
              <w:top w:w="0" w:type="dxa"/>
              <w:left w:w="20" w:type="dxa"/>
              <w:bottom w:w="0" w:type="dxa"/>
              <w:right w:w="20" w:type="dxa"/>
            </w:tcMar>
          </w:tcPr>
          <w:p w14:paraId="7DCFEC2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C2A" w14:textId="77777777" w:rsidR="00C1563E" w:rsidRDefault="000B648B">
            <w:pPr>
              <w:jc w:val="center"/>
              <w:textAlignment w:val="bottom"/>
            </w:pPr>
            <w:r>
              <w:rPr>
                <w:rFonts w:ascii="Times New Roman" w:eastAsia="宋体" w:hAnsi="Times New Roman"/>
                <w:b/>
                <w:bCs/>
                <w:color w:val="000000"/>
                <w:sz w:val="17"/>
                <w:szCs w:val="17"/>
              </w:rPr>
              <w:t>Accumulated Deficit</w:t>
            </w:r>
          </w:p>
        </w:tc>
        <w:tc>
          <w:tcPr>
            <w:tcW w:w="0" w:type="auto"/>
            <w:gridSpan w:val="3"/>
            <w:shd w:val="clear" w:color="auto" w:fill="auto"/>
            <w:tcMar>
              <w:top w:w="0" w:type="dxa"/>
              <w:left w:w="20" w:type="dxa"/>
              <w:bottom w:w="0" w:type="dxa"/>
              <w:right w:w="20" w:type="dxa"/>
            </w:tcMar>
          </w:tcPr>
          <w:p w14:paraId="7DCFEC2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C2C" w14:textId="77777777" w:rsidR="00C1563E" w:rsidRDefault="000B648B">
            <w:pPr>
              <w:jc w:val="center"/>
              <w:textAlignment w:val="bottom"/>
            </w:pPr>
            <w:r>
              <w:rPr>
                <w:rFonts w:ascii="Times New Roman" w:eastAsia="宋体" w:hAnsi="Times New Roman"/>
                <w:b/>
                <w:bCs/>
                <w:color w:val="000000"/>
                <w:sz w:val="17"/>
                <w:szCs w:val="17"/>
              </w:rPr>
              <w:t>Accumulated Other Comprehensive Income/(Loss)</w:t>
            </w:r>
          </w:p>
        </w:tc>
        <w:tc>
          <w:tcPr>
            <w:tcW w:w="0" w:type="auto"/>
            <w:gridSpan w:val="2"/>
            <w:shd w:val="clear" w:color="auto" w:fill="auto"/>
            <w:tcMar>
              <w:top w:w="0" w:type="dxa"/>
              <w:left w:w="20" w:type="dxa"/>
              <w:bottom w:w="0" w:type="dxa"/>
              <w:right w:w="20" w:type="dxa"/>
            </w:tcMar>
          </w:tcPr>
          <w:p w14:paraId="7DCFEC2D" w14:textId="77777777" w:rsidR="00C1563E" w:rsidRDefault="00C1563E">
            <w:pPr>
              <w:rPr>
                <w:rFonts w:ascii="宋体"/>
              </w:rPr>
            </w:pPr>
          </w:p>
        </w:tc>
        <w:tc>
          <w:tcPr>
            <w:tcW w:w="0" w:type="auto"/>
            <w:shd w:val="clear" w:color="auto" w:fill="auto"/>
            <w:tcMar>
              <w:top w:w="40" w:type="dxa"/>
              <w:left w:w="20" w:type="dxa"/>
              <w:bottom w:w="40" w:type="dxa"/>
              <w:right w:w="20" w:type="dxa"/>
            </w:tcMar>
            <w:vAlign w:val="bottom"/>
          </w:tcPr>
          <w:p w14:paraId="7DCFEC2E" w14:textId="77777777" w:rsidR="00C1563E" w:rsidRDefault="000B648B">
            <w:pPr>
              <w:jc w:val="center"/>
              <w:textAlignment w:val="bottom"/>
            </w:pPr>
            <w:r>
              <w:rPr>
                <w:rFonts w:ascii="Times New Roman" w:eastAsia="宋体" w:hAnsi="Times New Roman"/>
                <w:b/>
                <w:bCs/>
                <w:color w:val="000000"/>
                <w:sz w:val="17"/>
                <w:szCs w:val="17"/>
              </w:rPr>
              <w:t>Dell Technologies</w:t>
            </w:r>
            <w:r>
              <w:rPr>
                <w:rFonts w:ascii="Times New Roman" w:eastAsia="宋体" w:hAnsi="Times New Roman"/>
                <w:b/>
                <w:bCs/>
                <w:color w:val="000000"/>
                <w:sz w:val="17"/>
                <w:szCs w:val="17"/>
              </w:rPr>
              <w:br/>
              <w:t>Stockholders’ Equity (Deficit)</w:t>
            </w:r>
          </w:p>
          <w:p w14:paraId="7DCFEC2F" w14:textId="77777777" w:rsidR="00C1563E" w:rsidRDefault="000B648B">
            <w:pPr>
              <w:jc w:val="center"/>
              <w:textAlignment w:val="bottom"/>
            </w:pPr>
            <w:r>
              <w:rPr>
                <w:rFonts w:ascii="Times New Roman" w:eastAsia="宋体" w:hAnsi="Times New Roman"/>
                <w:b/>
                <w:bCs/>
                <w:color w:val="000000"/>
                <w:sz w:val="17"/>
                <w:szCs w:val="17"/>
              </w:rPr>
              <w:t>Non-Controlling Interests</w:t>
            </w:r>
          </w:p>
          <w:p w14:paraId="7DCFEC30" w14:textId="77777777" w:rsidR="00C1563E" w:rsidRDefault="000B648B">
            <w:pPr>
              <w:jc w:val="center"/>
              <w:textAlignment w:val="bottom"/>
            </w:pPr>
            <w:r>
              <w:rPr>
                <w:rFonts w:ascii="Times New Roman" w:eastAsia="宋体" w:hAnsi="Times New Roman"/>
                <w:b/>
                <w:bCs/>
                <w:color w:val="000000"/>
                <w:sz w:val="17"/>
                <w:szCs w:val="17"/>
              </w:rPr>
              <w:t xml:space="preserve">Total Stockholders’ Equity </w:t>
            </w:r>
            <w:r>
              <w:rPr>
                <w:rFonts w:ascii="Times New Roman" w:eastAsia="宋体" w:hAnsi="Times New Roman"/>
                <w:b/>
                <w:bCs/>
                <w:color w:val="000000"/>
                <w:sz w:val="17"/>
                <w:szCs w:val="17"/>
              </w:rPr>
              <w:t>(Deficit)</w:t>
            </w:r>
          </w:p>
        </w:tc>
      </w:tr>
      <w:tr w:rsidR="000B648B" w14:paraId="7DCFEC5D" w14:textId="77777777">
        <w:trPr>
          <w:jc w:val="center"/>
        </w:trPr>
        <w:tc>
          <w:tcPr>
            <w:tcW w:w="0" w:type="auto"/>
            <w:gridSpan w:val="3"/>
            <w:shd w:val="clear" w:color="auto" w:fill="CCEEFF"/>
            <w:tcMar>
              <w:top w:w="40" w:type="dxa"/>
              <w:left w:w="20" w:type="dxa"/>
              <w:bottom w:w="40" w:type="dxa"/>
              <w:right w:w="20" w:type="dxa"/>
            </w:tcMar>
            <w:vAlign w:val="bottom"/>
          </w:tcPr>
          <w:p w14:paraId="7DCFEC32" w14:textId="77777777" w:rsidR="00C1563E" w:rsidRDefault="000B648B">
            <w:pPr>
              <w:textAlignment w:val="bottom"/>
            </w:pPr>
            <w:r>
              <w:rPr>
                <w:rFonts w:ascii="Times New Roman" w:eastAsia="宋体" w:hAnsi="Times New Roman"/>
                <w:b/>
                <w:bCs/>
                <w:color w:val="000000"/>
                <w:sz w:val="18"/>
                <w:szCs w:val="18"/>
              </w:rPr>
              <w:t>Balances as of February 2,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C33" w14:textId="77777777" w:rsidR="00C1563E" w:rsidRDefault="000B648B">
            <w:pPr>
              <w:jc w:val="right"/>
              <w:textAlignment w:val="bottom"/>
            </w:pPr>
            <w:r>
              <w:rPr>
                <w:rFonts w:ascii="Times New Roman" w:eastAsia="宋体" w:hAnsi="Times New Roman"/>
                <w:color w:val="000000"/>
                <w:sz w:val="18"/>
                <w:szCs w:val="18"/>
              </w:rPr>
              <w:t>571 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3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35"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36"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37" w14:textId="77777777" w:rsidR="00C1563E" w:rsidRDefault="000B648B">
            <w:pPr>
              <w:jc w:val="right"/>
              <w:textAlignment w:val="bottom"/>
            </w:pPr>
            <w:r>
              <w:rPr>
                <w:rFonts w:ascii="Times New Roman" w:eastAsia="宋体" w:hAnsi="Times New Roman"/>
                <w:color w:val="000000"/>
                <w:sz w:val="18"/>
                <w:szCs w:val="18"/>
              </w:rPr>
              <w:t>9,848 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39"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C3A" w14:textId="77777777" w:rsidR="00C1563E" w:rsidRDefault="000B648B">
            <w:pPr>
              <w:jc w:val="right"/>
              <w:textAlignment w:val="bottom"/>
            </w:pPr>
            <w:r>
              <w:rPr>
                <w:rFonts w:ascii="Times New Roman" w:eastAsia="宋体" w:hAnsi="Times New Roman"/>
                <w:color w:val="000000"/>
                <w:sz w:val="18"/>
                <w:szCs w:val="18"/>
              </w:rPr>
              <w:t>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3C"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3D"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3E" w14:textId="77777777" w:rsidR="00C1563E" w:rsidRDefault="000B648B">
            <w:pPr>
              <w:jc w:val="right"/>
              <w:textAlignment w:val="bottom"/>
            </w:pPr>
            <w:r>
              <w:rPr>
                <w:rFonts w:ascii="Times New Roman" w:eastAsia="宋体" w:hAnsi="Times New Roman"/>
                <w:color w:val="000000"/>
                <w:sz w:val="18"/>
                <w:szCs w:val="18"/>
              </w:rPr>
              <w:t>10,041 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3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4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C41" w14:textId="77777777" w:rsidR="00C1563E" w:rsidRDefault="000B648B">
            <w:pPr>
              <w:jc w:val="right"/>
              <w:textAlignment w:val="bottom"/>
            </w:pPr>
            <w:r>
              <w:rPr>
                <w:rFonts w:ascii="Times New Roman" w:eastAsia="宋体" w:hAnsi="Times New Roman"/>
                <w:color w:val="000000"/>
                <w:sz w:val="18"/>
                <w:szCs w:val="18"/>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4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4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45" w14:textId="77777777" w:rsidR="00C1563E" w:rsidRDefault="000B648B">
            <w:pPr>
              <w:jc w:val="right"/>
              <w:textAlignment w:val="bottom"/>
            </w:pPr>
            <w:r>
              <w:rPr>
                <w:rFonts w:ascii="Times New Roman" w:eastAsia="宋体" w:hAnsi="Times New Roman"/>
                <w:color w:val="000000"/>
                <w:sz w:val="18"/>
                <w:szCs w:val="18"/>
              </w:rPr>
              <w:t>(16)</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4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C48" w14:textId="77777777" w:rsidR="00C1563E" w:rsidRDefault="000B648B">
            <w:pPr>
              <w:jc w:val="right"/>
              <w:textAlignment w:val="bottom"/>
            </w:pPr>
            <w:r>
              <w:rPr>
                <w:rFonts w:ascii="Times New Roman" w:eastAsia="宋体" w:hAnsi="Times New Roman"/>
                <w:color w:val="000000"/>
                <w:sz w:val="18"/>
                <w:szCs w:val="18"/>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4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4A"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4B"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4C" w14:textId="77777777" w:rsidR="00C1563E" w:rsidRDefault="000B648B">
            <w:pPr>
              <w:jc w:val="right"/>
              <w:textAlignment w:val="bottom"/>
            </w:pPr>
            <w:r>
              <w:rPr>
                <w:rFonts w:ascii="Times New Roman" w:eastAsia="宋体" w:hAnsi="Times New Roman"/>
                <w:color w:val="000000"/>
                <w:sz w:val="18"/>
                <w:szCs w:val="18"/>
              </w:rPr>
              <w:t>(1,424)</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4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4E"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4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50" w14:textId="77777777" w:rsidR="00C1563E" w:rsidRDefault="000B648B">
            <w:pPr>
              <w:jc w:val="right"/>
              <w:textAlignment w:val="bottom"/>
            </w:pPr>
            <w:r>
              <w:rPr>
                <w:rFonts w:ascii="Times New Roman" w:eastAsia="宋体" w:hAnsi="Times New Roman"/>
                <w:color w:val="000000"/>
                <w:sz w:val="18"/>
                <w:szCs w:val="18"/>
              </w:rPr>
              <w:t>(6,860)</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5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52"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53"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C54" w14:textId="77777777" w:rsidR="00C1563E" w:rsidRDefault="000B648B">
            <w:pPr>
              <w:jc w:val="right"/>
              <w:textAlignment w:val="bottom"/>
            </w:pPr>
            <w:r>
              <w:rPr>
                <w:rFonts w:ascii="Times New Roman" w:eastAsia="宋体" w:hAnsi="Times New Roman"/>
                <w:color w:val="000000"/>
                <w:sz w:val="18"/>
                <w:szCs w:val="18"/>
              </w:rPr>
              <w:t>130 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C55"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C56"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C57" w14:textId="77777777" w:rsidR="00C1563E" w:rsidRDefault="000B648B">
            <w:pPr>
              <w:textAlignment w:val="bottom"/>
            </w:pPr>
            <w:r>
              <w:rPr>
                <w:rFonts w:ascii="Times New Roman" w:eastAsia="宋体" w:hAnsi="Times New Roman"/>
                <w:color w:val="000000"/>
                <w:sz w:val="18"/>
                <w:szCs w:val="18"/>
              </w:rPr>
              <w:t>$</w:t>
            </w:r>
          </w:p>
          <w:p w14:paraId="7DCFEC58" w14:textId="77777777" w:rsidR="00C1563E" w:rsidRDefault="000B648B">
            <w:pPr>
              <w:jc w:val="right"/>
              <w:textAlignment w:val="bottom"/>
            </w:pPr>
            <w:r>
              <w:rPr>
                <w:rFonts w:ascii="Times New Roman" w:eastAsia="宋体" w:hAnsi="Times New Roman"/>
                <w:color w:val="000000"/>
                <w:sz w:val="18"/>
                <w:szCs w:val="18"/>
              </w:rPr>
              <w:t>11,719 </w:t>
            </w:r>
          </w:p>
          <w:p w14:paraId="7DCFEC59" w14:textId="77777777" w:rsidR="00C1563E" w:rsidRDefault="000B648B">
            <w:pPr>
              <w:textAlignment w:val="bottom"/>
            </w:pPr>
            <w:r>
              <w:rPr>
                <w:rFonts w:ascii="Times New Roman" w:eastAsia="宋体" w:hAnsi="Times New Roman"/>
                <w:color w:val="000000"/>
                <w:sz w:val="18"/>
                <w:szCs w:val="18"/>
              </w:rPr>
              <w:t>$</w:t>
            </w:r>
          </w:p>
          <w:p w14:paraId="7DCFEC5A" w14:textId="77777777" w:rsidR="00C1563E" w:rsidRDefault="000B648B">
            <w:pPr>
              <w:jc w:val="right"/>
              <w:textAlignment w:val="bottom"/>
            </w:pPr>
            <w:r>
              <w:rPr>
                <w:rFonts w:ascii="Times New Roman" w:eastAsia="宋体" w:hAnsi="Times New Roman"/>
                <w:color w:val="000000"/>
                <w:sz w:val="18"/>
                <w:szCs w:val="18"/>
              </w:rPr>
              <w:t>5,766 </w:t>
            </w:r>
          </w:p>
          <w:p w14:paraId="7DCFEC5B" w14:textId="77777777" w:rsidR="00C1563E" w:rsidRDefault="000B648B">
            <w:pPr>
              <w:textAlignment w:val="bottom"/>
            </w:pPr>
            <w:r>
              <w:rPr>
                <w:rFonts w:ascii="Times New Roman" w:eastAsia="宋体" w:hAnsi="Times New Roman"/>
                <w:color w:val="000000"/>
                <w:sz w:val="18"/>
                <w:szCs w:val="18"/>
              </w:rPr>
              <w:t>$</w:t>
            </w:r>
          </w:p>
          <w:p w14:paraId="7DCFEC5C" w14:textId="77777777" w:rsidR="00C1563E" w:rsidRDefault="000B648B">
            <w:pPr>
              <w:jc w:val="right"/>
              <w:textAlignment w:val="bottom"/>
            </w:pPr>
            <w:r>
              <w:rPr>
                <w:rFonts w:ascii="Times New Roman" w:eastAsia="宋体" w:hAnsi="Times New Roman"/>
                <w:color w:val="000000"/>
                <w:sz w:val="18"/>
                <w:szCs w:val="18"/>
              </w:rPr>
              <w:t>17,485 </w:t>
            </w:r>
          </w:p>
        </w:tc>
      </w:tr>
      <w:tr w:rsidR="000B648B" w14:paraId="7DCFEC80" w14:textId="77777777">
        <w:trPr>
          <w:jc w:val="center"/>
        </w:trPr>
        <w:tc>
          <w:tcPr>
            <w:tcW w:w="0" w:type="auto"/>
            <w:gridSpan w:val="3"/>
            <w:shd w:val="clear" w:color="auto" w:fill="FFFFFF"/>
            <w:tcMar>
              <w:top w:w="40" w:type="dxa"/>
              <w:left w:w="20" w:type="dxa"/>
              <w:bottom w:w="40" w:type="dxa"/>
              <w:right w:w="20" w:type="dxa"/>
            </w:tcMar>
            <w:vAlign w:val="bottom"/>
          </w:tcPr>
          <w:p w14:paraId="7DCFEC5E" w14:textId="77777777" w:rsidR="00C1563E" w:rsidRDefault="000B648B">
            <w:pPr>
              <w:textAlignment w:val="bottom"/>
            </w:pPr>
            <w:r>
              <w:rPr>
                <w:rFonts w:ascii="Times New Roman" w:eastAsia="宋体" w:hAnsi="Times New Roman"/>
                <w:color w:val="000000"/>
                <w:sz w:val="18"/>
                <w:szCs w:val="18"/>
              </w:rPr>
              <w:t>Adjustment for adoption of accounting standards (Note 2)</w:t>
            </w:r>
          </w:p>
        </w:tc>
        <w:tc>
          <w:tcPr>
            <w:tcW w:w="0" w:type="auto"/>
            <w:gridSpan w:val="2"/>
            <w:shd w:val="clear" w:color="auto" w:fill="FFFFFF"/>
            <w:tcMar>
              <w:top w:w="40" w:type="dxa"/>
              <w:left w:w="20" w:type="dxa"/>
              <w:bottom w:w="40" w:type="dxa"/>
              <w:right w:w="0" w:type="dxa"/>
            </w:tcMar>
            <w:vAlign w:val="bottom"/>
          </w:tcPr>
          <w:p w14:paraId="7DCFEC5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6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6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6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6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6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6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6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6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6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6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7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7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7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7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7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7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7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77" w14:textId="77777777" w:rsidR="00C1563E" w:rsidRDefault="000B648B">
            <w:pPr>
              <w:jc w:val="right"/>
              <w:textAlignment w:val="bottom"/>
            </w:pPr>
            <w:r>
              <w:rPr>
                <w:rFonts w:ascii="Times New Roman" w:eastAsia="宋体" w:hAnsi="Times New Roman"/>
                <w:color w:val="000000"/>
                <w:sz w:val="18"/>
                <w:szCs w:val="18"/>
              </w:rPr>
              <w:t>58 </w:t>
            </w:r>
          </w:p>
        </w:tc>
        <w:tc>
          <w:tcPr>
            <w:tcW w:w="0" w:type="auto"/>
            <w:shd w:val="clear" w:color="auto" w:fill="FFFFFF"/>
            <w:tcMar>
              <w:top w:w="40" w:type="dxa"/>
              <w:left w:w="0" w:type="dxa"/>
              <w:bottom w:w="40" w:type="dxa"/>
              <w:right w:w="20" w:type="dxa"/>
            </w:tcMar>
            <w:vAlign w:val="bottom"/>
          </w:tcPr>
          <w:p w14:paraId="7DCFEC7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7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7A" w14:textId="77777777" w:rsidR="00C1563E" w:rsidRDefault="000B648B">
            <w:pPr>
              <w:jc w:val="right"/>
              <w:textAlignment w:val="bottom"/>
            </w:pPr>
            <w:r>
              <w:rPr>
                <w:rFonts w:ascii="Times New Roman" w:eastAsia="宋体" w:hAnsi="Times New Roman"/>
                <w:color w:val="000000"/>
                <w:sz w:val="18"/>
                <w:szCs w:val="18"/>
              </w:rPr>
              <w:t>(58)</w:t>
            </w:r>
          </w:p>
        </w:tc>
        <w:tc>
          <w:tcPr>
            <w:tcW w:w="0" w:type="auto"/>
            <w:shd w:val="clear" w:color="auto" w:fill="FFFFFF"/>
            <w:tcMar>
              <w:top w:w="40" w:type="dxa"/>
              <w:left w:w="0" w:type="dxa"/>
              <w:bottom w:w="40" w:type="dxa"/>
              <w:right w:w="20" w:type="dxa"/>
            </w:tcMar>
            <w:vAlign w:val="bottom"/>
          </w:tcPr>
          <w:p w14:paraId="7DCFEC7B"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C7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C7D" w14:textId="77777777" w:rsidR="00C1563E" w:rsidRDefault="000B648B">
            <w:pPr>
              <w:jc w:val="right"/>
              <w:textAlignment w:val="bottom"/>
            </w:pPr>
            <w:r>
              <w:rPr>
                <w:rFonts w:ascii="Times New Roman" w:eastAsia="宋体" w:hAnsi="Times New Roman"/>
                <w:color w:val="000000"/>
                <w:sz w:val="18"/>
                <w:szCs w:val="18"/>
              </w:rPr>
              <w:t>— </w:t>
            </w:r>
          </w:p>
          <w:p w14:paraId="7DCFEC7E" w14:textId="77777777" w:rsidR="00C1563E" w:rsidRDefault="000B648B">
            <w:pPr>
              <w:jc w:val="right"/>
              <w:textAlignment w:val="bottom"/>
            </w:pPr>
            <w:r>
              <w:rPr>
                <w:rFonts w:ascii="Times New Roman" w:eastAsia="宋体" w:hAnsi="Times New Roman"/>
                <w:color w:val="000000"/>
                <w:sz w:val="18"/>
                <w:szCs w:val="18"/>
              </w:rPr>
              <w:t>(5)</w:t>
            </w:r>
          </w:p>
          <w:p w14:paraId="7DCFEC7F" w14:textId="77777777" w:rsidR="00C1563E" w:rsidRDefault="000B648B">
            <w:pPr>
              <w:jc w:val="right"/>
              <w:textAlignment w:val="bottom"/>
            </w:pPr>
            <w:r>
              <w:rPr>
                <w:rFonts w:ascii="Times New Roman" w:eastAsia="宋体" w:hAnsi="Times New Roman"/>
                <w:color w:val="000000"/>
                <w:sz w:val="18"/>
                <w:szCs w:val="18"/>
              </w:rPr>
              <w:t>(5)</w:t>
            </w:r>
          </w:p>
        </w:tc>
      </w:tr>
      <w:tr w:rsidR="000B648B" w14:paraId="7DCFECA3" w14:textId="77777777">
        <w:trPr>
          <w:jc w:val="center"/>
        </w:trPr>
        <w:tc>
          <w:tcPr>
            <w:tcW w:w="0" w:type="auto"/>
            <w:gridSpan w:val="3"/>
            <w:shd w:val="clear" w:color="auto" w:fill="CCEEFF"/>
            <w:tcMar>
              <w:top w:w="40" w:type="dxa"/>
              <w:left w:w="155" w:type="dxa"/>
              <w:bottom w:w="40" w:type="dxa"/>
              <w:right w:w="20" w:type="dxa"/>
            </w:tcMar>
            <w:vAlign w:val="bottom"/>
          </w:tcPr>
          <w:p w14:paraId="7DCFEC81" w14:textId="77777777" w:rsidR="00C1563E" w:rsidRDefault="000B648B">
            <w:pPr>
              <w:textAlignment w:val="bottom"/>
            </w:pPr>
            <w:r>
              <w:rPr>
                <w:rFonts w:ascii="Times New Roman" w:eastAsia="宋体" w:hAnsi="Times New Roman"/>
                <w:color w:val="000000"/>
                <w:sz w:val="18"/>
                <w:szCs w:val="18"/>
              </w:rPr>
              <w:t>Net income (loss)</w:t>
            </w:r>
          </w:p>
        </w:tc>
        <w:tc>
          <w:tcPr>
            <w:tcW w:w="0" w:type="auto"/>
            <w:gridSpan w:val="2"/>
            <w:shd w:val="clear" w:color="auto" w:fill="CCEEFF"/>
            <w:tcMar>
              <w:top w:w="40" w:type="dxa"/>
              <w:left w:w="20" w:type="dxa"/>
              <w:bottom w:w="40" w:type="dxa"/>
              <w:right w:w="0" w:type="dxa"/>
            </w:tcMar>
            <w:vAlign w:val="bottom"/>
          </w:tcPr>
          <w:p w14:paraId="7DCFEC8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8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8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8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8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8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8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8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8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8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8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9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9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9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9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9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9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9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9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9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9A" w14:textId="77777777" w:rsidR="00C1563E" w:rsidRDefault="000B648B">
            <w:pPr>
              <w:jc w:val="right"/>
              <w:textAlignment w:val="bottom"/>
            </w:pPr>
            <w:r>
              <w:rPr>
                <w:rFonts w:ascii="Times New Roman" w:eastAsia="宋体" w:hAnsi="Times New Roman"/>
                <w:color w:val="000000"/>
                <w:sz w:val="18"/>
                <w:szCs w:val="18"/>
              </w:rPr>
              <w:t>(2,310)</w:t>
            </w:r>
          </w:p>
        </w:tc>
        <w:tc>
          <w:tcPr>
            <w:tcW w:w="0" w:type="auto"/>
            <w:shd w:val="clear" w:color="auto" w:fill="CCEEFF"/>
            <w:tcMar>
              <w:top w:w="40" w:type="dxa"/>
              <w:left w:w="0" w:type="dxa"/>
              <w:bottom w:w="40" w:type="dxa"/>
              <w:right w:w="20" w:type="dxa"/>
            </w:tcMar>
            <w:vAlign w:val="bottom"/>
          </w:tcPr>
          <w:p w14:paraId="7DCFEC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9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9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9E"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C9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CA0" w14:textId="77777777" w:rsidR="00C1563E" w:rsidRDefault="000B648B">
            <w:pPr>
              <w:jc w:val="right"/>
              <w:textAlignment w:val="bottom"/>
            </w:pPr>
            <w:r>
              <w:rPr>
                <w:rFonts w:ascii="Times New Roman" w:eastAsia="宋体" w:hAnsi="Times New Roman"/>
                <w:color w:val="000000"/>
                <w:sz w:val="18"/>
                <w:szCs w:val="18"/>
              </w:rPr>
              <w:t>(2,310)</w:t>
            </w:r>
          </w:p>
          <w:p w14:paraId="7DCFECA1" w14:textId="77777777" w:rsidR="00C1563E" w:rsidRDefault="000B648B">
            <w:pPr>
              <w:jc w:val="right"/>
              <w:textAlignment w:val="bottom"/>
            </w:pPr>
            <w:r>
              <w:rPr>
                <w:rFonts w:ascii="Times New Roman" w:eastAsia="宋体" w:hAnsi="Times New Roman"/>
                <w:color w:val="000000"/>
                <w:sz w:val="18"/>
                <w:szCs w:val="18"/>
              </w:rPr>
              <w:t>129 </w:t>
            </w:r>
          </w:p>
          <w:p w14:paraId="7DCFECA2" w14:textId="77777777" w:rsidR="00C1563E" w:rsidRDefault="000B648B">
            <w:pPr>
              <w:jc w:val="right"/>
              <w:textAlignment w:val="bottom"/>
            </w:pPr>
            <w:r>
              <w:rPr>
                <w:rFonts w:ascii="Times New Roman" w:eastAsia="宋体" w:hAnsi="Times New Roman"/>
                <w:color w:val="000000"/>
                <w:sz w:val="18"/>
                <w:szCs w:val="18"/>
              </w:rPr>
              <w:t>(2,181)</w:t>
            </w:r>
          </w:p>
        </w:tc>
      </w:tr>
      <w:tr w:rsidR="000B648B" w14:paraId="7DCFECC6" w14:textId="77777777">
        <w:trPr>
          <w:jc w:val="center"/>
        </w:trPr>
        <w:tc>
          <w:tcPr>
            <w:tcW w:w="0" w:type="auto"/>
            <w:gridSpan w:val="3"/>
            <w:shd w:val="clear" w:color="auto" w:fill="FFFFFF"/>
            <w:tcMar>
              <w:top w:w="40" w:type="dxa"/>
              <w:left w:w="155" w:type="dxa"/>
              <w:bottom w:w="40" w:type="dxa"/>
              <w:right w:w="20" w:type="dxa"/>
            </w:tcMar>
            <w:vAlign w:val="bottom"/>
          </w:tcPr>
          <w:p w14:paraId="7DCFECA4" w14:textId="77777777" w:rsidR="00C1563E" w:rsidRDefault="000B648B">
            <w:pPr>
              <w:textAlignment w:val="bottom"/>
            </w:pPr>
            <w:r>
              <w:rPr>
                <w:rFonts w:ascii="Times New Roman" w:eastAsia="宋体" w:hAnsi="Times New Roman"/>
                <w:color w:val="000000"/>
                <w:sz w:val="18"/>
                <w:szCs w:val="18"/>
              </w:rPr>
              <w:t>Foreign currency t</w:t>
            </w:r>
            <w:r>
              <w:rPr>
                <w:rFonts w:ascii="Times New Roman" w:eastAsia="宋体" w:hAnsi="Times New Roman"/>
                <w:color w:val="000000"/>
                <w:sz w:val="18"/>
                <w:szCs w:val="18"/>
              </w:rPr>
              <w:t>ranslation adjustments</w:t>
            </w:r>
          </w:p>
        </w:tc>
        <w:tc>
          <w:tcPr>
            <w:tcW w:w="0" w:type="auto"/>
            <w:gridSpan w:val="2"/>
            <w:shd w:val="clear" w:color="auto" w:fill="FFFFFF"/>
            <w:tcMar>
              <w:top w:w="40" w:type="dxa"/>
              <w:left w:w="20" w:type="dxa"/>
              <w:bottom w:w="40" w:type="dxa"/>
              <w:right w:w="0" w:type="dxa"/>
            </w:tcMar>
            <w:vAlign w:val="bottom"/>
          </w:tcPr>
          <w:p w14:paraId="7DCFECA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A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A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A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A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A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A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A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A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B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B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B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B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B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B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B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B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C0" w14:textId="77777777" w:rsidR="00C1563E" w:rsidRDefault="000B648B">
            <w:pPr>
              <w:jc w:val="right"/>
              <w:textAlignment w:val="bottom"/>
            </w:pPr>
            <w:r>
              <w:rPr>
                <w:rFonts w:ascii="Times New Roman" w:eastAsia="宋体" w:hAnsi="Times New Roman"/>
                <w:color w:val="000000"/>
                <w:sz w:val="18"/>
                <w:szCs w:val="18"/>
              </w:rPr>
              <w:t>(631)</w:t>
            </w:r>
          </w:p>
        </w:tc>
        <w:tc>
          <w:tcPr>
            <w:tcW w:w="0" w:type="auto"/>
            <w:shd w:val="clear" w:color="auto" w:fill="FFFFFF"/>
            <w:tcMar>
              <w:top w:w="40" w:type="dxa"/>
              <w:left w:w="0" w:type="dxa"/>
              <w:bottom w:w="40" w:type="dxa"/>
              <w:right w:w="20" w:type="dxa"/>
            </w:tcMar>
            <w:vAlign w:val="bottom"/>
          </w:tcPr>
          <w:p w14:paraId="7DCFECC1"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CC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CC3" w14:textId="77777777" w:rsidR="00C1563E" w:rsidRDefault="000B648B">
            <w:pPr>
              <w:jc w:val="right"/>
              <w:textAlignment w:val="bottom"/>
            </w:pPr>
            <w:r>
              <w:rPr>
                <w:rFonts w:ascii="Times New Roman" w:eastAsia="宋体" w:hAnsi="Times New Roman"/>
                <w:color w:val="000000"/>
                <w:sz w:val="18"/>
                <w:szCs w:val="18"/>
              </w:rPr>
              <w:t>(631)</w:t>
            </w:r>
          </w:p>
          <w:p w14:paraId="7DCFECC4" w14:textId="77777777" w:rsidR="00C1563E" w:rsidRDefault="000B648B">
            <w:pPr>
              <w:jc w:val="right"/>
              <w:textAlignment w:val="bottom"/>
            </w:pPr>
            <w:r>
              <w:rPr>
                <w:rFonts w:ascii="Times New Roman" w:eastAsia="宋体" w:hAnsi="Times New Roman"/>
                <w:color w:val="000000"/>
                <w:sz w:val="18"/>
                <w:szCs w:val="18"/>
              </w:rPr>
              <w:t>— </w:t>
            </w:r>
          </w:p>
          <w:p w14:paraId="7DCFECC5" w14:textId="77777777" w:rsidR="00C1563E" w:rsidRDefault="000B648B">
            <w:pPr>
              <w:jc w:val="right"/>
              <w:textAlignment w:val="bottom"/>
            </w:pPr>
            <w:r>
              <w:rPr>
                <w:rFonts w:ascii="Times New Roman" w:eastAsia="宋体" w:hAnsi="Times New Roman"/>
                <w:color w:val="000000"/>
                <w:sz w:val="18"/>
                <w:szCs w:val="18"/>
              </w:rPr>
              <w:t>(631)</w:t>
            </w:r>
          </w:p>
        </w:tc>
      </w:tr>
      <w:tr w:rsidR="000B648B" w14:paraId="7DCFECE9" w14:textId="77777777">
        <w:trPr>
          <w:jc w:val="center"/>
        </w:trPr>
        <w:tc>
          <w:tcPr>
            <w:tcW w:w="0" w:type="auto"/>
            <w:gridSpan w:val="3"/>
            <w:shd w:val="clear" w:color="auto" w:fill="CCEEFF"/>
            <w:tcMar>
              <w:top w:w="40" w:type="dxa"/>
              <w:left w:w="155" w:type="dxa"/>
              <w:bottom w:w="40" w:type="dxa"/>
              <w:right w:w="20" w:type="dxa"/>
            </w:tcMar>
            <w:vAlign w:val="bottom"/>
          </w:tcPr>
          <w:p w14:paraId="7DCFECC7" w14:textId="77777777" w:rsidR="00C1563E" w:rsidRDefault="000B648B">
            <w:pPr>
              <w:textAlignment w:val="bottom"/>
            </w:pPr>
            <w:r>
              <w:rPr>
                <w:rFonts w:ascii="Times New Roman" w:eastAsia="宋体" w:hAnsi="Times New Roman"/>
                <w:color w:val="000000"/>
                <w:sz w:val="18"/>
                <w:szCs w:val="18"/>
              </w:rPr>
              <w:t>Investments, net change</w:t>
            </w:r>
          </w:p>
        </w:tc>
        <w:tc>
          <w:tcPr>
            <w:tcW w:w="0" w:type="auto"/>
            <w:gridSpan w:val="2"/>
            <w:shd w:val="clear" w:color="auto" w:fill="CCEEFF"/>
            <w:tcMar>
              <w:top w:w="40" w:type="dxa"/>
              <w:left w:w="20" w:type="dxa"/>
              <w:bottom w:w="40" w:type="dxa"/>
              <w:right w:w="0" w:type="dxa"/>
            </w:tcMar>
            <w:vAlign w:val="bottom"/>
          </w:tcPr>
          <w:p w14:paraId="7DCFECC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C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C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C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C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C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C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C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D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D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D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D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D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D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D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D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D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E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CE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CE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CE3" w14:textId="77777777" w:rsidR="00C1563E" w:rsidRDefault="000B648B">
            <w:pPr>
              <w:jc w:val="right"/>
              <w:textAlignment w:val="bottom"/>
            </w:pPr>
            <w:r>
              <w:rPr>
                <w:rFonts w:ascii="Times New Roman" w:eastAsia="宋体" w:hAnsi="Times New Roman"/>
                <w:color w:val="000000"/>
                <w:sz w:val="18"/>
                <w:szCs w:val="18"/>
              </w:rPr>
              <w:t>39 </w:t>
            </w:r>
          </w:p>
        </w:tc>
        <w:tc>
          <w:tcPr>
            <w:tcW w:w="0" w:type="auto"/>
            <w:shd w:val="clear" w:color="auto" w:fill="CCEEFF"/>
            <w:tcMar>
              <w:top w:w="40" w:type="dxa"/>
              <w:left w:w="0" w:type="dxa"/>
              <w:bottom w:w="40" w:type="dxa"/>
              <w:right w:w="20" w:type="dxa"/>
            </w:tcMar>
            <w:vAlign w:val="bottom"/>
          </w:tcPr>
          <w:p w14:paraId="7DCFECE4"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CE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CE6" w14:textId="77777777" w:rsidR="00C1563E" w:rsidRDefault="000B648B">
            <w:pPr>
              <w:jc w:val="right"/>
              <w:textAlignment w:val="bottom"/>
            </w:pPr>
            <w:r>
              <w:rPr>
                <w:rFonts w:ascii="Times New Roman" w:eastAsia="宋体" w:hAnsi="Times New Roman"/>
                <w:color w:val="000000"/>
                <w:sz w:val="18"/>
                <w:szCs w:val="18"/>
              </w:rPr>
              <w:t>39 </w:t>
            </w:r>
          </w:p>
          <w:p w14:paraId="7DCFECE7" w14:textId="77777777" w:rsidR="00C1563E" w:rsidRDefault="000B648B">
            <w:pPr>
              <w:jc w:val="right"/>
              <w:textAlignment w:val="bottom"/>
            </w:pPr>
            <w:r>
              <w:rPr>
                <w:rFonts w:ascii="Times New Roman" w:eastAsia="宋体" w:hAnsi="Times New Roman"/>
                <w:color w:val="000000"/>
                <w:sz w:val="18"/>
                <w:szCs w:val="18"/>
              </w:rPr>
              <w:t>6 </w:t>
            </w:r>
          </w:p>
          <w:p w14:paraId="7DCFECE8" w14:textId="77777777" w:rsidR="00C1563E" w:rsidRDefault="000B648B">
            <w:pPr>
              <w:jc w:val="right"/>
              <w:textAlignment w:val="bottom"/>
            </w:pPr>
            <w:r>
              <w:rPr>
                <w:rFonts w:ascii="Times New Roman" w:eastAsia="宋体" w:hAnsi="Times New Roman"/>
                <w:color w:val="000000"/>
                <w:sz w:val="18"/>
                <w:szCs w:val="18"/>
              </w:rPr>
              <w:t>45 </w:t>
            </w:r>
          </w:p>
        </w:tc>
      </w:tr>
      <w:tr w:rsidR="000B648B" w14:paraId="7DCFED0C" w14:textId="77777777">
        <w:trPr>
          <w:jc w:val="center"/>
        </w:trPr>
        <w:tc>
          <w:tcPr>
            <w:tcW w:w="0" w:type="auto"/>
            <w:gridSpan w:val="3"/>
            <w:shd w:val="clear" w:color="auto" w:fill="FFFFFF"/>
            <w:tcMar>
              <w:top w:w="40" w:type="dxa"/>
              <w:left w:w="155" w:type="dxa"/>
              <w:bottom w:w="40" w:type="dxa"/>
              <w:right w:w="20" w:type="dxa"/>
            </w:tcMar>
            <w:vAlign w:val="bottom"/>
          </w:tcPr>
          <w:p w14:paraId="7DCFECEA" w14:textId="77777777" w:rsidR="00C1563E" w:rsidRDefault="000B648B">
            <w:pPr>
              <w:textAlignment w:val="bottom"/>
            </w:pPr>
            <w:r>
              <w:rPr>
                <w:rFonts w:ascii="Times New Roman" w:eastAsia="宋体" w:hAnsi="Times New Roman"/>
                <w:color w:val="000000"/>
                <w:sz w:val="18"/>
                <w:szCs w:val="18"/>
              </w:rPr>
              <w:t>Cash flow hedges, net change</w:t>
            </w:r>
          </w:p>
        </w:tc>
        <w:tc>
          <w:tcPr>
            <w:tcW w:w="0" w:type="auto"/>
            <w:gridSpan w:val="2"/>
            <w:shd w:val="clear" w:color="auto" w:fill="FFFFFF"/>
            <w:tcMar>
              <w:top w:w="40" w:type="dxa"/>
              <w:left w:w="20" w:type="dxa"/>
              <w:bottom w:w="40" w:type="dxa"/>
              <w:right w:w="0" w:type="dxa"/>
            </w:tcMar>
            <w:vAlign w:val="bottom"/>
          </w:tcPr>
          <w:p w14:paraId="7DCFECE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E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E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E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E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F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F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F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F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F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F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F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CF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CF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CF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0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0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0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0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0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06" w14:textId="77777777" w:rsidR="00C1563E" w:rsidRDefault="000B648B">
            <w:pPr>
              <w:jc w:val="right"/>
              <w:textAlignment w:val="bottom"/>
            </w:pPr>
            <w:r>
              <w:rPr>
                <w:rFonts w:ascii="Times New Roman" w:eastAsia="宋体" w:hAnsi="Times New Roman"/>
                <w:color w:val="000000"/>
                <w:sz w:val="18"/>
                <w:szCs w:val="18"/>
              </w:rPr>
              <w:t>74 </w:t>
            </w:r>
          </w:p>
        </w:tc>
        <w:tc>
          <w:tcPr>
            <w:tcW w:w="0" w:type="auto"/>
            <w:shd w:val="clear" w:color="auto" w:fill="FFFFFF"/>
            <w:tcMar>
              <w:top w:w="40" w:type="dxa"/>
              <w:left w:w="0" w:type="dxa"/>
              <w:bottom w:w="40" w:type="dxa"/>
              <w:right w:w="20" w:type="dxa"/>
            </w:tcMar>
            <w:vAlign w:val="bottom"/>
          </w:tcPr>
          <w:p w14:paraId="7DCFED07"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D0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D09" w14:textId="77777777" w:rsidR="00C1563E" w:rsidRDefault="000B648B">
            <w:pPr>
              <w:jc w:val="right"/>
              <w:textAlignment w:val="bottom"/>
            </w:pPr>
            <w:r>
              <w:rPr>
                <w:rFonts w:ascii="Times New Roman" w:eastAsia="宋体" w:hAnsi="Times New Roman"/>
                <w:color w:val="000000"/>
                <w:sz w:val="18"/>
                <w:szCs w:val="18"/>
              </w:rPr>
              <w:t>74 </w:t>
            </w:r>
          </w:p>
          <w:p w14:paraId="7DCFED0A" w14:textId="77777777" w:rsidR="00C1563E" w:rsidRDefault="000B648B">
            <w:pPr>
              <w:jc w:val="right"/>
              <w:textAlignment w:val="bottom"/>
            </w:pPr>
            <w:r>
              <w:rPr>
                <w:rFonts w:ascii="Times New Roman" w:eastAsia="宋体" w:hAnsi="Times New Roman"/>
                <w:color w:val="000000"/>
                <w:sz w:val="18"/>
                <w:szCs w:val="18"/>
              </w:rPr>
              <w:t>— </w:t>
            </w:r>
          </w:p>
          <w:p w14:paraId="7DCFED0B" w14:textId="77777777" w:rsidR="00C1563E" w:rsidRDefault="000B648B">
            <w:pPr>
              <w:jc w:val="right"/>
              <w:textAlignment w:val="bottom"/>
            </w:pPr>
            <w:r>
              <w:rPr>
                <w:rFonts w:ascii="Times New Roman" w:eastAsia="宋体" w:hAnsi="Times New Roman"/>
                <w:color w:val="000000"/>
                <w:sz w:val="18"/>
                <w:szCs w:val="18"/>
              </w:rPr>
              <w:t>74 </w:t>
            </w:r>
          </w:p>
        </w:tc>
      </w:tr>
      <w:tr w:rsidR="000B648B" w14:paraId="7DCFED2F" w14:textId="77777777">
        <w:trPr>
          <w:jc w:val="center"/>
        </w:trPr>
        <w:tc>
          <w:tcPr>
            <w:tcW w:w="0" w:type="auto"/>
            <w:gridSpan w:val="3"/>
            <w:shd w:val="clear" w:color="auto" w:fill="CCEEFF"/>
            <w:tcMar>
              <w:top w:w="40" w:type="dxa"/>
              <w:left w:w="155" w:type="dxa"/>
              <w:bottom w:w="40" w:type="dxa"/>
              <w:right w:w="20" w:type="dxa"/>
            </w:tcMar>
            <w:vAlign w:val="bottom"/>
          </w:tcPr>
          <w:p w14:paraId="7DCFED0D" w14:textId="77777777" w:rsidR="00C1563E" w:rsidRDefault="000B648B">
            <w:pPr>
              <w:textAlignment w:val="bottom"/>
            </w:pPr>
            <w:r>
              <w:rPr>
                <w:rFonts w:ascii="Times New Roman" w:eastAsia="宋体" w:hAnsi="Times New Roman"/>
                <w:color w:val="000000"/>
                <w:sz w:val="18"/>
                <w:szCs w:val="18"/>
              </w:rPr>
              <w:t>Pension and other post-retirement</w:t>
            </w:r>
          </w:p>
        </w:tc>
        <w:tc>
          <w:tcPr>
            <w:tcW w:w="0" w:type="auto"/>
            <w:gridSpan w:val="2"/>
            <w:shd w:val="clear" w:color="auto" w:fill="CCEEFF"/>
            <w:tcMar>
              <w:top w:w="40" w:type="dxa"/>
              <w:left w:w="20" w:type="dxa"/>
              <w:bottom w:w="40" w:type="dxa"/>
              <w:right w:w="0" w:type="dxa"/>
            </w:tcMar>
            <w:vAlign w:val="bottom"/>
          </w:tcPr>
          <w:p w14:paraId="7DCFED0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0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1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1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1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1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1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1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1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1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1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1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1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2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2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2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2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2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2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2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2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2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29" w14:textId="77777777" w:rsidR="00C1563E" w:rsidRDefault="000B648B">
            <w:pPr>
              <w:jc w:val="right"/>
              <w:textAlignment w:val="bottom"/>
            </w:pPr>
            <w:r>
              <w:rPr>
                <w:rFonts w:ascii="Times New Roman" w:eastAsia="宋体" w:hAnsi="Times New Roman"/>
                <w:color w:val="000000"/>
                <w:sz w:val="18"/>
                <w:szCs w:val="18"/>
              </w:rPr>
              <w:t>(21)</w:t>
            </w:r>
          </w:p>
        </w:tc>
        <w:tc>
          <w:tcPr>
            <w:tcW w:w="0" w:type="auto"/>
            <w:shd w:val="clear" w:color="auto" w:fill="CCEEFF"/>
            <w:tcMar>
              <w:top w:w="40" w:type="dxa"/>
              <w:left w:w="0" w:type="dxa"/>
              <w:bottom w:w="40" w:type="dxa"/>
              <w:right w:w="20" w:type="dxa"/>
            </w:tcMar>
            <w:vAlign w:val="bottom"/>
          </w:tcPr>
          <w:p w14:paraId="7DCFED2A"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D2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D2C" w14:textId="77777777" w:rsidR="00C1563E" w:rsidRDefault="000B648B">
            <w:pPr>
              <w:jc w:val="right"/>
              <w:textAlignment w:val="bottom"/>
            </w:pPr>
            <w:r>
              <w:rPr>
                <w:rFonts w:ascii="Times New Roman" w:eastAsia="宋体" w:hAnsi="Times New Roman"/>
                <w:color w:val="000000"/>
                <w:sz w:val="18"/>
                <w:szCs w:val="18"/>
              </w:rPr>
              <w:t>(21)</w:t>
            </w:r>
          </w:p>
          <w:p w14:paraId="7DCFED2D" w14:textId="77777777" w:rsidR="00C1563E" w:rsidRDefault="000B648B">
            <w:pPr>
              <w:jc w:val="right"/>
              <w:textAlignment w:val="bottom"/>
            </w:pPr>
            <w:r>
              <w:rPr>
                <w:rFonts w:ascii="Times New Roman" w:eastAsia="宋体" w:hAnsi="Times New Roman"/>
                <w:color w:val="000000"/>
                <w:sz w:val="18"/>
                <w:szCs w:val="18"/>
              </w:rPr>
              <w:t>— </w:t>
            </w:r>
          </w:p>
          <w:p w14:paraId="7DCFED2E" w14:textId="77777777" w:rsidR="00C1563E" w:rsidRDefault="000B648B">
            <w:pPr>
              <w:jc w:val="right"/>
              <w:textAlignment w:val="bottom"/>
            </w:pPr>
            <w:r>
              <w:rPr>
                <w:rFonts w:ascii="Times New Roman" w:eastAsia="宋体" w:hAnsi="Times New Roman"/>
                <w:color w:val="000000"/>
                <w:sz w:val="18"/>
                <w:szCs w:val="18"/>
              </w:rPr>
              <w:t>(21)</w:t>
            </w:r>
          </w:p>
        </w:tc>
      </w:tr>
      <w:tr w:rsidR="000B648B" w14:paraId="7DCFED52" w14:textId="77777777">
        <w:trPr>
          <w:jc w:val="center"/>
        </w:trPr>
        <w:tc>
          <w:tcPr>
            <w:tcW w:w="0" w:type="auto"/>
            <w:gridSpan w:val="3"/>
            <w:shd w:val="clear" w:color="auto" w:fill="FFFFFF"/>
            <w:tcMar>
              <w:top w:w="40" w:type="dxa"/>
              <w:left w:w="155" w:type="dxa"/>
              <w:bottom w:w="40" w:type="dxa"/>
              <w:right w:w="20" w:type="dxa"/>
            </w:tcMar>
            <w:vAlign w:val="bottom"/>
          </w:tcPr>
          <w:p w14:paraId="7DCFED30" w14:textId="77777777" w:rsidR="00C1563E" w:rsidRDefault="000B648B">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7DCFED31" w14:textId="77777777" w:rsidR="00C1563E" w:rsidRDefault="000B648B">
            <w:pPr>
              <w:jc w:val="right"/>
              <w:textAlignment w:val="bottom"/>
            </w:pPr>
            <w:r>
              <w:rPr>
                <w:rFonts w:ascii="Times New Roman" w:eastAsia="宋体" w:hAnsi="Times New Roman"/>
                <w:color w:val="000000"/>
                <w:sz w:val="18"/>
                <w:szCs w:val="18"/>
              </w:rPr>
              <w:t>150 </w:t>
            </w:r>
          </w:p>
        </w:tc>
        <w:tc>
          <w:tcPr>
            <w:tcW w:w="0" w:type="auto"/>
            <w:shd w:val="clear" w:color="auto" w:fill="FFFFFF"/>
            <w:tcMar>
              <w:top w:w="40" w:type="dxa"/>
              <w:left w:w="0" w:type="dxa"/>
              <w:bottom w:w="40" w:type="dxa"/>
              <w:right w:w="20" w:type="dxa"/>
            </w:tcMar>
            <w:vAlign w:val="bottom"/>
          </w:tcPr>
          <w:p w14:paraId="7DCFED3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3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34" w14:textId="77777777" w:rsidR="00C1563E" w:rsidRDefault="000B648B">
            <w:pPr>
              <w:jc w:val="right"/>
              <w:textAlignment w:val="bottom"/>
            </w:pPr>
            <w:r>
              <w:rPr>
                <w:rFonts w:ascii="Times New Roman" w:eastAsia="宋体" w:hAnsi="Times New Roman"/>
                <w:color w:val="000000"/>
                <w:sz w:val="18"/>
                <w:szCs w:val="18"/>
              </w:rPr>
              <w:t>6,845 </w:t>
            </w:r>
          </w:p>
        </w:tc>
        <w:tc>
          <w:tcPr>
            <w:tcW w:w="0" w:type="auto"/>
            <w:shd w:val="clear" w:color="auto" w:fill="FFFFFF"/>
            <w:tcMar>
              <w:top w:w="40" w:type="dxa"/>
              <w:left w:w="0" w:type="dxa"/>
              <w:bottom w:w="40" w:type="dxa"/>
              <w:right w:w="20" w:type="dxa"/>
            </w:tcMar>
            <w:vAlign w:val="bottom"/>
          </w:tcPr>
          <w:p w14:paraId="7DCFED3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3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3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3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3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3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3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3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3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3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4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4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4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4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4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4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4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4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4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49" w14:textId="77777777" w:rsidR="00C1563E" w:rsidRDefault="000B648B">
            <w:pPr>
              <w:jc w:val="right"/>
              <w:textAlignment w:val="bottom"/>
            </w:pPr>
            <w:r>
              <w:rPr>
                <w:rFonts w:ascii="Times New Roman" w:eastAsia="宋体" w:hAnsi="Times New Roman"/>
                <w:color w:val="000000"/>
                <w:sz w:val="18"/>
                <w:szCs w:val="18"/>
              </w:rPr>
              <w:t>(6,872)</w:t>
            </w:r>
          </w:p>
        </w:tc>
        <w:tc>
          <w:tcPr>
            <w:tcW w:w="0" w:type="auto"/>
            <w:shd w:val="clear" w:color="auto" w:fill="FFFFFF"/>
            <w:tcMar>
              <w:top w:w="40" w:type="dxa"/>
              <w:left w:w="0" w:type="dxa"/>
              <w:bottom w:w="40" w:type="dxa"/>
              <w:right w:w="20" w:type="dxa"/>
            </w:tcMar>
            <w:vAlign w:val="bottom"/>
          </w:tcPr>
          <w:p w14:paraId="7DCFED4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4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4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4D"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D4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D4F" w14:textId="77777777" w:rsidR="00C1563E" w:rsidRDefault="000B648B">
            <w:pPr>
              <w:jc w:val="right"/>
              <w:textAlignment w:val="bottom"/>
            </w:pPr>
            <w:r>
              <w:rPr>
                <w:rFonts w:ascii="Times New Roman" w:eastAsia="宋体" w:hAnsi="Times New Roman"/>
                <w:color w:val="000000"/>
                <w:sz w:val="18"/>
                <w:szCs w:val="18"/>
              </w:rPr>
              <w:t>(27)</w:t>
            </w:r>
          </w:p>
          <w:p w14:paraId="7DCFED50" w14:textId="77777777" w:rsidR="00C1563E" w:rsidRDefault="000B648B">
            <w:pPr>
              <w:jc w:val="right"/>
              <w:textAlignment w:val="bottom"/>
            </w:pPr>
            <w:r>
              <w:rPr>
                <w:rFonts w:ascii="Times New Roman" w:eastAsia="宋体" w:hAnsi="Times New Roman"/>
                <w:color w:val="000000"/>
                <w:sz w:val="18"/>
                <w:szCs w:val="18"/>
              </w:rPr>
              <w:t>— </w:t>
            </w:r>
          </w:p>
          <w:p w14:paraId="7DCFED51" w14:textId="77777777" w:rsidR="00C1563E" w:rsidRDefault="000B648B">
            <w:pPr>
              <w:jc w:val="right"/>
              <w:textAlignment w:val="bottom"/>
            </w:pPr>
            <w:r>
              <w:rPr>
                <w:rFonts w:ascii="Times New Roman" w:eastAsia="宋体" w:hAnsi="Times New Roman"/>
                <w:color w:val="000000"/>
                <w:sz w:val="18"/>
                <w:szCs w:val="18"/>
              </w:rPr>
              <w:t>(27)</w:t>
            </w:r>
          </w:p>
        </w:tc>
      </w:tr>
      <w:tr w:rsidR="000B648B" w14:paraId="7DCFED75" w14:textId="77777777">
        <w:trPr>
          <w:jc w:val="center"/>
        </w:trPr>
        <w:tc>
          <w:tcPr>
            <w:tcW w:w="0" w:type="auto"/>
            <w:gridSpan w:val="3"/>
            <w:shd w:val="clear" w:color="auto" w:fill="CCEEFF"/>
            <w:tcMar>
              <w:top w:w="40" w:type="dxa"/>
              <w:left w:w="155" w:type="dxa"/>
              <w:bottom w:w="40" w:type="dxa"/>
              <w:right w:w="20" w:type="dxa"/>
            </w:tcMar>
            <w:vAlign w:val="bottom"/>
          </w:tcPr>
          <w:p w14:paraId="7DCFED53" w14:textId="77777777" w:rsidR="00C1563E" w:rsidRDefault="000B648B">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CCEEFF"/>
            <w:tcMar>
              <w:top w:w="40" w:type="dxa"/>
              <w:left w:w="20" w:type="dxa"/>
              <w:bottom w:w="40" w:type="dxa"/>
              <w:right w:w="0" w:type="dxa"/>
            </w:tcMar>
            <w:vAlign w:val="bottom"/>
          </w:tcPr>
          <w:p w14:paraId="7DCFED5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5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5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57" w14:textId="77777777" w:rsidR="00C1563E" w:rsidRDefault="000B648B">
            <w:pPr>
              <w:jc w:val="right"/>
              <w:textAlignment w:val="bottom"/>
            </w:pPr>
            <w:r>
              <w:rPr>
                <w:rFonts w:ascii="Times New Roman" w:eastAsia="宋体" w:hAnsi="Times New Roman"/>
                <w:color w:val="000000"/>
                <w:sz w:val="18"/>
                <w:szCs w:val="18"/>
              </w:rPr>
              <w:t>99 </w:t>
            </w:r>
          </w:p>
        </w:tc>
        <w:tc>
          <w:tcPr>
            <w:tcW w:w="0" w:type="auto"/>
            <w:shd w:val="clear" w:color="auto" w:fill="CCEEFF"/>
            <w:tcMar>
              <w:top w:w="40" w:type="dxa"/>
              <w:left w:w="0" w:type="dxa"/>
              <w:bottom w:w="40" w:type="dxa"/>
              <w:right w:w="20" w:type="dxa"/>
            </w:tcMar>
            <w:vAlign w:val="bottom"/>
          </w:tcPr>
          <w:p w14:paraId="7DCFED5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5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5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5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5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5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5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5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6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6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6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6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6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6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6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6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6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6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70"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D7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D72" w14:textId="77777777" w:rsidR="00C1563E" w:rsidRDefault="000B648B">
            <w:pPr>
              <w:jc w:val="right"/>
              <w:textAlignment w:val="bottom"/>
            </w:pPr>
            <w:r>
              <w:rPr>
                <w:rFonts w:ascii="Times New Roman" w:eastAsia="宋体" w:hAnsi="Times New Roman"/>
                <w:color w:val="000000"/>
                <w:sz w:val="18"/>
                <w:szCs w:val="18"/>
              </w:rPr>
              <w:t>99 </w:t>
            </w:r>
          </w:p>
          <w:p w14:paraId="7DCFED73" w14:textId="77777777" w:rsidR="00C1563E" w:rsidRDefault="000B648B">
            <w:pPr>
              <w:jc w:val="right"/>
              <w:textAlignment w:val="bottom"/>
            </w:pPr>
            <w:r>
              <w:rPr>
                <w:rFonts w:ascii="Times New Roman" w:eastAsia="宋体" w:hAnsi="Times New Roman"/>
                <w:color w:val="000000"/>
                <w:sz w:val="18"/>
                <w:szCs w:val="18"/>
              </w:rPr>
              <w:t>819 </w:t>
            </w:r>
          </w:p>
          <w:p w14:paraId="7DCFED74" w14:textId="77777777" w:rsidR="00C1563E" w:rsidRDefault="000B648B">
            <w:pPr>
              <w:jc w:val="right"/>
              <w:textAlignment w:val="bottom"/>
            </w:pPr>
            <w:r>
              <w:rPr>
                <w:rFonts w:ascii="Times New Roman" w:eastAsia="宋体" w:hAnsi="Times New Roman"/>
                <w:color w:val="000000"/>
                <w:sz w:val="18"/>
                <w:szCs w:val="18"/>
              </w:rPr>
              <w:t>918 </w:t>
            </w:r>
          </w:p>
        </w:tc>
      </w:tr>
      <w:tr w:rsidR="000B648B" w14:paraId="7DCFED98" w14:textId="77777777">
        <w:trPr>
          <w:jc w:val="center"/>
        </w:trPr>
        <w:tc>
          <w:tcPr>
            <w:tcW w:w="0" w:type="auto"/>
            <w:gridSpan w:val="3"/>
            <w:shd w:val="clear" w:color="auto" w:fill="FFFFFF"/>
            <w:tcMar>
              <w:top w:w="40" w:type="dxa"/>
              <w:left w:w="155" w:type="dxa"/>
              <w:bottom w:w="40" w:type="dxa"/>
              <w:right w:w="20" w:type="dxa"/>
            </w:tcMar>
            <w:vAlign w:val="bottom"/>
          </w:tcPr>
          <w:p w14:paraId="7DCFED76" w14:textId="77777777" w:rsidR="00C1563E" w:rsidRDefault="000B648B">
            <w:pPr>
              <w:textAlignment w:val="bottom"/>
            </w:pPr>
            <w:r>
              <w:rPr>
                <w:rFonts w:ascii="Times New Roman" w:eastAsia="宋体" w:hAnsi="Times New Roman"/>
                <w:color w:val="000000"/>
                <w:sz w:val="18"/>
                <w:szCs w:val="18"/>
              </w:rPr>
              <w:t>Treasury stock repurchases</w:t>
            </w:r>
          </w:p>
        </w:tc>
        <w:tc>
          <w:tcPr>
            <w:tcW w:w="0" w:type="auto"/>
            <w:gridSpan w:val="2"/>
            <w:shd w:val="clear" w:color="auto" w:fill="FFFFFF"/>
            <w:tcMar>
              <w:top w:w="40" w:type="dxa"/>
              <w:left w:w="20" w:type="dxa"/>
              <w:bottom w:w="40" w:type="dxa"/>
              <w:right w:w="0" w:type="dxa"/>
            </w:tcMar>
            <w:vAlign w:val="bottom"/>
          </w:tcPr>
          <w:p w14:paraId="7DCFED7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7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7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7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7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7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7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7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7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8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8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3" w14:textId="77777777" w:rsidR="00C1563E" w:rsidRDefault="000B648B">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7DCFED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8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6" w14:textId="77777777" w:rsidR="00C1563E" w:rsidRDefault="000B648B">
            <w:pPr>
              <w:jc w:val="right"/>
              <w:textAlignment w:val="bottom"/>
            </w:pPr>
            <w:r>
              <w:rPr>
                <w:rFonts w:ascii="Times New Roman" w:eastAsia="宋体" w:hAnsi="Times New Roman"/>
                <w:color w:val="000000"/>
                <w:sz w:val="18"/>
                <w:szCs w:val="18"/>
              </w:rPr>
              <w:t>(47)</w:t>
            </w:r>
          </w:p>
        </w:tc>
        <w:tc>
          <w:tcPr>
            <w:tcW w:w="0" w:type="auto"/>
            <w:shd w:val="clear" w:color="auto" w:fill="FFFFFF"/>
            <w:tcMar>
              <w:top w:w="40" w:type="dxa"/>
              <w:left w:w="0" w:type="dxa"/>
              <w:bottom w:w="40" w:type="dxa"/>
              <w:right w:w="20" w:type="dxa"/>
            </w:tcMar>
            <w:vAlign w:val="bottom"/>
          </w:tcPr>
          <w:p w14:paraId="7DCFED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8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8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8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8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8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9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9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9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93"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D9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D95" w14:textId="77777777" w:rsidR="00C1563E" w:rsidRDefault="000B648B">
            <w:pPr>
              <w:jc w:val="right"/>
              <w:textAlignment w:val="bottom"/>
            </w:pPr>
            <w:r>
              <w:rPr>
                <w:rFonts w:ascii="Times New Roman" w:eastAsia="宋体" w:hAnsi="Times New Roman"/>
                <w:color w:val="000000"/>
                <w:sz w:val="18"/>
                <w:szCs w:val="18"/>
              </w:rPr>
              <w:t>(47)</w:t>
            </w:r>
          </w:p>
          <w:p w14:paraId="7DCFED96" w14:textId="77777777" w:rsidR="00C1563E" w:rsidRDefault="000B648B">
            <w:pPr>
              <w:jc w:val="right"/>
              <w:textAlignment w:val="bottom"/>
            </w:pPr>
            <w:r>
              <w:rPr>
                <w:rFonts w:ascii="Times New Roman" w:eastAsia="宋体" w:hAnsi="Times New Roman"/>
                <w:color w:val="000000"/>
                <w:sz w:val="18"/>
                <w:szCs w:val="18"/>
              </w:rPr>
              <w:t>— </w:t>
            </w:r>
          </w:p>
          <w:p w14:paraId="7DCFED97" w14:textId="77777777" w:rsidR="00C1563E" w:rsidRDefault="000B648B">
            <w:pPr>
              <w:jc w:val="right"/>
              <w:textAlignment w:val="bottom"/>
            </w:pPr>
            <w:r>
              <w:rPr>
                <w:rFonts w:ascii="Times New Roman" w:eastAsia="宋体" w:hAnsi="Times New Roman"/>
                <w:color w:val="000000"/>
                <w:sz w:val="18"/>
                <w:szCs w:val="18"/>
              </w:rPr>
              <w:t>(47)</w:t>
            </w:r>
          </w:p>
        </w:tc>
      </w:tr>
      <w:tr w:rsidR="000B648B" w14:paraId="7DCFEDBB" w14:textId="77777777">
        <w:trPr>
          <w:jc w:val="center"/>
        </w:trPr>
        <w:tc>
          <w:tcPr>
            <w:tcW w:w="0" w:type="auto"/>
            <w:gridSpan w:val="3"/>
            <w:shd w:val="clear" w:color="auto" w:fill="CCEEFF"/>
            <w:tcMar>
              <w:top w:w="40" w:type="dxa"/>
              <w:left w:w="155" w:type="dxa"/>
              <w:bottom w:w="40" w:type="dxa"/>
              <w:right w:w="20" w:type="dxa"/>
            </w:tcMar>
            <w:vAlign w:val="bottom"/>
          </w:tcPr>
          <w:p w14:paraId="7DCFED99" w14:textId="77777777" w:rsidR="00C1563E" w:rsidRDefault="000B648B">
            <w:pPr>
              <w:textAlignment w:val="bottom"/>
            </w:pPr>
            <w:r>
              <w:rPr>
                <w:rFonts w:ascii="Times New Roman" w:eastAsia="宋体" w:hAnsi="Times New Roman"/>
                <w:color w:val="000000"/>
                <w:sz w:val="18"/>
                <w:szCs w:val="18"/>
              </w:rPr>
              <w:t>Revaluation of redeemable shares</w:t>
            </w:r>
          </w:p>
        </w:tc>
        <w:tc>
          <w:tcPr>
            <w:tcW w:w="0" w:type="auto"/>
            <w:gridSpan w:val="2"/>
            <w:shd w:val="clear" w:color="auto" w:fill="CCEEFF"/>
            <w:tcMar>
              <w:top w:w="40" w:type="dxa"/>
              <w:left w:w="20" w:type="dxa"/>
              <w:bottom w:w="40" w:type="dxa"/>
              <w:right w:w="0" w:type="dxa"/>
            </w:tcMar>
            <w:vAlign w:val="bottom"/>
          </w:tcPr>
          <w:p w14:paraId="7DCFED9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9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9D" w14:textId="77777777" w:rsidR="00C1563E" w:rsidRDefault="000B648B">
            <w:pPr>
              <w:jc w:val="right"/>
              <w:textAlignment w:val="bottom"/>
            </w:pPr>
            <w:r>
              <w:rPr>
                <w:rFonts w:ascii="Times New Roman" w:eastAsia="宋体" w:hAnsi="Times New Roman"/>
                <w:color w:val="000000"/>
                <w:sz w:val="18"/>
                <w:szCs w:val="18"/>
              </w:rPr>
              <w:t>(812)</w:t>
            </w:r>
          </w:p>
        </w:tc>
        <w:tc>
          <w:tcPr>
            <w:tcW w:w="0" w:type="auto"/>
            <w:shd w:val="clear" w:color="auto" w:fill="CCEEFF"/>
            <w:tcMar>
              <w:top w:w="40" w:type="dxa"/>
              <w:left w:w="0" w:type="dxa"/>
              <w:bottom w:w="40" w:type="dxa"/>
              <w:right w:w="20" w:type="dxa"/>
            </w:tcMar>
            <w:vAlign w:val="bottom"/>
          </w:tcPr>
          <w:p w14:paraId="7DCFED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9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A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A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A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A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A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A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A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A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A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A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A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B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B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B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B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B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B6"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DB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DB8" w14:textId="77777777" w:rsidR="00C1563E" w:rsidRDefault="000B648B">
            <w:pPr>
              <w:jc w:val="right"/>
              <w:textAlignment w:val="bottom"/>
            </w:pPr>
            <w:r>
              <w:rPr>
                <w:rFonts w:ascii="Times New Roman" w:eastAsia="宋体" w:hAnsi="Times New Roman"/>
                <w:color w:val="000000"/>
                <w:sz w:val="18"/>
                <w:szCs w:val="18"/>
              </w:rPr>
              <w:t>(812)</w:t>
            </w:r>
          </w:p>
          <w:p w14:paraId="7DCFEDB9" w14:textId="77777777" w:rsidR="00C1563E" w:rsidRDefault="000B648B">
            <w:pPr>
              <w:jc w:val="right"/>
              <w:textAlignment w:val="bottom"/>
            </w:pPr>
            <w:r>
              <w:rPr>
                <w:rFonts w:ascii="Times New Roman" w:eastAsia="宋体" w:hAnsi="Times New Roman"/>
                <w:color w:val="000000"/>
                <w:sz w:val="18"/>
                <w:szCs w:val="18"/>
              </w:rPr>
              <w:t>— </w:t>
            </w:r>
          </w:p>
          <w:p w14:paraId="7DCFEDBA" w14:textId="77777777" w:rsidR="00C1563E" w:rsidRDefault="000B648B">
            <w:pPr>
              <w:jc w:val="right"/>
              <w:textAlignment w:val="bottom"/>
            </w:pPr>
            <w:r>
              <w:rPr>
                <w:rFonts w:ascii="Times New Roman" w:eastAsia="宋体" w:hAnsi="Times New Roman"/>
                <w:color w:val="000000"/>
                <w:sz w:val="18"/>
                <w:szCs w:val="18"/>
              </w:rPr>
              <w:t>(812)</w:t>
            </w:r>
          </w:p>
        </w:tc>
      </w:tr>
      <w:tr w:rsidR="000B648B" w14:paraId="7DCFEDDE" w14:textId="77777777">
        <w:trPr>
          <w:jc w:val="center"/>
        </w:trPr>
        <w:tc>
          <w:tcPr>
            <w:tcW w:w="0" w:type="auto"/>
            <w:gridSpan w:val="3"/>
            <w:shd w:val="clear" w:color="auto" w:fill="FFFFFF"/>
            <w:tcMar>
              <w:top w:w="40" w:type="dxa"/>
              <w:left w:w="155" w:type="dxa"/>
              <w:bottom w:w="40" w:type="dxa"/>
              <w:right w:w="20" w:type="dxa"/>
            </w:tcMar>
            <w:vAlign w:val="bottom"/>
          </w:tcPr>
          <w:p w14:paraId="7DCFEDBC" w14:textId="77777777" w:rsidR="00C1563E" w:rsidRDefault="000B648B">
            <w:pPr>
              <w:textAlignment w:val="bottom"/>
            </w:pPr>
            <w:r>
              <w:rPr>
                <w:rFonts w:ascii="Times New Roman" w:eastAsia="宋体" w:hAnsi="Times New Roman"/>
                <w:color w:val="000000"/>
                <w:sz w:val="18"/>
                <w:szCs w:val="18"/>
              </w:rPr>
              <w:t>Repurchase of Class V Common Stock</w:t>
            </w:r>
          </w:p>
        </w:tc>
        <w:tc>
          <w:tcPr>
            <w:tcW w:w="0" w:type="auto"/>
            <w:gridSpan w:val="2"/>
            <w:shd w:val="clear" w:color="auto" w:fill="FFFFFF"/>
            <w:tcMar>
              <w:top w:w="40" w:type="dxa"/>
              <w:left w:w="20" w:type="dxa"/>
              <w:bottom w:w="40" w:type="dxa"/>
              <w:right w:w="0" w:type="dxa"/>
            </w:tcMar>
            <w:vAlign w:val="bottom"/>
          </w:tcPr>
          <w:p w14:paraId="7DCFEDB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B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C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C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3" w14:textId="77777777" w:rsidR="00C1563E" w:rsidRDefault="000B648B">
            <w:pPr>
              <w:jc w:val="right"/>
              <w:textAlignment w:val="bottom"/>
            </w:pPr>
            <w:r>
              <w:rPr>
                <w:rFonts w:ascii="Times New Roman" w:eastAsia="宋体" w:hAnsi="Times New Roman"/>
                <w:color w:val="000000"/>
                <w:sz w:val="18"/>
                <w:szCs w:val="18"/>
              </w:rPr>
              <w:t>(223)</w:t>
            </w:r>
          </w:p>
        </w:tc>
        <w:tc>
          <w:tcPr>
            <w:tcW w:w="0" w:type="auto"/>
            <w:shd w:val="clear" w:color="auto" w:fill="FFFFFF"/>
            <w:tcMar>
              <w:top w:w="40" w:type="dxa"/>
              <w:left w:w="0" w:type="dxa"/>
              <w:bottom w:w="40" w:type="dxa"/>
              <w:right w:w="20" w:type="dxa"/>
            </w:tcMar>
            <w:vAlign w:val="bottom"/>
          </w:tcPr>
          <w:p w14:paraId="7DCFEDC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C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6" w14:textId="77777777" w:rsidR="00C1563E" w:rsidRDefault="000B648B">
            <w:pPr>
              <w:jc w:val="right"/>
              <w:textAlignment w:val="bottom"/>
            </w:pPr>
            <w:r>
              <w:rPr>
                <w:rFonts w:ascii="Times New Roman" w:eastAsia="宋体" w:hAnsi="Times New Roman"/>
                <w:color w:val="000000"/>
                <w:sz w:val="18"/>
                <w:szCs w:val="18"/>
              </w:rPr>
              <w:t>(10,041)</w:t>
            </w:r>
          </w:p>
        </w:tc>
        <w:tc>
          <w:tcPr>
            <w:tcW w:w="0" w:type="auto"/>
            <w:shd w:val="clear" w:color="auto" w:fill="FFFFFF"/>
            <w:tcMar>
              <w:top w:w="40" w:type="dxa"/>
              <w:left w:w="0" w:type="dxa"/>
              <w:bottom w:w="40" w:type="dxa"/>
              <w:right w:w="20" w:type="dxa"/>
            </w:tcMar>
            <w:vAlign w:val="bottom"/>
          </w:tcPr>
          <w:p w14:paraId="7DCFEDC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C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C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C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C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C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CF" w14:textId="77777777" w:rsidR="00C1563E" w:rsidRDefault="000B648B">
            <w:pPr>
              <w:jc w:val="right"/>
              <w:textAlignment w:val="bottom"/>
            </w:pPr>
            <w:r>
              <w:rPr>
                <w:rFonts w:ascii="Times New Roman" w:eastAsia="宋体" w:hAnsi="Times New Roman"/>
                <w:color w:val="000000"/>
                <w:sz w:val="18"/>
                <w:szCs w:val="18"/>
              </w:rPr>
              <w:t>(24)</w:t>
            </w:r>
          </w:p>
        </w:tc>
        <w:tc>
          <w:tcPr>
            <w:tcW w:w="0" w:type="auto"/>
            <w:shd w:val="clear" w:color="auto" w:fill="FFFFFF"/>
            <w:tcMar>
              <w:top w:w="40" w:type="dxa"/>
              <w:left w:w="0" w:type="dxa"/>
              <w:bottom w:w="40" w:type="dxa"/>
              <w:right w:w="20" w:type="dxa"/>
            </w:tcMar>
            <w:vAlign w:val="bottom"/>
          </w:tcPr>
          <w:p w14:paraId="7DCFEDD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D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D2" w14:textId="77777777" w:rsidR="00C1563E" w:rsidRDefault="000B648B">
            <w:pPr>
              <w:jc w:val="right"/>
              <w:textAlignment w:val="bottom"/>
            </w:pPr>
            <w:r>
              <w:rPr>
                <w:rFonts w:ascii="Times New Roman" w:eastAsia="宋体" w:hAnsi="Times New Roman"/>
                <w:color w:val="000000"/>
                <w:sz w:val="18"/>
                <w:szCs w:val="18"/>
              </w:rPr>
              <w:t>1,424 </w:t>
            </w:r>
          </w:p>
        </w:tc>
        <w:tc>
          <w:tcPr>
            <w:tcW w:w="0" w:type="auto"/>
            <w:shd w:val="clear" w:color="auto" w:fill="FFFFFF"/>
            <w:tcMar>
              <w:top w:w="40" w:type="dxa"/>
              <w:left w:w="0" w:type="dxa"/>
              <w:bottom w:w="40" w:type="dxa"/>
              <w:right w:w="20" w:type="dxa"/>
            </w:tcMar>
            <w:vAlign w:val="bottom"/>
          </w:tcPr>
          <w:p w14:paraId="7DCFEDD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D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D5" w14:textId="77777777" w:rsidR="00C1563E" w:rsidRDefault="000B648B">
            <w:pPr>
              <w:jc w:val="right"/>
              <w:textAlignment w:val="bottom"/>
            </w:pPr>
            <w:r>
              <w:rPr>
                <w:rFonts w:ascii="Times New Roman" w:eastAsia="宋体" w:hAnsi="Times New Roman"/>
                <w:color w:val="000000"/>
                <w:sz w:val="18"/>
                <w:szCs w:val="18"/>
              </w:rPr>
              <w:t>(5,365)</w:t>
            </w:r>
          </w:p>
        </w:tc>
        <w:tc>
          <w:tcPr>
            <w:tcW w:w="0" w:type="auto"/>
            <w:shd w:val="clear" w:color="auto" w:fill="FFFFFF"/>
            <w:tcMar>
              <w:top w:w="40" w:type="dxa"/>
              <w:left w:w="0" w:type="dxa"/>
              <w:bottom w:w="40" w:type="dxa"/>
              <w:right w:w="20" w:type="dxa"/>
            </w:tcMar>
            <w:vAlign w:val="bottom"/>
          </w:tcPr>
          <w:p w14:paraId="7DCFEDD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DD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DD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DD9"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DD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EDDB" w14:textId="77777777" w:rsidR="00C1563E" w:rsidRDefault="000B648B">
            <w:pPr>
              <w:jc w:val="right"/>
              <w:textAlignment w:val="bottom"/>
            </w:pPr>
            <w:r>
              <w:rPr>
                <w:rFonts w:ascii="Times New Roman" w:eastAsia="宋体" w:hAnsi="Times New Roman"/>
                <w:color w:val="000000"/>
                <w:sz w:val="18"/>
                <w:szCs w:val="18"/>
              </w:rPr>
              <w:t>(13,982)</w:t>
            </w:r>
          </w:p>
          <w:p w14:paraId="7DCFEDDC" w14:textId="77777777" w:rsidR="00C1563E" w:rsidRDefault="000B648B">
            <w:pPr>
              <w:jc w:val="right"/>
              <w:textAlignment w:val="bottom"/>
            </w:pPr>
            <w:r>
              <w:rPr>
                <w:rFonts w:ascii="Times New Roman" w:eastAsia="宋体" w:hAnsi="Times New Roman"/>
                <w:color w:val="000000"/>
                <w:sz w:val="18"/>
                <w:szCs w:val="18"/>
              </w:rPr>
              <w:t>— </w:t>
            </w:r>
          </w:p>
          <w:p w14:paraId="7DCFEDDD" w14:textId="77777777" w:rsidR="00C1563E" w:rsidRDefault="000B648B">
            <w:pPr>
              <w:jc w:val="right"/>
              <w:textAlignment w:val="bottom"/>
            </w:pPr>
            <w:r>
              <w:rPr>
                <w:rFonts w:ascii="Times New Roman" w:eastAsia="宋体" w:hAnsi="Times New Roman"/>
                <w:color w:val="000000"/>
                <w:sz w:val="18"/>
                <w:szCs w:val="18"/>
              </w:rPr>
              <w:t>(13,982)</w:t>
            </w:r>
          </w:p>
        </w:tc>
      </w:tr>
      <w:tr w:rsidR="000B648B" w14:paraId="7DCFEE01" w14:textId="77777777">
        <w:trPr>
          <w:jc w:val="center"/>
        </w:trPr>
        <w:tc>
          <w:tcPr>
            <w:tcW w:w="0" w:type="auto"/>
            <w:gridSpan w:val="3"/>
            <w:shd w:val="clear" w:color="auto" w:fill="CCEEFF"/>
            <w:tcMar>
              <w:top w:w="40" w:type="dxa"/>
              <w:left w:w="155" w:type="dxa"/>
              <w:bottom w:w="40" w:type="dxa"/>
              <w:right w:w="20" w:type="dxa"/>
            </w:tcMar>
            <w:vAlign w:val="bottom"/>
          </w:tcPr>
          <w:p w14:paraId="7DCFEDDF" w14:textId="77777777" w:rsidR="00C1563E" w:rsidRDefault="000B648B">
            <w:pPr>
              <w:textAlignment w:val="bottom"/>
            </w:pPr>
            <w:r>
              <w:rPr>
                <w:rFonts w:ascii="Times New Roman" w:eastAsia="宋体" w:hAnsi="Times New Roman"/>
                <w:color w:val="000000"/>
                <w:sz w:val="18"/>
                <w:szCs w:val="18"/>
              </w:rPr>
              <w:t>Impact from equity transactions of non-controlling int</w:t>
            </w:r>
            <w:r>
              <w:rPr>
                <w:rFonts w:ascii="Times New Roman" w:eastAsia="宋体" w:hAnsi="Times New Roman"/>
                <w:color w:val="000000"/>
                <w:sz w:val="18"/>
                <w:szCs w:val="18"/>
              </w:rPr>
              <w:t>erests</w:t>
            </w:r>
          </w:p>
        </w:tc>
        <w:tc>
          <w:tcPr>
            <w:tcW w:w="0" w:type="auto"/>
            <w:gridSpan w:val="2"/>
            <w:shd w:val="clear" w:color="auto" w:fill="CCEEFF"/>
            <w:tcMar>
              <w:top w:w="40" w:type="dxa"/>
              <w:left w:w="20" w:type="dxa"/>
              <w:bottom w:w="40" w:type="dxa"/>
              <w:right w:w="0" w:type="dxa"/>
            </w:tcMar>
            <w:vAlign w:val="bottom"/>
          </w:tcPr>
          <w:p w14:paraId="7DCFEDE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E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E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E3" w14:textId="77777777" w:rsidR="00C1563E" w:rsidRDefault="000B648B">
            <w:pPr>
              <w:jc w:val="right"/>
              <w:textAlignment w:val="bottom"/>
            </w:pPr>
            <w:r>
              <w:rPr>
                <w:rFonts w:ascii="Times New Roman" w:eastAsia="宋体" w:hAnsi="Times New Roman"/>
                <w:color w:val="000000"/>
                <w:sz w:val="18"/>
                <w:szCs w:val="18"/>
              </w:rPr>
              <w:t>134 </w:t>
            </w:r>
          </w:p>
        </w:tc>
        <w:tc>
          <w:tcPr>
            <w:tcW w:w="0" w:type="auto"/>
            <w:shd w:val="clear" w:color="auto" w:fill="CCEEFF"/>
            <w:tcMar>
              <w:top w:w="40" w:type="dxa"/>
              <w:left w:w="0" w:type="dxa"/>
              <w:bottom w:w="40" w:type="dxa"/>
              <w:right w:w="20" w:type="dxa"/>
            </w:tcMar>
            <w:vAlign w:val="bottom"/>
          </w:tcPr>
          <w:p w14:paraId="7DCFED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E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E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E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E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E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E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E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E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E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E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F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F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F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F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F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F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F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F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DF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DF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DFC" w14:textId="77777777" w:rsidR="00C1563E" w:rsidRDefault="00C1563E">
            <w:pPr>
              <w:jc w:val="right"/>
              <w:rPr>
                <w:rFonts w:ascii="宋体"/>
              </w:rPr>
            </w:pPr>
          </w:p>
        </w:tc>
        <w:tc>
          <w:tcPr>
            <w:tcW w:w="0" w:type="auto"/>
            <w:gridSpan w:val="2"/>
            <w:shd w:val="clear" w:color="auto" w:fill="CCEEFF"/>
            <w:tcMar>
              <w:top w:w="0" w:type="dxa"/>
              <w:left w:w="20" w:type="dxa"/>
              <w:bottom w:w="0" w:type="dxa"/>
              <w:right w:w="20" w:type="dxa"/>
            </w:tcMar>
          </w:tcPr>
          <w:p w14:paraId="7DCFEDF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EDFE" w14:textId="77777777" w:rsidR="00C1563E" w:rsidRDefault="000B648B">
            <w:pPr>
              <w:jc w:val="right"/>
              <w:textAlignment w:val="bottom"/>
            </w:pPr>
            <w:r>
              <w:rPr>
                <w:rFonts w:ascii="Times New Roman" w:eastAsia="宋体" w:hAnsi="Times New Roman"/>
                <w:color w:val="000000"/>
                <w:sz w:val="18"/>
                <w:szCs w:val="18"/>
              </w:rPr>
              <w:t>134 </w:t>
            </w:r>
          </w:p>
          <w:p w14:paraId="7DCFEDFF" w14:textId="77777777" w:rsidR="00C1563E" w:rsidRDefault="000B648B">
            <w:pPr>
              <w:jc w:val="right"/>
              <w:textAlignment w:val="bottom"/>
            </w:pPr>
            <w:r>
              <w:rPr>
                <w:rFonts w:ascii="Times New Roman" w:eastAsia="宋体" w:hAnsi="Times New Roman"/>
                <w:color w:val="000000"/>
                <w:sz w:val="18"/>
                <w:szCs w:val="18"/>
              </w:rPr>
              <w:t>(1,892)</w:t>
            </w:r>
          </w:p>
          <w:p w14:paraId="7DCFEE00" w14:textId="77777777" w:rsidR="00C1563E" w:rsidRDefault="000B648B">
            <w:pPr>
              <w:jc w:val="right"/>
              <w:textAlignment w:val="bottom"/>
            </w:pPr>
            <w:r>
              <w:rPr>
                <w:rFonts w:ascii="Times New Roman" w:eastAsia="宋体" w:hAnsi="Times New Roman"/>
                <w:color w:val="000000"/>
                <w:sz w:val="18"/>
                <w:szCs w:val="18"/>
              </w:rPr>
              <w:t>(1,758)</w:t>
            </w:r>
          </w:p>
        </w:tc>
      </w:tr>
      <w:tr w:rsidR="000B648B" w14:paraId="7DCFEE2D" w14:textId="77777777">
        <w:trPr>
          <w:jc w:val="center"/>
        </w:trPr>
        <w:tc>
          <w:tcPr>
            <w:tcW w:w="0" w:type="auto"/>
            <w:gridSpan w:val="3"/>
            <w:shd w:val="clear" w:color="auto" w:fill="auto"/>
            <w:tcMar>
              <w:top w:w="40" w:type="dxa"/>
              <w:left w:w="20" w:type="dxa"/>
              <w:bottom w:w="40" w:type="dxa"/>
              <w:right w:w="20" w:type="dxa"/>
            </w:tcMar>
            <w:vAlign w:val="bottom"/>
          </w:tcPr>
          <w:p w14:paraId="7DCFEE02" w14:textId="77777777" w:rsidR="00C1563E" w:rsidRDefault="000B648B">
            <w:pPr>
              <w:textAlignment w:val="bottom"/>
            </w:pPr>
            <w:r>
              <w:rPr>
                <w:rFonts w:ascii="Times New Roman" w:eastAsia="宋体" w:hAnsi="Times New Roman"/>
                <w:b/>
                <w:bCs/>
                <w:color w:val="000000"/>
                <w:sz w:val="18"/>
                <w:szCs w:val="18"/>
              </w:rPr>
              <w:t>Balances as of February 1,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03" w14:textId="77777777" w:rsidR="00C1563E" w:rsidRDefault="000B648B">
            <w:pPr>
              <w:jc w:val="right"/>
              <w:textAlignment w:val="bottom"/>
            </w:pPr>
            <w:r>
              <w:rPr>
                <w:rFonts w:ascii="Times New Roman" w:eastAsia="宋体" w:hAnsi="Times New Roman"/>
                <w:color w:val="000000"/>
                <w:sz w:val="18"/>
                <w:szCs w:val="18"/>
              </w:rPr>
              <w:t>721 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05"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06"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07" w14:textId="77777777" w:rsidR="00C1563E" w:rsidRDefault="000B648B">
            <w:pPr>
              <w:jc w:val="right"/>
              <w:textAlignment w:val="bottom"/>
            </w:pPr>
            <w:r>
              <w:rPr>
                <w:rFonts w:ascii="Times New Roman" w:eastAsia="宋体" w:hAnsi="Times New Roman"/>
                <w:color w:val="000000"/>
                <w:sz w:val="18"/>
                <w:szCs w:val="18"/>
              </w:rPr>
              <w:t>16,114 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0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09"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0A" w14:textId="77777777" w:rsidR="00C1563E" w:rsidRDefault="000B648B">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0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0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0D"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0E" w14:textId="77777777" w:rsidR="00C1563E" w:rsidRDefault="000B648B">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10"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11" w14:textId="77777777" w:rsidR="00C1563E" w:rsidRDefault="000B648B">
            <w:pPr>
              <w:jc w:val="right"/>
              <w:textAlignment w:val="bottom"/>
            </w:pPr>
            <w:r>
              <w:rPr>
                <w:rFonts w:ascii="Times New Roman" w:eastAsia="宋体" w:hAnsi="Times New Roman"/>
                <w:color w:val="000000"/>
                <w:sz w:val="18"/>
                <w:szCs w:val="18"/>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1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1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1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15" w14:textId="77777777" w:rsidR="00C1563E" w:rsidRDefault="000B648B">
            <w:pPr>
              <w:jc w:val="right"/>
              <w:textAlignment w:val="bottom"/>
            </w:pPr>
            <w:r>
              <w:rPr>
                <w:rFonts w:ascii="Times New Roman" w:eastAsia="宋体" w:hAnsi="Times New Roman"/>
                <w:color w:val="000000"/>
                <w:sz w:val="18"/>
                <w:szCs w:val="18"/>
              </w:rPr>
              <w:t>(63)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1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17"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18" w14:textId="77777777" w:rsidR="00C1563E" w:rsidRDefault="000B648B">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1A"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1B"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1C" w14:textId="77777777" w:rsidR="00C1563E" w:rsidRDefault="000B648B">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1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1E"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1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20" w14:textId="77777777" w:rsidR="00C1563E" w:rsidRDefault="000B648B">
            <w:pPr>
              <w:jc w:val="right"/>
              <w:textAlignment w:val="bottom"/>
            </w:pPr>
            <w:r>
              <w:rPr>
                <w:rFonts w:ascii="Times New Roman" w:eastAsia="宋体" w:hAnsi="Times New Roman"/>
                <w:color w:val="000000"/>
                <w:sz w:val="18"/>
                <w:szCs w:val="18"/>
              </w:rPr>
              <w:t>(21,349)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2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22"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23"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E24" w14:textId="77777777" w:rsidR="00C1563E" w:rsidRDefault="000B648B">
            <w:pPr>
              <w:jc w:val="right"/>
              <w:textAlignment w:val="bottom"/>
            </w:pPr>
            <w:r>
              <w:rPr>
                <w:rFonts w:ascii="Times New Roman" w:eastAsia="宋体" w:hAnsi="Times New Roman"/>
                <w:color w:val="000000"/>
                <w:sz w:val="18"/>
                <w:szCs w:val="18"/>
              </w:rPr>
              <w:t>(467)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E25" w14:textId="77777777" w:rsidR="00C1563E" w:rsidRDefault="00C1563E">
            <w:pPr>
              <w:jc w:val="right"/>
              <w:rPr>
                <w:rFonts w:ascii="宋体"/>
              </w:rPr>
            </w:pPr>
          </w:p>
        </w:tc>
        <w:tc>
          <w:tcPr>
            <w:tcW w:w="0" w:type="auto"/>
            <w:gridSpan w:val="2"/>
            <w:shd w:val="clear" w:color="auto" w:fill="FFFFFF"/>
            <w:tcMar>
              <w:top w:w="0" w:type="dxa"/>
              <w:left w:w="20" w:type="dxa"/>
              <w:bottom w:w="0" w:type="dxa"/>
              <w:right w:w="20" w:type="dxa"/>
            </w:tcMar>
          </w:tcPr>
          <w:p w14:paraId="7DCFEE26"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E27" w14:textId="77777777" w:rsidR="00C1563E" w:rsidRDefault="000B648B">
            <w:pPr>
              <w:textAlignment w:val="bottom"/>
            </w:pPr>
            <w:r>
              <w:rPr>
                <w:rFonts w:ascii="Times New Roman" w:eastAsia="宋体" w:hAnsi="Times New Roman"/>
                <w:color w:val="000000"/>
                <w:sz w:val="18"/>
                <w:szCs w:val="18"/>
              </w:rPr>
              <w:t>$</w:t>
            </w:r>
          </w:p>
          <w:p w14:paraId="7DCFEE28" w14:textId="77777777" w:rsidR="00C1563E" w:rsidRDefault="000B648B">
            <w:pPr>
              <w:jc w:val="right"/>
              <w:textAlignment w:val="bottom"/>
            </w:pPr>
            <w:r>
              <w:rPr>
                <w:rFonts w:ascii="Times New Roman" w:eastAsia="宋体" w:hAnsi="Times New Roman"/>
                <w:color w:val="000000"/>
                <w:sz w:val="18"/>
                <w:szCs w:val="18"/>
              </w:rPr>
              <w:t>(5,765)</w:t>
            </w:r>
          </w:p>
          <w:p w14:paraId="7DCFEE29" w14:textId="77777777" w:rsidR="00C1563E" w:rsidRDefault="000B648B">
            <w:pPr>
              <w:textAlignment w:val="bottom"/>
            </w:pPr>
            <w:r>
              <w:rPr>
                <w:rFonts w:ascii="Times New Roman" w:eastAsia="宋体" w:hAnsi="Times New Roman"/>
                <w:color w:val="000000"/>
                <w:sz w:val="18"/>
                <w:szCs w:val="18"/>
              </w:rPr>
              <w:t>$</w:t>
            </w:r>
          </w:p>
          <w:p w14:paraId="7DCFEE2A" w14:textId="77777777" w:rsidR="00C1563E" w:rsidRDefault="000B648B">
            <w:pPr>
              <w:jc w:val="right"/>
              <w:textAlignment w:val="bottom"/>
            </w:pPr>
            <w:r>
              <w:rPr>
                <w:rFonts w:ascii="Times New Roman" w:eastAsia="宋体" w:hAnsi="Times New Roman"/>
                <w:color w:val="000000"/>
                <w:sz w:val="18"/>
                <w:szCs w:val="18"/>
              </w:rPr>
              <w:t>4,823 </w:t>
            </w:r>
          </w:p>
          <w:p w14:paraId="7DCFEE2B" w14:textId="77777777" w:rsidR="00C1563E" w:rsidRDefault="000B648B">
            <w:pPr>
              <w:textAlignment w:val="bottom"/>
            </w:pPr>
            <w:r>
              <w:rPr>
                <w:rFonts w:ascii="Times New Roman" w:eastAsia="宋体" w:hAnsi="Times New Roman"/>
                <w:color w:val="000000"/>
                <w:sz w:val="18"/>
                <w:szCs w:val="18"/>
              </w:rPr>
              <w:t>$</w:t>
            </w:r>
          </w:p>
          <w:p w14:paraId="7DCFEE2C" w14:textId="77777777" w:rsidR="00C1563E" w:rsidRDefault="000B648B">
            <w:pPr>
              <w:jc w:val="right"/>
              <w:textAlignment w:val="bottom"/>
            </w:pPr>
            <w:r>
              <w:rPr>
                <w:rFonts w:ascii="Times New Roman" w:eastAsia="宋体" w:hAnsi="Times New Roman"/>
                <w:color w:val="000000"/>
                <w:sz w:val="18"/>
                <w:szCs w:val="18"/>
              </w:rPr>
              <w:t>(942)</w:t>
            </w:r>
          </w:p>
        </w:tc>
      </w:tr>
    </w:tbl>
    <w:p w14:paraId="7DCFEE2E" w14:textId="77777777" w:rsidR="00C1563E" w:rsidRDefault="00C1563E"/>
    <w:p w14:paraId="7DCFEE2F" w14:textId="77777777" w:rsidR="00C1563E" w:rsidRDefault="000B648B">
      <w:pPr>
        <w:spacing w:after="60"/>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rPr>
        <w:t>Consolidated Financial Statements.</w:t>
      </w:r>
    </w:p>
    <w:p w14:paraId="7DCFEE30" w14:textId="77777777" w:rsidR="00C1563E" w:rsidRDefault="00C1563E">
      <w:pPr>
        <w:spacing w:after="120"/>
        <w:jc w:val="center"/>
      </w:pPr>
    </w:p>
    <w:p w14:paraId="7DCFEE31" w14:textId="77777777" w:rsidR="00C1563E" w:rsidRDefault="00C1563E">
      <w:pPr>
        <w:jc w:val="center"/>
      </w:pPr>
    </w:p>
    <w:p w14:paraId="7DCFEE32" w14:textId="77777777" w:rsidR="00C1563E" w:rsidRDefault="000B648B">
      <w:pPr>
        <w:jc w:val="center"/>
      </w:pPr>
      <w:r>
        <w:rPr>
          <w:rFonts w:ascii="Times New Roman" w:eastAsia="宋体" w:hAnsi="Times New Roman"/>
          <w:color w:val="000000"/>
          <w:sz w:val="20"/>
          <w:szCs w:val="20"/>
        </w:rPr>
        <w:t>78</w:t>
      </w:r>
    </w:p>
    <w:p w14:paraId="7DCFEE33" w14:textId="77777777" w:rsidR="00C1563E" w:rsidRDefault="00C1563E">
      <w:pPr>
        <w:jc w:val="center"/>
      </w:pPr>
    </w:p>
    <w:p w14:paraId="7DCFEE34" w14:textId="77777777" w:rsidR="00C1563E" w:rsidRDefault="000B648B">
      <w:r>
        <w:pict w14:anchorId="7DD025B8">
          <v:rect id="_x0000_i1102" style="width:415.3pt;height:1.5pt" o:hralign="center" o:hrstd="t" o:hr="t" fillcolor="#a0a0a0" stroked="f"/>
        </w:pict>
      </w:r>
    </w:p>
    <w:p w14:paraId="7DCFEE35" w14:textId="77777777" w:rsidR="00C1563E" w:rsidRDefault="000B648B">
      <w:hyperlink r:id="rId238" w:anchor="i418e32e4a35149ffbf7d3a25d66881b8_10" w:history="1">
        <w:r>
          <w:rPr>
            <w:rStyle w:val="a5"/>
            <w:rFonts w:ascii="Times New Roman" w:eastAsia="宋体" w:hAnsi="Times New Roman"/>
            <w:sz w:val="20"/>
            <w:szCs w:val="20"/>
          </w:rPr>
          <w:t>Table of Contents</w:t>
        </w:r>
      </w:hyperlink>
    </w:p>
    <w:p w14:paraId="7DCFEE36" w14:textId="77777777" w:rsidR="00C1563E" w:rsidRDefault="000B648B">
      <w:pPr>
        <w:spacing w:after="120"/>
        <w:jc w:val="center"/>
      </w:pPr>
      <w:r>
        <w:rPr>
          <w:rFonts w:ascii="Times New Roman" w:eastAsia="宋体" w:hAnsi="Times New Roman"/>
          <w:b/>
          <w:bCs/>
          <w:color w:val="000000"/>
          <w:sz w:val="20"/>
          <w:szCs w:val="20"/>
        </w:rPr>
        <w:t>DELL TECHNOLOGIES INC.</w:t>
      </w:r>
    </w:p>
    <w:p w14:paraId="7DCFEE37" w14:textId="77777777" w:rsidR="00C1563E" w:rsidRDefault="000B648B">
      <w:pPr>
        <w:spacing w:after="60"/>
        <w:jc w:val="center"/>
      </w:pPr>
      <w:r>
        <w:rPr>
          <w:rFonts w:ascii="Times New Roman" w:eastAsia="宋体" w:hAnsi="Times New Roman"/>
          <w:b/>
          <w:bCs/>
          <w:color w:val="000000"/>
          <w:sz w:val="20"/>
          <w:szCs w:val="20"/>
        </w:rPr>
        <w:t>CONSOLIDATED STATE</w:t>
      </w:r>
      <w:r>
        <w:rPr>
          <w:rFonts w:ascii="Times New Roman" w:eastAsia="宋体" w:hAnsi="Times New Roman"/>
          <w:b/>
          <w:bCs/>
          <w:color w:val="000000"/>
          <w:sz w:val="20"/>
          <w:szCs w:val="20"/>
        </w:rPr>
        <w:t>MENTS OF STOCKHOLDERS’ EQUITY (DEFICIT)</w:t>
      </w:r>
    </w:p>
    <w:p w14:paraId="7DCFEE38" w14:textId="77777777" w:rsidR="00C1563E" w:rsidRDefault="000B648B">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w:t>
      </w:r>
    </w:p>
    <w:p w14:paraId="7DCFEE39" w14:textId="77777777" w:rsidR="00C1563E" w:rsidRDefault="00C1563E">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809"/>
        <w:gridCol w:w="37"/>
        <w:gridCol w:w="66"/>
        <w:gridCol w:w="360"/>
        <w:gridCol w:w="34"/>
        <w:gridCol w:w="40"/>
        <w:gridCol w:w="31"/>
        <w:gridCol w:w="34"/>
        <w:gridCol w:w="91"/>
        <w:gridCol w:w="403"/>
        <w:gridCol w:w="34"/>
        <w:gridCol w:w="40"/>
        <w:gridCol w:w="31"/>
        <w:gridCol w:w="34"/>
        <w:gridCol w:w="65"/>
        <w:gridCol w:w="359"/>
        <w:gridCol w:w="35"/>
        <w:gridCol w:w="40"/>
        <w:gridCol w:w="33"/>
        <w:gridCol w:w="35"/>
        <w:gridCol w:w="92"/>
        <w:gridCol w:w="428"/>
        <w:gridCol w:w="34"/>
        <w:gridCol w:w="40"/>
        <w:gridCol w:w="31"/>
        <w:gridCol w:w="34"/>
        <w:gridCol w:w="93"/>
        <w:gridCol w:w="693"/>
        <w:gridCol w:w="34"/>
        <w:gridCol w:w="40"/>
        <w:gridCol w:w="31"/>
        <w:gridCol w:w="34"/>
        <w:gridCol w:w="106"/>
        <w:gridCol w:w="809"/>
        <w:gridCol w:w="34"/>
        <w:gridCol w:w="40"/>
        <w:gridCol w:w="31"/>
        <w:gridCol w:w="34"/>
        <w:gridCol w:w="96"/>
        <w:gridCol w:w="720"/>
        <w:gridCol w:w="34"/>
        <w:gridCol w:w="40"/>
        <w:gridCol w:w="31"/>
        <w:gridCol w:w="34"/>
        <w:gridCol w:w="112"/>
        <w:gridCol w:w="856"/>
        <w:gridCol w:w="34"/>
        <w:gridCol w:w="40"/>
        <w:gridCol w:w="31"/>
        <w:gridCol w:w="34"/>
        <w:gridCol w:w="96"/>
        <w:gridCol w:w="720"/>
        <w:gridCol w:w="34"/>
      </w:tblGrid>
      <w:tr w:rsidR="00C1563E" w14:paraId="7DCFEE70" w14:textId="77777777">
        <w:trPr>
          <w:jc w:val="center"/>
        </w:trPr>
        <w:tc>
          <w:tcPr>
            <w:tcW w:w="50" w:type="pct"/>
            <w:shd w:val="clear" w:color="auto" w:fill="auto"/>
          </w:tcPr>
          <w:p w14:paraId="7DCFEE3A" w14:textId="77777777" w:rsidR="00C1563E" w:rsidRDefault="00C1563E">
            <w:pPr>
              <w:rPr>
                <w:rFonts w:ascii="宋体"/>
              </w:rPr>
            </w:pPr>
          </w:p>
        </w:tc>
        <w:tc>
          <w:tcPr>
            <w:tcW w:w="854" w:type="pct"/>
            <w:shd w:val="clear" w:color="auto" w:fill="auto"/>
          </w:tcPr>
          <w:p w14:paraId="7DCFEE3B" w14:textId="77777777" w:rsidR="00C1563E" w:rsidRDefault="00C1563E">
            <w:pPr>
              <w:rPr>
                <w:rFonts w:ascii="宋体"/>
              </w:rPr>
            </w:pPr>
          </w:p>
        </w:tc>
        <w:tc>
          <w:tcPr>
            <w:tcW w:w="5" w:type="pct"/>
            <w:shd w:val="clear" w:color="auto" w:fill="auto"/>
          </w:tcPr>
          <w:p w14:paraId="7DCFEE3C" w14:textId="77777777" w:rsidR="00C1563E" w:rsidRDefault="00C1563E">
            <w:pPr>
              <w:rPr>
                <w:rFonts w:ascii="宋体"/>
              </w:rPr>
            </w:pPr>
          </w:p>
        </w:tc>
        <w:tc>
          <w:tcPr>
            <w:tcW w:w="50" w:type="pct"/>
            <w:shd w:val="clear" w:color="auto" w:fill="auto"/>
          </w:tcPr>
          <w:p w14:paraId="7DCFEE3D" w14:textId="77777777" w:rsidR="00C1563E" w:rsidRDefault="00C1563E">
            <w:pPr>
              <w:rPr>
                <w:rFonts w:ascii="宋体"/>
              </w:rPr>
            </w:pPr>
          </w:p>
        </w:tc>
        <w:tc>
          <w:tcPr>
            <w:tcW w:w="329" w:type="pct"/>
            <w:shd w:val="clear" w:color="auto" w:fill="auto"/>
          </w:tcPr>
          <w:p w14:paraId="7DCFEE3E" w14:textId="77777777" w:rsidR="00C1563E" w:rsidRDefault="00C1563E">
            <w:pPr>
              <w:rPr>
                <w:rFonts w:ascii="宋体"/>
              </w:rPr>
            </w:pPr>
          </w:p>
        </w:tc>
        <w:tc>
          <w:tcPr>
            <w:tcW w:w="5" w:type="pct"/>
            <w:shd w:val="clear" w:color="auto" w:fill="auto"/>
          </w:tcPr>
          <w:p w14:paraId="7DCFEE3F" w14:textId="77777777" w:rsidR="00C1563E" w:rsidRDefault="00C1563E">
            <w:pPr>
              <w:rPr>
                <w:rFonts w:ascii="宋体"/>
              </w:rPr>
            </w:pPr>
          </w:p>
        </w:tc>
        <w:tc>
          <w:tcPr>
            <w:tcW w:w="5" w:type="pct"/>
            <w:shd w:val="clear" w:color="auto" w:fill="auto"/>
          </w:tcPr>
          <w:p w14:paraId="7DCFEE40" w14:textId="77777777" w:rsidR="00C1563E" w:rsidRDefault="00C1563E">
            <w:pPr>
              <w:rPr>
                <w:rFonts w:ascii="宋体"/>
              </w:rPr>
            </w:pPr>
          </w:p>
        </w:tc>
        <w:tc>
          <w:tcPr>
            <w:tcW w:w="11" w:type="pct"/>
            <w:shd w:val="clear" w:color="auto" w:fill="auto"/>
          </w:tcPr>
          <w:p w14:paraId="7DCFEE41" w14:textId="77777777" w:rsidR="00C1563E" w:rsidRDefault="00C1563E">
            <w:pPr>
              <w:rPr>
                <w:rFonts w:ascii="宋体"/>
              </w:rPr>
            </w:pPr>
          </w:p>
        </w:tc>
        <w:tc>
          <w:tcPr>
            <w:tcW w:w="5" w:type="pct"/>
            <w:shd w:val="clear" w:color="auto" w:fill="auto"/>
          </w:tcPr>
          <w:p w14:paraId="7DCFEE42" w14:textId="77777777" w:rsidR="00C1563E" w:rsidRDefault="00C1563E">
            <w:pPr>
              <w:rPr>
                <w:rFonts w:ascii="宋体"/>
              </w:rPr>
            </w:pPr>
          </w:p>
        </w:tc>
        <w:tc>
          <w:tcPr>
            <w:tcW w:w="50" w:type="pct"/>
            <w:shd w:val="clear" w:color="auto" w:fill="auto"/>
          </w:tcPr>
          <w:p w14:paraId="7DCFEE43" w14:textId="77777777" w:rsidR="00C1563E" w:rsidRDefault="00C1563E">
            <w:pPr>
              <w:rPr>
                <w:rFonts w:ascii="宋体"/>
              </w:rPr>
            </w:pPr>
          </w:p>
        </w:tc>
        <w:tc>
          <w:tcPr>
            <w:tcW w:w="329" w:type="pct"/>
            <w:shd w:val="clear" w:color="auto" w:fill="auto"/>
          </w:tcPr>
          <w:p w14:paraId="7DCFEE44" w14:textId="77777777" w:rsidR="00C1563E" w:rsidRDefault="00C1563E">
            <w:pPr>
              <w:rPr>
                <w:rFonts w:ascii="宋体"/>
              </w:rPr>
            </w:pPr>
          </w:p>
        </w:tc>
        <w:tc>
          <w:tcPr>
            <w:tcW w:w="5" w:type="pct"/>
            <w:shd w:val="clear" w:color="auto" w:fill="auto"/>
          </w:tcPr>
          <w:p w14:paraId="7DCFEE45" w14:textId="77777777" w:rsidR="00C1563E" w:rsidRDefault="00C1563E">
            <w:pPr>
              <w:rPr>
                <w:rFonts w:ascii="宋体"/>
              </w:rPr>
            </w:pPr>
          </w:p>
        </w:tc>
        <w:tc>
          <w:tcPr>
            <w:tcW w:w="5" w:type="pct"/>
            <w:shd w:val="clear" w:color="auto" w:fill="auto"/>
          </w:tcPr>
          <w:p w14:paraId="7DCFEE46" w14:textId="77777777" w:rsidR="00C1563E" w:rsidRDefault="00C1563E">
            <w:pPr>
              <w:rPr>
                <w:rFonts w:ascii="宋体"/>
              </w:rPr>
            </w:pPr>
          </w:p>
        </w:tc>
        <w:tc>
          <w:tcPr>
            <w:tcW w:w="11" w:type="pct"/>
            <w:shd w:val="clear" w:color="auto" w:fill="auto"/>
          </w:tcPr>
          <w:p w14:paraId="7DCFEE47" w14:textId="77777777" w:rsidR="00C1563E" w:rsidRDefault="00C1563E">
            <w:pPr>
              <w:rPr>
                <w:rFonts w:ascii="宋体"/>
              </w:rPr>
            </w:pPr>
          </w:p>
        </w:tc>
        <w:tc>
          <w:tcPr>
            <w:tcW w:w="5" w:type="pct"/>
            <w:shd w:val="clear" w:color="auto" w:fill="auto"/>
          </w:tcPr>
          <w:p w14:paraId="7DCFEE48" w14:textId="77777777" w:rsidR="00C1563E" w:rsidRDefault="00C1563E">
            <w:pPr>
              <w:rPr>
                <w:rFonts w:ascii="宋体"/>
              </w:rPr>
            </w:pPr>
          </w:p>
        </w:tc>
        <w:tc>
          <w:tcPr>
            <w:tcW w:w="50" w:type="pct"/>
            <w:shd w:val="clear" w:color="auto" w:fill="auto"/>
          </w:tcPr>
          <w:p w14:paraId="7DCFEE49" w14:textId="77777777" w:rsidR="00C1563E" w:rsidRDefault="00C1563E">
            <w:pPr>
              <w:rPr>
                <w:rFonts w:ascii="宋体"/>
              </w:rPr>
            </w:pPr>
          </w:p>
        </w:tc>
        <w:tc>
          <w:tcPr>
            <w:tcW w:w="329" w:type="pct"/>
            <w:shd w:val="clear" w:color="auto" w:fill="auto"/>
          </w:tcPr>
          <w:p w14:paraId="7DCFEE4A" w14:textId="77777777" w:rsidR="00C1563E" w:rsidRDefault="00C1563E">
            <w:pPr>
              <w:rPr>
                <w:rFonts w:ascii="宋体"/>
              </w:rPr>
            </w:pPr>
          </w:p>
        </w:tc>
        <w:tc>
          <w:tcPr>
            <w:tcW w:w="5" w:type="pct"/>
            <w:shd w:val="clear" w:color="auto" w:fill="auto"/>
          </w:tcPr>
          <w:p w14:paraId="7DCFEE4B" w14:textId="77777777" w:rsidR="00C1563E" w:rsidRDefault="00C1563E">
            <w:pPr>
              <w:rPr>
                <w:rFonts w:ascii="宋体"/>
              </w:rPr>
            </w:pPr>
          </w:p>
        </w:tc>
        <w:tc>
          <w:tcPr>
            <w:tcW w:w="5" w:type="pct"/>
            <w:shd w:val="clear" w:color="auto" w:fill="auto"/>
          </w:tcPr>
          <w:p w14:paraId="7DCFEE4C" w14:textId="77777777" w:rsidR="00C1563E" w:rsidRDefault="00C1563E">
            <w:pPr>
              <w:rPr>
                <w:rFonts w:ascii="宋体"/>
              </w:rPr>
            </w:pPr>
          </w:p>
        </w:tc>
        <w:tc>
          <w:tcPr>
            <w:tcW w:w="11" w:type="pct"/>
            <w:shd w:val="clear" w:color="auto" w:fill="auto"/>
          </w:tcPr>
          <w:p w14:paraId="7DCFEE4D" w14:textId="77777777" w:rsidR="00C1563E" w:rsidRDefault="00C1563E">
            <w:pPr>
              <w:rPr>
                <w:rFonts w:ascii="宋体"/>
              </w:rPr>
            </w:pPr>
          </w:p>
        </w:tc>
        <w:tc>
          <w:tcPr>
            <w:tcW w:w="5" w:type="pct"/>
            <w:shd w:val="clear" w:color="auto" w:fill="auto"/>
          </w:tcPr>
          <w:p w14:paraId="7DCFEE4E" w14:textId="77777777" w:rsidR="00C1563E" w:rsidRDefault="00C1563E">
            <w:pPr>
              <w:rPr>
                <w:rFonts w:ascii="宋体"/>
              </w:rPr>
            </w:pPr>
          </w:p>
        </w:tc>
        <w:tc>
          <w:tcPr>
            <w:tcW w:w="50" w:type="pct"/>
            <w:shd w:val="clear" w:color="auto" w:fill="auto"/>
          </w:tcPr>
          <w:p w14:paraId="7DCFEE4F" w14:textId="77777777" w:rsidR="00C1563E" w:rsidRDefault="00C1563E">
            <w:pPr>
              <w:rPr>
                <w:rFonts w:ascii="宋体"/>
              </w:rPr>
            </w:pPr>
          </w:p>
        </w:tc>
        <w:tc>
          <w:tcPr>
            <w:tcW w:w="329" w:type="pct"/>
            <w:shd w:val="clear" w:color="auto" w:fill="auto"/>
          </w:tcPr>
          <w:p w14:paraId="7DCFEE50" w14:textId="77777777" w:rsidR="00C1563E" w:rsidRDefault="00C1563E">
            <w:pPr>
              <w:rPr>
                <w:rFonts w:ascii="宋体"/>
              </w:rPr>
            </w:pPr>
          </w:p>
        </w:tc>
        <w:tc>
          <w:tcPr>
            <w:tcW w:w="5" w:type="pct"/>
            <w:shd w:val="clear" w:color="auto" w:fill="auto"/>
          </w:tcPr>
          <w:p w14:paraId="7DCFEE51" w14:textId="77777777" w:rsidR="00C1563E" w:rsidRDefault="00C1563E">
            <w:pPr>
              <w:rPr>
                <w:rFonts w:ascii="宋体"/>
              </w:rPr>
            </w:pPr>
          </w:p>
        </w:tc>
        <w:tc>
          <w:tcPr>
            <w:tcW w:w="5" w:type="pct"/>
            <w:shd w:val="clear" w:color="auto" w:fill="auto"/>
          </w:tcPr>
          <w:p w14:paraId="7DCFEE52" w14:textId="77777777" w:rsidR="00C1563E" w:rsidRDefault="00C1563E">
            <w:pPr>
              <w:rPr>
                <w:rFonts w:ascii="宋体"/>
              </w:rPr>
            </w:pPr>
          </w:p>
        </w:tc>
        <w:tc>
          <w:tcPr>
            <w:tcW w:w="11" w:type="pct"/>
            <w:shd w:val="clear" w:color="auto" w:fill="auto"/>
          </w:tcPr>
          <w:p w14:paraId="7DCFEE53" w14:textId="77777777" w:rsidR="00C1563E" w:rsidRDefault="00C1563E">
            <w:pPr>
              <w:rPr>
                <w:rFonts w:ascii="宋体"/>
              </w:rPr>
            </w:pPr>
          </w:p>
        </w:tc>
        <w:tc>
          <w:tcPr>
            <w:tcW w:w="5" w:type="pct"/>
            <w:shd w:val="clear" w:color="auto" w:fill="auto"/>
          </w:tcPr>
          <w:p w14:paraId="7DCFEE54" w14:textId="77777777" w:rsidR="00C1563E" w:rsidRDefault="00C1563E">
            <w:pPr>
              <w:rPr>
                <w:rFonts w:ascii="宋体"/>
              </w:rPr>
            </w:pPr>
          </w:p>
        </w:tc>
        <w:tc>
          <w:tcPr>
            <w:tcW w:w="50" w:type="pct"/>
            <w:shd w:val="clear" w:color="auto" w:fill="auto"/>
          </w:tcPr>
          <w:p w14:paraId="7DCFEE55" w14:textId="77777777" w:rsidR="00C1563E" w:rsidRDefault="00C1563E">
            <w:pPr>
              <w:rPr>
                <w:rFonts w:ascii="宋体"/>
              </w:rPr>
            </w:pPr>
          </w:p>
        </w:tc>
        <w:tc>
          <w:tcPr>
            <w:tcW w:w="421" w:type="pct"/>
            <w:shd w:val="clear" w:color="auto" w:fill="auto"/>
          </w:tcPr>
          <w:p w14:paraId="7DCFEE56" w14:textId="77777777" w:rsidR="00C1563E" w:rsidRDefault="00C1563E">
            <w:pPr>
              <w:rPr>
                <w:rFonts w:ascii="宋体"/>
              </w:rPr>
            </w:pPr>
          </w:p>
        </w:tc>
        <w:tc>
          <w:tcPr>
            <w:tcW w:w="5" w:type="pct"/>
            <w:shd w:val="clear" w:color="auto" w:fill="auto"/>
          </w:tcPr>
          <w:p w14:paraId="7DCFEE57" w14:textId="77777777" w:rsidR="00C1563E" w:rsidRDefault="00C1563E">
            <w:pPr>
              <w:rPr>
                <w:rFonts w:ascii="宋体"/>
              </w:rPr>
            </w:pPr>
          </w:p>
        </w:tc>
        <w:tc>
          <w:tcPr>
            <w:tcW w:w="5" w:type="pct"/>
            <w:shd w:val="clear" w:color="auto" w:fill="auto"/>
          </w:tcPr>
          <w:p w14:paraId="7DCFEE58" w14:textId="77777777" w:rsidR="00C1563E" w:rsidRDefault="00C1563E">
            <w:pPr>
              <w:rPr>
                <w:rFonts w:ascii="宋体"/>
              </w:rPr>
            </w:pPr>
          </w:p>
        </w:tc>
        <w:tc>
          <w:tcPr>
            <w:tcW w:w="11" w:type="pct"/>
            <w:shd w:val="clear" w:color="auto" w:fill="auto"/>
          </w:tcPr>
          <w:p w14:paraId="7DCFEE59" w14:textId="77777777" w:rsidR="00C1563E" w:rsidRDefault="00C1563E">
            <w:pPr>
              <w:rPr>
                <w:rFonts w:ascii="宋体"/>
              </w:rPr>
            </w:pPr>
          </w:p>
        </w:tc>
        <w:tc>
          <w:tcPr>
            <w:tcW w:w="5" w:type="pct"/>
            <w:shd w:val="clear" w:color="auto" w:fill="auto"/>
          </w:tcPr>
          <w:p w14:paraId="7DCFEE5A" w14:textId="77777777" w:rsidR="00C1563E" w:rsidRDefault="00C1563E">
            <w:pPr>
              <w:rPr>
                <w:rFonts w:ascii="宋体"/>
              </w:rPr>
            </w:pPr>
          </w:p>
        </w:tc>
        <w:tc>
          <w:tcPr>
            <w:tcW w:w="50" w:type="pct"/>
            <w:shd w:val="clear" w:color="auto" w:fill="auto"/>
          </w:tcPr>
          <w:p w14:paraId="7DCFEE5B" w14:textId="77777777" w:rsidR="00C1563E" w:rsidRDefault="00C1563E">
            <w:pPr>
              <w:rPr>
                <w:rFonts w:ascii="宋体"/>
              </w:rPr>
            </w:pPr>
          </w:p>
        </w:tc>
        <w:tc>
          <w:tcPr>
            <w:tcW w:w="421" w:type="pct"/>
            <w:shd w:val="clear" w:color="auto" w:fill="auto"/>
          </w:tcPr>
          <w:p w14:paraId="7DCFEE5C" w14:textId="77777777" w:rsidR="00C1563E" w:rsidRDefault="00C1563E">
            <w:pPr>
              <w:rPr>
                <w:rFonts w:ascii="宋体"/>
              </w:rPr>
            </w:pPr>
          </w:p>
        </w:tc>
        <w:tc>
          <w:tcPr>
            <w:tcW w:w="5" w:type="pct"/>
            <w:shd w:val="clear" w:color="auto" w:fill="auto"/>
          </w:tcPr>
          <w:p w14:paraId="7DCFEE5D" w14:textId="77777777" w:rsidR="00C1563E" w:rsidRDefault="00C1563E">
            <w:pPr>
              <w:rPr>
                <w:rFonts w:ascii="宋体"/>
              </w:rPr>
            </w:pPr>
          </w:p>
        </w:tc>
        <w:tc>
          <w:tcPr>
            <w:tcW w:w="5" w:type="pct"/>
            <w:shd w:val="clear" w:color="auto" w:fill="auto"/>
          </w:tcPr>
          <w:p w14:paraId="7DCFEE5E" w14:textId="77777777" w:rsidR="00C1563E" w:rsidRDefault="00C1563E">
            <w:pPr>
              <w:rPr>
                <w:rFonts w:ascii="宋体"/>
              </w:rPr>
            </w:pPr>
          </w:p>
        </w:tc>
        <w:tc>
          <w:tcPr>
            <w:tcW w:w="11" w:type="pct"/>
            <w:shd w:val="clear" w:color="auto" w:fill="auto"/>
          </w:tcPr>
          <w:p w14:paraId="7DCFEE5F" w14:textId="77777777" w:rsidR="00C1563E" w:rsidRDefault="00C1563E">
            <w:pPr>
              <w:rPr>
                <w:rFonts w:ascii="宋体"/>
              </w:rPr>
            </w:pPr>
          </w:p>
        </w:tc>
        <w:tc>
          <w:tcPr>
            <w:tcW w:w="5" w:type="pct"/>
            <w:shd w:val="clear" w:color="auto" w:fill="auto"/>
          </w:tcPr>
          <w:p w14:paraId="7DCFEE60" w14:textId="77777777" w:rsidR="00C1563E" w:rsidRDefault="00C1563E">
            <w:pPr>
              <w:rPr>
                <w:rFonts w:ascii="宋体"/>
              </w:rPr>
            </w:pPr>
          </w:p>
        </w:tc>
        <w:tc>
          <w:tcPr>
            <w:tcW w:w="50" w:type="pct"/>
            <w:shd w:val="clear" w:color="auto" w:fill="auto"/>
          </w:tcPr>
          <w:p w14:paraId="7DCFEE61" w14:textId="77777777" w:rsidR="00C1563E" w:rsidRDefault="00C1563E">
            <w:pPr>
              <w:rPr>
                <w:rFonts w:ascii="宋体"/>
              </w:rPr>
            </w:pPr>
          </w:p>
        </w:tc>
        <w:tc>
          <w:tcPr>
            <w:tcW w:w="421" w:type="pct"/>
            <w:shd w:val="clear" w:color="auto" w:fill="auto"/>
          </w:tcPr>
          <w:p w14:paraId="7DCFEE62" w14:textId="77777777" w:rsidR="00C1563E" w:rsidRDefault="00C1563E">
            <w:pPr>
              <w:rPr>
                <w:rFonts w:ascii="宋体"/>
              </w:rPr>
            </w:pPr>
          </w:p>
        </w:tc>
        <w:tc>
          <w:tcPr>
            <w:tcW w:w="5" w:type="pct"/>
            <w:shd w:val="clear" w:color="auto" w:fill="auto"/>
          </w:tcPr>
          <w:p w14:paraId="7DCFEE63" w14:textId="77777777" w:rsidR="00C1563E" w:rsidRDefault="00C1563E">
            <w:pPr>
              <w:rPr>
                <w:rFonts w:ascii="宋体"/>
              </w:rPr>
            </w:pPr>
          </w:p>
        </w:tc>
        <w:tc>
          <w:tcPr>
            <w:tcW w:w="5" w:type="pct"/>
            <w:shd w:val="clear" w:color="auto" w:fill="auto"/>
          </w:tcPr>
          <w:p w14:paraId="7DCFEE64" w14:textId="77777777" w:rsidR="00C1563E" w:rsidRDefault="00C1563E">
            <w:pPr>
              <w:rPr>
                <w:rFonts w:ascii="宋体"/>
              </w:rPr>
            </w:pPr>
          </w:p>
        </w:tc>
        <w:tc>
          <w:tcPr>
            <w:tcW w:w="11" w:type="pct"/>
            <w:shd w:val="clear" w:color="auto" w:fill="auto"/>
          </w:tcPr>
          <w:p w14:paraId="7DCFEE65" w14:textId="77777777" w:rsidR="00C1563E" w:rsidRDefault="00C1563E">
            <w:pPr>
              <w:rPr>
                <w:rFonts w:ascii="宋体"/>
              </w:rPr>
            </w:pPr>
          </w:p>
        </w:tc>
        <w:tc>
          <w:tcPr>
            <w:tcW w:w="5" w:type="pct"/>
            <w:shd w:val="clear" w:color="auto" w:fill="auto"/>
          </w:tcPr>
          <w:p w14:paraId="7DCFEE66" w14:textId="77777777" w:rsidR="00C1563E" w:rsidRDefault="00C1563E">
            <w:pPr>
              <w:rPr>
                <w:rFonts w:ascii="宋体"/>
              </w:rPr>
            </w:pPr>
          </w:p>
        </w:tc>
        <w:tc>
          <w:tcPr>
            <w:tcW w:w="50" w:type="pct"/>
            <w:shd w:val="clear" w:color="auto" w:fill="auto"/>
          </w:tcPr>
          <w:p w14:paraId="7DCFEE67" w14:textId="77777777" w:rsidR="00C1563E" w:rsidRDefault="00C1563E">
            <w:pPr>
              <w:rPr>
                <w:rFonts w:ascii="宋体"/>
              </w:rPr>
            </w:pPr>
          </w:p>
        </w:tc>
        <w:tc>
          <w:tcPr>
            <w:tcW w:w="421" w:type="pct"/>
            <w:shd w:val="clear" w:color="auto" w:fill="auto"/>
          </w:tcPr>
          <w:p w14:paraId="7DCFEE68" w14:textId="77777777" w:rsidR="00C1563E" w:rsidRDefault="00C1563E">
            <w:pPr>
              <w:rPr>
                <w:rFonts w:ascii="宋体"/>
              </w:rPr>
            </w:pPr>
          </w:p>
        </w:tc>
        <w:tc>
          <w:tcPr>
            <w:tcW w:w="5" w:type="pct"/>
            <w:shd w:val="clear" w:color="auto" w:fill="auto"/>
          </w:tcPr>
          <w:p w14:paraId="7DCFEE69" w14:textId="77777777" w:rsidR="00C1563E" w:rsidRDefault="00C1563E">
            <w:pPr>
              <w:rPr>
                <w:rFonts w:ascii="宋体"/>
              </w:rPr>
            </w:pPr>
          </w:p>
        </w:tc>
        <w:tc>
          <w:tcPr>
            <w:tcW w:w="5" w:type="pct"/>
            <w:shd w:val="clear" w:color="auto" w:fill="auto"/>
          </w:tcPr>
          <w:p w14:paraId="7DCFEE6A" w14:textId="77777777" w:rsidR="00C1563E" w:rsidRDefault="00C1563E">
            <w:pPr>
              <w:rPr>
                <w:rFonts w:ascii="宋体"/>
              </w:rPr>
            </w:pPr>
          </w:p>
        </w:tc>
        <w:tc>
          <w:tcPr>
            <w:tcW w:w="11" w:type="pct"/>
            <w:shd w:val="clear" w:color="auto" w:fill="auto"/>
          </w:tcPr>
          <w:p w14:paraId="7DCFEE6B" w14:textId="77777777" w:rsidR="00C1563E" w:rsidRDefault="00C1563E">
            <w:pPr>
              <w:rPr>
                <w:rFonts w:ascii="宋体"/>
              </w:rPr>
            </w:pPr>
          </w:p>
        </w:tc>
        <w:tc>
          <w:tcPr>
            <w:tcW w:w="5" w:type="pct"/>
            <w:shd w:val="clear" w:color="auto" w:fill="auto"/>
          </w:tcPr>
          <w:p w14:paraId="7DCFEE6C" w14:textId="77777777" w:rsidR="00C1563E" w:rsidRDefault="00C1563E">
            <w:pPr>
              <w:rPr>
                <w:rFonts w:ascii="宋体"/>
              </w:rPr>
            </w:pPr>
          </w:p>
        </w:tc>
        <w:tc>
          <w:tcPr>
            <w:tcW w:w="50" w:type="pct"/>
            <w:shd w:val="clear" w:color="auto" w:fill="auto"/>
          </w:tcPr>
          <w:p w14:paraId="7DCFEE6D" w14:textId="77777777" w:rsidR="00C1563E" w:rsidRDefault="00C1563E">
            <w:pPr>
              <w:rPr>
                <w:rFonts w:ascii="宋体"/>
              </w:rPr>
            </w:pPr>
          </w:p>
        </w:tc>
        <w:tc>
          <w:tcPr>
            <w:tcW w:w="421" w:type="pct"/>
            <w:shd w:val="clear" w:color="auto" w:fill="auto"/>
          </w:tcPr>
          <w:p w14:paraId="7DCFEE6E" w14:textId="77777777" w:rsidR="00C1563E" w:rsidRDefault="00C1563E">
            <w:pPr>
              <w:rPr>
                <w:rFonts w:ascii="宋体"/>
              </w:rPr>
            </w:pPr>
          </w:p>
        </w:tc>
        <w:tc>
          <w:tcPr>
            <w:tcW w:w="5" w:type="pct"/>
            <w:shd w:val="clear" w:color="auto" w:fill="auto"/>
          </w:tcPr>
          <w:p w14:paraId="7DCFEE6F" w14:textId="77777777" w:rsidR="00C1563E" w:rsidRDefault="00C1563E">
            <w:pPr>
              <w:rPr>
                <w:rFonts w:ascii="宋体"/>
              </w:rPr>
            </w:pPr>
          </w:p>
        </w:tc>
      </w:tr>
      <w:tr w:rsidR="00C1563E" w14:paraId="7DCFEE7F" w14:textId="77777777">
        <w:trPr>
          <w:jc w:val="center"/>
        </w:trPr>
        <w:tc>
          <w:tcPr>
            <w:tcW w:w="0" w:type="auto"/>
            <w:gridSpan w:val="3"/>
            <w:shd w:val="clear" w:color="auto" w:fill="auto"/>
            <w:tcMar>
              <w:top w:w="0" w:type="dxa"/>
              <w:left w:w="20" w:type="dxa"/>
              <w:bottom w:w="0" w:type="dxa"/>
              <w:right w:w="20" w:type="dxa"/>
            </w:tcMar>
          </w:tcPr>
          <w:p w14:paraId="7DCFEE71" w14:textId="77777777" w:rsidR="00C1563E" w:rsidRDefault="00C1563E">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DCFEE72" w14:textId="77777777" w:rsidR="00C1563E" w:rsidRDefault="000B648B">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DCFEE73" w14:textId="77777777" w:rsidR="00C1563E" w:rsidRDefault="00C1563E">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DCFEE74" w14:textId="77777777" w:rsidR="00C1563E" w:rsidRDefault="000B648B">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DCFEE7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7E" w14:textId="77777777" w:rsidR="00C1563E" w:rsidRDefault="00C1563E">
            <w:pPr>
              <w:rPr>
                <w:rFonts w:ascii="宋体"/>
              </w:rPr>
            </w:pPr>
          </w:p>
        </w:tc>
      </w:tr>
      <w:tr w:rsidR="00C1563E" w14:paraId="7DCFEE8C" w14:textId="77777777">
        <w:trPr>
          <w:jc w:val="center"/>
        </w:trPr>
        <w:tc>
          <w:tcPr>
            <w:tcW w:w="0" w:type="auto"/>
            <w:gridSpan w:val="3"/>
            <w:shd w:val="clear" w:color="auto" w:fill="auto"/>
            <w:tcMar>
              <w:top w:w="0" w:type="dxa"/>
              <w:left w:w="20" w:type="dxa"/>
              <w:bottom w:w="0" w:type="dxa"/>
              <w:right w:w="20" w:type="dxa"/>
            </w:tcMar>
          </w:tcPr>
          <w:p w14:paraId="7DCFEE80" w14:textId="77777777" w:rsidR="00C1563E" w:rsidRDefault="00C1563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DCFEE81" w14:textId="77777777" w:rsidR="00C1563E" w:rsidRDefault="000B648B">
            <w:pPr>
              <w:jc w:val="center"/>
              <w:textAlignment w:val="bottom"/>
            </w:pPr>
            <w:r>
              <w:rPr>
                <w:rFonts w:ascii="Times New Roman" w:eastAsia="宋体" w:hAnsi="Times New Roman"/>
                <w:b/>
                <w:bCs/>
                <w:color w:val="000000"/>
                <w:sz w:val="18"/>
                <w:szCs w:val="18"/>
              </w:rPr>
              <w:t>Dell Technologies Common Stock (a)</w:t>
            </w:r>
          </w:p>
        </w:tc>
        <w:tc>
          <w:tcPr>
            <w:tcW w:w="0" w:type="auto"/>
            <w:gridSpan w:val="3"/>
            <w:shd w:val="clear" w:color="auto" w:fill="auto"/>
            <w:tcMar>
              <w:top w:w="0" w:type="dxa"/>
              <w:left w:w="20" w:type="dxa"/>
              <w:bottom w:w="0" w:type="dxa"/>
              <w:right w:w="20" w:type="dxa"/>
            </w:tcMar>
          </w:tcPr>
          <w:p w14:paraId="7DCFEE8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EE8B" w14:textId="77777777" w:rsidR="00C1563E" w:rsidRDefault="00C1563E">
            <w:pPr>
              <w:rPr>
                <w:rFonts w:ascii="宋体"/>
              </w:rPr>
            </w:pPr>
          </w:p>
        </w:tc>
      </w:tr>
      <w:tr w:rsidR="00C1563E" w14:paraId="7DCFEE9F" w14:textId="77777777">
        <w:trPr>
          <w:jc w:val="center"/>
        </w:trPr>
        <w:tc>
          <w:tcPr>
            <w:tcW w:w="0" w:type="auto"/>
            <w:gridSpan w:val="3"/>
            <w:shd w:val="clear" w:color="auto" w:fill="auto"/>
            <w:tcMar>
              <w:top w:w="0" w:type="dxa"/>
              <w:left w:w="20" w:type="dxa"/>
              <w:bottom w:w="0" w:type="dxa"/>
              <w:right w:w="20" w:type="dxa"/>
            </w:tcMar>
          </w:tcPr>
          <w:p w14:paraId="7DCFEE8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E8E" w14:textId="77777777" w:rsidR="00C1563E" w:rsidRDefault="000B648B">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E8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E90" w14:textId="77777777" w:rsidR="00C1563E" w:rsidRDefault="000B648B">
            <w:pPr>
              <w:jc w:val="center"/>
              <w:textAlignment w:val="bottom"/>
            </w:pPr>
            <w:r>
              <w:rPr>
                <w:rFonts w:ascii="Times New Roman" w:eastAsia="宋体" w:hAnsi="Times New Roman"/>
                <w:b/>
                <w:bCs/>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DCFEE91"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E92" w14:textId="77777777" w:rsidR="00C1563E" w:rsidRDefault="000B648B">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EE93"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EE94" w14:textId="77777777" w:rsidR="00C1563E" w:rsidRDefault="000B648B">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DCFEE9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E96" w14:textId="77777777" w:rsidR="00C1563E" w:rsidRDefault="000B648B">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DCFEE9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E98" w14:textId="77777777" w:rsidR="00C1563E" w:rsidRDefault="000B648B">
            <w:pPr>
              <w:jc w:val="center"/>
              <w:textAlignment w:val="bottom"/>
            </w:pPr>
            <w:r>
              <w:rPr>
                <w:rFonts w:ascii="Times New Roman" w:eastAsia="宋体" w:hAnsi="Times New Roman"/>
                <w:b/>
                <w:bCs/>
                <w:color w:val="000000"/>
                <w:sz w:val="18"/>
                <w:szCs w:val="18"/>
              </w:rPr>
              <w:t>Accumulated Other Comprehensive Income/(Loss)</w:t>
            </w:r>
          </w:p>
        </w:tc>
        <w:tc>
          <w:tcPr>
            <w:tcW w:w="0" w:type="auto"/>
            <w:gridSpan w:val="3"/>
            <w:shd w:val="clear" w:color="auto" w:fill="auto"/>
            <w:tcMar>
              <w:top w:w="0" w:type="dxa"/>
              <w:left w:w="20" w:type="dxa"/>
              <w:bottom w:w="0" w:type="dxa"/>
              <w:right w:w="20" w:type="dxa"/>
            </w:tcMar>
          </w:tcPr>
          <w:p w14:paraId="7DCFEE9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E9A" w14:textId="77777777" w:rsidR="00C1563E" w:rsidRDefault="000B648B">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tcPr>
          <w:p w14:paraId="7DCFEE9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E9C" w14:textId="77777777" w:rsidR="00C1563E" w:rsidRDefault="000B648B">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DCFEE9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EE9E" w14:textId="77777777" w:rsidR="00C1563E" w:rsidRDefault="000B648B">
            <w:pPr>
              <w:jc w:val="center"/>
              <w:textAlignment w:val="bottom"/>
            </w:pPr>
            <w:r>
              <w:rPr>
                <w:rFonts w:ascii="Times New Roman" w:eastAsia="宋体" w:hAnsi="Times New Roman"/>
                <w:b/>
                <w:bCs/>
                <w:color w:val="000000"/>
                <w:sz w:val="18"/>
                <w:szCs w:val="18"/>
              </w:rPr>
              <w:t>Total Stockholders’ Equity (Deficit)</w:t>
            </w:r>
          </w:p>
        </w:tc>
      </w:tr>
      <w:tr w:rsidR="000B648B" w14:paraId="7DCFEEC2" w14:textId="77777777">
        <w:trPr>
          <w:jc w:val="center"/>
        </w:trPr>
        <w:tc>
          <w:tcPr>
            <w:tcW w:w="0" w:type="auto"/>
            <w:gridSpan w:val="3"/>
            <w:shd w:val="clear" w:color="auto" w:fill="CCEEFF"/>
            <w:tcMar>
              <w:top w:w="40" w:type="dxa"/>
              <w:left w:w="20" w:type="dxa"/>
              <w:bottom w:w="40" w:type="dxa"/>
              <w:right w:w="20" w:type="dxa"/>
            </w:tcMar>
            <w:vAlign w:val="bottom"/>
          </w:tcPr>
          <w:p w14:paraId="7DCFEEA0" w14:textId="77777777" w:rsidR="00C1563E" w:rsidRDefault="000B648B">
            <w:pPr>
              <w:textAlignment w:val="bottom"/>
            </w:pPr>
            <w:r>
              <w:rPr>
                <w:rFonts w:ascii="Times New Roman" w:eastAsia="宋体" w:hAnsi="Times New Roman"/>
                <w:b/>
                <w:bCs/>
                <w:color w:val="000000"/>
                <w:sz w:val="18"/>
                <w:szCs w:val="18"/>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EA1" w14:textId="77777777" w:rsidR="00C1563E" w:rsidRDefault="000B648B">
            <w:pPr>
              <w:jc w:val="right"/>
              <w:textAlignment w:val="bottom"/>
            </w:pPr>
            <w:r>
              <w:rPr>
                <w:rFonts w:ascii="Times New Roman" w:eastAsia="宋体" w:hAnsi="Times New Roman"/>
                <w:color w:val="000000"/>
                <w:sz w:val="18"/>
                <w:szCs w:val="18"/>
              </w:rPr>
              <w:t>721 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A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A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A5" w14:textId="77777777" w:rsidR="00C1563E" w:rsidRDefault="000B648B">
            <w:pPr>
              <w:jc w:val="right"/>
              <w:textAlignment w:val="bottom"/>
            </w:pPr>
            <w:r>
              <w:rPr>
                <w:rFonts w:ascii="Times New Roman" w:eastAsia="宋体" w:hAnsi="Times New Roman"/>
                <w:color w:val="000000"/>
                <w:sz w:val="18"/>
                <w:szCs w:val="18"/>
              </w:rPr>
              <w:t>16,114 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A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A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EEA8" w14:textId="77777777" w:rsidR="00C1563E" w:rsidRDefault="000B648B">
            <w:pPr>
              <w:jc w:val="right"/>
              <w:textAlignment w:val="bottom"/>
            </w:pPr>
            <w:r>
              <w:rPr>
                <w:rFonts w:ascii="Times New Roman" w:eastAsia="宋体" w:hAnsi="Times New Roman"/>
                <w:color w:val="000000"/>
                <w:sz w:val="18"/>
                <w:szCs w:val="18"/>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A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AA"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AB"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AC" w14:textId="77777777" w:rsidR="00C1563E" w:rsidRDefault="000B648B">
            <w:pPr>
              <w:jc w:val="right"/>
              <w:textAlignment w:val="bottom"/>
            </w:pPr>
            <w:r>
              <w:rPr>
                <w:rFonts w:ascii="Times New Roman" w:eastAsia="宋体" w:hAnsi="Times New Roman"/>
                <w:color w:val="000000"/>
                <w:sz w:val="18"/>
                <w:szCs w:val="18"/>
              </w:rPr>
              <w:t>(63)</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A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AE"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A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B0" w14:textId="77777777" w:rsidR="00C1563E" w:rsidRDefault="000B648B">
            <w:pPr>
              <w:jc w:val="right"/>
              <w:textAlignment w:val="bottom"/>
            </w:pPr>
            <w:r>
              <w:rPr>
                <w:rFonts w:ascii="Times New Roman" w:eastAsia="宋体" w:hAnsi="Times New Roman"/>
                <w:color w:val="000000"/>
                <w:sz w:val="18"/>
                <w:szCs w:val="18"/>
              </w:rPr>
              <w:t>(21,349)</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B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B2"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B3"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B4" w14:textId="77777777" w:rsidR="00C1563E" w:rsidRDefault="000B648B">
            <w:pPr>
              <w:jc w:val="right"/>
              <w:textAlignment w:val="bottom"/>
            </w:pPr>
            <w:r>
              <w:rPr>
                <w:rFonts w:ascii="Times New Roman" w:eastAsia="宋体" w:hAnsi="Times New Roman"/>
                <w:color w:val="000000"/>
                <w:sz w:val="18"/>
                <w:szCs w:val="18"/>
              </w:rPr>
              <w:t>(467)</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B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B6"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B7"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B8" w14:textId="77777777" w:rsidR="00C1563E" w:rsidRDefault="000B648B">
            <w:pPr>
              <w:jc w:val="right"/>
              <w:textAlignment w:val="bottom"/>
            </w:pPr>
            <w:r>
              <w:rPr>
                <w:rFonts w:ascii="Times New Roman" w:eastAsia="宋体" w:hAnsi="Times New Roman"/>
                <w:color w:val="000000"/>
                <w:sz w:val="18"/>
                <w:szCs w:val="18"/>
              </w:rPr>
              <w:t>(5,765)</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B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BA"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BB"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BC" w14:textId="77777777" w:rsidR="00C1563E" w:rsidRDefault="000B648B">
            <w:pPr>
              <w:jc w:val="right"/>
              <w:textAlignment w:val="bottom"/>
            </w:pPr>
            <w:r>
              <w:rPr>
                <w:rFonts w:ascii="Times New Roman" w:eastAsia="宋体" w:hAnsi="Times New Roman"/>
                <w:color w:val="000000"/>
                <w:sz w:val="18"/>
                <w:szCs w:val="18"/>
              </w:rPr>
              <w:t>4,823 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B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BE"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EEBF"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EEC0" w14:textId="77777777" w:rsidR="00C1563E" w:rsidRDefault="000B648B">
            <w:pPr>
              <w:jc w:val="right"/>
              <w:textAlignment w:val="bottom"/>
            </w:pPr>
            <w:r>
              <w:rPr>
                <w:rFonts w:ascii="Times New Roman" w:eastAsia="宋体" w:hAnsi="Times New Roman"/>
                <w:color w:val="000000"/>
                <w:sz w:val="18"/>
                <w:szCs w:val="18"/>
              </w:rPr>
              <w:t>(942)</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EEC1" w14:textId="77777777" w:rsidR="00C1563E" w:rsidRDefault="00C1563E">
            <w:pPr>
              <w:jc w:val="right"/>
              <w:rPr>
                <w:rFonts w:ascii="宋体"/>
              </w:rPr>
            </w:pPr>
          </w:p>
        </w:tc>
      </w:tr>
      <w:tr w:rsidR="00C1563E" w14:paraId="7DCFEEDE" w14:textId="77777777">
        <w:trPr>
          <w:jc w:val="center"/>
        </w:trPr>
        <w:tc>
          <w:tcPr>
            <w:tcW w:w="0" w:type="auto"/>
            <w:gridSpan w:val="3"/>
            <w:shd w:val="clear" w:color="auto" w:fill="auto"/>
            <w:tcMar>
              <w:top w:w="40" w:type="dxa"/>
              <w:left w:w="20" w:type="dxa"/>
              <w:bottom w:w="40" w:type="dxa"/>
              <w:right w:w="20" w:type="dxa"/>
            </w:tcMar>
            <w:vAlign w:val="bottom"/>
          </w:tcPr>
          <w:p w14:paraId="7DCFEEC3" w14:textId="77777777" w:rsidR="00C1563E" w:rsidRDefault="000B648B">
            <w:pPr>
              <w:textAlignment w:val="bottom"/>
            </w:pPr>
            <w:r>
              <w:rPr>
                <w:rFonts w:ascii="Times New Roman" w:eastAsia="宋体" w:hAnsi="Times New Roman"/>
                <w:color w:val="000000"/>
                <w:sz w:val="18"/>
                <w:szCs w:val="18"/>
              </w:rPr>
              <w:t>Adjustment for adoption of accounting standards (Note 2)</w:t>
            </w:r>
          </w:p>
        </w:tc>
        <w:tc>
          <w:tcPr>
            <w:tcW w:w="0" w:type="auto"/>
            <w:gridSpan w:val="2"/>
            <w:shd w:val="clear" w:color="auto" w:fill="FFFFFF"/>
            <w:tcMar>
              <w:top w:w="40" w:type="dxa"/>
              <w:left w:w="20" w:type="dxa"/>
              <w:bottom w:w="40" w:type="dxa"/>
              <w:right w:w="0" w:type="dxa"/>
            </w:tcMar>
            <w:vAlign w:val="bottom"/>
          </w:tcPr>
          <w:p w14:paraId="7DCFEEC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C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C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C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C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C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C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C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C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C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C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D0" w14:textId="77777777" w:rsidR="00C1563E" w:rsidRDefault="000B648B">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7DCFEED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D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D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D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D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D6" w14:textId="77777777" w:rsidR="00C1563E" w:rsidRDefault="000B648B">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7DCFEED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D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D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D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D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DC" w14:textId="77777777" w:rsidR="00C1563E" w:rsidRDefault="000B648B">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7DCFEEDD" w14:textId="77777777" w:rsidR="00C1563E" w:rsidRDefault="00C1563E">
            <w:pPr>
              <w:jc w:val="right"/>
              <w:rPr>
                <w:rFonts w:ascii="宋体"/>
              </w:rPr>
            </w:pPr>
          </w:p>
        </w:tc>
      </w:tr>
      <w:tr w:rsidR="00C1563E" w14:paraId="7DCFEEFA" w14:textId="77777777">
        <w:trPr>
          <w:jc w:val="center"/>
        </w:trPr>
        <w:tc>
          <w:tcPr>
            <w:tcW w:w="0" w:type="auto"/>
            <w:gridSpan w:val="3"/>
            <w:shd w:val="clear" w:color="auto" w:fill="CCEEFF"/>
            <w:tcMar>
              <w:top w:w="40" w:type="dxa"/>
              <w:left w:w="155" w:type="dxa"/>
              <w:bottom w:w="40" w:type="dxa"/>
              <w:right w:w="20" w:type="dxa"/>
            </w:tcMar>
            <w:vAlign w:val="bottom"/>
          </w:tcPr>
          <w:p w14:paraId="7DCFEEDF" w14:textId="77777777" w:rsidR="00C1563E" w:rsidRDefault="000B648B">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7DCFEEE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EE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E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E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E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E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E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E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E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E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EE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E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EC" w14:textId="77777777" w:rsidR="00C1563E" w:rsidRDefault="000B648B">
            <w:pPr>
              <w:jc w:val="right"/>
              <w:textAlignment w:val="bottom"/>
            </w:pPr>
            <w:r>
              <w:rPr>
                <w:rFonts w:ascii="Times New Roman" w:eastAsia="宋体" w:hAnsi="Times New Roman"/>
                <w:color w:val="000000"/>
                <w:sz w:val="18"/>
                <w:szCs w:val="18"/>
              </w:rPr>
              <w:t>4,616 </w:t>
            </w:r>
          </w:p>
        </w:tc>
        <w:tc>
          <w:tcPr>
            <w:tcW w:w="0" w:type="auto"/>
            <w:shd w:val="clear" w:color="auto" w:fill="CCEEFF"/>
            <w:tcMar>
              <w:top w:w="40" w:type="dxa"/>
              <w:left w:w="0" w:type="dxa"/>
              <w:bottom w:w="40" w:type="dxa"/>
              <w:right w:w="20" w:type="dxa"/>
            </w:tcMar>
            <w:vAlign w:val="bottom"/>
          </w:tcPr>
          <w:p w14:paraId="7DCFEEE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E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E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E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F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F2" w14:textId="77777777" w:rsidR="00C1563E" w:rsidRDefault="000B648B">
            <w:pPr>
              <w:jc w:val="right"/>
              <w:textAlignment w:val="bottom"/>
            </w:pPr>
            <w:r>
              <w:rPr>
                <w:rFonts w:ascii="Times New Roman" w:eastAsia="宋体" w:hAnsi="Times New Roman"/>
                <w:color w:val="000000"/>
                <w:sz w:val="18"/>
                <w:szCs w:val="18"/>
              </w:rPr>
              <w:t>4,616 </w:t>
            </w:r>
          </w:p>
        </w:tc>
        <w:tc>
          <w:tcPr>
            <w:tcW w:w="0" w:type="auto"/>
            <w:shd w:val="clear" w:color="auto" w:fill="CCEEFF"/>
            <w:tcMar>
              <w:top w:w="40" w:type="dxa"/>
              <w:left w:w="0" w:type="dxa"/>
              <w:bottom w:w="40" w:type="dxa"/>
              <w:right w:w="20" w:type="dxa"/>
            </w:tcMar>
            <w:vAlign w:val="bottom"/>
          </w:tcPr>
          <w:p w14:paraId="7DCFEE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F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F5" w14:textId="77777777" w:rsidR="00C1563E" w:rsidRDefault="000B648B">
            <w:pPr>
              <w:jc w:val="right"/>
              <w:textAlignment w:val="bottom"/>
            </w:pPr>
            <w:r>
              <w:rPr>
                <w:rFonts w:ascii="Times New Roman" w:eastAsia="宋体" w:hAnsi="Times New Roman"/>
                <w:color w:val="000000"/>
                <w:sz w:val="18"/>
                <w:szCs w:val="18"/>
              </w:rPr>
              <w:t>913 </w:t>
            </w:r>
          </w:p>
        </w:tc>
        <w:tc>
          <w:tcPr>
            <w:tcW w:w="0" w:type="auto"/>
            <w:shd w:val="clear" w:color="auto" w:fill="CCEEFF"/>
            <w:tcMar>
              <w:top w:w="40" w:type="dxa"/>
              <w:left w:w="0" w:type="dxa"/>
              <w:bottom w:w="40" w:type="dxa"/>
              <w:right w:w="20" w:type="dxa"/>
            </w:tcMar>
            <w:vAlign w:val="bottom"/>
          </w:tcPr>
          <w:p w14:paraId="7DCFEEF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EF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EF8" w14:textId="77777777" w:rsidR="00C1563E" w:rsidRDefault="000B648B">
            <w:pPr>
              <w:jc w:val="right"/>
              <w:textAlignment w:val="bottom"/>
            </w:pPr>
            <w:r>
              <w:rPr>
                <w:rFonts w:ascii="Times New Roman" w:eastAsia="宋体" w:hAnsi="Times New Roman"/>
                <w:color w:val="000000"/>
                <w:sz w:val="18"/>
                <w:szCs w:val="18"/>
              </w:rPr>
              <w:t>5,529 </w:t>
            </w:r>
          </w:p>
        </w:tc>
        <w:tc>
          <w:tcPr>
            <w:tcW w:w="0" w:type="auto"/>
            <w:shd w:val="clear" w:color="auto" w:fill="CCEEFF"/>
            <w:tcMar>
              <w:top w:w="40" w:type="dxa"/>
              <w:left w:w="0" w:type="dxa"/>
              <w:bottom w:w="40" w:type="dxa"/>
              <w:right w:w="20" w:type="dxa"/>
            </w:tcMar>
            <w:vAlign w:val="bottom"/>
          </w:tcPr>
          <w:p w14:paraId="7DCFEEF9" w14:textId="77777777" w:rsidR="00C1563E" w:rsidRDefault="00C1563E">
            <w:pPr>
              <w:jc w:val="right"/>
              <w:rPr>
                <w:rFonts w:ascii="宋体"/>
              </w:rPr>
            </w:pPr>
          </w:p>
        </w:tc>
      </w:tr>
      <w:tr w:rsidR="00C1563E" w14:paraId="7DCFEF16" w14:textId="77777777">
        <w:trPr>
          <w:jc w:val="center"/>
        </w:trPr>
        <w:tc>
          <w:tcPr>
            <w:tcW w:w="0" w:type="auto"/>
            <w:gridSpan w:val="3"/>
            <w:shd w:val="clear" w:color="auto" w:fill="FFFFFF"/>
            <w:tcMar>
              <w:top w:w="40" w:type="dxa"/>
              <w:left w:w="155" w:type="dxa"/>
              <w:bottom w:w="40" w:type="dxa"/>
              <w:right w:w="20" w:type="dxa"/>
            </w:tcMar>
            <w:vAlign w:val="bottom"/>
          </w:tcPr>
          <w:p w14:paraId="7DCFEEFB" w14:textId="77777777" w:rsidR="00C1563E" w:rsidRDefault="000B648B">
            <w:pPr>
              <w:textAlignment w:val="bottom"/>
            </w:pPr>
            <w:r>
              <w:rPr>
                <w:rFonts w:ascii="Times New Roman" w:eastAsia="宋体" w:hAnsi="Times New Roman"/>
                <w:color w:val="000000"/>
                <w:sz w:val="18"/>
                <w:szCs w:val="18"/>
              </w:rPr>
              <w:t>Foreign currency translation adjustments</w:t>
            </w:r>
          </w:p>
        </w:tc>
        <w:tc>
          <w:tcPr>
            <w:tcW w:w="0" w:type="auto"/>
            <w:gridSpan w:val="2"/>
            <w:shd w:val="clear" w:color="auto" w:fill="FFFFFF"/>
            <w:tcMar>
              <w:top w:w="40" w:type="dxa"/>
              <w:left w:w="20" w:type="dxa"/>
              <w:bottom w:w="40" w:type="dxa"/>
              <w:right w:w="0" w:type="dxa"/>
            </w:tcMar>
            <w:vAlign w:val="bottom"/>
          </w:tcPr>
          <w:p w14:paraId="7DCFEEF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EF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EF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EF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0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0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0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0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0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0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0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0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0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0B" w14:textId="77777777" w:rsidR="00C1563E" w:rsidRDefault="000B648B">
            <w:pPr>
              <w:jc w:val="right"/>
              <w:textAlignment w:val="bottom"/>
            </w:pPr>
            <w:r>
              <w:rPr>
                <w:rFonts w:ascii="Times New Roman" w:eastAsia="宋体" w:hAnsi="Times New Roman"/>
                <w:color w:val="000000"/>
                <w:sz w:val="18"/>
                <w:szCs w:val="18"/>
              </w:rPr>
              <w:t>(226)</w:t>
            </w:r>
          </w:p>
        </w:tc>
        <w:tc>
          <w:tcPr>
            <w:tcW w:w="0" w:type="auto"/>
            <w:shd w:val="clear" w:color="auto" w:fill="FFFFFF"/>
            <w:tcMar>
              <w:top w:w="40" w:type="dxa"/>
              <w:left w:w="0" w:type="dxa"/>
              <w:bottom w:w="40" w:type="dxa"/>
              <w:right w:w="20" w:type="dxa"/>
            </w:tcMar>
            <w:vAlign w:val="bottom"/>
          </w:tcPr>
          <w:p w14:paraId="7DCFEF0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0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0E" w14:textId="77777777" w:rsidR="00C1563E" w:rsidRDefault="000B648B">
            <w:pPr>
              <w:jc w:val="right"/>
              <w:textAlignment w:val="bottom"/>
            </w:pPr>
            <w:r>
              <w:rPr>
                <w:rFonts w:ascii="Times New Roman" w:eastAsia="宋体" w:hAnsi="Times New Roman"/>
                <w:color w:val="000000"/>
                <w:sz w:val="18"/>
                <w:szCs w:val="18"/>
              </w:rPr>
              <w:t>(226)</w:t>
            </w:r>
          </w:p>
        </w:tc>
        <w:tc>
          <w:tcPr>
            <w:tcW w:w="0" w:type="auto"/>
            <w:shd w:val="clear" w:color="auto" w:fill="FFFFFF"/>
            <w:tcMar>
              <w:top w:w="40" w:type="dxa"/>
              <w:left w:w="0" w:type="dxa"/>
              <w:bottom w:w="40" w:type="dxa"/>
              <w:right w:w="20" w:type="dxa"/>
            </w:tcMar>
            <w:vAlign w:val="bottom"/>
          </w:tcPr>
          <w:p w14:paraId="7DCFEF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1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1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1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1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14" w14:textId="77777777" w:rsidR="00C1563E" w:rsidRDefault="000B648B">
            <w:pPr>
              <w:jc w:val="right"/>
              <w:textAlignment w:val="bottom"/>
            </w:pPr>
            <w:r>
              <w:rPr>
                <w:rFonts w:ascii="Times New Roman" w:eastAsia="宋体" w:hAnsi="Times New Roman"/>
                <w:color w:val="000000"/>
                <w:sz w:val="18"/>
                <w:szCs w:val="18"/>
              </w:rPr>
              <w:t>(226)</w:t>
            </w:r>
          </w:p>
        </w:tc>
        <w:tc>
          <w:tcPr>
            <w:tcW w:w="0" w:type="auto"/>
            <w:shd w:val="clear" w:color="auto" w:fill="FFFFFF"/>
            <w:tcMar>
              <w:top w:w="40" w:type="dxa"/>
              <w:left w:w="0" w:type="dxa"/>
              <w:bottom w:w="40" w:type="dxa"/>
              <w:right w:w="20" w:type="dxa"/>
            </w:tcMar>
            <w:vAlign w:val="bottom"/>
          </w:tcPr>
          <w:p w14:paraId="7DCFEF15" w14:textId="77777777" w:rsidR="00C1563E" w:rsidRDefault="00C1563E">
            <w:pPr>
              <w:jc w:val="right"/>
              <w:rPr>
                <w:rFonts w:ascii="宋体"/>
              </w:rPr>
            </w:pPr>
          </w:p>
        </w:tc>
      </w:tr>
      <w:tr w:rsidR="00C1563E" w14:paraId="7DCFEF29" w14:textId="77777777">
        <w:trPr>
          <w:jc w:val="center"/>
          <w:hidden/>
        </w:trPr>
        <w:tc>
          <w:tcPr>
            <w:tcW w:w="0" w:type="auto"/>
            <w:gridSpan w:val="3"/>
            <w:shd w:val="clear" w:color="auto" w:fill="auto"/>
          </w:tcPr>
          <w:p w14:paraId="7DCFEF17" w14:textId="77777777" w:rsidR="00C1563E" w:rsidRDefault="00C1563E">
            <w:pPr>
              <w:rPr>
                <w:rFonts w:ascii="宋体"/>
                <w:vanish/>
              </w:rPr>
            </w:pPr>
          </w:p>
        </w:tc>
        <w:tc>
          <w:tcPr>
            <w:tcW w:w="0" w:type="auto"/>
            <w:gridSpan w:val="3"/>
            <w:shd w:val="clear" w:color="auto" w:fill="auto"/>
          </w:tcPr>
          <w:p w14:paraId="7DCFEF18" w14:textId="77777777" w:rsidR="00C1563E" w:rsidRDefault="00C1563E">
            <w:pPr>
              <w:rPr>
                <w:rFonts w:ascii="宋体"/>
                <w:vanish/>
              </w:rPr>
            </w:pPr>
          </w:p>
        </w:tc>
        <w:tc>
          <w:tcPr>
            <w:tcW w:w="0" w:type="auto"/>
            <w:gridSpan w:val="3"/>
            <w:shd w:val="clear" w:color="auto" w:fill="auto"/>
          </w:tcPr>
          <w:p w14:paraId="7DCFEF19" w14:textId="77777777" w:rsidR="00C1563E" w:rsidRDefault="00C1563E">
            <w:pPr>
              <w:rPr>
                <w:rFonts w:ascii="宋体"/>
                <w:vanish/>
              </w:rPr>
            </w:pPr>
          </w:p>
        </w:tc>
        <w:tc>
          <w:tcPr>
            <w:tcW w:w="0" w:type="auto"/>
            <w:gridSpan w:val="3"/>
            <w:shd w:val="clear" w:color="auto" w:fill="auto"/>
          </w:tcPr>
          <w:p w14:paraId="7DCFEF1A" w14:textId="77777777" w:rsidR="00C1563E" w:rsidRDefault="00C1563E">
            <w:pPr>
              <w:rPr>
                <w:rFonts w:ascii="宋体"/>
                <w:vanish/>
              </w:rPr>
            </w:pPr>
          </w:p>
        </w:tc>
        <w:tc>
          <w:tcPr>
            <w:tcW w:w="0" w:type="auto"/>
            <w:gridSpan w:val="3"/>
            <w:shd w:val="clear" w:color="auto" w:fill="auto"/>
          </w:tcPr>
          <w:p w14:paraId="7DCFEF1B" w14:textId="77777777" w:rsidR="00C1563E" w:rsidRDefault="00C1563E">
            <w:pPr>
              <w:rPr>
                <w:rFonts w:ascii="宋体"/>
                <w:vanish/>
              </w:rPr>
            </w:pPr>
          </w:p>
        </w:tc>
        <w:tc>
          <w:tcPr>
            <w:tcW w:w="0" w:type="auto"/>
            <w:gridSpan w:val="3"/>
            <w:shd w:val="clear" w:color="auto" w:fill="auto"/>
          </w:tcPr>
          <w:p w14:paraId="7DCFEF1C" w14:textId="77777777" w:rsidR="00C1563E" w:rsidRDefault="00C1563E">
            <w:pPr>
              <w:rPr>
                <w:rFonts w:ascii="宋体"/>
                <w:vanish/>
              </w:rPr>
            </w:pPr>
          </w:p>
        </w:tc>
        <w:tc>
          <w:tcPr>
            <w:tcW w:w="0" w:type="auto"/>
            <w:gridSpan w:val="3"/>
            <w:shd w:val="clear" w:color="auto" w:fill="auto"/>
          </w:tcPr>
          <w:p w14:paraId="7DCFEF1D" w14:textId="77777777" w:rsidR="00C1563E" w:rsidRDefault="00C1563E">
            <w:pPr>
              <w:rPr>
                <w:rFonts w:ascii="宋体"/>
                <w:vanish/>
              </w:rPr>
            </w:pPr>
          </w:p>
        </w:tc>
        <w:tc>
          <w:tcPr>
            <w:tcW w:w="0" w:type="auto"/>
            <w:gridSpan w:val="3"/>
            <w:shd w:val="clear" w:color="auto" w:fill="auto"/>
          </w:tcPr>
          <w:p w14:paraId="7DCFEF1E" w14:textId="77777777" w:rsidR="00C1563E" w:rsidRDefault="00C1563E">
            <w:pPr>
              <w:rPr>
                <w:rFonts w:ascii="宋体"/>
                <w:vanish/>
              </w:rPr>
            </w:pPr>
          </w:p>
        </w:tc>
        <w:tc>
          <w:tcPr>
            <w:tcW w:w="0" w:type="auto"/>
            <w:gridSpan w:val="3"/>
            <w:shd w:val="clear" w:color="auto" w:fill="auto"/>
          </w:tcPr>
          <w:p w14:paraId="7DCFEF1F" w14:textId="77777777" w:rsidR="00C1563E" w:rsidRDefault="00C1563E">
            <w:pPr>
              <w:rPr>
                <w:rFonts w:ascii="宋体"/>
                <w:vanish/>
              </w:rPr>
            </w:pPr>
          </w:p>
        </w:tc>
        <w:tc>
          <w:tcPr>
            <w:tcW w:w="0" w:type="auto"/>
            <w:gridSpan w:val="3"/>
            <w:shd w:val="clear" w:color="auto" w:fill="auto"/>
          </w:tcPr>
          <w:p w14:paraId="7DCFEF20" w14:textId="77777777" w:rsidR="00C1563E" w:rsidRDefault="00C1563E">
            <w:pPr>
              <w:rPr>
                <w:rFonts w:ascii="宋体"/>
                <w:vanish/>
              </w:rPr>
            </w:pPr>
          </w:p>
        </w:tc>
        <w:tc>
          <w:tcPr>
            <w:tcW w:w="0" w:type="auto"/>
            <w:gridSpan w:val="3"/>
            <w:shd w:val="clear" w:color="auto" w:fill="auto"/>
          </w:tcPr>
          <w:p w14:paraId="7DCFEF21" w14:textId="77777777" w:rsidR="00C1563E" w:rsidRDefault="00C1563E">
            <w:pPr>
              <w:rPr>
                <w:rFonts w:ascii="宋体"/>
                <w:vanish/>
              </w:rPr>
            </w:pPr>
          </w:p>
        </w:tc>
        <w:tc>
          <w:tcPr>
            <w:tcW w:w="0" w:type="auto"/>
            <w:gridSpan w:val="3"/>
            <w:shd w:val="clear" w:color="auto" w:fill="auto"/>
          </w:tcPr>
          <w:p w14:paraId="7DCFEF22" w14:textId="77777777" w:rsidR="00C1563E" w:rsidRDefault="00C1563E">
            <w:pPr>
              <w:rPr>
                <w:rFonts w:ascii="宋体"/>
                <w:vanish/>
              </w:rPr>
            </w:pPr>
          </w:p>
        </w:tc>
        <w:tc>
          <w:tcPr>
            <w:tcW w:w="0" w:type="auto"/>
            <w:gridSpan w:val="3"/>
            <w:shd w:val="clear" w:color="auto" w:fill="auto"/>
          </w:tcPr>
          <w:p w14:paraId="7DCFEF23" w14:textId="77777777" w:rsidR="00C1563E" w:rsidRDefault="00C1563E">
            <w:pPr>
              <w:rPr>
                <w:rFonts w:ascii="宋体"/>
                <w:vanish/>
              </w:rPr>
            </w:pPr>
          </w:p>
        </w:tc>
        <w:tc>
          <w:tcPr>
            <w:tcW w:w="0" w:type="auto"/>
            <w:gridSpan w:val="3"/>
            <w:shd w:val="clear" w:color="auto" w:fill="auto"/>
          </w:tcPr>
          <w:p w14:paraId="7DCFEF24" w14:textId="77777777" w:rsidR="00C1563E" w:rsidRDefault="00C1563E">
            <w:pPr>
              <w:rPr>
                <w:rFonts w:ascii="宋体"/>
                <w:vanish/>
              </w:rPr>
            </w:pPr>
          </w:p>
        </w:tc>
        <w:tc>
          <w:tcPr>
            <w:tcW w:w="0" w:type="auto"/>
            <w:gridSpan w:val="3"/>
            <w:shd w:val="clear" w:color="auto" w:fill="auto"/>
          </w:tcPr>
          <w:p w14:paraId="7DCFEF25" w14:textId="77777777" w:rsidR="00C1563E" w:rsidRDefault="00C1563E">
            <w:pPr>
              <w:rPr>
                <w:rFonts w:ascii="宋体"/>
                <w:vanish/>
              </w:rPr>
            </w:pPr>
          </w:p>
        </w:tc>
        <w:tc>
          <w:tcPr>
            <w:tcW w:w="0" w:type="auto"/>
            <w:gridSpan w:val="3"/>
            <w:shd w:val="clear" w:color="auto" w:fill="auto"/>
          </w:tcPr>
          <w:p w14:paraId="7DCFEF26" w14:textId="77777777" w:rsidR="00C1563E" w:rsidRDefault="00C1563E">
            <w:pPr>
              <w:rPr>
                <w:rFonts w:ascii="宋体"/>
                <w:vanish/>
              </w:rPr>
            </w:pPr>
          </w:p>
        </w:tc>
        <w:tc>
          <w:tcPr>
            <w:tcW w:w="0" w:type="auto"/>
            <w:gridSpan w:val="3"/>
            <w:shd w:val="clear" w:color="auto" w:fill="auto"/>
          </w:tcPr>
          <w:p w14:paraId="7DCFEF27" w14:textId="77777777" w:rsidR="00C1563E" w:rsidRDefault="00C1563E">
            <w:pPr>
              <w:rPr>
                <w:rFonts w:ascii="宋体"/>
                <w:vanish/>
              </w:rPr>
            </w:pPr>
          </w:p>
        </w:tc>
        <w:tc>
          <w:tcPr>
            <w:tcW w:w="0" w:type="auto"/>
            <w:gridSpan w:val="3"/>
            <w:shd w:val="clear" w:color="auto" w:fill="auto"/>
          </w:tcPr>
          <w:p w14:paraId="7DCFEF28" w14:textId="77777777" w:rsidR="00C1563E" w:rsidRDefault="00C1563E">
            <w:pPr>
              <w:rPr>
                <w:rFonts w:ascii="宋体"/>
                <w:vanish/>
              </w:rPr>
            </w:pPr>
          </w:p>
        </w:tc>
      </w:tr>
      <w:tr w:rsidR="00C1563E" w14:paraId="7DCFEF45" w14:textId="77777777">
        <w:trPr>
          <w:jc w:val="center"/>
        </w:trPr>
        <w:tc>
          <w:tcPr>
            <w:tcW w:w="0" w:type="auto"/>
            <w:gridSpan w:val="3"/>
            <w:shd w:val="clear" w:color="auto" w:fill="CCEEFF"/>
            <w:tcMar>
              <w:top w:w="40" w:type="dxa"/>
              <w:left w:w="155" w:type="dxa"/>
              <w:bottom w:w="40" w:type="dxa"/>
              <w:right w:w="20" w:type="dxa"/>
            </w:tcMar>
            <w:vAlign w:val="bottom"/>
          </w:tcPr>
          <w:p w14:paraId="7DCFEF2A" w14:textId="77777777" w:rsidR="00C1563E" w:rsidRDefault="000B648B">
            <w:pPr>
              <w:textAlignment w:val="bottom"/>
            </w:pPr>
            <w:r>
              <w:rPr>
                <w:rFonts w:ascii="Times New Roman" w:eastAsia="宋体" w:hAnsi="Times New Roman"/>
                <w:color w:val="000000"/>
                <w:sz w:val="18"/>
                <w:szCs w:val="18"/>
              </w:rPr>
              <w:t>Cash flow hedges, net change</w:t>
            </w:r>
          </w:p>
        </w:tc>
        <w:tc>
          <w:tcPr>
            <w:tcW w:w="0" w:type="auto"/>
            <w:gridSpan w:val="2"/>
            <w:shd w:val="clear" w:color="auto" w:fill="CCEEFF"/>
            <w:tcMar>
              <w:top w:w="40" w:type="dxa"/>
              <w:left w:w="20" w:type="dxa"/>
              <w:bottom w:w="40" w:type="dxa"/>
              <w:right w:w="0" w:type="dxa"/>
            </w:tcMar>
            <w:vAlign w:val="bottom"/>
          </w:tcPr>
          <w:p w14:paraId="7DCFEF2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2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2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2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2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3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3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3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3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3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3A" w14:textId="77777777" w:rsidR="00C1563E" w:rsidRDefault="000B648B">
            <w:pPr>
              <w:jc w:val="right"/>
              <w:textAlignment w:val="bottom"/>
            </w:pPr>
            <w:r>
              <w:rPr>
                <w:rFonts w:ascii="Times New Roman" w:eastAsia="宋体" w:hAnsi="Times New Roman"/>
                <w:color w:val="000000"/>
                <w:sz w:val="18"/>
                <w:szCs w:val="18"/>
              </w:rPr>
              <w:t>43 </w:t>
            </w:r>
          </w:p>
        </w:tc>
        <w:tc>
          <w:tcPr>
            <w:tcW w:w="0" w:type="auto"/>
            <w:shd w:val="clear" w:color="auto" w:fill="CCEEFF"/>
            <w:tcMar>
              <w:top w:w="40" w:type="dxa"/>
              <w:left w:w="0" w:type="dxa"/>
              <w:bottom w:w="40" w:type="dxa"/>
              <w:right w:w="20" w:type="dxa"/>
            </w:tcMar>
            <w:vAlign w:val="bottom"/>
          </w:tcPr>
          <w:p w14:paraId="7DCFEF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3D" w14:textId="77777777" w:rsidR="00C1563E" w:rsidRDefault="000B648B">
            <w:pPr>
              <w:jc w:val="right"/>
              <w:textAlignment w:val="bottom"/>
            </w:pPr>
            <w:r>
              <w:rPr>
                <w:rFonts w:ascii="Times New Roman" w:eastAsia="宋体" w:hAnsi="Times New Roman"/>
                <w:color w:val="000000"/>
                <w:sz w:val="18"/>
                <w:szCs w:val="18"/>
              </w:rPr>
              <w:t>43 </w:t>
            </w:r>
          </w:p>
        </w:tc>
        <w:tc>
          <w:tcPr>
            <w:tcW w:w="0" w:type="auto"/>
            <w:shd w:val="clear" w:color="auto" w:fill="CCEEFF"/>
            <w:tcMar>
              <w:top w:w="40" w:type="dxa"/>
              <w:left w:w="0" w:type="dxa"/>
              <w:bottom w:w="40" w:type="dxa"/>
              <w:right w:w="20" w:type="dxa"/>
            </w:tcMar>
            <w:vAlign w:val="bottom"/>
          </w:tcPr>
          <w:p w14:paraId="7DCFEF3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3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4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4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4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43" w14:textId="77777777" w:rsidR="00C1563E" w:rsidRDefault="000B648B">
            <w:pPr>
              <w:jc w:val="right"/>
              <w:textAlignment w:val="bottom"/>
            </w:pPr>
            <w:r>
              <w:rPr>
                <w:rFonts w:ascii="Times New Roman" w:eastAsia="宋体" w:hAnsi="Times New Roman"/>
                <w:color w:val="000000"/>
                <w:sz w:val="18"/>
                <w:szCs w:val="18"/>
              </w:rPr>
              <w:t>43 </w:t>
            </w:r>
          </w:p>
        </w:tc>
        <w:tc>
          <w:tcPr>
            <w:tcW w:w="0" w:type="auto"/>
            <w:shd w:val="clear" w:color="auto" w:fill="CCEEFF"/>
            <w:tcMar>
              <w:top w:w="40" w:type="dxa"/>
              <w:left w:w="0" w:type="dxa"/>
              <w:bottom w:w="40" w:type="dxa"/>
              <w:right w:w="20" w:type="dxa"/>
            </w:tcMar>
            <w:vAlign w:val="bottom"/>
          </w:tcPr>
          <w:p w14:paraId="7DCFEF44" w14:textId="77777777" w:rsidR="00C1563E" w:rsidRDefault="00C1563E">
            <w:pPr>
              <w:jc w:val="right"/>
              <w:rPr>
                <w:rFonts w:ascii="宋体"/>
              </w:rPr>
            </w:pPr>
          </w:p>
        </w:tc>
      </w:tr>
      <w:tr w:rsidR="00C1563E" w14:paraId="7DCFEF61" w14:textId="77777777">
        <w:trPr>
          <w:jc w:val="center"/>
        </w:trPr>
        <w:tc>
          <w:tcPr>
            <w:tcW w:w="0" w:type="auto"/>
            <w:gridSpan w:val="3"/>
            <w:shd w:val="clear" w:color="auto" w:fill="FFFFFF"/>
            <w:tcMar>
              <w:top w:w="40" w:type="dxa"/>
              <w:left w:w="155" w:type="dxa"/>
              <w:bottom w:w="40" w:type="dxa"/>
              <w:right w:w="20" w:type="dxa"/>
            </w:tcMar>
            <w:vAlign w:val="bottom"/>
          </w:tcPr>
          <w:p w14:paraId="7DCFEF46" w14:textId="77777777" w:rsidR="00C1563E" w:rsidRDefault="000B648B">
            <w:pPr>
              <w:textAlignment w:val="bottom"/>
            </w:pPr>
            <w:r>
              <w:rPr>
                <w:rFonts w:ascii="Times New Roman" w:eastAsia="宋体" w:hAnsi="Times New Roman"/>
                <w:color w:val="000000"/>
                <w:sz w:val="18"/>
                <w:szCs w:val="18"/>
              </w:rPr>
              <w:t>Pension and other post-retirement</w:t>
            </w:r>
          </w:p>
        </w:tc>
        <w:tc>
          <w:tcPr>
            <w:tcW w:w="0" w:type="auto"/>
            <w:gridSpan w:val="2"/>
            <w:shd w:val="clear" w:color="auto" w:fill="FFFFFF"/>
            <w:tcMar>
              <w:top w:w="40" w:type="dxa"/>
              <w:left w:w="20" w:type="dxa"/>
              <w:bottom w:w="40" w:type="dxa"/>
              <w:right w:w="0" w:type="dxa"/>
            </w:tcMar>
            <w:vAlign w:val="bottom"/>
          </w:tcPr>
          <w:p w14:paraId="7DCFEF4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4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4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4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4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4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4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4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5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5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6" w14:textId="77777777" w:rsidR="00C1563E" w:rsidRDefault="000B648B">
            <w:pPr>
              <w:jc w:val="right"/>
              <w:textAlignment w:val="bottom"/>
            </w:pPr>
            <w:r>
              <w:rPr>
                <w:rFonts w:ascii="Times New Roman" w:eastAsia="宋体" w:hAnsi="Times New Roman"/>
                <w:color w:val="000000"/>
                <w:sz w:val="18"/>
                <w:szCs w:val="18"/>
              </w:rPr>
              <w:t>(59)</w:t>
            </w:r>
          </w:p>
        </w:tc>
        <w:tc>
          <w:tcPr>
            <w:tcW w:w="0" w:type="auto"/>
            <w:shd w:val="clear" w:color="auto" w:fill="FFFFFF"/>
            <w:tcMar>
              <w:top w:w="40" w:type="dxa"/>
              <w:left w:w="0" w:type="dxa"/>
              <w:bottom w:w="40" w:type="dxa"/>
              <w:right w:w="20" w:type="dxa"/>
            </w:tcMar>
            <w:vAlign w:val="bottom"/>
          </w:tcPr>
          <w:p w14:paraId="7DCFEF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9" w14:textId="77777777" w:rsidR="00C1563E" w:rsidRDefault="000B648B">
            <w:pPr>
              <w:jc w:val="right"/>
              <w:textAlignment w:val="bottom"/>
            </w:pPr>
            <w:r>
              <w:rPr>
                <w:rFonts w:ascii="Times New Roman" w:eastAsia="宋体" w:hAnsi="Times New Roman"/>
                <w:color w:val="000000"/>
                <w:sz w:val="18"/>
                <w:szCs w:val="18"/>
              </w:rPr>
              <w:t>(59)</w:t>
            </w:r>
          </w:p>
        </w:tc>
        <w:tc>
          <w:tcPr>
            <w:tcW w:w="0" w:type="auto"/>
            <w:shd w:val="clear" w:color="auto" w:fill="FFFFFF"/>
            <w:tcMar>
              <w:top w:w="40" w:type="dxa"/>
              <w:left w:w="0" w:type="dxa"/>
              <w:bottom w:w="40" w:type="dxa"/>
              <w:right w:w="20" w:type="dxa"/>
            </w:tcMar>
            <w:vAlign w:val="bottom"/>
          </w:tcPr>
          <w:p w14:paraId="7DCFEF5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5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5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5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5F" w14:textId="77777777" w:rsidR="00C1563E" w:rsidRDefault="000B648B">
            <w:pPr>
              <w:jc w:val="right"/>
              <w:textAlignment w:val="bottom"/>
            </w:pPr>
            <w:r>
              <w:rPr>
                <w:rFonts w:ascii="Times New Roman" w:eastAsia="宋体" w:hAnsi="Times New Roman"/>
                <w:color w:val="000000"/>
                <w:sz w:val="18"/>
                <w:szCs w:val="18"/>
              </w:rPr>
              <w:t>(59)</w:t>
            </w:r>
          </w:p>
        </w:tc>
        <w:tc>
          <w:tcPr>
            <w:tcW w:w="0" w:type="auto"/>
            <w:shd w:val="clear" w:color="auto" w:fill="FFFFFF"/>
            <w:tcMar>
              <w:top w:w="40" w:type="dxa"/>
              <w:left w:w="0" w:type="dxa"/>
              <w:bottom w:w="40" w:type="dxa"/>
              <w:right w:w="20" w:type="dxa"/>
            </w:tcMar>
            <w:vAlign w:val="bottom"/>
          </w:tcPr>
          <w:p w14:paraId="7DCFEF60" w14:textId="77777777" w:rsidR="00C1563E" w:rsidRDefault="00C1563E">
            <w:pPr>
              <w:jc w:val="right"/>
              <w:rPr>
                <w:rFonts w:ascii="宋体"/>
              </w:rPr>
            </w:pPr>
          </w:p>
        </w:tc>
      </w:tr>
      <w:tr w:rsidR="00C1563E" w14:paraId="7DCFEF7D" w14:textId="77777777">
        <w:trPr>
          <w:jc w:val="center"/>
        </w:trPr>
        <w:tc>
          <w:tcPr>
            <w:tcW w:w="0" w:type="auto"/>
            <w:gridSpan w:val="3"/>
            <w:shd w:val="clear" w:color="auto" w:fill="CCEEFF"/>
            <w:tcMar>
              <w:top w:w="40" w:type="dxa"/>
              <w:left w:w="155" w:type="dxa"/>
              <w:bottom w:w="40" w:type="dxa"/>
              <w:right w:w="20" w:type="dxa"/>
            </w:tcMar>
            <w:vAlign w:val="bottom"/>
          </w:tcPr>
          <w:p w14:paraId="7DCFEF62" w14:textId="77777777" w:rsidR="00C1563E" w:rsidRDefault="000B648B">
            <w:pPr>
              <w:textAlignment w:val="bottom"/>
            </w:pPr>
            <w:r>
              <w:rPr>
                <w:rFonts w:ascii="Times New Roman" w:eastAsia="宋体" w:hAnsi="Times New Roman"/>
                <w:color w:val="000000"/>
                <w:sz w:val="18"/>
                <w:szCs w:val="18"/>
              </w:rPr>
              <w:t>Issuance of common stock</w:t>
            </w:r>
          </w:p>
        </w:tc>
        <w:tc>
          <w:tcPr>
            <w:tcW w:w="0" w:type="auto"/>
            <w:gridSpan w:val="2"/>
            <w:shd w:val="clear" w:color="auto" w:fill="CCEEFF"/>
            <w:tcMar>
              <w:top w:w="40" w:type="dxa"/>
              <w:left w:w="20" w:type="dxa"/>
              <w:bottom w:w="40" w:type="dxa"/>
              <w:right w:w="0" w:type="dxa"/>
            </w:tcMar>
            <w:vAlign w:val="bottom"/>
          </w:tcPr>
          <w:p w14:paraId="7DCFEF63" w14:textId="77777777" w:rsidR="00C1563E" w:rsidRDefault="000B648B">
            <w:pPr>
              <w:jc w:val="right"/>
              <w:textAlignment w:val="bottom"/>
            </w:pPr>
            <w:r>
              <w:rPr>
                <w:rFonts w:ascii="Times New Roman" w:eastAsia="宋体" w:hAnsi="Times New Roman"/>
                <w:color w:val="000000"/>
                <w:sz w:val="18"/>
                <w:szCs w:val="18"/>
              </w:rPr>
              <w:t>24 </w:t>
            </w:r>
          </w:p>
        </w:tc>
        <w:tc>
          <w:tcPr>
            <w:tcW w:w="0" w:type="auto"/>
            <w:shd w:val="clear" w:color="auto" w:fill="CCEEFF"/>
            <w:tcMar>
              <w:top w:w="40" w:type="dxa"/>
              <w:left w:w="0" w:type="dxa"/>
              <w:bottom w:w="40" w:type="dxa"/>
              <w:right w:w="20" w:type="dxa"/>
            </w:tcMar>
            <w:vAlign w:val="bottom"/>
          </w:tcPr>
          <w:p w14:paraId="7DCFEF6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6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66" w14:textId="77777777" w:rsidR="00C1563E" w:rsidRDefault="000B648B">
            <w:pPr>
              <w:jc w:val="right"/>
              <w:textAlignment w:val="bottom"/>
            </w:pPr>
            <w:r>
              <w:rPr>
                <w:rFonts w:ascii="Times New Roman" w:eastAsia="宋体" w:hAnsi="Times New Roman"/>
                <w:color w:val="000000"/>
                <w:sz w:val="18"/>
                <w:szCs w:val="18"/>
              </w:rPr>
              <w:t>345 </w:t>
            </w:r>
          </w:p>
        </w:tc>
        <w:tc>
          <w:tcPr>
            <w:tcW w:w="0" w:type="auto"/>
            <w:shd w:val="clear" w:color="auto" w:fill="CCEEFF"/>
            <w:tcMar>
              <w:top w:w="40" w:type="dxa"/>
              <w:left w:w="0" w:type="dxa"/>
              <w:bottom w:w="40" w:type="dxa"/>
              <w:right w:w="20" w:type="dxa"/>
            </w:tcMar>
            <w:vAlign w:val="bottom"/>
          </w:tcPr>
          <w:p w14:paraId="7DCFEF6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6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6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6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6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6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6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6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7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7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7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7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75" w14:textId="77777777" w:rsidR="00C1563E" w:rsidRDefault="000B648B">
            <w:pPr>
              <w:jc w:val="right"/>
              <w:textAlignment w:val="bottom"/>
            </w:pPr>
            <w:r>
              <w:rPr>
                <w:rFonts w:ascii="Times New Roman" w:eastAsia="宋体" w:hAnsi="Times New Roman"/>
                <w:color w:val="000000"/>
                <w:sz w:val="18"/>
                <w:szCs w:val="18"/>
              </w:rPr>
              <w:t>345 </w:t>
            </w:r>
          </w:p>
        </w:tc>
        <w:tc>
          <w:tcPr>
            <w:tcW w:w="0" w:type="auto"/>
            <w:shd w:val="clear" w:color="auto" w:fill="CCEEFF"/>
            <w:tcMar>
              <w:top w:w="40" w:type="dxa"/>
              <w:left w:w="0" w:type="dxa"/>
              <w:bottom w:w="40" w:type="dxa"/>
              <w:right w:w="20" w:type="dxa"/>
            </w:tcMar>
            <w:vAlign w:val="bottom"/>
          </w:tcPr>
          <w:p w14:paraId="7DCFEF7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7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7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7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7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7B" w14:textId="77777777" w:rsidR="00C1563E" w:rsidRDefault="000B648B">
            <w:pPr>
              <w:jc w:val="right"/>
              <w:textAlignment w:val="bottom"/>
            </w:pPr>
            <w:r>
              <w:rPr>
                <w:rFonts w:ascii="Times New Roman" w:eastAsia="宋体" w:hAnsi="Times New Roman"/>
                <w:color w:val="000000"/>
                <w:sz w:val="18"/>
                <w:szCs w:val="18"/>
              </w:rPr>
              <w:t>345 </w:t>
            </w:r>
          </w:p>
        </w:tc>
        <w:tc>
          <w:tcPr>
            <w:tcW w:w="0" w:type="auto"/>
            <w:shd w:val="clear" w:color="auto" w:fill="CCEEFF"/>
            <w:tcMar>
              <w:top w:w="40" w:type="dxa"/>
              <w:left w:w="0" w:type="dxa"/>
              <w:bottom w:w="40" w:type="dxa"/>
              <w:right w:w="20" w:type="dxa"/>
            </w:tcMar>
            <w:vAlign w:val="bottom"/>
          </w:tcPr>
          <w:p w14:paraId="7DCFEF7C" w14:textId="77777777" w:rsidR="00C1563E" w:rsidRDefault="00C1563E">
            <w:pPr>
              <w:jc w:val="right"/>
              <w:rPr>
                <w:rFonts w:ascii="宋体"/>
              </w:rPr>
            </w:pPr>
          </w:p>
        </w:tc>
      </w:tr>
      <w:tr w:rsidR="00C1563E" w14:paraId="7DCFEF99" w14:textId="77777777">
        <w:trPr>
          <w:jc w:val="center"/>
        </w:trPr>
        <w:tc>
          <w:tcPr>
            <w:tcW w:w="0" w:type="auto"/>
            <w:gridSpan w:val="3"/>
            <w:shd w:val="clear" w:color="auto" w:fill="FFFFFF"/>
            <w:tcMar>
              <w:top w:w="40" w:type="dxa"/>
              <w:left w:w="155" w:type="dxa"/>
              <w:bottom w:w="40" w:type="dxa"/>
              <w:right w:w="20" w:type="dxa"/>
            </w:tcMar>
            <w:vAlign w:val="bottom"/>
          </w:tcPr>
          <w:p w14:paraId="7DCFEF7E" w14:textId="77777777" w:rsidR="00C1563E" w:rsidRDefault="000B648B">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7DCFEF7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8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8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82" w14:textId="77777777" w:rsidR="00C1563E" w:rsidRDefault="000B648B">
            <w:pPr>
              <w:jc w:val="right"/>
              <w:textAlignment w:val="bottom"/>
            </w:pPr>
            <w:r>
              <w:rPr>
                <w:rFonts w:ascii="Times New Roman" w:eastAsia="宋体" w:hAnsi="Times New Roman"/>
                <w:color w:val="000000"/>
                <w:sz w:val="18"/>
                <w:szCs w:val="18"/>
              </w:rPr>
              <w:t>225 </w:t>
            </w:r>
          </w:p>
        </w:tc>
        <w:tc>
          <w:tcPr>
            <w:tcW w:w="0" w:type="auto"/>
            <w:shd w:val="clear" w:color="auto" w:fill="FFFFFF"/>
            <w:tcMar>
              <w:top w:w="40" w:type="dxa"/>
              <w:left w:w="0" w:type="dxa"/>
              <w:bottom w:w="40" w:type="dxa"/>
              <w:right w:w="20" w:type="dxa"/>
            </w:tcMar>
            <w:vAlign w:val="bottom"/>
          </w:tcPr>
          <w:p w14:paraId="7DCFEF8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8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8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8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8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8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8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8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8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8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8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8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9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91" w14:textId="77777777" w:rsidR="00C1563E" w:rsidRDefault="000B648B">
            <w:pPr>
              <w:jc w:val="right"/>
              <w:textAlignment w:val="bottom"/>
            </w:pPr>
            <w:r>
              <w:rPr>
                <w:rFonts w:ascii="Times New Roman" w:eastAsia="宋体" w:hAnsi="Times New Roman"/>
                <w:color w:val="000000"/>
                <w:sz w:val="18"/>
                <w:szCs w:val="18"/>
              </w:rPr>
              <w:t>225 </w:t>
            </w:r>
          </w:p>
        </w:tc>
        <w:tc>
          <w:tcPr>
            <w:tcW w:w="0" w:type="auto"/>
            <w:shd w:val="clear" w:color="auto" w:fill="FFFFFF"/>
            <w:tcMar>
              <w:top w:w="40" w:type="dxa"/>
              <w:left w:w="0" w:type="dxa"/>
              <w:bottom w:w="40" w:type="dxa"/>
              <w:right w:w="20" w:type="dxa"/>
            </w:tcMar>
            <w:vAlign w:val="bottom"/>
          </w:tcPr>
          <w:p w14:paraId="7DCFEF9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9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94" w14:textId="77777777" w:rsidR="00C1563E" w:rsidRDefault="000B648B">
            <w:pPr>
              <w:jc w:val="right"/>
              <w:textAlignment w:val="bottom"/>
            </w:pPr>
            <w:r>
              <w:rPr>
                <w:rFonts w:ascii="Times New Roman" w:eastAsia="宋体" w:hAnsi="Times New Roman"/>
                <w:color w:val="000000"/>
                <w:sz w:val="18"/>
                <w:szCs w:val="18"/>
              </w:rPr>
              <w:t>1,037 </w:t>
            </w:r>
          </w:p>
        </w:tc>
        <w:tc>
          <w:tcPr>
            <w:tcW w:w="0" w:type="auto"/>
            <w:shd w:val="clear" w:color="auto" w:fill="FFFFFF"/>
            <w:tcMar>
              <w:top w:w="40" w:type="dxa"/>
              <w:left w:w="0" w:type="dxa"/>
              <w:bottom w:w="40" w:type="dxa"/>
              <w:right w:w="20" w:type="dxa"/>
            </w:tcMar>
            <w:vAlign w:val="bottom"/>
          </w:tcPr>
          <w:p w14:paraId="7DCFEF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9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97" w14:textId="77777777" w:rsidR="00C1563E" w:rsidRDefault="000B648B">
            <w:pPr>
              <w:jc w:val="right"/>
              <w:textAlignment w:val="bottom"/>
            </w:pPr>
            <w:r>
              <w:rPr>
                <w:rFonts w:ascii="Times New Roman" w:eastAsia="宋体" w:hAnsi="Times New Roman"/>
                <w:color w:val="000000"/>
                <w:sz w:val="18"/>
                <w:szCs w:val="18"/>
              </w:rPr>
              <w:t>1,262 </w:t>
            </w:r>
          </w:p>
        </w:tc>
        <w:tc>
          <w:tcPr>
            <w:tcW w:w="0" w:type="auto"/>
            <w:shd w:val="clear" w:color="auto" w:fill="FFFFFF"/>
            <w:tcMar>
              <w:top w:w="40" w:type="dxa"/>
              <w:left w:w="0" w:type="dxa"/>
              <w:bottom w:w="40" w:type="dxa"/>
              <w:right w:w="20" w:type="dxa"/>
            </w:tcMar>
            <w:vAlign w:val="bottom"/>
          </w:tcPr>
          <w:p w14:paraId="7DCFEF98" w14:textId="77777777" w:rsidR="00C1563E" w:rsidRDefault="00C1563E">
            <w:pPr>
              <w:jc w:val="right"/>
              <w:rPr>
                <w:rFonts w:ascii="宋体"/>
              </w:rPr>
            </w:pPr>
          </w:p>
        </w:tc>
      </w:tr>
      <w:tr w:rsidR="00C1563E" w14:paraId="7DCFEFB5" w14:textId="77777777">
        <w:trPr>
          <w:jc w:val="center"/>
        </w:trPr>
        <w:tc>
          <w:tcPr>
            <w:tcW w:w="0" w:type="auto"/>
            <w:gridSpan w:val="3"/>
            <w:shd w:val="clear" w:color="auto" w:fill="CCEEFF"/>
            <w:tcMar>
              <w:top w:w="40" w:type="dxa"/>
              <w:left w:w="155" w:type="dxa"/>
              <w:bottom w:w="40" w:type="dxa"/>
              <w:right w:w="20" w:type="dxa"/>
            </w:tcMar>
            <w:vAlign w:val="bottom"/>
          </w:tcPr>
          <w:p w14:paraId="7DCFEF9A" w14:textId="77777777" w:rsidR="00C1563E" w:rsidRDefault="000B648B">
            <w:pPr>
              <w:textAlignment w:val="bottom"/>
            </w:pPr>
            <w:r>
              <w:rPr>
                <w:rFonts w:ascii="Times New Roman" w:eastAsia="宋体" w:hAnsi="Times New Roman"/>
                <w:color w:val="000000"/>
                <w:sz w:val="18"/>
                <w:szCs w:val="18"/>
              </w:rPr>
              <w:t>Treasury stock repurchases</w:t>
            </w:r>
          </w:p>
        </w:tc>
        <w:tc>
          <w:tcPr>
            <w:tcW w:w="0" w:type="auto"/>
            <w:gridSpan w:val="2"/>
            <w:shd w:val="clear" w:color="auto" w:fill="CCEEFF"/>
            <w:tcMar>
              <w:top w:w="40" w:type="dxa"/>
              <w:left w:w="20" w:type="dxa"/>
              <w:bottom w:w="40" w:type="dxa"/>
              <w:right w:w="0" w:type="dxa"/>
            </w:tcMar>
            <w:vAlign w:val="bottom"/>
          </w:tcPr>
          <w:p w14:paraId="7DCFEF9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9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9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9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A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A4" w14:textId="77777777" w:rsidR="00C1563E" w:rsidRDefault="000B648B">
            <w:pPr>
              <w:jc w:val="right"/>
              <w:textAlignment w:val="bottom"/>
            </w:pPr>
            <w:r>
              <w:rPr>
                <w:rFonts w:ascii="Times New Roman" w:eastAsia="宋体" w:hAnsi="Times New Roman"/>
                <w:color w:val="000000"/>
                <w:sz w:val="18"/>
                <w:szCs w:val="18"/>
              </w:rPr>
              <w:t>(2)</w:t>
            </w:r>
          </w:p>
        </w:tc>
        <w:tc>
          <w:tcPr>
            <w:tcW w:w="0" w:type="auto"/>
            <w:shd w:val="clear" w:color="auto" w:fill="CCEEFF"/>
            <w:tcMar>
              <w:top w:w="40" w:type="dxa"/>
              <w:left w:w="0" w:type="dxa"/>
              <w:bottom w:w="40" w:type="dxa"/>
              <w:right w:w="20" w:type="dxa"/>
            </w:tcMar>
            <w:vAlign w:val="bottom"/>
          </w:tcPr>
          <w:p w14:paraId="7DCFEF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A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A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A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A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AD" w14:textId="77777777" w:rsidR="00C1563E" w:rsidRDefault="000B648B">
            <w:pPr>
              <w:jc w:val="right"/>
              <w:textAlignment w:val="bottom"/>
            </w:pPr>
            <w:r>
              <w:rPr>
                <w:rFonts w:ascii="Times New Roman" w:eastAsia="宋体" w:hAnsi="Times New Roman"/>
                <w:color w:val="000000"/>
                <w:sz w:val="18"/>
                <w:szCs w:val="18"/>
              </w:rPr>
              <w:t>(2)</w:t>
            </w:r>
          </w:p>
        </w:tc>
        <w:tc>
          <w:tcPr>
            <w:tcW w:w="0" w:type="auto"/>
            <w:shd w:val="clear" w:color="auto" w:fill="CCEEFF"/>
            <w:tcMar>
              <w:top w:w="40" w:type="dxa"/>
              <w:left w:w="0" w:type="dxa"/>
              <w:bottom w:w="40" w:type="dxa"/>
              <w:right w:w="20" w:type="dxa"/>
            </w:tcMar>
            <w:vAlign w:val="bottom"/>
          </w:tcPr>
          <w:p w14:paraId="7DCFEFA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A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B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B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B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B3" w14:textId="77777777" w:rsidR="00C1563E" w:rsidRDefault="000B648B">
            <w:pPr>
              <w:jc w:val="right"/>
              <w:textAlignment w:val="bottom"/>
            </w:pPr>
            <w:r>
              <w:rPr>
                <w:rFonts w:ascii="Times New Roman" w:eastAsia="宋体" w:hAnsi="Times New Roman"/>
                <w:color w:val="000000"/>
                <w:sz w:val="18"/>
                <w:szCs w:val="18"/>
              </w:rPr>
              <w:t>(2)</w:t>
            </w:r>
          </w:p>
        </w:tc>
        <w:tc>
          <w:tcPr>
            <w:tcW w:w="0" w:type="auto"/>
            <w:shd w:val="clear" w:color="auto" w:fill="CCEEFF"/>
            <w:tcMar>
              <w:top w:w="40" w:type="dxa"/>
              <w:left w:w="0" w:type="dxa"/>
              <w:bottom w:w="40" w:type="dxa"/>
              <w:right w:w="20" w:type="dxa"/>
            </w:tcMar>
            <w:vAlign w:val="bottom"/>
          </w:tcPr>
          <w:p w14:paraId="7DCFEFB4" w14:textId="77777777" w:rsidR="00C1563E" w:rsidRDefault="00C1563E">
            <w:pPr>
              <w:jc w:val="right"/>
              <w:rPr>
                <w:rFonts w:ascii="宋体"/>
              </w:rPr>
            </w:pPr>
          </w:p>
        </w:tc>
      </w:tr>
      <w:tr w:rsidR="00C1563E" w14:paraId="7DCFEFD1" w14:textId="77777777">
        <w:trPr>
          <w:jc w:val="center"/>
        </w:trPr>
        <w:tc>
          <w:tcPr>
            <w:tcW w:w="0" w:type="auto"/>
            <w:gridSpan w:val="3"/>
            <w:shd w:val="clear" w:color="auto" w:fill="FFFFFF"/>
            <w:tcMar>
              <w:top w:w="40" w:type="dxa"/>
              <w:left w:w="155" w:type="dxa"/>
              <w:bottom w:w="40" w:type="dxa"/>
              <w:right w:w="20" w:type="dxa"/>
            </w:tcMar>
            <w:vAlign w:val="bottom"/>
          </w:tcPr>
          <w:p w14:paraId="7DCFEFB6" w14:textId="77777777" w:rsidR="00C1563E" w:rsidRDefault="000B648B">
            <w:pPr>
              <w:textAlignment w:val="bottom"/>
            </w:pPr>
            <w:r>
              <w:rPr>
                <w:rFonts w:ascii="Times New Roman" w:eastAsia="宋体" w:hAnsi="Times New Roman"/>
                <w:color w:val="000000"/>
                <w:sz w:val="18"/>
                <w:szCs w:val="18"/>
              </w:rPr>
              <w:t>Revaluation of redeemable shares</w:t>
            </w:r>
          </w:p>
        </w:tc>
        <w:tc>
          <w:tcPr>
            <w:tcW w:w="0" w:type="auto"/>
            <w:gridSpan w:val="2"/>
            <w:shd w:val="clear" w:color="auto" w:fill="FFFFFF"/>
            <w:tcMar>
              <w:top w:w="40" w:type="dxa"/>
              <w:left w:w="20" w:type="dxa"/>
              <w:bottom w:w="40" w:type="dxa"/>
              <w:right w:w="0" w:type="dxa"/>
            </w:tcMar>
            <w:vAlign w:val="bottom"/>
          </w:tcPr>
          <w:p w14:paraId="7DCFEFB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BA" w14:textId="77777777" w:rsidR="00C1563E" w:rsidRDefault="000B648B">
            <w:pPr>
              <w:jc w:val="right"/>
              <w:textAlignment w:val="bottom"/>
            </w:pPr>
            <w:r>
              <w:rPr>
                <w:rFonts w:ascii="Times New Roman" w:eastAsia="宋体" w:hAnsi="Times New Roman"/>
                <w:color w:val="000000"/>
                <w:sz w:val="18"/>
                <w:szCs w:val="18"/>
              </w:rPr>
              <w:t>567 </w:t>
            </w:r>
          </w:p>
        </w:tc>
        <w:tc>
          <w:tcPr>
            <w:tcW w:w="0" w:type="auto"/>
            <w:shd w:val="clear" w:color="auto" w:fill="FFFFFF"/>
            <w:tcMar>
              <w:top w:w="40" w:type="dxa"/>
              <w:left w:w="0" w:type="dxa"/>
              <w:bottom w:w="40" w:type="dxa"/>
              <w:right w:w="20" w:type="dxa"/>
            </w:tcMar>
            <w:vAlign w:val="bottom"/>
          </w:tcPr>
          <w:p w14:paraId="7DCFEF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B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B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B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C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C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C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C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C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C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9" w14:textId="77777777" w:rsidR="00C1563E" w:rsidRDefault="000B648B">
            <w:pPr>
              <w:jc w:val="right"/>
              <w:textAlignment w:val="bottom"/>
            </w:pPr>
            <w:r>
              <w:rPr>
                <w:rFonts w:ascii="Times New Roman" w:eastAsia="宋体" w:hAnsi="Times New Roman"/>
                <w:color w:val="000000"/>
                <w:sz w:val="18"/>
                <w:szCs w:val="18"/>
              </w:rPr>
              <w:t>567 </w:t>
            </w:r>
          </w:p>
        </w:tc>
        <w:tc>
          <w:tcPr>
            <w:tcW w:w="0" w:type="auto"/>
            <w:shd w:val="clear" w:color="auto" w:fill="FFFFFF"/>
            <w:tcMar>
              <w:top w:w="40" w:type="dxa"/>
              <w:left w:w="0" w:type="dxa"/>
              <w:bottom w:w="40" w:type="dxa"/>
              <w:right w:w="20" w:type="dxa"/>
            </w:tcMar>
            <w:vAlign w:val="bottom"/>
          </w:tcPr>
          <w:p w14:paraId="7DCFEFC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C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EFC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C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EFCF" w14:textId="77777777" w:rsidR="00C1563E" w:rsidRDefault="000B648B">
            <w:pPr>
              <w:jc w:val="right"/>
              <w:textAlignment w:val="bottom"/>
            </w:pPr>
            <w:r>
              <w:rPr>
                <w:rFonts w:ascii="Times New Roman" w:eastAsia="宋体" w:hAnsi="Times New Roman"/>
                <w:color w:val="000000"/>
                <w:sz w:val="18"/>
                <w:szCs w:val="18"/>
              </w:rPr>
              <w:t>567 </w:t>
            </w:r>
          </w:p>
        </w:tc>
        <w:tc>
          <w:tcPr>
            <w:tcW w:w="0" w:type="auto"/>
            <w:shd w:val="clear" w:color="auto" w:fill="FFFFFF"/>
            <w:tcMar>
              <w:top w:w="40" w:type="dxa"/>
              <w:left w:w="0" w:type="dxa"/>
              <w:bottom w:w="40" w:type="dxa"/>
              <w:right w:w="20" w:type="dxa"/>
            </w:tcMar>
            <w:vAlign w:val="bottom"/>
          </w:tcPr>
          <w:p w14:paraId="7DCFEFD0" w14:textId="77777777" w:rsidR="00C1563E" w:rsidRDefault="00C1563E">
            <w:pPr>
              <w:jc w:val="right"/>
              <w:rPr>
                <w:rFonts w:ascii="宋体"/>
              </w:rPr>
            </w:pPr>
          </w:p>
        </w:tc>
      </w:tr>
      <w:tr w:rsidR="00C1563E" w14:paraId="7DCFEFED" w14:textId="77777777">
        <w:trPr>
          <w:jc w:val="center"/>
        </w:trPr>
        <w:tc>
          <w:tcPr>
            <w:tcW w:w="0" w:type="auto"/>
            <w:gridSpan w:val="3"/>
            <w:shd w:val="clear" w:color="auto" w:fill="CCEEFF"/>
            <w:tcMar>
              <w:top w:w="40" w:type="dxa"/>
              <w:left w:w="155" w:type="dxa"/>
              <w:bottom w:w="40" w:type="dxa"/>
              <w:right w:w="20" w:type="dxa"/>
            </w:tcMar>
            <w:vAlign w:val="bottom"/>
          </w:tcPr>
          <w:p w14:paraId="7DCFEFD2" w14:textId="77777777" w:rsidR="00C1563E" w:rsidRDefault="000B648B">
            <w:pPr>
              <w:textAlignment w:val="bottom"/>
            </w:pPr>
            <w:r>
              <w:rPr>
                <w:rFonts w:ascii="Times New Roman" w:eastAsia="宋体" w:hAnsi="Times New Roman"/>
                <w:color w:val="000000"/>
                <w:sz w:val="18"/>
                <w:szCs w:val="18"/>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DCFEFD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D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D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D6" w14:textId="77777777" w:rsidR="00C1563E" w:rsidRDefault="000B648B">
            <w:pPr>
              <w:jc w:val="right"/>
              <w:textAlignment w:val="bottom"/>
            </w:pPr>
            <w:r>
              <w:rPr>
                <w:rFonts w:ascii="Times New Roman" w:eastAsia="宋体" w:hAnsi="Times New Roman"/>
                <w:color w:val="000000"/>
                <w:sz w:val="18"/>
                <w:szCs w:val="18"/>
              </w:rPr>
              <w:t>(1,160)</w:t>
            </w:r>
          </w:p>
        </w:tc>
        <w:tc>
          <w:tcPr>
            <w:tcW w:w="0" w:type="auto"/>
            <w:shd w:val="clear" w:color="auto" w:fill="CCEEFF"/>
            <w:tcMar>
              <w:top w:w="40" w:type="dxa"/>
              <w:left w:w="0" w:type="dxa"/>
              <w:bottom w:w="40" w:type="dxa"/>
              <w:right w:w="20" w:type="dxa"/>
            </w:tcMar>
            <w:vAlign w:val="bottom"/>
          </w:tcPr>
          <w:p w14:paraId="7DCFEF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D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D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D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D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D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D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D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DF" w14:textId="77777777" w:rsidR="00C1563E" w:rsidRDefault="000B648B">
            <w:pPr>
              <w:jc w:val="right"/>
              <w:textAlignment w:val="bottom"/>
            </w:pPr>
            <w:r>
              <w:rPr>
                <w:rFonts w:ascii="Times New Roman" w:eastAsia="宋体" w:hAnsi="Times New Roman"/>
                <w:color w:val="000000"/>
                <w:sz w:val="18"/>
                <w:szCs w:val="18"/>
              </w:rPr>
              <w:t>(161)</w:t>
            </w:r>
          </w:p>
        </w:tc>
        <w:tc>
          <w:tcPr>
            <w:tcW w:w="0" w:type="auto"/>
            <w:shd w:val="clear" w:color="auto" w:fill="CCEEFF"/>
            <w:tcMar>
              <w:top w:w="40" w:type="dxa"/>
              <w:left w:w="0" w:type="dxa"/>
              <w:bottom w:w="40" w:type="dxa"/>
              <w:right w:w="20" w:type="dxa"/>
            </w:tcMar>
            <w:vAlign w:val="bottom"/>
          </w:tcPr>
          <w:p w14:paraId="7DCFEF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E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E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EFE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E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E5" w14:textId="77777777" w:rsidR="00C1563E" w:rsidRDefault="000B648B">
            <w:pPr>
              <w:jc w:val="right"/>
              <w:textAlignment w:val="bottom"/>
            </w:pPr>
            <w:r>
              <w:rPr>
                <w:rFonts w:ascii="Times New Roman" w:eastAsia="宋体" w:hAnsi="Times New Roman"/>
                <w:color w:val="000000"/>
                <w:sz w:val="18"/>
                <w:szCs w:val="18"/>
              </w:rPr>
              <w:t>(1,321)</w:t>
            </w:r>
          </w:p>
        </w:tc>
        <w:tc>
          <w:tcPr>
            <w:tcW w:w="0" w:type="auto"/>
            <w:shd w:val="clear" w:color="auto" w:fill="CCEEFF"/>
            <w:tcMar>
              <w:top w:w="40" w:type="dxa"/>
              <w:left w:w="0" w:type="dxa"/>
              <w:bottom w:w="40" w:type="dxa"/>
              <w:right w:w="20" w:type="dxa"/>
            </w:tcMar>
            <w:vAlign w:val="bottom"/>
          </w:tcPr>
          <w:p w14:paraId="7DCFEFE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E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E8" w14:textId="77777777" w:rsidR="00C1563E" w:rsidRDefault="000B648B">
            <w:pPr>
              <w:jc w:val="right"/>
              <w:textAlignment w:val="bottom"/>
            </w:pPr>
            <w:r>
              <w:rPr>
                <w:rFonts w:ascii="Times New Roman" w:eastAsia="宋体" w:hAnsi="Times New Roman"/>
                <w:color w:val="000000"/>
                <w:sz w:val="18"/>
                <w:szCs w:val="18"/>
              </w:rPr>
              <w:t>(2,044)</w:t>
            </w:r>
          </w:p>
        </w:tc>
        <w:tc>
          <w:tcPr>
            <w:tcW w:w="0" w:type="auto"/>
            <w:shd w:val="clear" w:color="auto" w:fill="CCEEFF"/>
            <w:tcMar>
              <w:top w:w="40" w:type="dxa"/>
              <w:left w:w="0" w:type="dxa"/>
              <w:bottom w:w="40" w:type="dxa"/>
              <w:right w:w="20" w:type="dxa"/>
            </w:tcMar>
            <w:vAlign w:val="bottom"/>
          </w:tcPr>
          <w:p w14:paraId="7DCFEFE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EFE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EFEB" w14:textId="77777777" w:rsidR="00C1563E" w:rsidRDefault="000B648B">
            <w:pPr>
              <w:jc w:val="right"/>
              <w:textAlignment w:val="bottom"/>
            </w:pPr>
            <w:r>
              <w:rPr>
                <w:rFonts w:ascii="Times New Roman" w:eastAsia="宋体" w:hAnsi="Times New Roman"/>
                <w:color w:val="000000"/>
                <w:sz w:val="18"/>
                <w:szCs w:val="18"/>
              </w:rPr>
              <w:t>(3,365)</w:t>
            </w:r>
          </w:p>
        </w:tc>
        <w:tc>
          <w:tcPr>
            <w:tcW w:w="0" w:type="auto"/>
            <w:shd w:val="clear" w:color="auto" w:fill="CCEEFF"/>
            <w:tcMar>
              <w:top w:w="40" w:type="dxa"/>
              <w:left w:w="0" w:type="dxa"/>
              <w:bottom w:w="40" w:type="dxa"/>
              <w:right w:w="20" w:type="dxa"/>
            </w:tcMar>
            <w:vAlign w:val="bottom"/>
          </w:tcPr>
          <w:p w14:paraId="7DCFEFEC" w14:textId="77777777" w:rsidR="00C1563E" w:rsidRDefault="00C1563E">
            <w:pPr>
              <w:jc w:val="right"/>
              <w:rPr>
                <w:rFonts w:ascii="宋体"/>
              </w:rPr>
            </w:pPr>
          </w:p>
        </w:tc>
      </w:tr>
      <w:tr w:rsidR="000B648B" w14:paraId="7DCFF010" w14:textId="77777777">
        <w:trPr>
          <w:jc w:val="center"/>
        </w:trPr>
        <w:tc>
          <w:tcPr>
            <w:tcW w:w="0" w:type="auto"/>
            <w:gridSpan w:val="3"/>
            <w:shd w:val="clear" w:color="auto" w:fill="auto"/>
            <w:tcMar>
              <w:top w:w="40" w:type="dxa"/>
              <w:left w:w="20" w:type="dxa"/>
              <w:bottom w:w="40" w:type="dxa"/>
              <w:right w:w="20" w:type="dxa"/>
            </w:tcMar>
            <w:vAlign w:val="bottom"/>
          </w:tcPr>
          <w:p w14:paraId="7DCFEFEE" w14:textId="77777777" w:rsidR="00C1563E" w:rsidRDefault="000B648B">
            <w:pPr>
              <w:textAlignment w:val="bottom"/>
            </w:pPr>
            <w:r>
              <w:rPr>
                <w:rFonts w:ascii="Times New Roman" w:eastAsia="宋体" w:hAnsi="Times New Roman"/>
                <w:b/>
                <w:bCs/>
                <w:color w:val="000000"/>
                <w:sz w:val="18"/>
                <w:szCs w:val="18"/>
              </w:rPr>
              <w:t>Balances as of January 31,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FEF" w14:textId="77777777" w:rsidR="00C1563E" w:rsidRDefault="000B648B">
            <w:pPr>
              <w:jc w:val="right"/>
              <w:textAlignment w:val="bottom"/>
            </w:pPr>
            <w:r>
              <w:rPr>
                <w:rFonts w:ascii="Times New Roman" w:eastAsia="宋体" w:hAnsi="Times New Roman"/>
                <w:color w:val="000000"/>
                <w:sz w:val="18"/>
                <w:szCs w:val="18"/>
              </w:rPr>
              <w:t>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FF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F1"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FF2"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FF3" w14:textId="77777777" w:rsidR="00C1563E" w:rsidRDefault="000B648B">
            <w:pPr>
              <w:jc w:val="right"/>
              <w:textAlignment w:val="bottom"/>
            </w:pPr>
            <w:r>
              <w:rPr>
                <w:rFonts w:ascii="Times New Roman" w:eastAsia="宋体" w:hAnsi="Times New Roman"/>
                <w:color w:val="000000"/>
                <w:sz w:val="18"/>
                <w:szCs w:val="18"/>
              </w:rPr>
              <w:t>16,091 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FF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F5"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FF6" w14:textId="77777777" w:rsidR="00C1563E" w:rsidRDefault="000B648B">
            <w:pPr>
              <w:jc w:val="right"/>
              <w:textAlignment w:val="bottom"/>
            </w:pPr>
            <w:r>
              <w:rPr>
                <w:rFonts w:ascii="Times New Roman" w:eastAsia="宋体" w:hAnsi="Times New Roman"/>
                <w:color w:val="000000"/>
                <w:sz w:val="18"/>
                <w:szCs w:val="18"/>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FF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F8"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FF9"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FFA" w14:textId="77777777" w:rsidR="00C1563E" w:rsidRDefault="000B648B">
            <w:pPr>
              <w:jc w:val="right"/>
              <w:textAlignment w:val="bottom"/>
            </w:pPr>
            <w:r>
              <w:rPr>
                <w:rFonts w:ascii="Times New Roman" w:eastAsia="宋体" w:hAnsi="Times New Roman"/>
                <w:color w:val="000000"/>
                <w:sz w:val="18"/>
                <w:szCs w:val="18"/>
              </w:rPr>
              <w:t>(65)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FF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EFF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EFFD"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EFFE" w14:textId="77777777" w:rsidR="00C1563E" w:rsidRDefault="000B648B">
            <w:pPr>
              <w:jc w:val="right"/>
              <w:textAlignment w:val="bottom"/>
            </w:pPr>
            <w:r>
              <w:rPr>
                <w:rFonts w:ascii="Times New Roman" w:eastAsia="宋体" w:hAnsi="Times New Roman"/>
                <w:color w:val="000000"/>
                <w:sz w:val="18"/>
                <w:szCs w:val="18"/>
              </w:rPr>
              <w:t>(16,891)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EFF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0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001"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002" w14:textId="77777777" w:rsidR="00C1563E" w:rsidRDefault="000B648B">
            <w:pPr>
              <w:jc w:val="right"/>
              <w:textAlignment w:val="bottom"/>
            </w:pPr>
            <w:r>
              <w:rPr>
                <w:rFonts w:ascii="Times New Roman" w:eastAsia="宋体" w:hAnsi="Times New Roman"/>
                <w:color w:val="000000"/>
                <w:sz w:val="18"/>
                <w:szCs w:val="18"/>
              </w:rPr>
              <w:t>(709)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00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0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005"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006" w14:textId="77777777" w:rsidR="00C1563E" w:rsidRDefault="000B648B">
            <w:pPr>
              <w:jc w:val="right"/>
              <w:textAlignment w:val="bottom"/>
            </w:pPr>
            <w:r>
              <w:rPr>
                <w:rFonts w:ascii="Times New Roman" w:eastAsia="宋体" w:hAnsi="Times New Roman"/>
                <w:color w:val="000000"/>
                <w:sz w:val="18"/>
                <w:szCs w:val="18"/>
              </w:rPr>
              <w:t>(1,574)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00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08"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009"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00A" w14:textId="77777777" w:rsidR="00C1563E" w:rsidRDefault="000B648B">
            <w:pPr>
              <w:jc w:val="right"/>
              <w:textAlignment w:val="bottom"/>
            </w:pPr>
            <w:r>
              <w:rPr>
                <w:rFonts w:ascii="Times New Roman" w:eastAsia="宋体" w:hAnsi="Times New Roman"/>
                <w:color w:val="000000"/>
                <w:sz w:val="18"/>
                <w:szCs w:val="18"/>
              </w:rPr>
              <w:t>4,729 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00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0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00D"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00E" w14:textId="77777777" w:rsidR="00C1563E" w:rsidRDefault="000B648B">
            <w:pPr>
              <w:jc w:val="right"/>
              <w:textAlignment w:val="bottom"/>
            </w:pPr>
            <w:r>
              <w:rPr>
                <w:rFonts w:ascii="Times New Roman" w:eastAsia="宋体" w:hAnsi="Times New Roman"/>
                <w:color w:val="000000"/>
                <w:sz w:val="18"/>
                <w:szCs w:val="18"/>
              </w:rPr>
              <w:t>3,155 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00F" w14:textId="77777777" w:rsidR="00C1563E" w:rsidRDefault="00C1563E">
            <w:pPr>
              <w:jc w:val="right"/>
              <w:rPr>
                <w:rFonts w:ascii="宋体"/>
              </w:rPr>
            </w:pPr>
          </w:p>
        </w:tc>
      </w:tr>
    </w:tbl>
    <w:p w14:paraId="7DCFF011" w14:textId="77777777" w:rsidR="00C1563E" w:rsidRDefault="000B648B">
      <w:r>
        <w:rPr>
          <w:rFonts w:ascii="Times New Roman" w:eastAsia="宋体" w:hAnsi="Times New Roman"/>
          <w:color w:val="000000"/>
          <w:sz w:val="20"/>
          <w:szCs w:val="20"/>
        </w:rPr>
        <w:t>_________________</w:t>
      </w:r>
    </w:p>
    <w:p w14:paraId="7DCFF012" w14:textId="77777777" w:rsidR="00C1563E" w:rsidRDefault="000B648B">
      <w:r>
        <w:rPr>
          <w:rFonts w:ascii="Times New Roman" w:eastAsia="宋体" w:hAnsi="Times New Roman"/>
          <w:color w:val="000000"/>
          <w:sz w:val="20"/>
          <w:szCs w:val="20"/>
        </w:rPr>
        <w:t>(a) See Note 14 of the Notes to the Consolidated Financial Statements for additional information on Dell Technologies Common Stock.</w:t>
      </w:r>
    </w:p>
    <w:p w14:paraId="7DCFF013" w14:textId="77777777" w:rsidR="00C1563E" w:rsidRDefault="00C1563E">
      <w:pPr>
        <w:spacing w:after="60"/>
      </w:pPr>
    </w:p>
    <w:p w14:paraId="7DCFF014" w14:textId="77777777" w:rsidR="00C1563E" w:rsidRDefault="000B648B">
      <w:pPr>
        <w:spacing w:after="60"/>
        <w:jc w:val="center"/>
      </w:pPr>
      <w:r>
        <w:rPr>
          <w:rFonts w:ascii="Times New Roman" w:eastAsia="宋体" w:hAnsi="Times New Roman"/>
          <w:color w:val="000000"/>
          <w:sz w:val="20"/>
          <w:szCs w:val="20"/>
        </w:rPr>
        <w:t xml:space="preserve">The accompanying notes </w:t>
      </w:r>
      <w:r>
        <w:rPr>
          <w:rFonts w:ascii="Times New Roman" w:eastAsia="宋体" w:hAnsi="Times New Roman"/>
          <w:color w:val="000000"/>
          <w:sz w:val="20"/>
          <w:szCs w:val="20"/>
        </w:rPr>
        <w:t>are an integral part of these Consolidated Financial Statements.</w:t>
      </w:r>
    </w:p>
    <w:p w14:paraId="7DCFF015" w14:textId="77777777" w:rsidR="00C1563E" w:rsidRDefault="00C1563E">
      <w:pPr>
        <w:spacing w:after="60"/>
        <w:jc w:val="center"/>
      </w:pPr>
    </w:p>
    <w:p w14:paraId="7DCFF016" w14:textId="77777777" w:rsidR="00C1563E" w:rsidRDefault="00C1563E">
      <w:pPr>
        <w:jc w:val="center"/>
      </w:pPr>
    </w:p>
    <w:p w14:paraId="7DCFF017" w14:textId="77777777" w:rsidR="00C1563E" w:rsidRDefault="000B648B">
      <w:pPr>
        <w:jc w:val="center"/>
      </w:pPr>
      <w:r>
        <w:rPr>
          <w:rFonts w:ascii="Times New Roman" w:eastAsia="宋体" w:hAnsi="Times New Roman"/>
          <w:color w:val="000000"/>
          <w:sz w:val="20"/>
          <w:szCs w:val="20"/>
        </w:rPr>
        <w:t>79</w:t>
      </w:r>
    </w:p>
    <w:p w14:paraId="7DCFF018" w14:textId="77777777" w:rsidR="00C1563E" w:rsidRDefault="00C1563E">
      <w:pPr>
        <w:jc w:val="center"/>
      </w:pPr>
    </w:p>
    <w:p w14:paraId="7DCFF019" w14:textId="77777777" w:rsidR="00C1563E" w:rsidRDefault="000B648B">
      <w:r>
        <w:pict w14:anchorId="7DD025B9">
          <v:rect id="_x0000_i1103" style="width:415.3pt;height:1.5pt" o:hralign="center" o:hrstd="t" o:hr="t" fillcolor="#a0a0a0" stroked="f"/>
        </w:pict>
      </w:r>
    </w:p>
    <w:p w14:paraId="7DCFF01A" w14:textId="77777777" w:rsidR="00C1563E" w:rsidRDefault="000B648B">
      <w:hyperlink r:id="rId239" w:anchor="i418e32e4a35149ffbf7d3a25d66881b8_10" w:history="1">
        <w:r>
          <w:rPr>
            <w:rStyle w:val="a5"/>
            <w:rFonts w:ascii="Times New Roman" w:eastAsia="宋体" w:hAnsi="Times New Roman"/>
            <w:sz w:val="20"/>
            <w:szCs w:val="20"/>
          </w:rPr>
          <w:t>Table of Contents</w:t>
        </w:r>
      </w:hyperlink>
    </w:p>
    <w:p w14:paraId="7DCFF01B" w14:textId="77777777" w:rsidR="00C1563E" w:rsidRDefault="000B648B">
      <w:pPr>
        <w:spacing w:after="60"/>
        <w:jc w:val="center"/>
      </w:pPr>
      <w:r>
        <w:rPr>
          <w:rFonts w:ascii="Times New Roman" w:eastAsia="宋体" w:hAnsi="Times New Roman"/>
          <w:b/>
          <w:bCs/>
          <w:color w:val="000000"/>
          <w:sz w:val="20"/>
          <w:szCs w:val="20"/>
        </w:rPr>
        <w:t>DELL TECHNO</w:t>
      </w:r>
      <w:r>
        <w:rPr>
          <w:rFonts w:ascii="Times New Roman" w:eastAsia="宋体" w:hAnsi="Times New Roman"/>
          <w:b/>
          <w:bCs/>
          <w:color w:val="000000"/>
          <w:sz w:val="20"/>
          <w:szCs w:val="20"/>
        </w:rPr>
        <w:t>LOGIES INC.</w:t>
      </w:r>
    </w:p>
    <w:p w14:paraId="7DCFF01C" w14:textId="77777777" w:rsidR="00C1563E" w:rsidRDefault="000B648B">
      <w:pPr>
        <w:spacing w:after="60"/>
        <w:jc w:val="center"/>
      </w:pPr>
      <w:r>
        <w:rPr>
          <w:rFonts w:ascii="Times New Roman" w:eastAsia="宋体" w:hAnsi="Times New Roman"/>
          <w:b/>
          <w:bCs/>
          <w:color w:val="000000"/>
          <w:sz w:val="20"/>
          <w:szCs w:val="20"/>
        </w:rPr>
        <w:t>CONSOLIDATED STATEMENTS OF STOCKHOLDERS’ EQUITY (DEFICIT)</w:t>
      </w:r>
    </w:p>
    <w:p w14:paraId="7DCFF01D" w14:textId="77777777" w:rsidR="00C1563E" w:rsidRDefault="000B648B">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w:t>
      </w:r>
    </w:p>
    <w:p w14:paraId="7DCFF01E" w14:textId="77777777" w:rsidR="00C1563E" w:rsidRDefault="00C1563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175"/>
        <w:gridCol w:w="810"/>
        <w:gridCol w:w="37"/>
        <w:gridCol w:w="66"/>
        <w:gridCol w:w="360"/>
        <w:gridCol w:w="35"/>
        <w:gridCol w:w="40"/>
        <w:gridCol w:w="31"/>
        <w:gridCol w:w="34"/>
        <w:gridCol w:w="91"/>
        <w:gridCol w:w="403"/>
        <w:gridCol w:w="34"/>
        <w:gridCol w:w="40"/>
        <w:gridCol w:w="31"/>
        <w:gridCol w:w="34"/>
        <w:gridCol w:w="65"/>
        <w:gridCol w:w="359"/>
        <w:gridCol w:w="34"/>
        <w:gridCol w:w="40"/>
        <w:gridCol w:w="31"/>
        <w:gridCol w:w="34"/>
        <w:gridCol w:w="92"/>
        <w:gridCol w:w="428"/>
        <w:gridCol w:w="35"/>
        <w:gridCol w:w="40"/>
        <w:gridCol w:w="31"/>
        <w:gridCol w:w="34"/>
        <w:gridCol w:w="93"/>
        <w:gridCol w:w="693"/>
        <w:gridCol w:w="34"/>
        <w:gridCol w:w="40"/>
        <w:gridCol w:w="31"/>
        <w:gridCol w:w="34"/>
        <w:gridCol w:w="107"/>
        <w:gridCol w:w="809"/>
        <w:gridCol w:w="34"/>
        <w:gridCol w:w="40"/>
        <w:gridCol w:w="31"/>
        <w:gridCol w:w="34"/>
        <w:gridCol w:w="96"/>
        <w:gridCol w:w="720"/>
        <w:gridCol w:w="34"/>
        <w:gridCol w:w="40"/>
        <w:gridCol w:w="31"/>
        <w:gridCol w:w="34"/>
        <w:gridCol w:w="112"/>
        <w:gridCol w:w="856"/>
        <w:gridCol w:w="34"/>
        <w:gridCol w:w="40"/>
        <w:gridCol w:w="31"/>
        <w:gridCol w:w="34"/>
        <w:gridCol w:w="96"/>
        <w:gridCol w:w="720"/>
        <w:gridCol w:w="34"/>
      </w:tblGrid>
      <w:tr w:rsidR="00C1563E" w14:paraId="7DCFF055" w14:textId="77777777">
        <w:tc>
          <w:tcPr>
            <w:tcW w:w="50" w:type="pct"/>
            <w:shd w:val="clear" w:color="auto" w:fill="auto"/>
          </w:tcPr>
          <w:p w14:paraId="7DCFF01F" w14:textId="77777777" w:rsidR="00C1563E" w:rsidRDefault="00C1563E">
            <w:pPr>
              <w:rPr>
                <w:rFonts w:ascii="宋体"/>
              </w:rPr>
            </w:pPr>
          </w:p>
        </w:tc>
        <w:tc>
          <w:tcPr>
            <w:tcW w:w="854" w:type="pct"/>
            <w:shd w:val="clear" w:color="auto" w:fill="auto"/>
          </w:tcPr>
          <w:p w14:paraId="7DCFF020" w14:textId="77777777" w:rsidR="00C1563E" w:rsidRDefault="00C1563E">
            <w:pPr>
              <w:rPr>
                <w:rFonts w:ascii="宋体"/>
              </w:rPr>
            </w:pPr>
          </w:p>
        </w:tc>
        <w:tc>
          <w:tcPr>
            <w:tcW w:w="5" w:type="pct"/>
            <w:shd w:val="clear" w:color="auto" w:fill="auto"/>
          </w:tcPr>
          <w:p w14:paraId="7DCFF021" w14:textId="77777777" w:rsidR="00C1563E" w:rsidRDefault="00C1563E">
            <w:pPr>
              <w:rPr>
                <w:rFonts w:ascii="宋体"/>
              </w:rPr>
            </w:pPr>
          </w:p>
        </w:tc>
        <w:tc>
          <w:tcPr>
            <w:tcW w:w="50" w:type="pct"/>
            <w:shd w:val="clear" w:color="auto" w:fill="auto"/>
          </w:tcPr>
          <w:p w14:paraId="7DCFF022" w14:textId="77777777" w:rsidR="00C1563E" w:rsidRDefault="00C1563E">
            <w:pPr>
              <w:rPr>
                <w:rFonts w:ascii="宋体"/>
              </w:rPr>
            </w:pPr>
          </w:p>
        </w:tc>
        <w:tc>
          <w:tcPr>
            <w:tcW w:w="329" w:type="pct"/>
            <w:shd w:val="clear" w:color="auto" w:fill="auto"/>
          </w:tcPr>
          <w:p w14:paraId="7DCFF023" w14:textId="77777777" w:rsidR="00C1563E" w:rsidRDefault="00C1563E">
            <w:pPr>
              <w:rPr>
                <w:rFonts w:ascii="宋体"/>
              </w:rPr>
            </w:pPr>
          </w:p>
        </w:tc>
        <w:tc>
          <w:tcPr>
            <w:tcW w:w="5" w:type="pct"/>
            <w:shd w:val="clear" w:color="auto" w:fill="auto"/>
          </w:tcPr>
          <w:p w14:paraId="7DCFF024" w14:textId="77777777" w:rsidR="00C1563E" w:rsidRDefault="00C1563E">
            <w:pPr>
              <w:rPr>
                <w:rFonts w:ascii="宋体"/>
              </w:rPr>
            </w:pPr>
          </w:p>
        </w:tc>
        <w:tc>
          <w:tcPr>
            <w:tcW w:w="5" w:type="pct"/>
            <w:shd w:val="clear" w:color="auto" w:fill="auto"/>
          </w:tcPr>
          <w:p w14:paraId="7DCFF025" w14:textId="77777777" w:rsidR="00C1563E" w:rsidRDefault="00C1563E">
            <w:pPr>
              <w:rPr>
                <w:rFonts w:ascii="宋体"/>
              </w:rPr>
            </w:pPr>
          </w:p>
        </w:tc>
        <w:tc>
          <w:tcPr>
            <w:tcW w:w="11" w:type="pct"/>
            <w:shd w:val="clear" w:color="auto" w:fill="auto"/>
          </w:tcPr>
          <w:p w14:paraId="7DCFF026" w14:textId="77777777" w:rsidR="00C1563E" w:rsidRDefault="00C1563E">
            <w:pPr>
              <w:rPr>
                <w:rFonts w:ascii="宋体"/>
              </w:rPr>
            </w:pPr>
          </w:p>
        </w:tc>
        <w:tc>
          <w:tcPr>
            <w:tcW w:w="5" w:type="pct"/>
            <w:shd w:val="clear" w:color="auto" w:fill="auto"/>
          </w:tcPr>
          <w:p w14:paraId="7DCFF027" w14:textId="77777777" w:rsidR="00C1563E" w:rsidRDefault="00C1563E">
            <w:pPr>
              <w:rPr>
                <w:rFonts w:ascii="宋体"/>
              </w:rPr>
            </w:pPr>
          </w:p>
        </w:tc>
        <w:tc>
          <w:tcPr>
            <w:tcW w:w="50" w:type="pct"/>
            <w:shd w:val="clear" w:color="auto" w:fill="auto"/>
          </w:tcPr>
          <w:p w14:paraId="7DCFF028" w14:textId="77777777" w:rsidR="00C1563E" w:rsidRDefault="00C1563E">
            <w:pPr>
              <w:rPr>
                <w:rFonts w:ascii="宋体"/>
              </w:rPr>
            </w:pPr>
          </w:p>
        </w:tc>
        <w:tc>
          <w:tcPr>
            <w:tcW w:w="329" w:type="pct"/>
            <w:shd w:val="clear" w:color="auto" w:fill="auto"/>
          </w:tcPr>
          <w:p w14:paraId="7DCFF029" w14:textId="77777777" w:rsidR="00C1563E" w:rsidRDefault="00C1563E">
            <w:pPr>
              <w:rPr>
                <w:rFonts w:ascii="宋体"/>
              </w:rPr>
            </w:pPr>
          </w:p>
        </w:tc>
        <w:tc>
          <w:tcPr>
            <w:tcW w:w="5" w:type="pct"/>
            <w:shd w:val="clear" w:color="auto" w:fill="auto"/>
          </w:tcPr>
          <w:p w14:paraId="7DCFF02A" w14:textId="77777777" w:rsidR="00C1563E" w:rsidRDefault="00C1563E">
            <w:pPr>
              <w:rPr>
                <w:rFonts w:ascii="宋体"/>
              </w:rPr>
            </w:pPr>
          </w:p>
        </w:tc>
        <w:tc>
          <w:tcPr>
            <w:tcW w:w="5" w:type="pct"/>
            <w:shd w:val="clear" w:color="auto" w:fill="auto"/>
          </w:tcPr>
          <w:p w14:paraId="7DCFF02B" w14:textId="77777777" w:rsidR="00C1563E" w:rsidRDefault="00C1563E">
            <w:pPr>
              <w:rPr>
                <w:rFonts w:ascii="宋体"/>
              </w:rPr>
            </w:pPr>
          </w:p>
        </w:tc>
        <w:tc>
          <w:tcPr>
            <w:tcW w:w="11" w:type="pct"/>
            <w:shd w:val="clear" w:color="auto" w:fill="auto"/>
          </w:tcPr>
          <w:p w14:paraId="7DCFF02C" w14:textId="77777777" w:rsidR="00C1563E" w:rsidRDefault="00C1563E">
            <w:pPr>
              <w:rPr>
                <w:rFonts w:ascii="宋体"/>
              </w:rPr>
            </w:pPr>
          </w:p>
        </w:tc>
        <w:tc>
          <w:tcPr>
            <w:tcW w:w="5" w:type="pct"/>
            <w:shd w:val="clear" w:color="auto" w:fill="auto"/>
          </w:tcPr>
          <w:p w14:paraId="7DCFF02D" w14:textId="77777777" w:rsidR="00C1563E" w:rsidRDefault="00C1563E">
            <w:pPr>
              <w:rPr>
                <w:rFonts w:ascii="宋体"/>
              </w:rPr>
            </w:pPr>
          </w:p>
        </w:tc>
        <w:tc>
          <w:tcPr>
            <w:tcW w:w="50" w:type="pct"/>
            <w:shd w:val="clear" w:color="auto" w:fill="auto"/>
          </w:tcPr>
          <w:p w14:paraId="7DCFF02E" w14:textId="77777777" w:rsidR="00C1563E" w:rsidRDefault="00C1563E">
            <w:pPr>
              <w:rPr>
                <w:rFonts w:ascii="宋体"/>
              </w:rPr>
            </w:pPr>
          </w:p>
        </w:tc>
        <w:tc>
          <w:tcPr>
            <w:tcW w:w="329" w:type="pct"/>
            <w:shd w:val="clear" w:color="auto" w:fill="auto"/>
          </w:tcPr>
          <w:p w14:paraId="7DCFF02F" w14:textId="77777777" w:rsidR="00C1563E" w:rsidRDefault="00C1563E">
            <w:pPr>
              <w:rPr>
                <w:rFonts w:ascii="宋体"/>
              </w:rPr>
            </w:pPr>
          </w:p>
        </w:tc>
        <w:tc>
          <w:tcPr>
            <w:tcW w:w="5" w:type="pct"/>
            <w:shd w:val="clear" w:color="auto" w:fill="auto"/>
          </w:tcPr>
          <w:p w14:paraId="7DCFF030" w14:textId="77777777" w:rsidR="00C1563E" w:rsidRDefault="00C1563E">
            <w:pPr>
              <w:rPr>
                <w:rFonts w:ascii="宋体"/>
              </w:rPr>
            </w:pPr>
          </w:p>
        </w:tc>
        <w:tc>
          <w:tcPr>
            <w:tcW w:w="5" w:type="pct"/>
            <w:shd w:val="clear" w:color="auto" w:fill="auto"/>
          </w:tcPr>
          <w:p w14:paraId="7DCFF031" w14:textId="77777777" w:rsidR="00C1563E" w:rsidRDefault="00C1563E">
            <w:pPr>
              <w:rPr>
                <w:rFonts w:ascii="宋体"/>
              </w:rPr>
            </w:pPr>
          </w:p>
        </w:tc>
        <w:tc>
          <w:tcPr>
            <w:tcW w:w="11" w:type="pct"/>
            <w:shd w:val="clear" w:color="auto" w:fill="auto"/>
          </w:tcPr>
          <w:p w14:paraId="7DCFF032" w14:textId="77777777" w:rsidR="00C1563E" w:rsidRDefault="00C1563E">
            <w:pPr>
              <w:rPr>
                <w:rFonts w:ascii="宋体"/>
              </w:rPr>
            </w:pPr>
          </w:p>
        </w:tc>
        <w:tc>
          <w:tcPr>
            <w:tcW w:w="5" w:type="pct"/>
            <w:shd w:val="clear" w:color="auto" w:fill="auto"/>
          </w:tcPr>
          <w:p w14:paraId="7DCFF033" w14:textId="77777777" w:rsidR="00C1563E" w:rsidRDefault="00C1563E">
            <w:pPr>
              <w:rPr>
                <w:rFonts w:ascii="宋体"/>
              </w:rPr>
            </w:pPr>
          </w:p>
        </w:tc>
        <w:tc>
          <w:tcPr>
            <w:tcW w:w="50" w:type="pct"/>
            <w:shd w:val="clear" w:color="auto" w:fill="auto"/>
          </w:tcPr>
          <w:p w14:paraId="7DCFF034" w14:textId="77777777" w:rsidR="00C1563E" w:rsidRDefault="00C1563E">
            <w:pPr>
              <w:rPr>
                <w:rFonts w:ascii="宋体"/>
              </w:rPr>
            </w:pPr>
          </w:p>
        </w:tc>
        <w:tc>
          <w:tcPr>
            <w:tcW w:w="329" w:type="pct"/>
            <w:shd w:val="clear" w:color="auto" w:fill="auto"/>
          </w:tcPr>
          <w:p w14:paraId="7DCFF035" w14:textId="77777777" w:rsidR="00C1563E" w:rsidRDefault="00C1563E">
            <w:pPr>
              <w:rPr>
                <w:rFonts w:ascii="宋体"/>
              </w:rPr>
            </w:pPr>
          </w:p>
        </w:tc>
        <w:tc>
          <w:tcPr>
            <w:tcW w:w="5" w:type="pct"/>
            <w:shd w:val="clear" w:color="auto" w:fill="auto"/>
          </w:tcPr>
          <w:p w14:paraId="7DCFF036" w14:textId="77777777" w:rsidR="00C1563E" w:rsidRDefault="00C1563E">
            <w:pPr>
              <w:rPr>
                <w:rFonts w:ascii="宋体"/>
              </w:rPr>
            </w:pPr>
          </w:p>
        </w:tc>
        <w:tc>
          <w:tcPr>
            <w:tcW w:w="5" w:type="pct"/>
            <w:shd w:val="clear" w:color="auto" w:fill="auto"/>
          </w:tcPr>
          <w:p w14:paraId="7DCFF037" w14:textId="77777777" w:rsidR="00C1563E" w:rsidRDefault="00C1563E">
            <w:pPr>
              <w:rPr>
                <w:rFonts w:ascii="宋体"/>
              </w:rPr>
            </w:pPr>
          </w:p>
        </w:tc>
        <w:tc>
          <w:tcPr>
            <w:tcW w:w="11" w:type="pct"/>
            <w:shd w:val="clear" w:color="auto" w:fill="auto"/>
          </w:tcPr>
          <w:p w14:paraId="7DCFF038" w14:textId="77777777" w:rsidR="00C1563E" w:rsidRDefault="00C1563E">
            <w:pPr>
              <w:rPr>
                <w:rFonts w:ascii="宋体"/>
              </w:rPr>
            </w:pPr>
          </w:p>
        </w:tc>
        <w:tc>
          <w:tcPr>
            <w:tcW w:w="5" w:type="pct"/>
            <w:shd w:val="clear" w:color="auto" w:fill="auto"/>
          </w:tcPr>
          <w:p w14:paraId="7DCFF039" w14:textId="77777777" w:rsidR="00C1563E" w:rsidRDefault="00C1563E">
            <w:pPr>
              <w:rPr>
                <w:rFonts w:ascii="宋体"/>
              </w:rPr>
            </w:pPr>
          </w:p>
        </w:tc>
        <w:tc>
          <w:tcPr>
            <w:tcW w:w="50" w:type="pct"/>
            <w:shd w:val="clear" w:color="auto" w:fill="auto"/>
          </w:tcPr>
          <w:p w14:paraId="7DCFF03A" w14:textId="77777777" w:rsidR="00C1563E" w:rsidRDefault="00C1563E">
            <w:pPr>
              <w:rPr>
                <w:rFonts w:ascii="宋体"/>
              </w:rPr>
            </w:pPr>
          </w:p>
        </w:tc>
        <w:tc>
          <w:tcPr>
            <w:tcW w:w="421" w:type="pct"/>
            <w:shd w:val="clear" w:color="auto" w:fill="auto"/>
          </w:tcPr>
          <w:p w14:paraId="7DCFF03B" w14:textId="77777777" w:rsidR="00C1563E" w:rsidRDefault="00C1563E">
            <w:pPr>
              <w:rPr>
                <w:rFonts w:ascii="宋体"/>
              </w:rPr>
            </w:pPr>
          </w:p>
        </w:tc>
        <w:tc>
          <w:tcPr>
            <w:tcW w:w="5" w:type="pct"/>
            <w:shd w:val="clear" w:color="auto" w:fill="auto"/>
          </w:tcPr>
          <w:p w14:paraId="7DCFF03C" w14:textId="77777777" w:rsidR="00C1563E" w:rsidRDefault="00C1563E">
            <w:pPr>
              <w:rPr>
                <w:rFonts w:ascii="宋体"/>
              </w:rPr>
            </w:pPr>
          </w:p>
        </w:tc>
        <w:tc>
          <w:tcPr>
            <w:tcW w:w="5" w:type="pct"/>
            <w:shd w:val="clear" w:color="auto" w:fill="auto"/>
          </w:tcPr>
          <w:p w14:paraId="7DCFF03D" w14:textId="77777777" w:rsidR="00C1563E" w:rsidRDefault="00C1563E">
            <w:pPr>
              <w:rPr>
                <w:rFonts w:ascii="宋体"/>
              </w:rPr>
            </w:pPr>
          </w:p>
        </w:tc>
        <w:tc>
          <w:tcPr>
            <w:tcW w:w="11" w:type="pct"/>
            <w:shd w:val="clear" w:color="auto" w:fill="auto"/>
          </w:tcPr>
          <w:p w14:paraId="7DCFF03E" w14:textId="77777777" w:rsidR="00C1563E" w:rsidRDefault="00C1563E">
            <w:pPr>
              <w:rPr>
                <w:rFonts w:ascii="宋体"/>
              </w:rPr>
            </w:pPr>
          </w:p>
        </w:tc>
        <w:tc>
          <w:tcPr>
            <w:tcW w:w="5" w:type="pct"/>
            <w:shd w:val="clear" w:color="auto" w:fill="auto"/>
          </w:tcPr>
          <w:p w14:paraId="7DCFF03F" w14:textId="77777777" w:rsidR="00C1563E" w:rsidRDefault="00C1563E">
            <w:pPr>
              <w:rPr>
                <w:rFonts w:ascii="宋体"/>
              </w:rPr>
            </w:pPr>
          </w:p>
        </w:tc>
        <w:tc>
          <w:tcPr>
            <w:tcW w:w="50" w:type="pct"/>
            <w:shd w:val="clear" w:color="auto" w:fill="auto"/>
          </w:tcPr>
          <w:p w14:paraId="7DCFF040" w14:textId="77777777" w:rsidR="00C1563E" w:rsidRDefault="00C1563E">
            <w:pPr>
              <w:rPr>
                <w:rFonts w:ascii="宋体"/>
              </w:rPr>
            </w:pPr>
          </w:p>
        </w:tc>
        <w:tc>
          <w:tcPr>
            <w:tcW w:w="421" w:type="pct"/>
            <w:shd w:val="clear" w:color="auto" w:fill="auto"/>
          </w:tcPr>
          <w:p w14:paraId="7DCFF041" w14:textId="77777777" w:rsidR="00C1563E" w:rsidRDefault="00C1563E">
            <w:pPr>
              <w:rPr>
                <w:rFonts w:ascii="宋体"/>
              </w:rPr>
            </w:pPr>
          </w:p>
        </w:tc>
        <w:tc>
          <w:tcPr>
            <w:tcW w:w="5" w:type="pct"/>
            <w:shd w:val="clear" w:color="auto" w:fill="auto"/>
          </w:tcPr>
          <w:p w14:paraId="7DCFF042" w14:textId="77777777" w:rsidR="00C1563E" w:rsidRDefault="00C1563E">
            <w:pPr>
              <w:rPr>
                <w:rFonts w:ascii="宋体"/>
              </w:rPr>
            </w:pPr>
          </w:p>
        </w:tc>
        <w:tc>
          <w:tcPr>
            <w:tcW w:w="5" w:type="pct"/>
            <w:shd w:val="clear" w:color="auto" w:fill="auto"/>
          </w:tcPr>
          <w:p w14:paraId="7DCFF043" w14:textId="77777777" w:rsidR="00C1563E" w:rsidRDefault="00C1563E">
            <w:pPr>
              <w:rPr>
                <w:rFonts w:ascii="宋体"/>
              </w:rPr>
            </w:pPr>
          </w:p>
        </w:tc>
        <w:tc>
          <w:tcPr>
            <w:tcW w:w="11" w:type="pct"/>
            <w:shd w:val="clear" w:color="auto" w:fill="auto"/>
          </w:tcPr>
          <w:p w14:paraId="7DCFF044" w14:textId="77777777" w:rsidR="00C1563E" w:rsidRDefault="00C1563E">
            <w:pPr>
              <w:rPr>
                <w:rFonts w:ascii="宋体"/>
              </w:rPr>
            </w:pPr>
          </w:p>
        </w:tc>
        <w:tc>
          <w:tcPr>
            <w:tcW w:w="5" w:type="pct"/>
            <w:shd w:val="clear" w:color="auto" w:fill="auto"/>
          </w:tcPr>
          <w:p w14:paraId="7DCFF045" w14:textId="77777777" w:rsidR="00C1563E" w:rsidRDefault="00C1563E">
            <w:pPr>
              <w:rPr>
                <w:rFonts w:ascii="宋体"/>
              </w:rPr>
            </w:pPr>
          </w:p>
        </w:tc>
        <w:tc>
          <w:tcPr>
            <w:tcW w:w="50" w:type="pct"/>
            <w:shd w:val="clear" w:color="auto" w:fill="auto"/>
          </w:tcPr>
          <w:p w14:paraId="7DCFF046" w14:textId="77777777" w:rsidR="00C1563E" w:rsidRDefault="00C1563E">
            <w:pPr>
              <w:rPr>
                <w:rFonts w:ascii="宋体"/>
              </w:rPr>
            </w:pPr>
          </w:p>
        </w:tc>
        <w:tc>
          <w:tcPr>
            <w:tcW w:w="421" w:type="pct"/>
            <w:shd w:val="clear" w:color="auto" w:fill="auto"/>
          </w:tcPr>
          <w:p w14:paraId="7DCFF047" w14:textId="77777777" w:rsidR="00C1563E" w:rsidRDefault="00C1563E">
            <w:pPr>
              <w:rPr>
                <w:rFonts w:ascii="宋体"/>
              </w:rPr>
            </w:pPr>
          </w:p>
        </w:tc>
        <w:tc>
          <w:tcPr>
            <w:tcW w:w="5" w:type="pct"/>
            <w:shd w:val="clear" w:color="auto" w:fill="auto"/>
          </w:tcPr>
          <w:p w14:paraId="7DCFF048" w14:textId="77777777" w:rsidR="00C1563E" w:rsidRDefault="00C1563E">
            <w:pPr>
              <w:rPr>
                <w:rFonts w:ascii="宋体"/>
              </w:rPr>
            </w:pPr>
          </w:p>
        </w:tc>
        <w:tc>
          <w:tcPr>
            <w:tcW w:w="5" w:type="pct"/>
            <w:shd w:val="clear" w:color="auto" w:fill="auto"/>
          </w:tcPr>
          <w:p w14:paraId="7DCFF049" w14:textId="77777777" w:rsidR="00C1563E" w:rsidRDefault="00C1563E">
            <w:pPr>
              <w:rPr>
                <w:rFonts w:ascii="宋体"/>
              </w:rPr>
            </w:pPr>
          </w:p>
        </w:tc>
        <w:tc>
          <w:tcPr>
            <w:tcW w:w="11" w:type="pct"/>
            <w:shd w:val="clear" w:color="auto" w:fill="auto"/>
          </w:tcPr>
          <w:p w14:paraId="7DCFF04A" w14:textId="77777777" w:rsidR="00C1563E" w:rsidRDefault="00C1563E">
            <w:pPr>
              <w:rPr>
                <w:rFonts w:ascii="宋体"/>
              </w:rPr>
            </w:pPr>
          </w:p>
        </w:tc>
        <w:tc>
          <w:tcPr>
            <w:tcW w:w="5" w:type="pct"/>
            <w:shd w:val="clear" w:color="auto" w:fill="auto"/>
          </w:tcPr>
          <w:p w14:paraId="7DCFF04B" w14:textId="77777777" w:rsidR="00C1563E" w:rsidRDefault="00C1563E">
            <w:pPr>
              <w:rPr>
                <w:rFonts w:ascii="宋体"/>
              </w:rPr>
            </w:pPr>
          </w:p>
        </w:tc>
        <w:tc>
          <w:tcPr>
            <w:tcW w:w="50" w:type="pct"/>
            <w:shd w:val="clear" w:color="auto" w:fill="auto"/>
          </w:tcPr>
          <w:p w14:paraId="7DCFF04C" w14:textId="77777777" w:rsidR="00C1563E" w:rsidRDefault="00C1563E">
            <w:pPr>
              <w:rPr>
                <w:rFonts w:ascii="宋体"/>
              </w:rPr>
            </w:pPr>
          </w:p>
        </w:tc>
        <w:tc>
          <w:tcPr>
            <w:tcW w:w="421" w:type="pct"/>
            <w:shd w:val="clear" w:color="auto" w:fill="auto"/>
          </w:tcPr>
          <w:p w14:paraId="7DCFF04D" w14:textId="77777777" w:rsidR="00C1563E" w:rsidRDefault="00C1563E">
            <w:pPr>
              <w:rPr>
                <w:rFonts w:ascii="宋体"/>
              </w:rPr>
            </w:pPr>
          </w:p>
        </w:tc>
        <w:tc>
          <w:tcPr>
            <w:tcW w:w="5" w:type="pct"/>
            <w:shd w:val="clear" w:color="auto" w:fill="auto"/>
          </w:tcPr>
          <w:p w14:paraId="7DCFF04E" w14:textId="77777777" w:rsidR="00C1563E" w:rsidRDefault="00C1563E">
            <w:pPr>
              <w:rPr>
                <w:rFonts w:ascii="宋体"/>
              </w:rPr>
            </w:pPr>
          </w:p>
        </w:tc>
        <w:tc>
          <w:tcPr>
            <w:tcW w:w="5" w:type="pct"/>
            <w:shd w:val="clear" w:color="auto" w:fill="auto"/>
          </w:tcPr>
          <w:p w14:paraId="7DCFF04F" w14:textId="77777777" w:rsidR="00C1563E" w:rsidRDefault="00C1563E">
            <w:pPr>
              <w:rPr>
                <w:rFonts w:ascii="宋体"/>
              </w:rPr>
            </w:pPr>
          </w:p>
        </w:tc>
        <w:tc>
          <w:tcPr>
            <w:tcW w:w="11" w:type="pct"/>
            <w:shd w:val="clear" w:color="auto" w:fill="auto"/>
          </w:tcPr>
          <w:p w14:paraId="7DCFF050" w14:textId="77777777" w:rsidR="00C1563E" w:rsidRDefault="00C1563E">
            <w:pPr>
              <w:rPr>
                <w:rFonts w:ascii="宋体"/>
              </w:rPr>
            </w:pPr>
          </w:p>
        </w:tc>
        <w:tc>
          <w:tcPr>
            <w:tcW w:w="5" w:type="pct"/>
            <w:shd w:val="clear" w:color="auto" w:fill="auto"/>
          </w:tcPr>
          <w:p w14:paraId="7DCFF051" w14:textId="77777777" w:rsidR="00C1563E" w:rsidRDefault="00C1563E">
            <w:pPr>
              <w:rPr>
                <w:rFonts w:ascii="宋体"/>
              </w:rPr>
            </w:pPr>
          </w:p>
        </w:tc>
        <w:tc>
          <w:tcPr>
            <w:tcW w:w="50" w:type="pct"/>
            <w:shd w:val="clear" w:color="auto" w:fill="auto"/>
          </w:tcPr>
          <w:p w14:paraId="7DCFF052" w14:textId="77777777" w:rsidR="00C1563E" w:rsidRDefault="00C1563E">
            <w:pPr>
              <w:rPr>
                <w:rFonts w:ascii="宋体"/>
              </w:rPr>
            </w:pPr>
          </w:p>
        </w:tc>
        <w:tc>
          <w:tcPr>
            <w:tcW w:w="421" w:type="pct"/>
            <w:shd w:val="clear" w:color="auto" w:fill="auto"/>
          </w:tcPr>
          <w:p w14:paraId="7DCFF053" w14:textId="77777777" w:rsidR="00C1563E" w:rsidRDefault="00C1563E">
            <w:pPr>
              <w:rPr>
                <w:rFonts w:ascii="宋体"/>
              </w:rPr>
            </w:pPr>
          </w:p>
        </w:tc>
        <w:tc>
          <w:tcPr>
            <w:tcW w:w="5" w:type="pct"/>
            <w:shd w:val="clear" w:color="auto" w:fill="auto"/>
          </w:tcPr>
          <w:p w14:paraId="7DCFF054" w14:textId="77777777" w:rsidR="00C1563E" w:rsidRDefault="00C1563E">
            <w:pPr>
              <w:rPr>
                <w:rFonts w:ascii="宋体"/>
              </w:rPr>
            </w:pPr>
          </w:p>
        </w:tc>
      </w:tr>
      <w:tr w:rsidR="00C1563E" w14:paraId="7DCFF064" w14:textId="77777777">
        <w:tc>
          <w:tcPr>
            <w:tcW w:w="0" w:type="auto"/>
            <w:gridSpan w:val="3"/>
            <w:shd w:val="clear" w:color="auto" w:fill="auto"/>
            <w:tcMar>
              <w:top w:w="0" w:type="dxa"/>
              <w:left w:w="20" w:type="dxa"/>
              <w:bottom w:w="0" w:type="dxa"/>
              <w:right w:w="20" w:type="dxa"/>
            </w:tcMar>
          </w:tcPr>
          <w:p w14:paraId="7DCFF056" w14:textId="77777777" w:rsidR="00C1563E" w:rsidRDefault="00C1563E">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DCFF057" w14:textId="77777777" w:rsidR="00C1563E" w:rsidRDefault="000B648B">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tcPr>
          <w:p w14:paraId="7DCFF058" w14:textId="77777777" w:rsidR="00C1563E" w:rsidRDefault="00C1563E">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DCFF059" w14:textId="77777777" w:rsidR="00C1563E" w:rsidRDefault="000B648B">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tcPr>
          <w:p w14:paraId="7DCFF05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5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5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5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5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5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0"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3" w14:textId="77777777" w:rsidR="00C1563E" w:rsidRDefault="00C1563E">
            <w:pPr>
              <w:rPr>
                <w:rFonts w:ascii="宋体"/>
              </w:rPr>
            </w:pPr>
          </w:p>
        </w:tc>
      </w:tr>
      <w:tr w:rsidR="00C1563E" w14:paraId="7DCFF071" w14:textId="77777777">
        <w:tc>
          <w:tcPr>
            <w:tcW w:w="0" w:type="auto"/>
            <w:gridSpan w:val="3"/>
            <w:shd w:val="clear" w:color="auto" w:fill="auto"/>
            <w:tcMar>
              <w:top w:w="0" w:type="dxa"/>
              <w:left w:w="20" w:type="dxa"/>
              <w:bottom w:w="0" w:type="dxa"/>
              <w:right w:w="20" w:type="dxa"/>
            </w:tcMar>
          </w:tcPr>
          <w:p w14:paraId="7DCFF065" w14:textId="77777777" w:rsidR="00C1563E" w:rsidRDefault="00C1563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DCFF066" w14:textId="77777777" w:rsidR="00C1563E" w:rsidRDefault="000B648B">
            <w:pPr>
              <w:jc w:val="center"/>
              <w:textAlignment w:val="bottom"/>
            </w:pPr>
            <w:r>
              <w:rPr>
                <w:rFonts w:ascii="Times New Roman" w:eastAsia="宋体" w:hAnsi="Times New Roman"/>
                <w:b/>
                <w:bCs/>
                <w:color w:val="000000"/>
                <w:sz w:val="18"/>
                <w:szCs w:val="18"/>
              </w:rPr>
              <w:t>Dell Technologies Common Stock (a)</w:t>
            </w:r>
          </w:p>
        </w:tc>
        <w:tc>
          <w:tcPr>
            <w:tcW w:w="0" w:type="auto"/>
            <w:gridSpan w:val="3"/>
            <w:shd w:val="clear" w:color="auto" w:fill="auto"/>
            <w:tcMar>
              <w:top w:w="0" w:type="dxa"/>
              <w:left w:w="20" w:type="dxa"/>
              <w:bottom w:w="0" w:type="dxa"/>
              <w:right w:w="20" w:type="dxa"/>
            </w:tcMar>
          </w:tcPr>
          <w:p w14:paraId="7DCFF06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6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070" w14:textId="77777777" w:rsidR="00C1563E" w:rsidRDefault="00C1563E">
            <w:pPr>
              <w:rPr>
                <w:rFonts w:ascii="宋体"/>
              </w:rPr>
            </w:pPr>
          </w:p>
        </w:tc>
      </w:tr>
      <w:tr w:rsidR="00C1563E" w14:paraId="7DCFF084" w14:textId="77777777">
        <w:tc>
          <w:tcPr>
            <w:tcW w:w="0" w:type="auto"/>
            <w:gridSpan w:val="3"/>
            <w:shd w:val="clear" w:color="auto" w:fill="auto"/>
            <w:tcMar>
              <w:top w:w="0" w:type="dxa"/>
              <w:left w:w="20" w:type="dxa"/>
              <w:bottom w:w="0" w:type="dxa"/>
              <w:right w:w="20" w:type="dxa"/>
            </w:tcMar>
          </w:tcPr>
          <w:p w14:paraId="7DCFF072"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073" w14:textId="77777777" w:rsidR="00C1563E" w:rsidRDefault="000B648B">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F07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075" w14:textId="77777777" w:rsidR="00C1563E" w:rsidRDefault="000B648B">
            <w:pPr>
              <w:jc w:val="center"/>
              <w:textAlignment w:val="bottom"/>
            </w:pPr>
            <w:r>
              <w:rPr>
                <w:rFonts w:ascii="Times New Roman" w:eastAsia="宋体" w:hAnsi="Times New Roman"/>
                <w:b/>
                <w:bCs/>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DCFF076"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077" w14:textId="77777777" w:rsidR="00C1563E" w:rsidRDefault="000B648B">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DCFF07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079" w14:textId="77777777" w:rsidR="00C1563E" w:rsidRDefault="000B648B">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tcPr>
          <w:p w14:paraId="7DCFF07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07B" w14:textId="77777777" w:rsidR="00C1563E" w:rsidRDefault="000B648B">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tcPr>
          <w:p w14:paraId="7DCFF07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07D" w14:textId="77777777" w:rsidR="00C1563E" w:rsidRDefault="000B648B">
            <w:pPr>
              <w:jc w:val="center"/>
              <w:textAlignment w:val="bottom"/>
            </w:pPr>
            <w:r>
              <w:rPr>
                <w:rFonts w:ascii="Times New Roman" w:eastAsia="宋体" w:hAnsi="Times New Roman"/>
                <w:b/>
                <w:bCs/>
                <w:color w:val="000000"/>
                <w:sz w:val="18"/>
                <w:szCs w:val="18"/>
              </w:rPr>
              <w:t>Accumulated Other Comprehensive Income/(Loss)</w:t>
            </w:r>
          </w:p>
        </w:tc>
        <w:tc>
          <w:tcPr>
            <w:tcW w:w="0" w:type="auto"/>
            <w:gridSpan w:val="3"/>
            <w:shd w:val="clear" w:color="auto" w:fill="auto"/>
            <w:tcMar>
              <w:top w:w="0" w:type="dxa"/>
              <w:left w:w="20" w:type="dxa"/>
              <w:bottom w:w="0" w:type="dxa"/>
              <w:right w:w="20" w:type="dxa"/>
            </w:tcMar>
          </w:tcPr>
          <w:p w14:paraId="7DCFF07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07F" w14:textId="77777777" w:rsidR="00C1563E" w:rsidRDefault="000B648B">
            <w:pPr>
              <w:jc w:val="center"/>
              <w:textAlignment w:val="bottom"/>
            </w:pPr>
            <w:r>
              <w:rPr>
                <w:rFonts w:ascii="Times New Roman" w:eastAsia="宋体" w:hAnsi="Times New Roman"/>
                <w:b/>
                <w:bCs/>
                <w:color w:val="000000"/>
                <w:sz w:val="18"/>
                <w:szCs w:val="18"/>
              </w:rPr>
              <w:t>Dell Technologies</w:t>
            </w:r>
            <w:r>
              <w:rPr>
                <w:rFonts w:ascii="Times New Roman" w:eastAsia="宋体" w:hAnsi="Times New Roman"/>
                <w:b/>
                <w:bCs/>
                <w:color w:val="000000"/>
                <w:sz w:val="18"/>
                <w:szCs w:val="18"/>
              </w:rPr>
              <w:br/>
              <w:t>Stockholders’ Equity (Deficit)</w:t>
            </w:r>
          </w:p>
        </w:tc>
        <w:tc>
          <w:tcPr>
            <w:tcW w:w="0" w:type="auto"/>
            <w:gridSpan w:val="3"/>
            <w:shd w:val="clear" w:color="auto" w:fill="auto"/>
            <w:tcMar>
              <w:top w:w="0" w:type="dxa"/>
              <w:left w:w="20" w:type="dxa"/>
              <w:bottom w:w="0" w:type="dxa"/>
              <w:right w:w="20" w:type="dxa"/>
            </w:tcMar>
          </w:tcPr>
          <w:p w14:paraId="7DCFF08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081" w14:textId="77777777" w:rsidR="00C1563E" w:rsidRDefault="000B648B">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tcPr>
          <w:p w14:paraId="7DCFF08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083" w14:textId="77777777" w:rsidR="00C1563E" w:rsidRDefault="000B648B">
            <w:pPr>
              <w:jc w:val="center"/>
              <w:textAlignment w:val="bottom"/>
            </w:pPr>
            <w:r>
              <w:rPr>
                <w:rFonts w:ascii="Times New Roman" w:eastAsia="宋体" w:hAnsi="Times New Roman"/>
                <w:b/>
                <w:bCs/>
                <w:color w:val="000000"/>
                <w:sz w:val="18"/>
                <w:szCs w:val="18"/>
              </w:rPr>
              <w:t>Total Stockholders’ Equity (Deficit)</w:t>
            </w:r>
          </w:p>
        </w:tc>
      </w:tr>
      <w:tr w:rsidR="000B648B" w14:paraId="7DCFF0A7" w14:textId="77777777">
        <w:tc>
          <w:tcPr>
            <w:tcW w:w="0" w:type="auto"/>
            <w:gridSpan w:val="3"/>
            <w:shd w:val="clear" w:color="auto" w:fill="CCEEFF"/>
            <w:tcMar>
              <w:top w:w="40" w:type="dxa"/>
              <w:left w:w="20" w:type="dxa"/>
              <w:bottom w:w="40" w:type="dxa"/>
              <w:right w:w="20" w:type="dxa"/>
            </w:tcMar>
            <w:vAlign w:val="bottom"/>
          </w:tcPr>
          <w:p w14:paraId="7DCFF085" w14:textId="77777777" w:rsidR="00C1563E" w:rsidRDefault="000B648B">
            <w:pPr>
              <w:textAlignment w:val="bottom"/>
            </w:pPr>
            <w:r>
              <w:rPr>
                <w:rFonts w:ascii="Times New Roman" w:eastAsia="宋体" w:hAnsi="Times New Roman"/>
                <w:b/>
                <w:bCs/>
                <w:color w:val="000000"/>
                <w:sz w:val="18"/>
                <w:szCs w:val="18"/>
              </w:rPr>
              <w:t>Balances as of January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086" w14:textId="77777777" w:rsidR="00C1563E" w:rsidRDefault="000B648B">
            <w:pPr>
              <w:jc w:val="right"/>
              <w:textAlignment w:val="bottom"/>
            </w:pPr>
            <w:r>
              <w:rPr>
                <w:rFonts w:ascii="Times New Roman" w:eastAsia="宋体" w:hAnsi="Times New Roman"/>
                <w:color w:val="000000"/>
                <w:sz w:val="18"/>
                <w:szCs w:val="18"/>
              </w:rPr>
              <w:t>745 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8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88"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89"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8A" w14:textId="77777777" w:rsidR="00C1563E" w:rsidRDefault="000B648B">
            <w:pPr>
              <w:jc w:val="right"/>
              <w:textAlignment w:val="bottom"/>
            </w:pPr>
            <w:r>
              <w:rPr>
                <w:rFonts w:ascii="Times New Roman" w:eastAsia="宋体" w:hAnsi="Times New Roman"/>
                <w:color w:val="000000"/>
                <w:sz w:val="18"/>
                <w:szCs w:val="18"/>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8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8C"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08D" w14:textId="77777777" w:rsidR="00C1563E" w:rsidRDefault="000B648B">
            <w:pPr>
              <w:jc w:val="right"/>
              <w:textAlignment w:val="bottom"/>
            </w:pPr>
            <w:r>
              <w:rPr>
                <w:rFonts w:ascii="Times New Roman" w:eastAsia="宋体" w:hAnsi="Times New Roman"/>
                <w:color w:val="000000"/>
                <w:sz w:val="18"/>
                <w:szCs w:val="18"/>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8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90"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91" w14:textId="77777777" w:rsidR="00C1563E" w:rsidRDefault="000B648B">
            <w:pPr>
              <w:jc w:val="right"/>
              <w:textAlignment w:val="bottom"/>
            </w:pPr>
            <w:r>
              <w:rPr>
                <w:rFonts w:ascii="Times New Roman" w:eastAsia="宋体" w:hAnsi="Times New Roman"/>
                <w:color w:val="000000"/>
                <w:sz w:val="18"/>
                <w:szCs w:val="18"/>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9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9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9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95" w14:textId="77777777" w:rsidR="00C1563E" w:rsidRDefault="000B648B">
            <w:pPr>
              <w:jc w:val="right"/>
              <w:textAlignment w:val="bottom"/>
            </w:pPr>
            <w:r>
              <w:rPr>
                <w:rFonts w:ascii="Times New Roman" w:eastAsia="宋体" w:hAnsi="Times New Roman"/>
                <w:color w:val="000000"/>
                <w:sz w:val="18"/>
                <w:szCs w:val="18"/>
              </w:rPr>
              <w:t>(16,891)</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9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97"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98"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99" w14:textId="77777777" w:rsidR="00C1563E" w:rsidRDefault="000B648B">
            <w:pPr>
              <w:jc w:val="right"/>
              <w:textAlignment w:val="bottom"/>
            </w:pPr>
            <w:r>
              <w:rPr>
                <w:rFonts w:ascii="Times New Roman" w:eastAsia="宋体" w:hAnsi="Times New Roman"/>
                <w:color w:val="000000"/>
                <w:sz w:val="18"/>
                <w:szCs w:val="18"/>
              </w:rPr>
              <w:t>(709)</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9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9B"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9C"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9D" w14:textId="77777777" w:rsidR="00C1563E" w:rsidRDefault="000B648B">
            <w:pPr>
              <w:jc w:val="right"/>
              <w:textAlignment w:val="bottom"/>
            </w:pPr>
            <w:r>
              <w:rPr>
                <w:rFonts w:ascii="Times New Roman" w:eastAsia="宋体" w:hAnsi="Times New Roman"/>
                <w:color w:val="000000"/>
                <w:sz w:val="18"/>
                <w:szCs w:val="18"/>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9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A0"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A1" w14:textId="77777777" w:rsidR="00C1563E" w:rsidRDefault="000B648B">
            <w:pPr>
              <w:jc w:val="right"/>
              <w:textAlignment w:val="bottom"/>
            </w:pPr>
            <w:r>
              <w:rPr>
                <w:rFonts w:ascii="Times New Roman" w:eastAsia="宋体" w:hAnsi="Times New Roman"/>
                <w:color w:val="000000"/>
                <w:sz w:val="18"/>
                <w:szCs w:val="18"/>
              </w:rPr>
              <w:t>4,729 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A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0A4"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0A5" w14:textId="77777777" w:rsidR="00C1563E" w:rsidRDefault="000B648B">
            <w:pPr>
              <w:jc w:val="right"/>
              <w:textAlignment w:val="bottom"/>
            </w:pPr>
            <w:r>
              <w:rPr>
                <w:rFonts w:ascii="Times New Roman" w:eastAsia="宋体" w:hAnsi="Times New Roman"/>
                <w:color w:val="000000"/>
                <w:sz w:val="18"/>
                <w:szCs w:val="18"/>
              </w:rPr>
              <w:t>3,155 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0A6" w14:textId="77777777" w:rsidR="00C1563E" w:rsidRDefault="00C1563E">
            <w:pPr>
              <w:jc w:val="right"/>
              <w:rPr>
                <w:rFonts w:ascii="宋体"/>
              </w:rPr>
            </w:pPr>
          </w:p>
        </w:tc>
      </w:tr>
      <w:tr w:rsidR="00C1563E" w14:paraId="7DCFF0C3" w14:textId="77777777">
        <w:tc>
          <w:tcPr>
            <w:tcW w:w="0" w:type="auto"/>
            <w:gridSpan w:val="3"/>
            <w:shd w:val="clear" w:color="auto" w:fill="FFFFFF"/>
            <w:tcMar>
              <w:top w:w="40" w:type="dxa"/>
              <w:left w:w="20" w:type="dxa"/>
              <w:bottom w:w="40" w:type="dxa"/>
              <w:right w:w="20" w:type="dxa"/>
            </w:tcMar>
            <w:vAlign w:val="bottom"/>
          </w:tcPr>
          <w:p w14:paraId="7DCFF0A8" w14:textId="77777777" w:rsidR="00C1563E" w:rsidRDefault="000B648B">
            <w:pPr>
              <w:textAlignment w:val="bottom"/>
            </w:pPr>
            <w:r>
              <w:rPr>
                <w:rFonts w:ascii="Times New Roman" w:eastAsia="宋体" w:hAnsi="Times New Roman"/>
                <w:color w:val="000000"/>
                <w:sz w:val="18"/>
                <w:szCs w:val="18"/>
              </w:rPr>
              <w:t>Adjustment for adoption of accounting standards (Note 2)</w:t>
            </w:r>
          </w:p>
        </w:tc>
        <w:tc>
          <w:tcPr>
            <w:tcW w:w="0" w:type="auto"/>
            <w:gridSpan w:val="2"/>
            <w:shd w:val="clear" w:color="auto" w:fill="FFFFFF"/>
            <w:tcMar>
              <w:top w:w="40" w:type="dxa"/>
              <w:left w:w="20" w:type="dxa"/>
              <w:bottom w:w="40" w:type="dxa"/>
              <w:right w:w="0" w:type="dxa"/>
            </w:tcMar>
            <w:vAlign w:val="bottom"/>
          </w:tcPr>
          <w:p w14:paraId="7DCFF0A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A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A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A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A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A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A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B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B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B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B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B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B5" w14:textId="77777777" w:rsidR="00C1563E" w:rsidRDefault="000B648B">
            <w:pPr>
              <w:jc w:val="right"/>
              <w:textAlignment w:val="bottom"/>
            </w:pPr>
            <w:r>
              <w:rPr>
                <w:rFonts w:ascii="Times New Roman" w:eastAsia="宋体" w:hAnsi="Times New Roman"/>
                <w:color w:val="000000"/>
                <w:sz w:val="18"/>
                <w:szCs w:val="18"/>
              </w:rPr>
              <w:t>(110)</w:t>
            </w:r>
          </w:p>
        </w:tc>
        <w:tc>
          <w:tcPr>
            <w:tcW w:w="0" w:type="auto"/>
            <w:shd w:val="clear" w:color="auto" w:fill="FFFFFF"/>
            <w:tcMar>
              <w:top w:w="40" w:type="dxa"/>
              <w:left w:w="0" w:type="dxa"/>
              <w:bottom w:w="40" w:type="dxa"/>
              <w:right w:w="20" w:type="dxa"/>
            </w:tcMar>
            <w:vAlign w:val="bottom"/>
          </w:tcPr>
          <w:p w14:paraId="7DCFF0B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B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B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B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B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BB" w14:textId="77777777" w:rsidR="00C1563E" w:rsidRDefault="000B648B">
            <w:pPr>
              <w:jc w:val="right"/>
              <w:textAlignment w:val="bottom"/>
            </w:pPr>
            <w:r>
              <w:rPr>
                <w:rFonts w:ascii="Times New Roman" w:eastAsia="宋体" w:hAnsi="Times New Roman"/>
                <w:color w:val="000000"/>
                <w:sz w:val="18"/>
                <w:szCs w:val="18"/>
              </w:rPr>
              <w:t>(110)</w:t>
            </w:r>
          </w:p>
        </w:tc>
        <w:tc>
          <w:tcPr>
            <w:tcW w:w="0" w:type="auto"/>
            <w:shd w:val="clear" w:color="auto" w:fill="FFFFFF"/>
            <w:tcMar>
              <w:top w:w="40" w:type="dxa"/>
              <w:left w:w="0" w:type="dxa"/>
              <w:bottom w:w="40" w:type="dxa"/>
              <w:right w:w="20" w:type="dxa"/>
            </w:tcMar>
            <w:vAlign w:val="bottom"/>
          </w:tcPr>
          <w:p w14:paraId="7DCFF0B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B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B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B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C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C1" w14:textId="77777777" w:rsidR="00C1563E" w:rsidRDefault="000B648B">
            <w:pPr>
              <w:jc w:val="right"/>
              <w:textAlignment w:val="bottom"/>
            </w:pPr>
            <w:r>
              <w:rPr>
                <w:rFonts w:ascii="Times New Roman" w:eastAsia="宋体" w:hAnsi="Times New Roman"/>
                <w:color w:val="000000"/>
                <w:sz w:val="18"/>
                <w:szCs w:val="18"/>
              </w:rPr>
              <w:t>(110)</w:t>
            </w:r>
          </w:p>
        </w:tc>
        <w:tc>
          <w:tcPr>
            <w:tcW w:w="0" w:type="auto"/>
            <w:shd w:val="clear" w:color="auto" w:fill="FFFFFF"/>
            <w:tcMar>
              <w:top w:w="40" w:type="dxa"/>
              <w:left w:w="0" w:type="dxa"/>
              <w:bottom w:w="40" w:type="dxa"/>
              <w:right w:w="20" w:type="dxa"/>
            </w:tcMar>
            <w:vAlign w:val="bottom"/>
          </w:tcPr>
          <w:p w14:paraId="7DCFF0C2" w14:textId="77777777" w:rsidR="00C1563E" w:rsidRDefault="00C1563E">
            <w:pPr>
              <w:jc w:val="right"/>
              <w:rPr>
                <w:rFonts w:ascii="宋体"/>
              </w:rPr>
            </w:pPr>
          </w:p>
        </w:tc>
      </w:tr>
      <w:tr w:rsidR="00C1563E" w14:paraId="7DCFF0DF" w14:textId="77777777">
        <w:tc>
          <w:tcPr>
            <w:tcW w:w="0" w:type="auto"/>
            <w:gridSpan w:val="3"/>
            <w:shd w:val="clear" w:color="auto" w:fill="CCEEFF"/>
            <w:tcMar>
              <w:top w:w="40" w:type="dxa"/>
              <w:left w:w="155" w:type="dxa"/>
              <w:bottom w:w="40" w:type="dxa"/>
              <w:right w:w="20" w:type="dxa"/>
            </w:tcMar>
            <w:vAlign w:val="bottom"/>
          </w:tcPr>
          <w:p w14:paraId="7DCFF0C4" w14:textId="77777777" w:rsidR="00C1563E" w:rsidRDefault="000B648B">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7DCFF0C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C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C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C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C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C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C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C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C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C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C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D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D1" w14:textId="77777777" w:rsidR="00C1563E" w:rsidRDefault="000B648B">
            <w:pPr>
              <w:jc w:val="right"/>
              <w:textAlignment w:val="bottom"/>
            </w:pPr>
            <w:r>
              <w:rPr>
                <w:rFonts w:ascii="Times New Roman" w:eastAsia="宋体" w:hAnsi="Times New Roman"/>
                <w:color w:val="000000"/>
                <w:sz w:val="18"/>
                <w:szCs w:val="18"/>
              </w:rPr>
              <w:t>3,250 </w:t>
            </w:r>
          </w:p>
        </w:tc>
        <w:tc>
          <w:tcPr>
            <w:tcW w:w="0" w:type="auto"/>
            <w:shd w:val="clear" w:color="auto" w:fill="CCEEFF"/>
            <w:tcMar>
              <w:top w:w="40" w:type="dxa"/>
              <w:left w:w="0" w:type="dxa"/>
              <w:bottom w:w="40" w:type="dxa"/>
              <w:right w:w="20" w:type="dxa"/>
            </w:tcMar>
            <w:vAlign w:val="bottom"/>
          </w:tcPr>
          <w:p w14:paraId="7DCFF0D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D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D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D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D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D7" w14:textId="77777777" w:rsidR="00C1563E" w:rsidRDefault="000B648B">
            <w:pPr>
              <w:jc w:val="right"/>
              <w:textAlignment w:val="bottom"/>
            </w:pPr>
            <w:r>
              <w:rPr>
                <w:rFonts w:ascii="Times New Roman" w:eastAsia="宋体" w:hAnsi="Times New Roman"/>
                <w:color w:val="000000"/>
                <w:sz w:val="18"/>
                <w:szCs w:val="18"/>
              </w:rPr>
              <w:t>3,250 </w:t>
            </w:r>
          </w:p>
        </w:tc>
        <w:tc>
          <w:tcPr>
            <w:tcW w:w="0" w:type="auto"/>
            <w:shd w:val="clear" w:color="auto" w:fill="CCEEFF"/>
            <w:tcMar>
              <w:top w:w="40" w:type="dxa"/>
              <w:left w:w="0" w:type="dxa"/>
              <w:bottom w:w="40" w:type="dxa"/>
              <w:right w:w="20" w:type="dxa"/>
            </w:tcMar>
            <w:vAlign w:val="bottom"/>
          </w:tcPr>
          <w:p w14:paraId="7DCFF0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D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DA" w14:textId="77777777" w:rsidR="00C1563E" w:rsidRDefault="000B648B">
            <w:pPr>
              <w:jc w:val="right"/>
              <w:textAlignment w:val="bottom"/>
            </w:pPr>
            <w:r>
              <w:rPr>
                <w:rFonts w:ascii="Times New Roman" w:eastAsia="宋体" w:hAnsi="Times New Roman"/>
                <w:color w:val="000000"/>
                <w:sz w:val="18"/>
                <w:szCs w:val="18"/>
              </w:rPr>
              <w:t>255 </w:t>
            </w:r>
          </w:p>
        </w:tc>
        <w:tc>
          <w:tcPr>
            <w:tcW w:w="0" w:type="auto"/>
            <w:shd w:val="clear" w:color="auto" w:fill="CCEEFF"/>
            <w:tcMar>
              <w:top w:w="40" w:type="dxa"/>
              <w:left w:w="0" w:type="dxa"/>
              <w:bottom w:w="40" w:type="dxa"/>
              <w:right w:w="20" w:type="dxa"/>
            </w:tcMar>
            <w:vAlign w:val="bottom"/>
          </w:tcPr>
          <w:p w14:paraId="7DCFF0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D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0DD" w14:textId="77777777" w:rsidR="00C1563E" w:rsidRDefault="000B648B">
            <w:pPr>
              <w:jc w:val="right"/>
              <w:textAlignment w:val="bottom"/>
            </w:pPr>
            <w:r>
              <w:rPr>
                <w:rFonts w:ascii="Times New Roman" w:eastAsia="宋体" w:hAnsi="Times New Roman"/>
                <w:color w:val="000000"/>
                <w:sz w:val="18"/>
                <w:szCs w:val="18"/>
              </w:rPr>
              <w:t>3,505 </w:t>
            </w:r>
          </w:p>
        </w:tc>
        <w:tc>
          <w:tcPr>
            <w:tcW w:w="0" w:type="auto"/>
            <w:shd w:val="clear" w:color="auto" w:fill="CCEEFF"/>
            <w:tcMar>
              <w:top w:w="40" w:type="dxa"/>
              <w:left w:w="0" w:type="dxa"/>
              <w:bottom w:w="40" w:type="dxa"/>
              <w:right w:w="20" w:type="dxa"/>
            </w:tcMar>
            <w:vAlign w:val="bottom"/>
          </w:tcPr>
          <w:p w14:paraId="7DCFF0DE" w14:textId="77777777" w:rsidR="00C1563E" w:rsidRDefault="00C1563E">
            <w:pPr>
              <w:jc w:val="right"/>
              <w:rPr>
                <w:rFonts w:ascii="宋体"/>
              </w:rPr>
            </w:pPr>
          </w:p>
        </w:tc>
      </w:tr>
      <w:tr w:rsidR="00C1563E" w14:paraId="7DCFF0FB" w14:textId="77777777">
        <w:tc>
          <w:tcPr>
            <w:tcW w:w="0" w:type="auto"/>
            <w:gridSpan w:val="3"/>
            <w:shd w:val="clear" w:color="auto" w:fill="FFFFFF"/>
            <w:tcMar>
              <w:top w:w="40" w:type="dxa"/>
              <w:left w:w="155" w:type="dxa"/>
              <w:bottom w:w="40" w:type="dxa"/>
              <w:right w:w="20" w:type="dxa"/>
            </w:tcMar>
            <w:vAlign w:val="bottom"/>
          </w:tcPr>
          <w:p w14:paraId="7DCFF0E0" w14:textId="77777777" w:rsidR="00C1563E" w:rsidRDefault="000B648B">
            <w:pPr>
              <w:textAlignment w:val="bottom"/>
            </w:pPr>
            <w:r>
              <w:rPr>
                <w:rFonts w:ascii="Times New Roman" w:eastAsia="宋体" w:hAnsi="Times New Roman"/>
                <w:color w:val="000000"/>
                <w:sz w:val="18"/>
                <w:szCs w:val="18"/>
              </w:rPr>
              <w:t>Foreign currency translation adjustments</w:t>
            </w:r>
          </w:p>
        </w:tc>
        <w:tc>
          <w:tcPr>
            <w:tcW w:w="0" w:type="auto"/>
            <w:gridSpan w:val="2"/>
            <w:shd w:val="clear" w:color="auto" w:fill="FFFFFF"/>
            <w:tcMar>
              <w:top w:w="40" w:type="dxa"/>
              <w:left w:w="20" w:type="dxa"/>
              <w:bottom w:w="40" w:type="dxa"/>
              <w:right w:w="0" w:type="dxa"/>
            </w:tcMar>
            <w:vAlign w:val="bottom"/>
          </w:tcPr>
          <w:p w14:paraId="7DCFF0E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E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E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E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E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E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E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E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E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E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E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E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E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E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E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F0" w14:textId="77777777" w:rsidR="00C1563E" w:rsidRDefault="000B648B">
            <w:pPr>
              <w:jc w:val="right"/>
              <w:textAlignment w:val="bottom"/>
            </w:pPr>
            <w:r>
              <w:rPr>
                <w:rFonts w:ascii="Times New Roman" w:eastAsia="宋体" w:hAnsi="Times New Roman"/>
                <w:color w:val="000000"/>
                <w:sz w:val="18"/>
                <w:szCs w:val="18"/>
              </w:rPr>
              <w:t>528 </w:t>
            </w:r>
          </w:p>
        </w:tc>
        <w:tc>
          <w:tcPr>
            <w:tcW w:w="0" w:type="auto"/>
            <w:shd w:val="clear" w:color="auto" w:fill="FFFFFF"/>
            <w:tcMar>
              <w:top w:w="40" w:type="dxa"/>
              <w:left w:w="0" w:type="dxa"/>
              <w:bottom w:w="40" w:type="dxa"/>
              <w:right w:w="20" w:type="dxa"/>
            </w:tcMar>
            <w:vAlign w:val="bottom"/>
          </w:tcPr>
          <w:p w14:paraId="7DCFF0F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F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F3" w14:textId="77777777" w:rsidR="00C1563E" w:rsidRDefault="000B648B">
            <w:pPr>
              <w:jc w:val="right"/>
              <w:textAlignment w:val="bottom"/>
            </w:pPr>
            <w:r>
              <w:rPr>
                <w:rFonts w:ascii="Times New Roman" w:eastAsia="宋体" w:hAnsi="Times New Roman"/>
                <w:color w:val="000000"/>
                <w:sz w:val="18"/>
                <w:szCs w:val="18"/>
              </w:rPr>
              <w:t>528 </w:t>
            </w:r>
          </w:p>
        </w:tc>
        <w:tc>
          <w:tcPr>
            <w:tcW w:w="0" w:type="auto"/>
            <w:shd w:val="clear" w:color="auto" w:fill="FFFFFF"/>
            <w:tcMar>
              <w:top w:w="40" w:type="dxa"/>
              <w:left w:w="0" w:type="dxa"/>
              <w:bottom w:w="40" w:type="dxa"/>
              <w:right w:w="20" w:type="dxa"/>
            </w:tcMar>
            <w:vAlign w:val="bottom"/>
          </w:tcPr>
          <w:p w14:paraId="7DCFF0F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F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F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0F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0F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0F9" w14:textId="77777777" w:rsidR="00C1563E" w:rsidRDefault="000B648B">
            <w:pPr>
              <w:jc w:val="right"/>
              <w:textAlignment w:val="bottom"/>
            </w:pPr>
            <w:r>
              <w:rPr>
                <w:rFonts w:ascii="Times New Roman" w:eastAsia="宋体" w:hAnsi="Times New Roman"/>
                <w:color w:val="000000"/>
                <w:sz w:val="18"/>
                <w:szCs w:val="18"/>
              </w:rPr>
              <w:t>528 </w:t>
            </w:r>
          </w:p>
        </w:tc>
        <w:tc>
          <w:tcPr>
            <w:tcW w:w="0" w:type="auto"/>
            <w:shd w:val="clear" w:color="auto" w:fill="FFFFFF"/>
            <w:tcMar>
              <w:top w:w="40" w:type="dxa"/>
              <w:left w:w="0" w:type="dxa"/>
              <w:bottom w:w="40" w:type="dxa"/>
              <w:right w:w="20" w:type="dxa"/>
            </w:tcMar>
            <w:vAlign w:val="bottom"/>
          </w:tcPr>
          <w:p w14:paraId="7DCFF0FA" w14:textId="77777777" w:rsidR="00C1563E" w:rsidRDefault="00C1563E">
            <w:pPr>
              <w:jc w:val="right"/>
              <w:rPr>
                <w:rFonts w:ascii="宋体"/>
              </w:rPr>
            </w:pPr>
          </w:p>
        </w:tc>
      </w:tr>
      <w:tr w:rsidR="00C1563E" w14:paraId="7DCFF117" w14:textId="77777777">
        <w:tc>
          <w:tcPr>
            <w:tcW w:w="0" w:type="auto"/>
            <w:gridSpan w:val="3"/>
            <w:shd w:val="clear" w:color="auto" w:fill="CCEEFF"/>
            <w:tcMar>
              <w:top w:w="40" w:type="dxa"/>
              <w:left w:w="155" w:type="dxa"/>
              <w:bottom w:w="40" w:type="dxa"/>
              <w:right w:w="20" w:type="dxa"/>
            </w:tcMar>
            <w:vAlign w:val="bottom"/>
          </w:tcPr>
          <w:p w14:paraId="7DCFF0FC" w14:textId="77777777" w:rsidR="00C1563E" w:rsidRDefault="000B648B">
            <w:pPr>
              <w:textAlignment w:val="bottom"/>
            </w:pPr>
            <w:r>
              <w:rPr>
                <w:rFonts w:ascii="Times New Roman" w:eastAsia="宋体" w:hAnsi="Times New Roman"/>
                <w:color w:val="000000"/>
                <w:sz w:val="18"/>
                <w:szCs w:val="18"/>
              </w:rPr>
              <w:t>Cash flow hedges, net change</w:t>
            </w:r>
          </w:p>
        </w:tc>
        <w:tc>
          <w:tcPr>
            <w:tcW w:w="0" w:type="auto"/>
            <w:gridSpan w:val="2"/>
            <w:shd w:val="clear" w:color="auto" w:fill="CCEEFF"/>
            <w:tcMar>
              <w:top w:w="40" w:type="dxa"/>
              <w:left w:w="20" w:type="dxa"/>
              <w:bottom w:w="40" w:type="dxa"/>
              <w:right w:w="0" w:type="dxa"/>
            </w:tcMar>
            <w:vAlign w:val="bottom"/>
          </w:tcPr>
          <w:p w14:paraId="7DCFF0F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0F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0F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0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0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3"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0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0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6"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0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0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0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0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C" w14:textId="77777777" w:rsidR="00C1563E" w:rsidRDefault="000B648B">
            <w:pPr>
              <w:jc w:val="right"/>
              <w:textAlignment w:val="bottom"/>
            </w:pPr>
            <w:r>
              <w:rPr>
                <w:rFonts w:ascii="Times New Roman" w:eastAsia="宋体" w:hAnsi="Times New Roman"/>
                <w:color w:val="000000"/>
                <w:sz w:val="18"/>
                <w:szCs w:val="18"/>
              </w:rPr>
              <w:t>(100)</w:t>
            </w:r>
          </w:p>
        </w:tc>
        <w:tc>
          <w:tcPr>
            <w:tcW w:w="0" w:type="auto"/>
            <w:shd w:val="clear" w:color="auto" w:fill="CCEEFF"/>
            <w:tcMar>
              <w:top w:w="40" w:type="dxa"/>
              <w:left w:w="0" w:type="dxa"/>
              <w:bottom w:w="40" w:type="dxa"/>
              <w:right w:w="20" w:type="dxa"/>
            </w:tcMar>
            <w:vAlign w:val="bottom"/>
          </w:tcPr>
          <w:p w14:paraId="7DCFF10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0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0F" w14:textId="77777777" w:rsidR="00C1563E" w:rsidRDefault="000B648B">
            <w:pPr>
              <w:jc w:val="right"/>
              <w:textAlignment w:val="bottom"/>
            </w:pPr>
            <w:r>
              <w:rPr>
                <w:rFonts w:ascii="Times New Roman" w:eastAsia="宋体" w:hAnsi="Times New Roman"/>
                <w:color w:val="000000"/>
                <w:sz w:val="18"/>
                <w:szCs w:val="18"/>
              </w:rPr>
              <w:t>(100)</w:t>
            </w:r>
          </w:p>
        </w:tc>
        <w:tc>
          <w:tcPr>
            <w:tcW w:w="0" w:type="auto"/>
            <w:shd w:val="clear" w:color="auto" w:fill="CCEEFF"/>
            <w:tcMar>
              <w:top w:w="40" w:type="dxa"/>
              <w:left w:w="0" w:type="dxa"/>
              <w:bottom w:w="40" w:type="dxa"/>
              <w:right w:w="20" w:type="dxa"/>
            </w:tcMar>
            <w:vAlign w:val="bottom"/>
          </w:tcPr>
          <w:p w14:paraId="7DCFF11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1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1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1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15" w14:textId="77777777" w:rsidR="00C1563E" w:rsidRDefault="000B648B">
            <w:pPr>
              <w:jc w:val="right"/>
              <w:textAlignment w:val="bottom"/>
            </w:pPr>
            <w:r>
              <w:rPr>
                <w:rFonts w:ascii="Times New Roman" w:eastAsia="宋体" w:hAnsi="Times New Roman"/>
                <w:color w:val="000000"/>
                <w:sz w:val="18"/>
                <w:szCs w:val="18"/>
              </w:rPr>
              <w:t>(100)</w:t>
            </w:r>
          </w:p>
        </w:tc>
        <w:tc>
          <w:tcPr>
            <w:tcW w:w="0" w:type="auto"/>
            <w:shd w:val="clear" w:color="auto" w:fill="CCEEFF"/>
            <w:tcMar>
              <w:top w:w="40" w:type="dxa"/>
              <w:left w:w="0" w:type="dxa"/>
              <w:bottom w:w="40" w:type="dxa"/>
              <w:right w:w="20" w:type="dxa"/>
            </w:tcMar>
            <w:vAlign w:val="bottom"/>
          </w:tcPr>
          <w:p w14:paraId="7DCFF116" w14:textId="77777777" w:rsidR="00C1563E" w:rsidRDefault="00C1563E">
            <w:pPr>
              <w:jc w:val="right"/>
              <w:rPr>
                <w:rFonts w:ascii="宋体"/>
              </w:rPr>
            </w:pPr>
          </w:p>
        </w:tc>
      </w:tr>
      <w:tr w:rsidR="00C1563E" w14:paraId="7DCFF133" w14:textId="77777777">
        <w:tc>
          <w:tcPr>
            <w:tcW w:w="0" w:type="auto"/>
            <w:gridSpan w:val="3"/>
            <w:shd w:val="clear" w:color="auto" w:fill="FFFFFF"/>
            <w:tcMar>
              <w:top w:w="40" w:type="dxa"/>
              <w:left w:w="155" w:type="dxa"/>
              <w:bottom w:w="40" w:type="dxa"/>
              <w:right w:w="20" w:type="dxa"/>
            </w:tcMar>
            <w:vAlign w:val="bottom"/>
          </w:tcPr>
          <w:p w14:paraId="7DCFF118" w14:textId="77777777" w:rsidR="00C1563E" w:rsidRDefault="000B648B">
            <w:pPr>
              <w:textAlignment w:val="bottom"/>
            </w:pPr>
            <w:r>
              <w:rPr>
                <w:rFonts w:ascii="Times New Roman" w:eastAsia="宋体" w:hAnsi="Times New Roman"/>
                <w:color w:val="000000"/>
                <w:sz w:val="18"/>
                <w:szCs w:val="18"/>
              </w:rPr>
              <w:t>Pension and other post-retirement</w:t>
            </w:r>
          </w:p>
        </w:tc>
        <w:tc>
          <w:tcPr>
            <w:tcW w:w="0" w:type="auto"/>
            <w:gridSpan w:val="2"/>
            <w:shd w:val="clear" w:color="auto" w:fill="FFFFFF"/>
            <w:tcMar>
              <w:top w:w="40" w:type="dxa"/>
              <w:left w:w="20" w:type="dxa"/>
              <w:bottom w:w="40" w:type="dxa"/>
              <w:right w:w="0" w:type="dxa"/>
            </w:tcMar>
            <w:vAlign w:val="bottom"/>
          </w:tcPr>
          <w:p w14:paraId="7DCFF11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1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1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1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1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1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1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2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2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2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2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2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2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2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2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28" w14:textId="77777777" w:rsidR="00C1563E" w:rsidRDefault="000B648B">
            <w:pPr>
              <w:jc w:val="right"/>
              <w:textAlignment w:val="bottom"/>
            </w:pPr>
            <w:r>
              <w:rPr>
                <w:rFonts w:ascii="Times New Roman" w:eastAsia="宋体" w:hAnsi="Times New Roman"/>
                <w:color w:val="000000"/>
                <w:sz w:val="18"/>
                <w:szCs w:val="18"/>
              </w:rPr>
              <w:t>(33)</w:t>
            </w:r>
          </w:p>
        </w:tc>
        <w:tc>
          <w:tcPr>
            <w:tcW w:w="0" w:type="auto"/>
            <w:shd w:val="clear" w:color="auto" w:fill="FFFFFF"/>
            <w:tcMar>
              <w:top w:w="40" w:type="dxa"/>
              <w:left w:w="0" w:type="dxa"/>
              <w:bottom w:w="40" w:type="dxa"/>
              <w:right w:w="20" w:type="dxa"/>
            </w:tcMar>
            <w:vAlign w:val="bottom"/>
          </w:tcPr>
          <w:p w14:paraId="7DCFF12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2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2B" w14:textId="77777777" w:rsidR="00C1563E" w:rsidRDefault="000B648B">
            <w:pPr>
              <w:jc w:val="right"/>
              <w:textAlignment w:val="bottom"/>
            </w:pPr>
            <w:r>
              <w:rPr>
                <w:rFonts w:ascii="Times New Roman" w:eastAsia="宋体" w:hAnsi="Times New Roman"/>
                <w:color w:val="000000"/>
                <w:sz w:val="18"/>
                <w:szCs w:val="18"/>
              </w:rPr>
              <w:t>(33)</w:t>
            </w:r>
          </w:p>
        </w:tc>
        <w:tc>
          <w:tcPr>
            <w:tcW w:w="0" w:type="auto"/>
            <w:shd w:val="clear" w:color="auto" w:fill="FFFFFF"/>
            <w:tcMar>
              <w:top w:w="40" w:type="dxa"/>
              <w:left w:w="0" w:type="dxa"/>
              <w:bottom w:w="40" w:type="dxa"/>
              <w:right w:w="20" w:type="dxa"/>
            </w:tcMar>
            <w:vAlign w:val="bottom"/>
          </w:tcPr>
          <w:p w14:paraId="7DCFF12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2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2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2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3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31" w14:textId="77777777" w:rsidR="00C1563E" w:rsidRDefault="000B648B">
            <w:pPr>
              <w:jc w:val="right"/>
              <w:textAlignment w:val="bottom"/>
            </w:pPr>
            <w:r>
              <w:rPr>
                <w:rFonts w:ascii="Times New Roman" w:eastAsia="宋体" w:hAnsi="Times New Roman"/>
                <w:color w:val="000000"/>
                <w:sz w:val="18"/>
                <w:szCs w:val="18"/>
              </w:rPr>
              <w:t>(33)</w:t>
            </w:r>
          </w:p>
        </w:tc>
        <w:tc>
          <w:tcPr>
            <w:tcW w:w="0" w:type="auto"/>
            <w:shd w:val="clear" w:color="auto" w:fill="FFFFFF"/>
            <w:tcMar>
              <w:top w:w="40" w:type="dxa"/>
              <w:left w:w="0" w:type="dxa"/>
              <w:bottom w:w="40" w:type="dxa"/>
              <w:right w:w="20" w:type="dxa"/>
            </w:tcMar>
            <w:vAlign w:val="bottom"/>
          </w:tcPr>
          <w:p w14:paraId="7DCFF132" w14:textId="77777777" w:rsidR="00C1563E" w:rsidRDefault="00C1563E">
            <w:pPr>
              <w:jc w:val="right"/>
              <w:rPr>
                <w:rFonts w:ascii="宋体"/>
              </w:rPr>
            </w:pPr>
          </w:p>
        </w:tc>
      </w:tr>
      <w:tr w:rsidR="00C1563E" w14:paraId="7DCFF14F" w14:textId="77777777">
        <w:tc>
          <w:tcPr>
            <w:tcW w:w="0" w:type="auto"/>
            <w:gridSpan w:val="3"/>
            <w:shd w:val="clear" w:color="auto" w:fill="CCEEFF"/>
            <w:tcMar>
              <w:top w:w="40" w:type="dxa"/>
              <w:left w:w="155" w:type="dxa"/>
              <w:bottom w:w="40" w:type="dxa"/>
              <w:right w:w="20" w:type="dxa"/>
            </w:tcMar>
            <w:vAlign w:val="bottom"/>
          </w:tcPr>
          <w:p w14:paraId="7DCFF134" w14:textId="77777777" w:rsidR="00C1563E" w:rsidRDefault="000B648B">
            <w:pPr>
              <w:textAlignment w:val="bottom"/>
            </w:pPr>
            <w:r>
              <w:rPr>
                <w:rFonts w:ascii="Times New Roman" w:eastAsia="宋体" w:hAnsi="Times New Roman"/>
                <w:color w:val="000000"/>
                <w:sz w:val="18"/>
                <w:szCs w:val="18"/>
              </w:rPr>
              <w:t>Issuance of common stock</w:t>
            </w:r>
          </w:p>
        </w:tc>
        <w:tc>
          <w:tcPr>
            <w:tcW w:w="0" w:type="auto"/>
            <w:gridSpan w:val="2"/>
            <w:shd w:val="clear" w:color="auto" w:fill="CCEEFF"/>
            <w:tcMar>
              <w:top w:w="40" w:type="dxa"/>
              <w:left w:w="20" w:type="dxa"/>
              <w:bottom w:w="40" w:type="dxa"/>
              <w:right w:w="0" w:type="dxa"/>
            </w:tcMar>
            <w:vAlign w:val="bottom"/>
          </w:tcPr>
          <w:p w14:paraId="7DCFF135" w14:textId="77777777" w:rsidR="00C1563E" w:rsidRDefault="000B648B">
            <w:pPr>
              <w:jc w:val="right"/>
              <w:textAlignment w:val="bottom"/>
            </w:pPr>
            <w:r>
              <w:rPr>
                <w:rFonts w:ascii="Times New Roman" w:eastAsia="宋体" w:hAnsi="Times New Roman"/>
                <w:color w:val="000000"/>
                <w:sz w:val="18"/>
                <w:szCs w:val="18"/>
              </w:rPr>
              <w:t>16 </w:t>
            </w:r>
          </w:p>
        </w:tc>
        <w:tc>
          <w:tcPr>
            <w:tcW w:w="0" w:type="auto"/>
            <w:shd w:val="clear" w:color="auto" w:fill="CCEEFF"/>
            <w:tcMar>
              <w:top w:w="40" w:type="dxa"/>
              <w:left w:w="0" w:type="dxa"/>
              <w:bottom w:w="40" w:type="dxa"/>
              <w:right w:w="20" w:type="dxa"/>
            </w:tcMar>
            <w:vAlign w:val="bottom"/>
          </w:tcPr>
          <w:p w14:paraId="7DCFF1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3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38" w14:textId="77777777" w:rsidR="00C1563E" w:rsidRDefault="000B648B">
            <w:pPr>
              <w:jc w:val="right"/>
              <w:textAlignment w:val="bottom"/>
            </w:pPr>
            <w:r>
              <w:rPr>
                <w:rFonts w:ascii="Times New Roman" w:eastAsia="宋体" w:hAnsi="Times New Roman"/>
                <w:color w:val="000000"/>
                <w:sz w:val="18"/>
                <w:szCs w:val="18"/>
              </w:rPr>
              <w:t>178 </w:t>
            </w:r>
          </w:p>
        </w:tc>
        <w:tc>
          <w:tcPr>
            <w:tcW w:w="0" w:type="auto"/>
            <w:shd w:val="clear" w:color="auto" w:fill="CCEEFF"/>
            <w:tcMar>
              <w:top w:w="40" w:type="dxa"/>
              <w:left w:w="0" w:type="dxa"/>
              <w:bottom w:w="40" w:type="dxa"/>
              <w:right w:w="20" w:type="dxa"/>
            </w:tcMar>
            <w:vAlign w:val="bottom"/>
          </w:tcPr>
          <w:p w14:paraId="7DCFF13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3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3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3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3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3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3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4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4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4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4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4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4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47" w14:textId="77777777" w:rsidR="00C1563E" w:rsidRDefault="000B648B">
            <w:pPr>
              <w:jc w:val="right"/>
              <w:textAlignment w:val="bottom"/>
            </w:pPr>
            <w:r>
              <w:rPr>
                <w:rFonts w:ascii="Times New Roman" w:eastAsia="宋体" w:hAnsi="Times New Roman"/>
                <w:color w:val="000000"/>
                <w:sz w:val="18"/>
                <w:szCs w:val="18"/>
              </w:rPr>
              <w:t>178 </w:t>
            </w:r>
          </w:p>
        </w:tc>
        <w:tc>
          <w:tcPr>
            <w:tcW w:w="0" w:type="auto"/>
            <w:shd w:val="clear" w:color="auto" w:fill="CCEEFF"/>
            <w:tcMar>
              <w:top w:w="40" w:type="dxa"/>
              <w:left w:w="0" w:type="dxa"/>
              <w:bottom w:w="40" w:type="dxa"/>
              <w:right w:w="20" w:type="dxa"/>
            </w:tcMar>
            <w:vAlign w:val="bottom"/>
          </w:tcPr>
          <w:p w14:paraId="7DCFF1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4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4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4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4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4D" w14:textId="77777777" w:rsidR="00C1563E" w:rsidRDefault="000B648B">
            <w:pPr>
              <w:jc w:val="right"/>
              <w:textAlignment w:val="bottom"/>
            </w:pPr>
            <w:r>
              <w:rPr>
                <w:rFonts w:ascii="Times New Roman" w:eastAsia="宋体" w:hAnsi="Times New Roman"/>
                <w:color w:val="000000"/>
                <w:sz w:val="18"/>
                <w:szCs w:val="18"/>
              </w:rPr>
              <w:t>178 </w:t>
            </w:r>
          </w:p>
        </w:tc>
        <w:tc>
          <w:tcPr>
            <w:tcW w:w="0" w:type="auto"/>
            <w:shd w:val="clear" w:color="auto" w:fill="CCEEFF"/>
            <w:tcMar>
              <w:top w:w="40" w:type="dxa"/>
              <w:left w:w="0" w:type="dxa"/>
              <w:bottom w:w="40" w:type="dxa"/>
              <w:right w:w="20" w:type="dxa"/>
            </w:tcMar>
            <w:vAlign w:val="bottom"/>
          </w:tcPr>
          <w:p w14:paraId="7DCFF14E" w14:textId="77777777" w:rsidR="00C1563E" w:rsidRDefault="00C1563E">
            <w:pPr>
              <w:jc w:val="right"/>
              <w:rPr>
                <w:rFonts w:ascii="宋体"/>
              </w:rPr>
            </w:pPr>
          </w:p>
        </w:tc>
      </w:tr>
      <w:tr w:rsidR="00C1563E" w14:paraId="7DCFF16B" w14:textId="77777777">
        <w:tc>
          <w:tcPr>
            <w:tcW w:w="0" w:type="auto"/>
            <w:gridSpan w:val="3"/>
            <w:shd w:val="clear" w:color="auto" w:fill="FFFFFF"/>
            <w:tcMar>
              <w:top w:w="40" w:type="dxa"/>
              <w:left w:w="155" w:type="dxa"/>
              <w:bottom w:w="40" w:type="dxa"/>
              <w:right w:w="20" w:type="dxa"/>
            </w:tcMar>
            <w:vAlign w:val="bottom"/>
          </w:tcPr>
          <w:p w14:paraId="7DCFF150" w14:textId="77777777" w:rsidR="00C1563E" w:rsidRDefault="000B648B">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7DCFF15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5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5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54" w14:textId="77777777" w:rsidR="00C1563E" w:rsidRDefault="000B648B">
            <w:pPr>
              <w:jc w:val="right"/>
              <w:textAlignment w:val="bottom"/>
            </w:pPr>
            <w:r>
              <w:rPr>
                <w:rFonts w:ascii="Times New Roman" w:eastAsia="宋体" w:hAnsi="Times New Roman"/>
                <w:color w:val="000000"/>
                <w:sz w:val="18"/>
                <w:szCs w:val="18"/>
              </w:rPr>
              <w:t>462 </w:t>
            </w:r>
          </w:p>
        </w:tc>
        <w:tc>
          <w:tcPr>
            <w:tcW w:w="0" w:type="auto"/>
            <w:shd w:val="clear" w:color="auto" w:fill="FFFFFF"/>
            <w:tcMar>
              <w:top w:w="40" w:type="dxa"/>
              <w:left w:w="0" w:type="dxa"/>
              <w:bottom w:w="40" w:type="dxa"/>
              <w:right w:w="20" w:type="dxa"/>
            </w:tcMar>
            <w:vAlign w:val="bottom"/>
          </w:tcPr>
          <w:p w14:paraId="7DCFF15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5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57"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5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5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5A"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5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5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5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5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5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6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6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6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63" w14:textId="77777777" w:rsidR="00C1563E" w:rsidRDefault="000B648B">
            <w:pPr>
              <w:jc w:val="right"/>
              <w:textAlignment w:val="bottom"/>
            </w:pPr>
            <w:r>
              <w:rPr>
                <w:rFonts w:ascii="Times New Roman" w:eastAsia="宋体" w:hAnsi="Times New Roman"/>
                <w:color w:val="000000"/>
                <w:sz w:val="18"/>
                <w:szCs w:val="18"/>
              </w:rPr>
              <w:t>462 </w:t>
            </w:r>
          </w:p>
        </w:tc>
        <w:tc>
          <w:tcPr>
            <w:tcW w:w="0" w:type="auto"/>
            <w:shd w:val="clear" w:color="auto" w:fill="FFFFFF"/>
            <w:tcMar>
              <w:top w:w="40" w:type="dxa"/>
              <w:left w:w="0" w:type="dxa"/>
              <w:bottom w:w="40" w:type="dxa"/>
              <w:right w:w="20" w:type="dxa"/>
            </w:tcMar>
            <w:vAlign w:val="bottom"/>
          </w:tcPr>
          <w:p w14:paraId="7DCFF16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6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66" w14:textId="77777777" w:rsidR="00C1563E" w:rsidRDefault="000B648B">
            <w:pPr>
              <w:jc w:val="right"/>
              <w:textAlignment w:val="bottom"/>
            </w:pPr>
            <w:r>
              <w:rPr>
                <w:rFonts w:ascii="Times New Roman" w:eastAsia="宋体" w:hAnsi="Times New Roman"/>
                <w:color w:val="000000"/>
                <w:sz w:val="18"/>
                <w:szCs w:val="18"/>
              </w:rPr>
              <w:t>1,147 </w:t>
            </w:r>
          </w:p>
        </w:tc>
        <w:tc>
          <w:tcPr>
            <w:tcW w:w="0" w:type="auto"/>
            <w:shd w:val="clear" w:color="auto" w:fill="FFFFFF"/>
            <w:tcMar>
              <w:top w:w="40" w:type="dxa"/>
              <w:left w:w="0" w:type="dxa"/>
              <w:bottom w:w="40" w:type="dxa"/>
              <w:right w:w="20" w:type="dxa"/>
            </w:tcMar>
            <w:vAlign w:val="bottom"/>
          </w:tcPr>
          <w:p w14:paraId="7DCFF16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6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69" w14:textId="77777777" w:rsidR="00C1563E" w:rsidRDefault="000B648B">
            <w:pPr>
              <w:jc w:val="right"/>
              <w:textAlignment w:val="bottom"/>
            </w:pPr>
            <w:r>
              <w:rPr>
                <w:rFonts w:ascii="Times New Roman" w:eastAsia="宋体" w:hAnsi="Times New Roman"/>
                <w:color w:val="000000"/>
                <w:sz w:val="18"/>
                <w:szCs w:val="18"/>
              </w:rPr>
              <w:t>1,609 </w:t>
            </w:r>
          </w:p>
        </w:tc>
        <w:tc>
          <w:tcPr>
            <w:tcW w:w="0" w:type="auto"/>
            <w:shd w:val="clear" w:color="auto" w:fill="FFFFFF"/>
            <w:tcMar>
              <w:top w:w="40" w:type="dxa"/>
              <w:left w:w="0" w:type="dxa"/>
              <w:bottom w:w="40" w:type="dxa"/>
              <w:right w:w="20" w:type="dxa"/>
            </w:tcMar>
            <w:vAlign w:val="bottom"/>
          </w:tcPr>
          <w:p w14:paraId="7DCFF16A" w14:textId="77777777" w:rsidR="00C1563E" w:rsidRDefault="00C1563E">
            <w:pPr>
              <w:jc w:val="right"/>
              <w:rPr>
                <w:rFonts w:ascii="宋体"/>
              </w:rPr>
            </w:pPr>
          </w:p>
        </w:tc>
      </w:tr>
      <w:tr w:rsidR="00C1563E" w14:paraId="7DCFF187" w14:textId="77777777">
        <w:tc>
          <w:tcPr>
            <w:tcW w:w="0" w:type="auto"/>
            <w:gridSpan w:val="3"/>
            <w:shd w:val="clear" w:color="auto" w:fill="CCEEFF"/>
            <w:tcMar>
              <w:top w:w="40" w:type="dxa"/>
              <w:left w:w="155" w:type="dxa"/>
              <w:bottom w:w="40" w:type="dxa"/>
              <w:right w:w="20" w:type="dxa"/>
            </w:tcMar>
            <w:vAlign w:val="bottom"/>
          </w:tcPr>
          <w:p w14:paraId="7DCFF16C" w14:textId="77777777" w:rsidR="00C1563E" w:rsidRDefault="000B648B">
            <w:pPr>
              <w:textAlignment w:val="bottom"/>
            </w:pPr>
            <w:r>
              <w:rPr>
                <w:rFonts w:ascii="Times New Roman" w:eastAsia="宋体" w:hAnsi="Times New Roman"/>
                <w:color w:val="000000"/>
                <w:sz w:val="18"/>
                <w:szCs w:val="18"/>
              </w:rPr>
              <w:t>Treasury stock repurchases</w:t>
            </w:r>
          </w:p>
        </w:tc>
        <w:tc>
          <w:tcPr>
            <w:tcW w:w="0" w:type="auto"/>
            <w:gridSpan w:val="2"/>
            <w:shd w:val="clear" w:color="auto" w:fill="CCEEFF"/>
            <w:tcMar>
              <w:top w:w="40" w:type="dxa"/>
              <w:left w:w="20" w:type="dxa"/>
              <w:bottom w:w="40" w:type="dxa"/>
              <w:right w:w="0" w:type="dxa"/>
            </w:tcMar>
            <w:vAlign w:val="bottom"/>
          </w:tcPr>
          <w:p w14:paraId="7DCFF16D"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0"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7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7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3" w14:textId="77777777" w:rsidR="00C1563E" w:rsidRDefault="000B648B">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7DCFF17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7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6" w14:textId="77777777" w:rsidR="00C1563E" w:rsidRDefault="000B648B">
            <w:pPr>
              <w:jc w:val="right"/>
              <w:textAlignment w:val="bottom"/>
            </w:pPr>
            <w:r>
              <w:rPr>
                <w:rFonts w:ascii="Times New Roman" w:eastAsia="宋体" w:hAnsi="Times New Roman"/>
                <w:color w:val="000000"/>
                <w:sz w:val="18"/>
                <w:szCs w:val="18"/>
              </w:rPr>
              <w:t>(240)</w:t>
            </w:r>
          </w:p>
        </w:tc>
        <w:tc>
          <w:tcPr>
            <w:tcW w:w="0" w:type="auto"/>
            <w:shd w:val="clear" w:color="auto" w:fill="CCEEFF"/>
            <w:tcMar>
              <w:top w:w="40" w:type="dxa"/>
              <w:left w:w="0" w:type="dxa"/>
              <w:bottom w:w="40" w:type="dxa"/>
              <w:right w:w="20" w:type="dxa"/>
            </w:tcMar>
            <w:vAlign w:val="bottom"/>
          </w:tcPr>
          <w:p w14:paraId="7DCFF1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7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C"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7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7F" w14:textId="77777777" w:rsidR="00C1563E" w:rsidRDefault="000B648B">
            <w:pPr>
              <w:jc w:val="right"/>
              <w:textAlignment w:val="bottom"/>
            </w:pPr>
            <w:r>
              <w:rPr>
                <w:rFonts w:ascii="Times New Roman" w:eastAsia="宋体" w:hAnsi="Times New Roman"/>
                <w:color w:val="000000"/>
                <w:sz w:val="18"/>
                <w:szCs w:val="18"/>
              </w:rPr>
              <w:t>(240)</w:t>
            </w:r>
          </w:p>
        </w:tc>
        <w:tc>
          <w:tcPr>
            <w:tcW w:w="0" w:type="auto"/>
            <w:shd w:val="clear" w:color="auto" w:fill="CCEEFF"/>
            <w:tcMar>
              <w:top w:w="40" w:type="dxa"/>
              <w:left w:w="0" w:type="dxa"/>
              <w:bottom w:w="40" w:type="dxa"/>
              <w:right w:w="20" w:type="dxa"/>
            </w:tcMar>
            <w:vAlign w:val="bottom"/>
          </w:tcPr>
          <w:p w14:paraId="7DCFF1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8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8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8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8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85" w14:textId="77777777" w:rsidR="00C1563E" w:rsidRDefault="000B648B">
            <w:pPr>
              <w:jc w:val="right"/>
              <w:textAlignment w:val="bottom"/>
            </w:pPr>
            <w:r>
              <w:rPr>
                <w:rFonts w:ascii="Times New Roman" w:eastAsia="宋体" w:hAnsi="Times New Roman"/>
                <w:color w:val="000000"/>
                <w:sz w:val="18"/>
                <w:szCs w:val="18"/>
              </w:rPr>
              <w:t>(240)</w:t>
            </w:r>
          </w:p>
        </w:tc>
        <w:tc>
          <w:tcPr>
            <w:tcW w:w="0" w:type="auto"/>
            <w:shd w:val="clear" w:color="auto" w:fill="CCEEFF"/>
            <w:tcMar>
              <w:top w:w="40" w:type="dxa"/>
              <w:left w:w="0" w:type="dxa"/>
              <w:bottom w:w="40" w:type="dxa"/>
              <w:right w:w="20" w:type="dxa"/>
            </w:tcMar>
            <w:vAlign w:val="bottom"/>
          </w:tcPr>
          <w:p w14:paraId="7DCFF186" w14:textId="77777777" w:rsidR="00C1563E" w:rsidRDefault="00C1563E">
            <w:pPr>
              <w:jc w:val="right"/>
              <w:rPr>
                <w:rFonts w:ascii="宋体"/>
              </w:rPr>
            </w:pPr>
          </w:p>
        </w:tc>
      </w:tr>
      <w:tr w:rsidR="00C1563E" w14:paraId="7DCFF1A3" w14:textId="77777777">
        <w:tc>
          <w:tcPr>
            <w:tcW w:w="0" w:type="auto"/>
            <w:gridSpan w:val="3"/>
            <w:shd w:val="clear" w:color="auto" w:fill="FFFFFF"/>
            <w:tcMar>
              <w:top w:w="40" w:type="dxa"/>
              <w:left w:w="155" w:type="dxa"/>
              <w:bottom w:w="40" w:type="dxa"/>
              <w:right w:w="20" w:type="dxa"/>
            </w:tcMar>
            <w:vAlign w:val="bottom"/>
          </w:tcPr>
          <w:p w14:paraId="7DCFF188" w14:textId="77777777" w:rsidR="00C1563E" w:rsidRDefault="000B648B">
            <w:pPr>
              <w:textAlignment w:val="bottom"/>
            </w:pPr>
            <w:r>
              <w:rPr>
                <w:rFonts w:ascii="Times New Roman" w:eastAsia="宋体" w:hAnsi="Times New Roman"/>
                <w:color w:val="000000"/>
                <w:sz w:val="18"/>
                <w:szCs w:val="18"/>
              </w:rPr>
              <w:t>Revaluation of redeemable shares</w:t>
            </w:r>
          </w:p>
        </w:tc>
        <w:tc>
          <w:tcPr>
            <w:tcW w:w="0" w:type="auto"/>
            <w:gridSpan w:val="2"/>
            <w:shd w:val="clear" w:color="auto" w:fill="FFFFFF"/>
            <w:tcMar>
              <w:top w:w="40" w:type="dxa"/>
              <w:left w:w="20" w:type="dxa"/>
              <w:bottom w:w="40" w:type="dxa"/>
              <w:right w:w="0" w:type="dxa"/>
            </w:tcMar>
            <w:vAlign w:val="bottom"/>
          </w:tcPr>
          <w:p w14:paraId="7DCFF189"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8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8C" w14:textId="77777777" w:rsidR="00C1563E" w:rsidRDefault="000B648B">
            <w:pPr>
              <w:jc w:val="right"/>
              <w:textAlignment w:val="bottom"/>
            </w:pPr>
            <w:r>
              <w:rPr>
                <w:rFonts w:ascii="Times New Roman" w:eastAsia="宋体" w:hAnsi="Times New Roman"/>
                <w:color w:val="000000"/>
                <w:sz w:val="18"/>
                <w:szCs w:val="18"/>
              </w:rPr>
              <w:t>157 </w:t>
            </w:r>
          </w:p>
        </w:tc>
        <w:tc>
          <w:tcPr>
            <w:tcW w:w="0" w:type="auto"/>
            <w:shd w:val="clear" w:color="auto" w:fill="FFFFFF"/>
            <w:tcMar>
              <w:top w:w="40" w:type="dxa"/>
              <w:left w:w="0" w:type="dxa"/>
              <w:bottom w:w="40" w:type="dxa"/>
              <w:right w:w="20" w:type="dxa"/>
            </w:tcMar>
            <w:vAlign w:val="bottom"/>
          </w:tcPr>
          <w:p w14:paraId="7DCFF18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8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8F"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9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9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92"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9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9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9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9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9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98"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9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9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9B" w14:textId="77777777" w:rsidR="00C1563E" w:rsidRDefault="000B648B">
            <w:pPr>
              <w:jc w:val="right"/>
              <w:textAlignment w:val="bottom"/>
            </w:pPr>
            <w:r>
              <w:rPr>
                <w:rFonts w:ascii="Times New Roman" w:eastAsia="宋体" w:hAnsi="Times New Roman"/>
                <w:color w:val="000000"/>
                <w:sz w:val="18"/>
                <w:szCs w:val="18"/>
              </w:rPr>
              <w:t>157 </w:t>
            </w:r>
          </w:p>
        </w:tc>
        <w:tc>
          <w:tcPr>
            <w:tcW w:w="0" w:type="auto"/>
            <w:shd w:val="clear" w:color="auto" w:fill="FFFFFF"/>
            <w:tcMar>
              <w:top w:w="40" w:type="dxa"/>
              <w:left w:w="0" w:type="dxa"/>
              <w:bottom w:w="40" w:type="dxa"/>
              <w:right w:w="20" w:type="dxa"/>
            </w:tcMar>
            <w:vAlign w:val="bottom"/>
          </w:tcPr>
          <w:p w14:paraId="7DCFF19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9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9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DCFF19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A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1A1" w14:textId="77777777" w:rsidR="00C1563E" w:rsidRDefault="000B648B">
            <w:pPr>
              <w:jc w:val="right"/>
              <w:textAlignment w:val="bottom"/>
            </w:pPr>
            <w:r>
              <w:rPr>
                <w:rFonts w:ascii="Times New Roman" w:eastAsia="宋体" w:hAnsi="Times New Roman"/>
                <w:color w:val="000000"/>
                <w:sz w:val="18"/>
                <w:szCs w:val="18"/>
              </w:rPr>
              <w:t>157 </w:t>
            </w:r>
          </w:p>
        </w:tc>
        <w:tc>
          <w:tcPr>
            <w:tcW w:w="0" w:type="auto"/>
            <w:shd w:val="clear" w:color="auto" w:fill="FFFFFF"/>
            <w:tcMar>
              <w:top w:w="40" w:type="dxa"/>
              <w:left w:w="0" w:type="dxa"/>
              <w:bottom w:w="40" w:type="dxa"/>
              <w:right w:w="20" w:type="dxa"/>
            </w:tcMar>
            <w:vAlign w:val="bottom"/>
          </w:tcPr>
          <w:p w14:paraId="7DCFF1A2" w14:textId="77777777" w:rsidR="00C1563E" w:rsidRDefault="00C1563E">
            <w:pPr>
              <w:jc w:val="right"/>
              <w:rPr>
                <w:rFonts w:ascii="宋体"/>
              </w:rPr>
            </w:pPr>
          </w:p>
        </w:tc>
      </w:tr>
      <w:tr w:rsidR="00C1563E" w14:paraId="7DCFF1BF" w14:textId="77777777">
        <w:tc>
          <w:tcPr>
            <w:tcW w:w="0" w:type="auto"/>
            <w:gridSpan w:val="3"/>
            <w:shd w:val="clear" w:color="auto" w:fill="CCEEFF"/>
            <w:tcMar>
              <w:top w:w="40" w:type="dxa"/>
              <w:left w:w="155" w:type="dxa"/>
              <w:bottom w:w="40" w:type="dxa"/>
              <w:right w:w="20" w:type="dxa"/>
            </w:tcMar>
            <w:vAlign w:val="bottom"/>
          </w:tcPr>
          <w:p w14:paraId="7DCFF1A4" w14:textId="77777777" w:rsidR="00C1563E" w:rsidRDefault="000B648B">
            <w:pPr>
              <w:textAlignment w:val="bottom"/>
            </w:pPr>
            <w:r>
              <w:rPr>
                <w:rFonts w:ascii="Times New Roman" w:eastAsia="宋体" w:hAnsi="Times New Roman"/>
                <w:color w:val="000000"/>
                <w:sz w:val="18"/>
                <w:szCs w:val="18"/>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DCFF1A5"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A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A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A8" w14:textId="77777777" w:rsidR="00C1563E" w:rsidRDefault="000B648B">
            <w:pPr>
              <w:jc w:val="right"/>
              <w:textAlignment w:val="bottom"/>
            </w:pPr>
            <w:r>
              <w:rPr>
                <w:rFonts w:ascii="Times New Roman" w:eastAsia="宋体" w:hAnsi="Times New Roman"/>
                <w:color w:val="000000"/>
                <w:sz w:val="18"/>
                <w:szCs w:val="18"/>
              </w:rPr>
              <w:t>(39)</w:t>
            </w:r>
          </w:p>
        </w:tc>
        <w:tc>
          <w:tcPr>
            <w:tcW w:w="0" w:type="auto"/>
            <w:shd w:val="clear" w:color="auto" w:fill="CCEEFF"/>
            <w:tcMar>
              <w:top w:w="40" w:type="dxa"/>
              <w:left w:w="0" w:type="dxa"/>
              <w:bottom w:w="40" w:type="dxa"/>
              <w:right w:w="20" w:type="dxa"/>
            </w:tcMar>
            <w:vAlign w:val="bottom"/>
          </w:tcPr>
          <w:p w14:paraId="7DCFF1A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A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AB"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A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A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AE"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B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B1"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B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B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B4" w14:textId="77777777" w:rsidR="00C1563E" w:rsidRDefault="000B648B">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DCFF1B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B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B7" w14:textId="77777777" w:rsidR="00C1563E" w:rsidRDefault="000B648B">
            <w:pPr>
              <w:jc w:val="right"/>
              <w:textAlignment w:val="bottom"/>
            </w:pPr>
            <w:r>
              <w:rPr>
                <w:rFonts w:ascii="Times New Roman" w:eastAsia="宋体" w:hAnsi="Times New Roman"/>
                <w:color w:val="000000"/>
                <w:sz w:val="18"/>
                <w:szCs w:val="18"/>
              </w:rPr>
              <w:t>(39)</w:t>
            </w:r>
          </w:p>
        </w:tc>
        <w:tc>
          <w:tcPr>
            <w:tcW w:w="0" w:type="auto"/>
            <w:shd w:val="clear" w:color="auto" w:fill="CCEEFF"/>
            <w:tcMar>
              <w:top w:w="40" w:type="dxa"/>
              <w:left w:w="0" w:type="dxa"/>
              <w:bottom w:w="40" w:type="dxa"/>
              <w:right w:w="20" w:type="dxa"/>
            </w:tcMar>
            <w:vAlign w:val="bottom"/>
          </w:tcPr>
          <w:p w14:paraId="7DCFF1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B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BA" w14:textId="77777777" w:rsidR="00C1563E" w:rsidRDefault="000B648B">
            <w:pPr>
              <w:jc w:val="right"/>
              <w:textAlignment w:val="bottom"/>
            </w:pPr>
            <w:r>
              <w:rPr>
                <w:rFonts w:ascii="Times New Roman" w:eastAsia="宋体" w:hAnsi="Times New Roman"/>
                <w:color w:val="000000"/>
                <w:sz w:val="18"/>
                <w:szCs w:val="18"/>
              </w:rPr>
              <w:t>(1,057)</w:t>
            </w:r>
          </w:p>
        </w:tc>
        <w:tc>
          <w:tcPr>
            <w:tcW w:w="0" w:type="auto"/>
            <w:shd w:val="clear" w:color="auto" w:fill="CCEEFF"/>
            <w:tcMar>
              <w:top w:w="40" w:type="dxa"/>
              <w:left w:w="0" w:type="dxa"/>
              <w:bottom w:w="40" w:type="dxa"/>
              <w:right w:w="20" w:type="dxa"/>
            </w:tcMar>
            <w:vAlign w:val="bottom"/>
          </w:tcPr>
          <w:p w14:paraId="7DCFF1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1B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1BD" w14:textId="77777777" w:rsidR="00C1563E" w:rsidRDefault="000B648B">
            <w:pPr>
              <w:jc w:val="right"/>
              <w:textAlignment w:val="bottom"/>
            </w:pPr>
            <w:r>
              <w:rPr>
                <w:rFonts w:ascii="Times New Roman" w:eastAsia="宋体" w:hAnsi="Times New Roman"/>
                <w:color w:val="000000"/>
                <w:sz w:val="18"/>
                <w:szCs w:val="18"/>
              </w:rPr>
              <w:t>(1,096)</w:t>
            </w:r>
          </w:p>
        </w:tc>
        <w:tc>
          <w:tcPr>
            <w:tcW w:w="0" w:type="auto"/>
            <w:shd w:val="clear" w:color="auto" w:fill="CCEEFF"/>
            <w:tcMar>
              <w:top w:w="40" w:type="dxa"/>
              <w:left w:w="0" w:type="dxa"/>
              <w:bottom w:w="40" w:type="dxa"/>
              <w:right w:w="20" w:type="dxa"/>
            </w:tcMar>
            <w:vAlign w:val="bottom"/>
          </w:tcPr>
          <w:p w14:paraId="7DCFF1BE" w14:textId="77777777" w:rsidR="00C1563E" w:rsidRDefault="00C1563E">
            <w:pPr>
              <w:jc w:val="right"/>
              <w:rPr>
                <w:rFonts w:ascii="宋体"/>
              </w:rPr>
            </w:pPr>
          </w:p>
        </w:tc>
      </w:tr>
      <w:tr w:rsidR="00C1563E" w14:paraId="7DCFF1D2" w14:textId="77777777">
        <w:trPr>
          <w:hidden/>
        </w:trPr>
        <w:tc>
          <w:tcPr>
            <w:tcW w:w="0" w:type="auto"/>
            <w:gridSpan w:val="3"/>
            <w:shd w:val="clear" w:color="auto" w:fill="auto"/>
          </w:tcPr>
          <w:p w14:paraId="7DCFF1C0" w14:textId="77777777" w:rsidR="00C1563E" w:rsidRDefault="00C1563E">
            <w:pPr>
              <w:rPr>
                <w:rFonts w:ascii="宋体"/>
                <w:vanish/>
              </w:rPr>
            </w:pPr>
          </w:p>
        </w:tc>
        <w:tc>
          <w:tcPr>
            <w:tcW w:w="0" w:type="auto"/>
            <w:gridSpan w:val="3"/>
            <w:shd w:val="clear" w:color="auto" w:fill="auto"/>
          </w:tcPr>
          <w:p w14:paraId="7DCFF1C1" w14:textId="77777777" w:rsidR="00C1563E" w:rsidRDefault="00C1563E">
            <w:pPr>
              <w:rPr>
                <w:rFonts w:ascii="宋体"/>
                <w:vanish/>
              </w:rPr>
            </w:pPr>
          </w:p>
        </w:tc>
        <w:tc>
          <w:tcPr>
            <w:tcW w:w="0" w:type="auto"/>
            <w:gridSpan w:val="3"/>
            <w:shd w:val="clear" w:color="auto" w:fill="auto"/>
          </w:tcPr>
          <w:p w14:paraId="7DCFF1C2" w14:textId="77777777" w:rsidR="00C1563E" w:rsidRDefault="00C1563E">
            <w:pPr>
              <w:rPr>
                <w:rFonts w:ascii="宋体"/>
                <w:vanish/>
              </w:rPr>
            </w:pPr>
          </w:p>
        </w:tc>
        <w:tc>
          <w:tcPr>
            <w:tcW w:w="0" w:type="auto"/>
            <w:gridSpan w:val="3"/>
            <w:shd w:val="clear" w:color="auto" w:fill="auto"/>
          </w:tcPr>
          <w:p w14:paraId="7DCFF1C3" w14:textId="77777777" w:rsidR="00C1563E" w:rsidRDefault="00C1563E">
            <w:pPr>
              <w:rPr>
                <w:rFonts w:ascii="宋体"/>
                <w:vanish/>
              </w:rPr>
            </w:pPr>
          </w:p>
        </w:tc>
        <w:tc>
          <w:tcPr>
            <w:tcW w:w="0" w:type="auto"/>
            <w:gridSpan w:val="3"/>
            <w:shd w:val="clear" w:color="auto" w:fill="auto"/>
          </w:tcPr>
          <w:p w14:paraId="7DCFF1C4" w14:textId="77777777" w:rsidR="00C1563E" w:rsidRDefault="00C1563E">
            <w:pPr>
              <w:rPr>
                <w:rFonts w:ascii="宋体"/>
                <w:vanish/>
              </w:rPr>
            </w:pPr>
          </w:p>
        </w:tc>
        <w:tc>
          <w:tcPr>
            <w:tcW w:w="0" w:type="auto"/>
            <w:gridSpan w:val="3"/>
            <w:shd w:val="clear" w:color="auto" w:fill="auto"/>
          </w:tcPr>
          <w:p w14:paraId="7DCFF1C5" w14:textId="77777777" w:rsidR="00C1563E" w:rsidRDefault="00C1563E">
            <w:pPr>
              <w:rPr>
                <w:rFonts w:ascii="宋体"/>
                <w:vanish/>
              </w:rPr>
            </w:pPr>
          </w:p>
        </w:tc>
        <w:tc>
          <w:tcPr>
            <w:tcW w:w="0" w:type="auto"/>
            <w:gridSpan w:val="3"/>
            <w:shd w:val="clear" w:color="auto" w:fill="auto"/>
          </w:tcPr>
          <w:p w14:paraId="7DCFF1C6" w14:textId="77777777" w:rsidR="00C1563E" w:rsidRDefault="00C1563E">
            <w:pPr>
              <w:rPr>
                <w:rFonts w:ascii="宋体"/>
                <w:vanish/>
              </w:rPr>
            </w:pPr>
          </w:p>
        </w:tc>
        <w:tc>
          <w:tcPr>
            <w:tcW w:w="0" w:type="auto"/>
            <w:gridSpan w:val="3"/>
            <w:shd w:val="clear" w:color="auto" w:fill="auto"/>
          </w:tcPr>
          <w:p w14:paraId="7DCFF1C7" w14:textId="77777777" w:rsidR="00C1563E" w:rsidRDefault="00C1563E">
            <w:pPr>
              <w:rPr>
                <w:rFonts w:ascii="宋体"/>
                <w:vanish/>
              </w:rPr>
            </w:pPr>
          </w:p>
        </w:tc>
        <w:tc>
          <w:tcPr>
            <w:tcW w:w="0" w:type="auto"/>
            <w:gridSpan w:val="3"/>
            <w:shd w:val="clear" w:color="auto" w:fill="auto"/>
          </w:tcPr>
          <w:p w14:paraId="7DCFF1C8" w14:textId="77777777" w:rsidR="00C1563E" w:rsidRDefault="00C1563E">
            <w:pPr>
              <w:rPr>
                <w:rFonts w:ascii="宋体"/>
                <w:vanish/>
              </w:rPr>
            </w:pPr>
          </w:p>
        </w:tc>
        <w:tc>
          <w:tcPr>
            <w:tcW w:w="0" w:type="auto"/>
            <w:gridSpan w:val="3"/>
            <w:shd w:val="clear" w:color="auto" w:fill="auto"/>
          </w:tcPr>
          <w:p w14:paraId="7DCFF1C9" w14:textId="77777777" w:rsidR="00C1563E" w:rsidRDefault="00C1563E">
            <w:pPr>
              <w:rPr>
                <w:rFonts w:ascii="宋体"/>
                <w:vanish/>
              </w:rPr>
            </w:pPr>
          </w:p>
        </w:tc>
        <w:tc>
          <w:tcPr>
            <w:tcW w:w="0" w:type="auto"/>
            <w:gridSpan w:val="3"/>
            <w:shd w:val="clear" w:color="auto" w:fill="auto"/>
          </w:tcPr>
          <w:p w14:paraId="7DCFF1CA" w14:textId="77777777" w:rsidR="00C1563E" w:rsidRDefault="00C1563E">
            <w:pPr>
              <w:rPr>
                <w:rFonts w:ascii="宋体"/>
                <w:vanish/>
              </w:rPr>
            </w:pPr>
          </w:p>
        </w:tc>
        <w:tc>
          <w:tcPr>
            <w:tcW w:w="0" w:type="auto"/>
            <w:gridSpan w:val="3"/>
            <w:shd w:val="clear" w:color="auto" w:fill="auto"/>
          </w:tcPr>
          <w:p w14:paraId="7DCFF1CB" w14:textId="77777777" w:rsidR="00C1563E" w:rsidRDefault="00C1563E">
            <w:pPr>
              <w:rPr>
                <w:rFonts w:ascii="宋体"/>
                <w:vanish/>
              </w:rPr>
            </w:pPr>
          </w:p>
        </w:tc>
        <w:tc>
          <w:tcPr>
            <w:tcW w:w="0" w:type="auto"/>
            <w:gridSpan w:val="3"/>
            <w:shd w:val="clear" w:color="auto" w:fill="auto"/>
          </w:tcPr>
          <w:p w14:paraId="7DCFF1CC" w14:textId="77777777" w:rsidR="00C1563E" w:rsidRDefault="00C1563E">
            <w:pPr>
              <w:rPr>
                <w:rFonts w:ascii="宋体"/>
                <w:vanish/>
              </w:rPr>
            </w:pPr>
          </w:p>
        </w:tc>
        <w:tc>
          <w:tcPr>
            <w:tcW w:w="0" w:type="auto"/>
            <w:gridSpan w:val="3"/>
            <w:shd w:val="clear" w:color="auto" w:fill="auto"/>
          </w:tcPr>
          <w:p w14:paraId="7DCFF1CD" w14:textId="77777777" w:rsidR="00C1563E" w:rsidRDefault="00C1563E">
            <w:pPr>
              <w:rPr>
                <w:rFonts w:ascii="宋体"/>
                <w:vanish/>
              </w:rPr>
            </w:pPr>
          </w:p>
        </w:tc>
        <w:tc>
          <w:tcPr>
            <w:tcW w:w="0" w:type="auto"/>
            <w:gridSpan w:val="3"/>
            <w:shd w:val="clear" w:color="auto" w:fill="auto"/>
          </w:tcPr>
          <w:p w14:paraId="7DCFF1CE" w14:textId="77777777" w:rsidR="00C1563E" w:rsidRDefault="00C1563E">
            <w:pPr>
              <w:rPr>
                <w:rFonts w:ascii="宋体"/>
                <w:vanish/>
              </w:rPr>
            </w:pPr>
          </w:p>
        </w:tc>
        <w:tc>
          <w:tcPr>
            <w:tcW w:w="0" w:type="auto"/>
            <w:gridSpan w:val="3"/>
            <w:shd w:val="clear" w:color="auto" w:fill="auto"/>
          </w:tcPr>
          <w:p w14:paraId="7DCFF1CF" w14:textId="77777777" w:rsidR="00C1563E" w:rsidRDefault="00C1563E">
            <w:pPr>
              <w:rPr>
                <w:rFonts w:ascii="宋体"/>
                <w:vanish/>
              </w:rPr>
            </w:pPr>
          </w:p>
        </w:tc>
        <w:tc>
          <w:tcPr>
            <w:tcW w:w="0" w:type="auto"/>
            <w:gridSpan w:val="3"/>
            <w:shd w:val="clear" w:color="auto" w:fill="auto"/>
          </w:tcPr>
          <w:p w14:paraId="7DCFF1D0" w14:textId="77777777" w:rsidR="00C1563E" w:rsidRDefault="00C1563E">
            <w:pPr>
              <w:rPr>
                <w:rFonts w:ascii="宋体"/>
                <w:vanish/>
              </w:rPr>
            </w:pPr>
          </w:p>
        </w:tc>
        <w:tc>
          <w:tcPr>
            <w:tcW w:w="0" w:type="auto"/>
            <w:gridSpan w:val="3"/>
            <w:shd w:val="clear" w:color="auto" w:fill="auto"/>
          </w:tcPr>
          <w:p w14:paraId="7DCFF1D1" w14:textId="77777777" w:rsidR="00C1563E" w:rsidRDefault="00C1563E">
            <w:pPr>
              <w:rPr>
                <w:rFonts w:ascii="宋体"/>
                <w:vanish/>
              </w:rPr>
            </w:pPr>
          </w:p>
        </w:tc>
      </w:tr>
      <w:tr w:rsidR="000B648B" w14:paraId="7DCFF1F5" w14:textId="77777777">
        <w:tc>
          <w:tcPr>
            <w:tcW w:w="0" w:type="auto"/>
            <w:gridSpan w:val="3"/>
            <w:shd w:val="clear" w:color="auto" w:fill="FFFFFF"/>
            <w:tcMar>
              <w:top w:w="40" w:type="dxa"/>
              <w:left w:w="20" w:type="dxa"/>
              <w:bottom w:w="40" w:type="dxa"/>
              <w:right w:w="20" w:type="dxa"/>
            </w:tcMar>
            <w:vAlign w:val="bottom"/>
          </w:tcPr>
          <w:p w14:paraId="7DCFF1D3" w14:textId="77777777" w:rsidR="00C1563E" w:rsidRDefault="000B648B">
            <w:pPr>
              <w:textAlignment w:val="bottom"/>
            </w:pPr>
            <w:r>
              <w:rPr>
                <w:rFonts w:ascii="Times New Roman" w:eastAsia="宋体" w:hAnsi="Times New Roman"/>
                <w:b/>
                <w:bCs/>
                <w:color w:val="000000"/>
                <w:sz w:val="18"/>
                <w:szCs w:val="18"/>
              </w:rPr>
              <w:t>Balances as of January 29,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D4" w14:textId="77777777" w:rsidR="00C1563E" w:rsidRDefault="000B648B">
            <w:pPr>
              <w:jc w:val="right"/>
              <w:textAlignment w:val="bottom"/>
            </w:pPr>
            <w:r>
              <w:rPr>
                <w:rFonts w:ascii="Times New Roman" w:eastAsia="宋体" w:hAnsi="Times New Roman"/>
                <w:color w:val="000000"/>
                <w:sz w:val="18"/>
                <w:szCs w:val="18"/>
              </w:rPr>
              <w:t>761 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D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D6"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D7"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D8" w14:textId="77777777" w:rsidR="00C1563E" w:rsidRDefault="000B648B">
            <w:pPr>
              <w:jc w:val="right"/>
              <w:textAlignment w:val="bottom"/>
            </w:pPr>
            <w:r>
              <w:rPr>
                <w:rFonts w:ascii="Times New Roman" w:eastAsia="宋体" w:hAnsi="Times New Roman"/>
                <w:color w:val="000000"/>
                <w:sz w:val="18"/>
                <w:szCs w:val="18"/>
              </w:rPr>
              <w:t>16,849 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D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DA"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DB" w14:textId="77777777" w:rsidR="00C1563E" w:rsidRDefault="000B648B">
            <w:pPr>
              <w:jc w:val="right"/>
              <w:textAlignment w:val="bottom"/>
            </w:pPr>
            <w:r>
              <w:rPr>
                <w:rFonts w:ascii="Times New Roman" w:eastAsia="宋体" w:hAnsi="Times New Roman"/>
                <w:color w:val="000000"/>
                <w:sz w:val="18"/>
                <w:szCs w:val="18"/>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D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DD"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DE"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DF" w14:textId="77777777" w:rsidR="00C1563E" w:rsidRDefault="000B648B">
            <w:pPr>
              <w:jc w:val="right"/>
              <w:textAlignment w:val="bottom"/>
            </w:pPr>
            <w:r>
              <w:rPr>
                <w:rFonts w:ascii="Times New Roman" w:eastAsia="宋体" w:hAnsi="Times New Roman"/>
                <w:color w:val="000000"/>
                <w:sz w:val="18"/>
                <w:szCs w:val="18"/>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E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E1"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E2"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E3" w14:textId="77777777" w:rsidR="00C1563E" w:rsidRDefault="000B648B">
            <w:pPr>
              <w:jc w:val="right"/>
              <w:textAlignment w:val="bottom"/>
            </w:pPr>
            <w:r>
              <w:rPr>
                <w:rFonts w:ascii="Times New Roman" w:eastAsia="宋体" w:hAnsi="Times New Roman"/>
                <w:color w:val="000000"/>
                <w:sz w:val="18"/>
                <w:szCs w:val="18"/>
              </w:rPr>
              <w:t>(13,751)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E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E5"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E6"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E7" w14:textId="77777777" w:rsidR="00C1563E" w:rsidRDefault="000B648B">
            <w:pPr>
              <w:jc w:val="right"/>
              <w:textAlignment w:val="bottom"/>
            </w:pPr>
            <w:r>
              <w:rPr>
                <w:rFonts w:ascii="Times New Roman" w:eastAsia="宋体" w:hAnsi="Times New Roman"/>
                <w:color w:val="000000"/>
                <w:sz w:val="18"/>
                <w:szCs w:val="18"/>
              </w:rPr>
              <w:t>(314)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E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E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EA"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EB" w14:textId="77777777" w:rsidR="00C1563E" w:rsidRDefault="000B648B">
            <w:pPr>
              <w:jc w:val="right"/>
              <w:textAlignment w:val="bottom"/>
            </w:pPr>
            <w:r>
              <w:rPr>
                <w:rFonts w:ascii="Times New Roman" w:eastAsia="宋体" w:hAnsi="Times New Roman"/>
                <w:color w:val="000000"/>
                <w:sz w:val="18"/>
                <w:szCs w:val="18"/>
              </w:rPr>
              <w:t>2,479 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E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ED"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EE"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EF" w14:textId="77777777" w:rsidR="00C1563E" w:rsidRDefault="000B648B">
            <w:pPr>
              <w:jc w:val="right"/>
              <w:textAlignment w:val="bottom"/>
            </w:pPr>
            <w:r>
              <w:rPr>
                <w:rFonts w:ascii="Times New Roman" w:eastAsia="宋体" w:hAnsi="Times New Roman"/>
                <w:color w:val="000000"/>
                <w:sz w:val="18"/>
                <w:szCs w:val="18"/>
              </w:rPr>
              <w:t>5,074 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F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1F1"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1F2" w14:textId="77777777" w:rsidR="00C1563E" w:rsidRDefault="000B648B">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1F3" w14:textId="77777777" w:rsidR="00C1563E" w:rsidRDefault="000B648B">
            <w:pPr>
              <w:jc w:val="right"/>
              <w:textAlignment w:val="bottom"/>
            </w:pPr>
            <w:r>
              <w:rPr>
                <w:rFonts w:ascii="Times New Roman" w:eastAsia="宋体" w:hAnsi="Times New Roman"/>
                <w:color w:val="000000"/>
                <w:sz w:val="18"/>
                <w:szCs w:val="18"/>
              </w:rPr>
              <w:t>7,553 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1F4" w14:textId="77777777" w:rsidR="00C1563E" w:rsidRDefault="00C1563E">
            <w:pPr>
              <w:jc w:val="right"/>
              <w:rPr>
                <w:rFonts w:ascii="宋体"/>
              </w:rPr>
            </w:pPr>
          </w:p>
        </w:tc>
      </w:tr>
    </w:tbl>
    <w:p w14:paraId="7DCFF1F6" w14:textId="77777777" w:rsidR="00C1563E" w:rsidRDefault="000B648B">
      <w:r>
        <w:rPr>
          <w:rFonts w:ascii="Times New Roman" w:eastAsia="宋体" w:hAnsi="Times New Roman"/>
          <w:color w:val="000000"/>
          <w:sz w:val="20"/>
          <w:szCs w:val="20"/>
        </w:rPr>
        <w:t>_________________</w:t>
      </w:r>
    </w:p>
    <w:p w14:paraId="7DCFF1F7" w14:textId="77777777" w:rsidR="00C1563E" w:rsidRDefault="000B648B">
      <w:r>
        <w:rPr>
          <w:rFonts w:ascii="Times New Roman" w:eastAsia="宋体" w:hAnsi="Times New Roman"/>
          <w:color w:val="000000"/>
          <w:sz w:val="20"/>
          <w:szCs w:val="20"/>
        </w:rPr>
        <w:t>(a) See Note 14 of the Notes to the Consolidated Financial Statements for additional information on Dell Technologies Common Stock.</w:t>
      </w:r>
    </w:p>
    <w:p w14:paraId="7DCFF1F8" w14:textId="77777777" w:rsidR="00C1563E" w:rsidRDefault="00C1563E">
      <w:pPr>
        <w:spacing w:after="60"/>
      </w:pPr>
    </w:p>
    <w:p w14:paraId="7DCFF1F9" w14:textId="77777777" w:rsidR="00C1563E" w:rsidRDefault="000B648B">
      <w:pPr>
        <w:spacing w:after="60"/>
        <w:jc w:val="center"/>
      </w:pPr>
      <w:r>
        <w:rPr>
          <w:rFonts w:ascii="Times New Roman" w:eastAsia="宋体" w:hAnsi="Times New Roman"/>
          <w:color w:val="000000"/>
          <w:sz w:val="20"/>
          <w:szCs w:val="20"/>
        </w:rPr>
        <w:t>The accompanying notes ar</w:t>
      </w:r>
      <w:r>
        <w:rPr>
          <w:rFonts w:ascii="Times New Roman" w:eastAsia="宋体" w:hAnsi="Times New Roman"/>
          <w:color w:val="000000"/>
          <w:sz w:val="20"/>
          <w:szCs w:val="20"/>
        </w:rPr>
        <w:t>e an integral part of these Consolidated Financial Statements.</w:t>
      </w:r>
    </w:p>
    <w:p w14:paraId="7DCFF1FA" w14:textId="77777777" w:rsidR="00C1563E" w:rsidRDefault="00C1563E">
      <w:pPr>
        <w:jc w:val="center"/>
      </w:pPr>
    </w:p>
    <w:p w14:paraId="7DCFF1FB" w14:textId="77777777" w:rsidR="00C1563E" w:rsidRDefault="000B648B">
      <w:pPr>
        <w:jc w:val="center"/>
      </w:pPr>
      <w:r>
        <w:rPr>
          <w:rFonts w:ascii="Times New Roman" w:eastAsia="宋体" w:hAnsi="Times New Roman"/>
          <w:color w:val="000000"/>
          <w:sz w:val="20"/>
          <w:szCs w:val="20"/>
        </w:rPr>
        <w:t>80</w:t>
      </w:r>
    </w:p>
    <w:p w14:paraId="7DCFF1FC" w14:textId="77777777" w:rsidR="00C1563E" w:rsidRDefault="00C1563E">
      <w:pPr>
        <w:jc w:val="center"/>
      </w:pPr>
    </w:p>
    <w:p w14:paraId="7DCFF1FD" w14:textId="77777777" w:rsidR="00C1563E" w:rsidRDefault="000B648B">
      <w:r>
        <w:pict w14:anchorId="7DD025BA">
          <v:rect id="_x0000_i1104" style="width:415.3pt;height:1.5pt" o:hralign="center" o:hrstd="t" o:hr="t" fillcolor="#a0a0a0" stroked="f"/>
        </w:pict>
      </w:r>
    </w:p>
    <w:p w14:paraId="7DCFF1FE" w14:textId="77777777" w:rsidR="00C1563E" w:rsidRDefault="000B648B">
      <w:hyperlink r:id="rId240" w:anchor="i418e32e4a35149ffbf7d3a25d66881b8_10" w:history="1">
        <w:r>
          <w:rPr>
            <w:rStyle w:val="a5"/>
            <w:rFonts w:ascii="Times New Roman" w:eastAsia="宋体" w:hAnsi="Times New Roman"/>
            <w:sz w:val="20"/>
            <w:szCs w:val="20"/>
          </w:rPr>
          <w:t xml:space="preserve">Table </w:t>
        </w:r>
      </w:hyperlink>
      <w:hyperlink r:id="rId241" w:anchor="i418e32e4a35149ffbf7d3a25d66881b8_10" w:history="1">
        <w:r>
          <w:rPr>
            <w:rStyle w:val="a5"/>
            <w:rFonts w:ascii="Times New Roman" w:eastAsia="宋体" w:hAnsi="Times New Roman"/>
            <w:sz w:val="20"/>
            <w:szCs w:val="20"/>
          </w:rPr>
          <w:t>of Contents</w:t>
        </w:r>
      </w:hyperlink>
    </w:p>
    <w:p w14:paraId="7DCFF1FF" w14:textId="77777777" w:rsidR="00C1563E" w:rsidRDefault="000B648B">
      <w:pPr>
        <w:jc w:val="center"/>
      </w:pPr>
      <w:r>
        <w:rPr>
          <w:rFonts w:ascii="Times New Roman" w:eastAsia="宋体" w:hAnsi="Times New Roman"/>
          <w:b/>
          <w:bCs/>
          <w:color w:val="000000"/>
          <w:sz w:val="20"/>
          <w:szCs w:val="20"/>
        </w:rPr>
        <w:t>DELL TECHNOLOGIES INC.</w:t>
      </w:r>
    </w:p>
    <w:p w14:paraId="7DCFF200" w14:textId="77777777" w:rsidR="00C1563E" w:rsidRDefault="000B648B">
      <w:pPr>
        <w:jc w:val="center"/>
      </w:pPr>
      <w:r>
        <w:rPr>
          <w:rFonts w:ascii="Times New Roman" w:eastAsia="宋体" w:hAnsi="Times New Roman"/>
          <w:b/>
          <w:bCs/>
          <w:color w:val="000000"/>
          <w:sz w:val="20"/>
          <w:szCs w:val="20"/>
        </w:rPr>
        <w:t>NOTES TO THE CONSOLIDATED FINANCIAL STATEMENTS</w:t>
      </w:r>
    </w:p>
    <w:p w14:paraId="7DCFF201" w14:textId="77777777" w:rsidR="00C1563E" w:rsidRDefault="00C1563E">
      <w:pPr>
        <w:spacing w:before="240"/>
      </w:pPr>
    </w:p>
    <w:p w14:paraId="7DCFF202" w14:textId="77777777" w:rsidR="00C1563E" w:rsidRDefault="000B648B">
      <w:r>
        <w:rPr>
          <w:rFonts w:ascii="Times New Roman" w:eastAsia="宋体" w:hAnsi="Times New Roman"/>
          <w:b/>
          <w:bCs/>
          <w:color w:val="000000"/>
          <w:sz w:val="20"/>
          <w:szCs w:val="20"/>
        </w:rPr>
        <w:t>NOTE 1 — BASIS OF PRESENTATION</w:t>
      </w:r>
    </w:p>
    <w:p w14:paraId="7DCFF203" w14:textId="77777777" w:rsidR="00C1563E" w:rsidRDefault="00C1563E"/>
    <w:p w14:paraId="7DCFF204" w14:textId="77777777" w:rsidR="00C1563E" w:rsidRDefault="000B648B">
      <w:r>
        <w:rPr>
          <w:rFonts w:ascii="Times New Roman" w:eastAsia="宋体" w:hAnsi="Times New Roman"/>
          <w:color w:val="000000"/>
          <w:sz w:val="20"/>
          <w:szCs w:val="20"/>
        </w:rPr>
        <w:t>References in these Notes to the Consolidated Financial Statements to the “Company” or “Dell Technologies” mean Dell Technologies Inc. individually and together with its consolidated subsidiaries.</w:t>
      </w:r>
    </w:p>
    <w:p w14:paraId="7DCFF205" w14:textId="77777777" w:rsidR="00C1563E" w:rsidRDefault="00C1563E"/>
    <w:p w14:paraId="7DCFF206" w14:textId="77777777" w:rsidR="00C1563E" w:rsidRDefault="000B648B">
      <w:r>
        <w:rPr>
          <w:rFonts w:ascii="Times New Roman" w:eastAsia="宋体" w:hAnsi="Times New Roman"/>
          <w:i/>
          <w:iCs/>
          <w:color w:val="000000"/>
          <w:sz w:val="20"/>
          <w:szCs w:val="20"/>
        </w:rPr>
        <w:t xml:space="preserve">Basis of Presentation — </w:t>
      </w:r>
      <w:r>
        <w:rPr>
          <w:rFonts w:ascii="Times New Roman" w:eastAsia="宋体" w:hAnsi="Times New Roman"/>
          <w:color w:val="000000"/>
          <w:sz w:val="20"/>
          <w:szCs w:val="20"/>
        </w:rPr>
        <w:t>These Consolidated Financial State</w:t>
      </w:r>
      <w:r>
        <w:rPr>
          <w:rFonts w:ascii="Times New Roman" w:eastAsia="宋体" w:hAnsi="Times New Roman"/>
          <w:color w:val="000000"/>
          <w:sz w:val="20"/>
          <w:szCs w:val="20"/>
        </w:rPr>
        <w:t>ments have been prepared in accordance with accounting principles generally accepted in the United States of America (“GAAP”).</w:t>
      </w:r>
    </w:p>
    <w:p w14:paraId="7DCFF207" w14:textId="77777777" w:rsidR="00C1563E" w:rsidRDefault="00C1563E"/>
    <w:p w14:paraId="7DCFF208" w14:textId="77777777" w:rsidR="00C1563E" w:rsidRDefault="000B648B">
      <w:r>
        <w:rPr>
          <w:rFonts w:ascii="Times New Roman" w:eastAsia="宋体" w:hAnsi="Times New Roman"/>
          <w:color w:val="000000"/>
          <w:sz w:val="20"/>
          <w:szCs w:val="20"/>
        </w:rPr>
        <w:t xml:space="preserve">Unless the context indicates otherwise, references in these Notes to the Consolidated Financial Statements to “VMware” mean the </w:t>
      </w:r>
      <w:r>
        <w:rPr>
          <w:rFonts w:ascii="Times New Roman" w:eastAsia="宋体" w:hAnsi="Times New Roman"/>
          <w:color w:val="000000"/>
          <w:sz w:val="20"/>
          <w:szCs w:val="20"/>
        </w:rPr>
        <w:t xml:space="preserve">VMware reportable segment, which reflects the operations of VMware, Inc. (NYSE: VMW) within Dell Technologies. </w:t>
      </w:r>
    </w:p>
    <w:p w14:paraId="7DCFF209" w14:textId="77777777" w:rsidR="00C1563E" w:rsidRDefault="00C1563E"/>
    <w:p w14:paraId="7DCFF20A" w14:textId="77777777" w:rsidR="00C1563E" w:rsidRDefault="000B648B">
      <w:r>
        <w:rPr>
          <w:rFonts w:ascii="Times New Roman" w:eastAsia="宋体" w:hAnsi="Times New Roman"/>
          <w:i/>
          <w:iCs/>
          <w:color w:val="000000"/>
          <w:sz w:val="20"/>
          <w:szCs w:val="20"/>
        </w:rPr>
        <w:t>RSA Security Divestiture</w:t>
      </w:r>
      <w:r>
        <w:rPr>
          <w:rFonts w:ascii="Times New Roman" w:eastAsia="宋体" w:hAnsi="Times New Roman"/>
          <w:color w:val="000000"/>
          <w:sz w:val="20"/>
          <w:szCs w:val="20"/>
        </w:rPr>
        <w:t xml:space="preserve"> — On February 18, 2020, Dell Technologies announced its entry into a definitive agreement with a consortium led by Sym</w:t>
      </w:r>
      <w:r>
        <w:rPr>
          <w:rFonts w:ascii="Times New Roman" w:eastAsia="宋体" w:hAnsi="Times New Roman"/>
          <w:color w:val="000000"/>
          <w:sz w:val="20"/>
          <w:szCs w:val="20"/>
        </w:rPr>
        <w:t>phony Technology Group, Ontario Teachers’ Pension Plan Board and AlpInvest Partners to sell RSA Security. On September 1, 2020, the parties closed the transaction. At the completion of the sale, the Company received total cash consideration of approximatel</w:t>
      </w:r>
      <w:r>
        <w:rPr>
          <w:rFonts w:ascii="Times New Roman" w:eastAsia="宋体" w:hAnsi="Times New Roman"/>
          <w:color w:val="000000"/>
          <w:sz w:val="20"/>
          <w:szCs w:val="20"/>
        </w:rPr>
        <w:t>y $2.082 billion, resulting in a pre-tax gain on sale of $338 million within Interest and other, net on the Consolidated Statements of Income (Loss). The Company ultimately recorded a $21 million loss, net of $359 million in tax expense due to the relative</w:t>
      </w:r>
      <w:r>
        <w:rPr>
          <w:rFonts w:ascii="Times New Roman" w:eastAsia="宋体" w:hAnsi="Times New Roman"/>
          <w:color w:val="000000"/>
          <w:sz w:val="20"/>
          <w:szCs w:val="20"/>
        </w:rPr>
        <w:t xml:space="preserve">ly low tax basis for the assets sold, particularly goodwill. The transaction included the sale of RSA Archer, RSA NetWitness Platform, RSA SecurID, RSA Fraud and Risk Intelligence, and RSA Conference and was intended to further simplify Dell Technologies’ </w:t>
      </w:r>
      <w:r>
        <w:rPr>
          <w:rFonts w:ascii="Times New Roman" w:eastAsia="宋体" w:hAnsi="Times New Roman"/>
          <w:color w:val="000000"/>
          <w:sz w:val="20"/>
          <w:szCs w:val="20"/>
        </w:rPr>
        <w:t>product portfolio and corporate structure. Prior to the divestiture, RSA Security’s operating results were included within Other businesses and did not qualify for presentation as a discontinued operation.</w:t>
      </w:r>
    </w:p>
    <w:p w14:paraId="7DCFF20B" w14:textId="77777777" w:rsidR="00C1563E" w:rsidRDefault="00C1563E"/>
    <w:p w14:paraId="7DCFF20C" w14:textId="77777777" w:rsidR="00C1563E" w:rsidRDefault="000B648B">
      <w:r>
        <w:rPr>
          <w:rFonts w:ascii="Times New Roman" w:eastAsia="宋体" w:hAnsi="Times New Roman"/>
          <w:i/>
          <w:iCs/>
          <w:color w:val="000000"/>
          <w:sz w:val="20"/>
          <w:szCs w:val="20"/>
        </w:rPr>
        <w:t xml:space="preserve">VMware, Inc. Acquisition of Pivotal </w:t>
      </w:r>
      <w:r>
        <w:rPr>
          <w:rFonts w:ascii="Times New Roman" w:eastAsia="宋体" w:hAnsi="Times New Roman"/>
          <w:color w:val="000000"/>
          <w:sz w:val="20"/>
          <w:szCs w:val="20"/>
        </w:rPr>
        <w:t>— On December</w:t>
      </w:r>
      <w:r>
        <w:rPr>
          <w:rFonts w:ascii="Times New Roman" w:eastAsia="宋体" w:hAnsi="Times New Roman"/>
          <w:color w:val="000000"/>
          <w:sz w:val="20"/>
          <w:szCs w:val="20"/>
        </w:rPr>
        <w:t xml:space="preserve"> 30, 2019, VMware, Inc. completed its acquisition of Pivotal Software, Inc. (“Pivotal”) from the Company by merger (the “Pivotal acquisition”), with Pivotal surviving the merger as a wholly-owned subsidiary of VMware, Inc. Each outstanding share of Pivotal</w:t>
      </w:r>
      <w:r>
        <w:rPr>
          <w:rFonts w:ascii="Times New Roman" w:eastAsia="宋体" w:hAnsi="Times New Roman"/>
          <w:color w:val="000000"/>
          <w:sz w:val="20"/>
          <w:szCs w:val="20"/>
        </w:rPr>
        <w:t>’s Class A common stock (other than shares held by Pivotal stockholders who properly exercised their appraisal rights under Delaware law) was converted into the right to receive $15.00 in cash, without interest, and each outstanding share of Pivotal’s Clas</w:t>
      </w:r>
      <w:r>
        <w:rPr>
          <w:rFonts w:ascii="Times New Roman" w:eastAsia="宋体" w:hAnsi="Times New Roman"/>
          <w:color w:val="000000"/>
          <w:sz w:val="20"/>
          <w:szCs w:val="20"/>
        </w:rPr>
        <w:t xml:space="preserve">s B common stock was converted into the right to receive 0.0550 of a share of Class B common stock of VMware, Inc. Dell Technologies, which held all outstanding shares of Pivotal’s Class B common stock, received approximately 7.2 million shares of Class B </w:t>
      </w:r>
      <w:r>
        <w:rPr>
          <w:rFonts w:ascii="Times New Roman" w:eastAsia="宋体" w:hAnsi="Times New Roman"/>
          <w:color w:val="000000"/>
          <w:sz w:val="20"/>
          <w:szCs w:val="20"/>
        </w:rPr>
        <w:t>common stock of VMware, Inc. in the transaction. As of the transaction date, Pivotal’s Class A common stock (NYSE: PVTL) ceased to be listed and traded on the New York Stock Exchange (“NYSE”).</w:t>
      </w:r>
    </w:p>
    <w:p w14:paraId="7DCFF20D" w14:textId="77777777" w:rsidR="00C1563E" w:rsidRDefault="00C1563E"/>
    <w:p w14:paraId="7DCFF20E" w14:textId="77777777" w:rsidR="00C1563E" w:rsidRDefault="000B648B">
      <w:r>
        <w:rPr>
          <w:rFonts w:ascii="Times New Roman" w:eastAsia="宋体" w:hAnsi="Times New Roman"/>
          <w:color w:val="000000"/>
          <w:sz w:val="20"/>
          <w:szCs w:val="20"/>
        </w:rPr>
        <w:t>Due to the Company’s ownership of a controlling interest in Pi</w:t>
      </w:r>
      <w:r>
        <w:rPr>
          <w:rFonts w:ascii="Times New Roman" w:eastAsia="宋体" w:hAnsi="Times New Roman"/>
          <w:color w:val="000000"/>
          <w:sz w:val="20"/>
          <w:szCs w:val="20"/>
        </w:rPr>
        <w:t>votal, the Company and VMware, Inc. accounted for the acquisition of the controlling interest in Pivotal as a transaction by entities under common control, and, consequently, the transaction had no net effect to the Company’s consolidated financial stateme</w:t>
      </w:r>
      <w:r>
        <w:rPr>
          <w:rFonts w:ascii="Times New Roman" w:eastAsia="宋体" w:hAnsi="Times New Roman"/>
          <w:color w:val="000000"/>
          <w:sz w:val="20"/>
          <w:szCs w:val="20"/>
        </w:rPr>
        <w:t>nts. Subsequent to the Pivotal acquisition, Pivotal operates as a wholly-owned subsidiary of VMware, Inc. and Dell Technologies reports Pivotal results within the VMware reportable segment. Prior to the Pivotal acquisition, Pivotal results were reported wi</w:t>
      </w:r>
      <w:r>
        <w:rPr>
          <w:rFonts w:ascii="Times New Roman" w:eastAsia="宋体" w:hAnsi="Times New Roman"/>
          <w:color w:val="000000"/>
          <w:sz w:val="20"/>
          <w:szCs w:val="20"/>
        </w:rPr>
        <w:t xml:space="preserve">thin Other businesses. This change in Pivotal segment classification was reflected retrospectively and is presented in Note 19 of the Notes to the Consolidated Financial Statements. </w:t>
      </w:r>
    </w:p>
    <w:p w14:paraId="7DCFF20F" w14:textId="77777777" w:rsidR="00C1563E" w:rsidRDefault="00C1563E"/>
    <w:p w14:paraId="7DCFF210" w14:textId="77777777" w:rsidR="00C1563E" w:rsidRDefault="000B648B">
      <w:r>
        <w:rPr>
          <w:rFonts w:ascii="Times New Roman" w:eastAsia="宋体" w:hAnsi="Times New Roman"/>
          <w:i/>
          <w:iCs/>
          <w:color w:val="000000"/>
          <w:sz w:val="20"/>
          <w:szCs w:val="20"/>
        </w:rPr>
        <w:t>Class V Transaction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December 28, 2018, the Company completed a tran</w:t>
      </w:r>
      <w:r>
        <w:rPr>
          <w:rFonts w:ascii="Times New Roman" w:eastAsia="宋体" w:hAnsi="Times New Roman"/>
          <w:color w:val="000000"/>
          <w:sz w:val="20"/>
          <w:szCs w:val="20"/>
        </w:rPr>
        <w:t>saction, referred to as the “Class V transaction,” pursuant to an Agreement and Plan of Merger (the “Merger Agreement”), dated as of July 1, 2018 and amended as of November 14, 2018, between Dell Technologies and Teton Merger Sub Inc. (“Merger Sub”), a Del</w:t>
      </w:r>
      <w:r>
        <w:rPr>
          <w:rFonts w:ascii="Times New Roman" w:eastAsia="宋体" w:hAnsi="Times New Roman"/>
          <w:color w:val="000000"/>
          <w:sz w:val="20"/>
          <w:szCs w:val="20"/>
        </w:rPr>
        <w:t>aware corporation and wholly-owned subsidiary of Dell Technologies. Pursuant to the Merger Agreement, Merger Sub was merged with and into Dell Technologies (the “Merger”), with Dell Technologies continuing as the surviving corporation.</w:t>
      </w:r>
    </w:p>
    <w:p w14:paraId="7DCFF211" w14:textId="77777777" w:rsidR="00C1563E" w:rsidRDefault="00C1563E"/>
    <w:p w14:paraId="7DCFF212" w14:textId="77777777" w:rsidR="00C1563E" w:rsidRDefault="000B648B">
      <w:r>
        <w:rPr>
          <w:rFonts w:ascii="Times New Roman" w:eastAsia="宋体" w:hAnsi="Times New Roman"/>
          <w:color w:val="000000"/>
          <w:sz w:val="20"/>
          <w:szCs w:val="20"/>
        </w:rPr>
        <w:t>Dell Technologies c</w:t>
      </w:r>
      <w:r>
        <w:rPr>
          <w:rFonts w:ascii="Times New Roman" w:eastAsia="宋体" w:hAnsi="Times New Roman"/>
          <w:color w:val="000000"/>
          <w:sz w:val="20"/>
          <w:szCs w:val="20"/>
        </w:rPr>
        <w:t xml:space="preserve">ompleted the Class V transaction following approval of the transaction by its stockholders at a special meeting held on December 11, 2018. Dell Technologies paid $14.0 billion in cash and issued 149,387,617 shares of its Class C Common Stock in connection </w:t>
      </w:r>
      <w:r>
        <w:rPr>
          <w:rFonts w:ascii="Times New Roman" w:eastAsia="宋体" w:hAnsi="Times New Roman"/>
          <w:color w:val="000000"/>
          <w:sz w:val="20"/>
          <w:szCs w:val="20"/>
        </w:rPr>
        <w:t>with the Class V transaction. The non-cash consideration portion of the Class V transaction totaled $6.9 billion. The Class C Common Stock began trading on the NYSE on a when-issued basis as of the opening of trading on December 26, 2018 and on a regular-w</w:t>
      </w:r>
      <w:r>
        <w:rPr>
          <w:rFonts w:ascii="Times New Roman" w:eastAsia="宋体" w:hAnsi="Times New Roman"/>
          <w:color w:val="000000"/>
          <w:sz w:val="20"/>
          <w:szCs w:val="20"/>
        </w:rPr>
        <w:t>ay basis as of the opening of trading on December 28, 2018. The Class V Common Stock ceased trading on the NYSE prior to the opening of trading on December 28, 2018.</w:t>
      </w:r>
    </w:p>
    <w:p w14:paraId="7DCFF213" w14:textId="77777777" w:rsidR="00C1563E" w:rsidRDefault="00C1563E"/>
    <w:p w14:paraId="7DCFF214" w14:textId="77777777" w:rsidR="00C1563E" w:rsidRDefault="00C1563E"/>
    <w:p w14:paraId="7DCFF215" w14:textId="77777777" w:rsidR="00C1563E" w:rsidRDefault="00C1563E">
      <w:pPr>
        <w:jc w:val="center"/>
      </w:pPr>
    </w:p>
    <w:p w14:paraId="7DCFF216" w14:textId="77777777" w:rsidR="00C1563E" w:rsidRDefault="000B648B">
      <w:pPr>
        <w:jc w:val="center"/>
      </w:pPr>
      <w:r>
        <w:rPr>
          <w:rFonts w:ascii="Times New Roman" w:eastAsia="宋体" w:hAnsi="Times New Roman"/>
          <w:color w:val="000000"/>
          <w:sz w:val="20"/>
          <w:szCs w:val="20"/>
        </w:rPr>
        <w:t>81</w:t>
      </w:r>
    </w:p>
    <w:p w14:paraId="7DCFF217" w14:textId="77777777" w:rsidR="00C1563E" w:rsidRDefault="00C1563E">
      <w:pPr>
        <w:jc w:val="center"/>
      </w:pPr>
    </w:p>
    <w:p w14:paraId="7DCFF218" w14:textId="77777777" w:rsidR="00C1563E" w:rsidRDefault="000B648B">
      <w:r>
        <w:pict w14:anchorId="7DD025BB">
          <v:rect id="_x0000_i1105" style="width:415.3pt;height:1.5pt" o:hralign="center" o:hrstd="t" o:hr="t" fillcolor="#a0a0a0" stroked="f"/>
        </w:pict>
      </w:r>
    </w:p>
    <w:p w14:paraId="7DCFF219" w14:textId="77777777" w:rsidR="00C1563E" w:rsidRDefault="000B648B">
      <w:hyperlink r:id="rId242" w:anchor="i418e32e4a35149ffbf7d3a25d66881b8_10" w:history="1">
        <w:r>
          <w:rPr>
            <w:rStyle w:val="a5"/>
            <w:rFonts w:ascii="Times New Roman" w:eastAsia="宋体" w:hAnsi="Times New Roman"/>
            <w:sz w:val="20"/>
            <w:szCs w:val="20"/>
          </w:rPr>
          <w:t>Table of Contents</w:t>
        </w:r>
      </w:hyperlink>
    </w:p>
    <w:p w14:paraId="7DCFF21A" w14:textId="77777777" w:rsidR="00C1563E" w:rsidRDefault="000B648B">
      <w:r>
        <w:rPr>
          <w:rFonts w:ascii="Times New Roman" w:eastAsia="宋体" w:hAnsi="Times New Roman"/>
          <w:color w:val="000000"/>
          <w:sz w:val="20"/>
          <w:szCs w:val="20"/>
        </w:rPr>
        <w:t>The Class V Common Stock was a class of common stock intended to track the economic performance of a portion of the Company’s interest in the Class V Group, which co</w:t>
      </w:r>
      <w:r>
        <w:rPr>
          <w:rFonts w:ascii="Times New Roman" w:eastAsia="宋体" w:hAnsi="Times New Roman"/>
          <w:color w:val="000000"/>
          <w:sz w:val="20"/>
          <w:szCs w:val="20"/>
        </w:rPr>
        <w:t>nsisted solely of VMware, Inc. common stock held by the Company. As a result of the Class V transaction, pursuant to which all outstanding shares of Class V Common Stock ceased to be outstanding, the tracking stock feature of the Company’s capital structur</w:t>
      </w:r>
      <w:r>
        <w:rPr>
          <w:rFonts w:ascii="Times New Roman" w:eastAsia="宋体" w:hAnsi="Times New Roman"/>
          <w:color w:val="000000"/>
          <w:sz w:val="20"/>
          <w:szCs w:val="20"/>
        </w:rPr>
        <w:t>e was terminated. The Class C Common Stock issued to former holders of the Class V Common Stock represents an interest in the Company’s entire business and, unlike the Class V Common Stock, is not intended to track the performance of any distinct assets or</w:t>
      </w:r>
      <w:r>
        <w:rPr>
          <w:rFonts w:ascii="Times New Roman" w:eastAsia="宋体" w:hAnsi="Times New Roman"/>
          <w:color w:val="000000"/>
          <w:sz w:val="20"/>
          <w:szCs w:val="20"/>
        </w:rPr>
        <w:t xml:space="preserve"> business. The Company’s amended and restated certificate of incorporation that went into effect as of the effective time of the Merger (the “Effective Time”) prohibits the Company from issuing shares of Class V Common Stock.</w:t>
      </w:r>
    </w:p>
    <w:p w14:paraId="7DCFF21B" w14:textId="77777777" w:rsidR="00C1563E" w:rsidRDefault="00C1563E"/>
    <w:p w14:paraId="7DCFF21C" w14:textId="77777777" w:rsidR="00C1563E" w:rsidRDefault="000B648B">
      <w:r>
        <w:rPr>
          <w:rFonts w:ascii="Times New Roman" w:eastAsia="宋体" w:hAnsi="Times New Roman"/>
          <w:color w:val="000000"/>
          <w:sz w:val="20"/>
          <w:szCs w:val="20"/>
        </w:rPr>
        <w:t xml:space="preserve">At the Effective Time, </w:t>
      </w:r>
      <w:r>
        <w:rPr>
          <w:rFonts w:ascii="Times New Roman" w:eastAsia="宋体" w:hAnsi="Times New Roman"/>
          <w:color w:val="000000"/>
          <w:sz w:val="20"/>
          <w:szCs w:val="20"/>
        </w:rPr>
        <w:t>each outstanding share of Class V Common Stock was exchanged for either (a) $120.00 in cash, without interest, subject to a cap of $14.0 billion on the aggregate cash consideration, or (b) 1.8066 shares of Class C Common Stock. The exchange ratio was calcu</w:t>
      </w:r>
      <w:r>
        <w:rPr>
          <w:rFonts w:ascii="Times New Roman" w:eastAsia="宋体" w:hAnsi="Times New Roman"/>
          <w:color w:val="000000"/>
          <w:sz w:val="20"/>
          <w:szCs w:val="20"/>
        </w:rPr>
        <w:t xml:space="preserve">lated based on the aggregate amount of cash elections, as well as the aggregate volume-weighted average price per share of Class V Common Stock on the NYSE (as reported on Bloomberg) of $104.8700 for the period of 17 consecutive trading days that began on </w:t>
      </w:r>
      <w:r>
        <w:rPr>
          <w:rFonts w:ascii="Times New Roman" w:eastAsia="宋体" w:hAnsi="Times New Roman"/>
          <w:color w:val="000000"/>
          <w:sz w:val="20"/>
          <w:szCs w:val="20"/>
        </w:rPr>
        <w:t>November 28, 2018 and ended on December 21, 2018.</w:t>
      </w:r>
    </w:p>
    <w:p w14:paraId="7DCFF21D" w14:textId="77777777" w:rsidR="00C1563E" w:rsidRDefault="00C1563E"/>
    <w:p w14:paraId="7DCFF21E" w14:textId="77777777" w:rsidR="00C1563E" w:rsidRDefault="000B648B">
      <w:r>
        <w:rPr>
          <w:rFonts w:ascii="Times New Roman" w:eastAsia="宋体" w:hAnsi="Times New Roman"/>
          <w:color w:val="000000"/>
          <w:sz w:val="20"/>
          <w:szCs w:val="20"/>
        </w:rPr>
        <w:t>The aggregate cash consideration and the fees and expenses incurred in connection with the Class V transaction were funded with proceeds of $3.67 billion from new term loans under the Company’s senior secu</w:t>
      </w:r>
      <w:r>
        <w:rPr>
          <w:rFonts w:ascii="Times New Roman" w:eastAsia="宋体" w:hAnsi="Times New Roman"/>
          <w:color w:val="000000"/>
          <w:sz w:val="20"/>
          <w:szCs w:val="20"/>
        </w:rPr>
        <w:t>red credit facilities, proceeds of a margin loan financing in an aggregate principal amount of $1.35 billion, proceeds of the Company’s pro-rata portion, in the amount of $8.87 billion, of a special $11 billion cash dividend paid by VMware, Inc. in connect</w:t>
      </w:r>
      <w:r>
        <w:rPr>
          <w:rFonts w:ascii="Times New Roman" w:eastAsia="宋体" w:hAnsi="Times New Roman"/>
          <w:color w:val="000000"/>
          <w:sz w:val="20"/>
          <w:szCs w:val="20"/>
        </w:rPr>
        <w:t>ion with the Class V transaction, and cash on hand at Dell Technologies and its subsidiaries. See Note 6 of the Notes to the Consolidated Financial Statements for information about the debt incurred by the Company to finance the Class V transaction.</w:t>
      </w:r>
    </w:p>
    <w:p w14:paraId="7DCFF21F" w14:textId="77777777" w:rsidR="00C1563E" w:rsidRDefault="00C1563E"/>
    <w:p w14:paraId="7DCFF220" w14:textId="77777777" w:rsidR="00C1563E" w:rsidRDefault="000B648B">
      <w:r>
        <w:rPr>
          <w:rFonts w:ascii="Times New Roman" w:eastAsia="宋体" w:hAnsi="Times New Roman"/>
          <w:color w:val="000000"/>
          <w:sz w:val="20"/>
          <w:szCs w:val="20"/>
        </w:rPr>
        <w:t>The M</w:t>
      </w:r>
      <w:r>
        <w:rPr>
          <w:rFonts w:ascii="Times New Roman" w:eastAsia="宋体" w:hAnsi="Times New Roman"/>
          <w:color w:val="000000"/>
          <w:sz w:val="20"/>
          <w:szCs w:val="20"/>
        </w:rPr>
        <w:t>erger and the Class V transaction have been accounted for as a hybrid liability and equity transaction involving the repurchase of outstanding common stock, with the consideration consisting of a variable combination of cash and shares. Upon settlement, th</w:t>
      </w:r>
      <w:r>
        <w:rPr>
          <w:rFonts w:ascii="Times New Roman" w:eastAsia="宋体" w:hAnsi="Times New Roman"/>
          <w:color w:val="000000"/>
          <w:sz w:val="20"/>
          <w:szCs w:val="20"/>
        </w:rPr>
        <w:t>e accounting for the Class V transaction reflected that the outstanding Class V Common Stock was canceled and exchanged for shares of Class C Common Stock or $120.00 per share in cash or combination of cash and shares, depending on each holder’s election a</w:t>
      </w:r>
      <w:r>
        <w:rPr>
          <w:rFonts w:ascii="Times New Roman" w:eastAsia="宋体" w:hAnsi="Times New Roman"/>
          <w:color w:val="000000"/>
          <w:sz w:val="20"/>
          <w:szCs w:val="20"/>
        </w:rPr>
        <w:t>nd subject to proration of the cash elections. The variable nature of the cash obligation to repurchase the shares of Class V Common Stock required the Company to settle a portion of the shares in exchange for cash and therefore was accounted for as a fina</w:t>
      </w:r>
      <w:r>
        <w:rPr>
          <w:rFonts w:ascii="Times New Roman" w:eastAsia="宋体" w:hAnsi="Times New Roman"/>
          <w:color w:val="000000"/>
          <w:sz w:val="20"/>
          <w:szCs w:val="20"/>
        </w:rPr>
        <w:t>ncial instrument with an immaterial mark-to-market adjustment for the change in fair value from the date of the stockholder meeting at which the Company’s stockholders voted to approve the Class V transaction to the election deadline by which holders of Cl</w:t>
      </w:r>
      <w:r>
        <w:rPr>
          <w:rFonts w:ascii="Times New Roman" w:eastAsia="宋体" w:hAnsi="Times New Roman"/>
          <w:color w:val="000000"/>
          <w:sz w:val="20"/>
          <w:szCs w:val="20"/>
        </w:rPr>
        <w:t xml:space="preserve">ass V Common Stock elected the form of consideration for which they exchanged their shares. </w:t>
      </w:r>
    </w:p>
    <w:p w14:paraId="7DCFF221" w14:textId="77777777" w:rsidR="00C1563E" w:rsidRDefault="00C1563E"/>
    <w:p w14:paraId="7DCFF222" w14:textId="77777777" w:rsidR="00C1563E" w:rsidRDefault="000B648B">
      <w:r>
        <w:rPr>
          <w:rFonts w:ascii="Times New Roman" w:eastAsia="宋体" w:hAnsi="Times New Roman"/>
          <w:i/>
          <w:iCs/>
          <w:color w:val="000000"/>
          <w:sz w:val="20"/>
          <w:szCs w:val="20"/>
        </w:rPr>
        <w:t>EMC Merger Transaction</w:t>
      </w:r>
      <w:r>
        <w:rPr>
          <w:rFonts w:ascii="Times New Roman" w:eastAsia="宋体" w:hAnsi="Times New Roman"/>
          <w:color w:val="000000"/>
          <w:sz w:val="20"/>
          <w:szCs w:val="20"/>
        </w:rPr>
        <w:t xml:space="preserve"> — On September 7, 2016, the Company completed its acquisition of EMC Corporation (“EMC”) by merger (the “EMC merger transaction”). The cons</w:t>
      </w:r>
      <w:r>
        <w:rPr>
          <w:rFonts w:ascii="Times New Roman" w:eastAsia="宋体" w:hAnsi="Times New Roman"/>
          <w:color w:val="000000"/>
          <w:sz w:val="20"/>
          <w:szCs w:val="20"/>
        </w:rPr>
        <w:t>olidated results of EMC are included in Dell Technologies’ consolidated results presented in these financial statements.</w:t>
      </w:r>
    </w:p>
    <w:p w14:paraId="7DCFF223" w14:textId="77777777" w:rsidR="00C1563E" w:rsidRDefault="00C1563E"/>
    <w:p w14:paraId="7DCFF224" w14:textId="77777777" w:rsidR="00C1563E" w:rsidRDefault="00C1563E"/>
    <w:p w14:paraId="7DCFF225" w14:textId="77777777" w:rsidR="00C1563E" w:rsidRDefault="00C1563E"/>
    <w:p w14:paraId="7DCFF226" w14:textId="77777777" w:rsidR="00C1563E" w:rsidRDefault="00C1563E">
      <w:pPr>
        <w:jc w:val="center"/>
      </w:pPr>
    </w:p>
    <w:p w14:paraId="7DCFF227" w14:textId="77777777" w:rsidR="00C1563E" w:rsidRDefault="000B648B">
      <w:pPr>
        <w:jc w:val="center"/>
      </w:pPr>
      <w:r>
        <w:rPr>
          <w:rFonts w:ascii="Times New Roman" w:eastAsia="宋体" w:hAnsi="Times New Roman"/>
          <w:color w:val="000000"/>
          <w:sz w:val="20"/>
          <w:szCs w:val="20"/>
        </w:rPr>
        <w:t>82</w:t>
      </w:r>
    </w:p>
    <w:p w14:paraId="7DCFF228" w14:textId="77777777" w:rsidR="00C1563E" w:rsidRDefault="00C1563E">
      <w:pPr>
        <w:jc w:val="center"/>
      </w:pPr>
    </w:p>
    <w:p w14:paraId="7DCFF229" w14:textId="77777777" w:rsidR="00C1563E" w:rsidRDefault="000B648B">
      <w:r>
        <w:pict w14:anchorId="7DD025BC">
          <v:rect id="_x0000_i1106" style="width:415.3pt;height:1.5pt" o:hralign="center" o:hrstd="t" o:hr="t" fillcolor="#a0a0a0" stroked="f"/>
        </w:pict>
      </w:r>
    </w:p>
    <w:p w14:paraId="7DCFF22A" w14:textId="77777777" w:rsidR="00C1563E" w:rsidRDefault="000B648B">
      <w:hyperlink r:id="rId243" w:anchor="i418e32e4a35149ffbf7d3a25d66881b8_10" w:history="1">
        <w:r>
          <w:rPr>
            <w:rStyle w:val="a5"/>
            <w:rFonts w:ascii="Times New Roman" w:eastAsia="宋体" w:hAnsi="Times New Roman"/>
            <w:sz w:val="20"/>
            <w:szCs w:val="20"/>
          </w:rPr>
          <w:t>Table of Contents</w:t>
        </w:r>
      </w:hyperlink>
    </w:p>
    <w:p w14:paraId="7DCFF22B" w14:textId="77777777" w:rsidR="00C1563E" w:rsidRDefault="000B648B">
      <w:r>
        <w:rPr>
          <w:rFonts w:ascii="Times New Roman" w:eastAsia="宋体" w:hAnsi="Times New Roman"/>
          <w:b/>
          <w:bCs/>
          <w:color w:val="000000"/>
          <w:sz w:val="20"/>
          <w:szCs w:val="20"/>
        </w:rPr>
        <w:t xml:space="preserve">NOTE 2 — DESCRIPTION OF BUSINESS AND SUMMARY OF SIGNIFICANT ACCOUNTING POLICIES </w:t>
      </w:r>
    </w:p>
    <w:p w14:paraId="7DCFF22C" w14:textId="77777777" w:rsidR="00C1563E" w:rsidRDefault="00C1563E"/>
    <w:p w14:paraId="7DCFF22D" w14:textId="77777777" w:rsidR="00C1563E" w:rsidRDefault="000B648B">
      <w:r>
        <w:rPr>
          <w:rFonts w:ascii="Times New Roman" w:eastAsia="宋体" w:hAnsi="Times New Roman"/>
          <w:i/>
          <w:iCs/>
          <w:color w:val="000000"/>
          <w:sz w:val="20"/>
          <w:szCs w:val="20"/>
        </w:rPr>
        <w:t>De</w:t>
      </w:r>
      <w:r>
        <w:rPr>
          <w:rFonts w:ascii="Times New Roman" w:eastAsia="宋体" w:hAnsi="Times New Roman"/>
          <w:i/>
          <w:iCs/>
          <w:color w:val="000000"/>
          <w:sz w:val="20"/>
          <w:szCs w:val="20"/>
        </w:rPr>
        <w:t xml:space="preserve">scription of Business </w:t>
      </w:r>
      <w:r>
        <w:rPr>
          <w:rFonts w:ascii="Times New Roman" w:eastAsia="宋体" w:hAnsi="Times New Roman"/>
          <w:color w:val="000000"/>
          <w:sz w:val="20"/>
          <w:szCs w:val="20"/>
        </w:rPr>
        <w:t>— The Company is a leading global end-to-end technology provider that offers a broad range of comprehensive and integrated solutions, which include servers and networking products, storage products, cloud solutions products, desktops,</w:t>
      </w:r>
      <w:r>
        <w:rPr>
          <w:rFonts w:ascii="Times New Roman" w:eastAsia="宋体" w:hAnsi="Times New Roman"/>
          <w:color w:val="000000"/>
          <w:sz w:val="20"/>
          <w:szCs w:val="20"/>
        </w:rPr>
        <w:t xml:space="preserve"> notebooks, services, software, and third-party software and peripherals.</w:t>
      </w:r>
    </w:p>
    <w:p w14:paraId="7DCFF22E" w14:textId="77777777" w:rsidR="00C1563E" w:rsidRDefault="00C1563E"/>
    <w:p w14:paraId="7DCFF22F" w14:textId="77777777" w:rsidR="00C1563E" w:rsidRDefault="000B648B">
      <w:r>
        <w:rPr>
          <w:rFonts w:ascii="Times New Roman" w:eastAsia="宋体" w:hAnsi="Times New Roman"/>
          <w:color w:val="000000"/>
          <w:sz w:val="20"/>
          <w:szCs w:val="20"/>
        </w:rPr>
        <w:t xml:space="preserve">The Company’s fiscal year is the 52- or 53-week period ending on the Friday nearest January 31. The fiscal years ended January 29, 2021, January 31, 2020, and February 1, 2019 were </w:t>
      </w:r>
      <w:r>
        <w:rPr>
          <w:rFonts w:ascii="Times New Roman" w:eastAsia="宋体" w:hAnsi="Times New Roman"/>
          <w:color w:val="000000"/>
          <w:sz w:val="20"/>
          <w:szCs w:val="20"/>
        </w:rPr>
        <w:t>52-week periods.</w:t>
      </w:r>
    </w:p>
    <w:p w14:paraId="7DCFF230" w14:textId="77777777" w:rsidR="00C1563E" w:rsidRDefault="00C1563E"/>
    <w:p w14:paraId="7DCFF231" w14:textId="77777777" w:rsidR="00C1563E" w:rsidRDefault="000B648B">
      <w:r>
        <w:rPr>
          <w:rFonts w:ascii="Times New Roman" w:eastAsia="宋体" w:hAnsi="Times New Roman"/>
          <w:i/>
          <w:iCs/>
          <w:color w:val="000000"/>
          <w:sz w:val="20"/>
          <w:szCs w:val="20"/>
        </w:rPr>
        <w:t xml:space="preserve">Principles of Consolidation </w:t>
      </w:r>
      <w:r>
        <w:rPr>
          <w:rFonts w:ascii="Times New Roman" w:eastAsia="宋体" w:hAnsi="Times New Roman"/>
          <w:color w:val="000000"/>
          <w:sz w:val="20"/>
          <w:szCs w:val="20"/>
        </w:rPr>
        <w:t>— These Consolidated Financial Statements include the accounts of Dell Technologies and its wholly-owned subsidiaries, as well as the accounts of VMware, Inc. and SecureWorks Corp. (“Secureworks”), each of whic</w:t>
      </w:r>
      <w:r>
        <w:rPr>
          <w:rFonts w:ascii="Times New Roman" w:eastAsia="宋体" w:hAnsi="Times New Roman"/>
          <w:color w:val="000000"/>
          <w:sz w:val="20"/>
          <w:szCs w:val="20"/>
        </w:rPr>
        <w:t>h is majority-owned by Dell Technologies. All intercompany transactions have been eliminated.</w:t>
      </w:r>
    </w:p>
    <w:p w14:paraId="7DCFF232" w14:textId="77777777" w:rsidR="00C1563E" w:rsidRDefault="00C1563E"/>
    <w:p w14:paraId="7DCFF233" w14:textId="77777777" w:rsidR="00C1563E" w:rsidRDefault="000B648B">
      <w:r>
        <w:rPr>
          <w:rFonts w:ascii="Times New Roman" w:eastAsia="宋体" w:hAnsi="Times New Roman"/>
          <w:color w:val="000000"/>
          <w:sz w:val="20"/>
          <w:szCs w:val="20"/>
        </w:rPr>
        <w:t>The Company also consolidates Variable Interest Entities ("VIEs") where it has been determined that the Company is the primary beneficiary of the applicable enti</w:t>
      </w:r>
      <w:r>
        <w:rPr>
          <w:rFonts w:ascii="Times New Roman" w:eastAsia="宋体" w:hAnsi="Times New Roman"/>
          <w:color w:val="000000"/>
          <w:sz w:val="20"/>
          <w:szCs w:val="20"/>
        </w:rPr>
        <w:t xml:space="preserve">ties’ operations. For each VIE, the primary beneficiary is the party that has both the power to direct the activities that most significantly impact the VIE's economic performance and the obligation to absorb losses or the right to receive benefits of the </w:t>
      </w:r>
      <w:r>
        <w:rPr>
          <w:rFonts w:ascii="Times New Roman" w:eastAsia="宋体" w:hAnsi="Times New Roman"/>
          <w:color w:val="000000"/>
          <w:sz w:val="20"/>
          <w:szCs w:val="20"/>
        </w:rPr>
        <w:t>VIE that could potentially be significant to such VIE. In evaluating whether the Company is the primary beneficiary of each entity, the Company evaluates its power to direct the most significant activities of the VIE by considering the purpose and design o</w:t>
      </w:r>
      <w:r>
        <w:rPr>
          <w:rFonts w:ascii="Times New Roman" w:eastAsia="宋体" w:hAnsi="Times New Roman"/>
          <w:color w:val="000000"/>
          <w:sz w:val="20"/>
          <w:szCs w:val="20"/>
        </w:rPr>
        <w:t>f each entity and the risks each entity was designed to create and pass through to its respective variable interest holders. The Company also evaluates its economic interests in each of the VIEs. See Note 4 of the Notes to the Consolidated Financial Statem</w:t>
      </w:r>
      <w:r>
        <w:rPr>
          <w:rFonts w:ascii="Times New Roman" w:eastAsia="宋体" w:hAnsi="Times New Roman"/>
          <w:color w:val="000000"/>
          <w:sz w:val="20"/>
          <w:szCs w:val="20"/>
        </w:rPr>
        <w:t>ents for more information regarding consolidated VIEs.</w:t>
      </w:r>
    </w:p>
    <w:p w14:paraId="7DCFF234" w14:textId="77777777" w:rsidR="00C1563E" w:rsidRDefault="00C1563E"/>
    <w:p w14:paraId="7DCFF235" w14:textId="77777777" w:rsidR="00C1563E" w:rsidRDefault="000B648B">
      <w:r>
        <w:rPr>
          <w:rFonts w:ascii="Times New Roman" w:eastAsia="宋体" w:hAnsi="Times New Roman"/>
          <w:i/>
          <w:iCs/>
          <w:color w:val="000000"/>
          <w:sz w:val="20"/>
          <w:szCs w:val="20"/>
        </w:rPr>
        <w:t xml:space="preserve">Use of Estimates </w:t>
      </w:r>
      <w:r>
        <w:rPr>
          <w:rFonts w:ascii="Times New Roman" w:eastAsia="宋体" w:hAnsi="Times New Roman"/>
          <w:color w:val="000000"/>
          <w:sz w:val="20"/>
          <w:szCs w:val="20"/>
        </w:rPr>
        <w:t xml:space="preserve">— The preparation of financial statements in accordance with GAAP requires management to make estimates and assumptions that affect the amounts reported in the Consolidated Financial </w:t>
      </w:r>
      <w:r>
        <w:rPr>
          <w:rFonts w:ascii="Times New Roman" w:eastAsia="宋体" w:hAnsi="Times New Roman"/>
          <w:color w:val="000000"/>
          <w:sz w:val="20"/>
          <w:szCs w:val="20"/>
        </w:rPr>
        <w:t>Statements and the accompanying Notes. Management has considered the actual and potential impacts of the coronavirus disease 2019 (“COVID-19”) pandemic on the Company’s critical and significant accounting estimates. Actual results could differ materially f</w:t>
      </w:r>
      <w:r>
        <w:rPr>
          <w:rFonts w:ascii="Times New Roman" w:eastAsia="宋体" w:hAnsi="Times New Roman"/>
          <w:color w:val="000000"/>
          <w:sz w:val="20"/>
          <w:szCs w:val="20"/>
        </w:rPr>
        <w:t>rom those estimates.</w:t>
      </w:r>
    </w:p>
    <w:p w14:paraId="7DCFF236" w14:textId="77777777" w:rsidR="00C1563E" w:rsidRDefault="00C1563E"/>
    <w:p w14:paraId="7DCFF237" w14:textId="77777777" w:rsidR="00C1563E" w:rsidRDefault="000B648B">
      <w:r>
        <w:rPr>
          <w:rFonts w:ascii="Times New Roman" w:eastAsia="宋体" w:hAnsi="Times New Roman"/>
          <w:i/>
          <w:iCs/>
          <w:color w:val="000000"/>
          <w:sz w:val="20"/>
          <w:szCs w:val="20"/>
        </w:rPr>
        <w:t xml:space="preserve">Cash and Cash Equivalents </w:t>
      </w:r>
      <w:r>
        <w:rPr>
          <w:rFonts w:ascii="Times New Roman" w:eastAsia="宋体" w:hAnsi="Times New Roman"/>
          <w:color w:val="000000"/>
          <w:sz w:val="20"/>
          <w:szCs w:val="20"/>
        </w:rPr>
        <w:t>— All highly liquid investments, including credit card receivables due from banks, with original maturities of 90 days or less at date of purchase, are reported at fair value and are considered to be cash equ</w:t>
      </w:r>
      <w:r>
        <w:rPr>
          <w:rFonts w:ascii="Times New Roman" w:eastAsia="宋体" w:hAnsi="Times New Roman"/>
          <w:color w:val="000000"/>
          <w:sz w:val="20"/>
          <w:szCs w:val="20"/>
        </w:rPr>
        <w:t>ivalents. All other investments not considered to be cash equivalents are separately categorized as investments.</w:t>
      </w:r>
    </w:p>
    <w:p w14:paraId="7DCFF238" w14:textId="77777777" w:rsidR="00C1563E" w:rsidRDefault="00C1563E"/>
    <w:p w14:paraId="7DCFF239" w14:textId="77777777" w:rsidR="00C1563E" w:rsidRDefault="000B648B">
      <w:r>
        <w:rPr>
          <w:rFonts w:ascii="Times New Roman" w:eastAsia="宋体" w:hAnsi="Times New Roman"/>
          <w:i/>
          <w:iCs/>
          <w:color w:val="000000"/>
          <w:sz w:val="20"/>
          <w:szCs w:val="20"/>
        </w:rPr>
        <w:t xml:space="preserve">Investments </w:t>
      </w:r>
      <w:r>
        <w:rPr>
          <w:rFonts w:ascii="Times New Roman" w:eastAsia="宋体" w:hAnsi="Times New Roman"/>
          <w:color w:val="000000"/>
          <w:sz w:val="20"/>
          <w:szCs w:val="20"/>
        </w:rPr>
        <w:t xml:space="preserve">— All equity and other securities are recorded as long-term investments in the Consolidated Statements of Financial Position. </w:t>
      </w:r>
    </w:p>
    <w:p w14:paraId="7DCFF23A" w14:textId="77777777" w:rsidR="00C1563E" w:rsidRDefault="00C1563E"/>
    <w:p w14:paraId="7DCFF23B" w14:textId="77777777" w:rsidR="00C1563E" w:rsidRDefault="000B648B">
      <w:r>
        <w:rPr>
          <w:rFonts w:ascii="Times New Roman" w:eastAsia="宋体" w:hAnsi="Times New Roman"/>
          <w:color w:val="000000"/>
          <w:sz w:val="20"/>
          <w:szCs w:val="20"/>
        </w:rPr>
        <w:t>Strategic investments in publicly-traded companies are recorded at fair value based on quoted prices in active markets. Strategi</w:t>
      </w:r>
      <w:r>
        <w:rPr>
          <w:rFonts w:ascii="Times New Roman" w:eastAsia="宋体" w:hAnsi="Times New Roman"/>
          <w:color w:val="000000"/>
          <w:sz w:val="20"/>
          <w:szCs w:val="20"/>
        </w:rPr>
        <w:t>c investments in privately-held companies without readily determinable fair values are recorded at cost, less impairment, and are adjusted for observable price changes. Fair value measurements and impairments for strategic investments are recognized in int</w:t>
      </w:r>
      <w:r>
        <w:rPr>
          <w:rFonts w:ascii="Times New Roman" w:eastAsia="宋体" w:hAnsi="Times New Roman"/>
          <w:color w:val="000000"/>
          <w:sz w:val="20"/>
          <w:szCs w:val="20"/>
        </w:rPr>
        <w:t xml:space="preserve">erest and other, net in the Consolidated Statements of Income (Loss). In evaluating equity investments without readily determinable fair values for impairment or observable price changes, the Company uses inputs that include pre- and post-money valuations </w:t>
      </w:r>
      <w:r>
        <w:rPr>
          <w:rFonts w:ascii="Times New Roman" w:eastAsia="宋体" w:hAnsi="Times New Roman"/>
          <w:color w:val="000000"/>
          <w:sz w:val="20"/>
          <w:szCs w:val="20"/>
        </w:rPr>
        <w:t xml:space="preserve">of recent financing events and the impact of those events on its fully diluted ownership percentages, as well as other available information regarding the issuer’s historical and forecasted performance. </w:t>
      </w:r>
    </w:p>
    <w:p w14:paraId="7DCFF23C" w14:textId="77777777" w:rsidR="00C1563E" w:rsidRDefault="00C1563E"/>
    <w:p w14:paraId="7DCFF23D" w14:textId="77777777" w:rsidR="00C1563E" w:rsidRDefault="000B648B">
      <w:r>
        <w:rPr>
          <w:rFonts w:ascii="Times New Roman" w:eastAsia="宋体" w:hAnsi="Times New Roman"/>
          <w:i/>
          <w:iCs/>
          <w:color w:val="000000"/>
          <w:sz w:val="20"/>
          <w:szCs w:val="20"/>
        </w:rPr>
        <w:t xml:space="preserve">Allowance for Expected Credit Losses </w:t>
      </w:r>
      <w:r>
        <w:rPr>
          <w:rFonts w:ascii="Times New Roman" w:eastAsia="宋体" w:hAnsi="Times New Roman"/>
          <w:color w:val="000000"/>
          <w:sz w:val="20"/>
          <w:szCs w:val="20"/>
        </w:rPr>
        <w:t xml:space="preserve">— The Company </w:t>
      </w:r>
      <w:r>
        <w:rPr>
          <w:rFonts w:ascii="Times New Roman" w:eastAsia="宋体" w:hAnsi="Times New Roman"/>
          <w:color w:val="000000"/>
          <w:sz w:val="20"/>
          <w:szCs w:val="20"/>
        </w:rPr>
        <w:t>recognizes an allowance for losses on accounts receivable in an amount equal to the current expected credit losses. The estimation of the allowance is based on an analysis of historical loss experience, current receivables aging, and management’s assessmen</w:t>
      </w:r>
      <w:r>
        <w:rPr>
          <w:rFonts w:ascii="Times New Roman" w:eastAsia="宋体" w:hAnsi="Times New Roman"/>
          <w:color w:val="000000"/>
          <w:sz w:val="20"/>
          <w:szCs w:val="20"/>
        </w:rPr>
        <w:t>t of current conditions and reasonable and supportable expectation of future conditions, as well as an assessment of specific identifiable customer accounts considered at risk or uncollectible. The Company assesses collectibility by pooling receivables whe</w:t>
      </w:r>
      <w:r>
        <w:rPr>
          <w:rFonts w:ascii="Times New Roman" w:eastAsia="宋体" w:hAnsi="Times New Roman"/>
          <w:color w:val="000000"/>
          <w:sz w:val="20"/>
          <w:szCs w:val="20"/>
        </w:rPr>
        <w:t>re similar characteristics exist and evaluates receivables individually when specific customer balances no longer share those risk characteristics and are considered at risk or uncollectible. The expense associated with the allowance for expected credit lo</w:t>
      </w:r>
      <w:r>
        <w:rPr>
          <w:rFonts w:ascii="Times New Roman" w:eastAsia="宋体" w:hAnsi="Times New Roman"/>
          <w:color w:val="000000"/>
          <w:sz w:val="20"/>
          <w:szCs w:val="20"/>
        </w:rPr>
        <w:t>sses is recognized in selling, general, and administrative expenses.</w:t>
      </w:r>
    </w:p>
    <w:p w14:paraId="7DCFF23E" w14:textId="77777777" w:rsidR="00C1563E" w:rsidRDefault="00C1563E"/>
    <w:p w14:paraId="7DCFF23F" w14:textId="77777777" w:rsidR="00C1563E" w:rsidRDefault="000B648B">
      <w:r>
        <w:rPr>
          <w:rFonts w:ascii="Times New Roman" w:eastAsia="宋体" w:hAnsi="Times New Roman"/>
          <w:color w:val="000000"/>
          <w:sz w:val="20"/>
          <w:szCs w:val="20"/>
        </w:rPr>
        <w:t>The Company’s policy for estimating this allowance is based on an expected loss model and reflects the adoption of the new accounting standard related to current expected credit losses i</w:t>
      </w:r>
      <w:r>
        <w:rPr>
          <w:rFonts w:ascii="Times New Roman" w:eastAsia="宋体" w:hAnsi="Times New Roman"/>
          <w:color w:val="000000"/>
          <w:sz w:val="20"/>
          <w:szCs w:val="20"/>
        </w:rPr>
        <w:t>n the most recent fiscal year. See “Recently Adopted Accounting Pronouncements” in this Note 2 for more information. In prior periods, this allowance was estimated using an incurred loss model, which did not require the consideration of forward-looking inf</w:t>
      </w:r>
      <w:r>
        <w:rPr>
          <w:rFonts w:ascii="Times New Roman" w:eastAsia="宋体" w:hAnsi="Times New Roman"/>
          <w:color w:val="000000"/>
          <w:sz w:val="20"/>
          <w:szCs w:val="20"/>
        </w:rPr>
        <w:t>ormation and conditions in the reserve calculation.</w:t>
      </w:r>
    </w:p>
    <w:p w14:paraId="7DCFF240" w14:textId="77777777" w:rsidR="00C1563E" w:rsidRDefault="00C1563E">
      <w:pPr>
        <w:jc w:val="center"/>
      </w:pPr>
    </w:p>
    <w:p w14:paraId="7DCFF241" w14:textId="77777777" w:rsidR="00C1563E" w:rsidRDefault="000B648B">
      <w:pPr>
        <w:jc w:val="center"/>
      </w:pPr>
      <w:r>
        <w:rPr>
          <w:rFonts w:ascii="Times New Roman" w:eastAsia="宋体" w:hAnsi="Times New Roman"/>
          <w:color w:val="000000"/>
          <w:sz w:val="20"/>
          <w:szCs w:val="20"/>
        </w:rPr>
        <w:t>83</w:t>
      </w:r>
    </w:p>
    <w:p w14:paraId="7DCFF242" w14:textId="77777777" w:rsidR="00C1563E" w:rsidRDefault="00C1563E">
      <w:pPr>
        <w:jc w:val="center"/>
      </w:pPr>
    </w:p>
    <w:p w14:paraId="7DCFF243" w14:textId="77777777" w:rsidR="00C1563E" w:rsidRDefault="000B648B">
      <w:r>
        <w:pict w14:anchorId="7DD025BD">
          <v:rect id="_x0000_i1107" style="width:415.3pt;height:1.5pt" o:hralign="center" o:hrstd="t" o:hr="t" fillcolor="#a0a0a0" stroked="f"/>
        </w:pict>
      </w:r>
    </w:p>
    <w:p w14:paraId="7DCFF244" w14:textId="77777777" w:rsidR="00C1563E" w:rsidRDefault="000B648B">
      <w:hyperlink r:id="rId244" w:anchor="i418e32e4a35149ffbf7d3a25d66881b8_10" w:history="1">
        <w:r>
          <w:rPr>
            <w:rStyle w:val="a5"/>
            <w:rFonts w:ascii="Times New Roman" w:eastAsia="宋体" w:hAnsi="Times New Roman"/>
            <w:sz w:val="20"/>
            <w:szCs w:val="20"/>
          </w:rPr>
          <w:t>T</w:t>
        </w:r>
      </w:hyperlink>
      <w:hyperlink r:id="rId245" w:anchor="i418e32e4a35149ffbf7d3a25d66881b8_10" w:history="1">
        <w:r>
          <w:rPr>
            <w:rStyle w:val="a5"/>
            <w:rFonts w:ascii="Times New Roman" w:eastAsia="宋体" w:hAnsi="Times New Roman"/>
            <w:sz w:val="20"/>
            <w:szCs w:val="20"/>
          </w:rPr>
          <w:t xml:space="preserve">able of </w:t>
        </w:r>
      </w:hyperlink>
      <w:hyperlink r:id="rId246" w:anchor="i418e32e4a35149ffbf7d3a25d66881b8_10" w:history="1">
        <w:r>
          <w:rPr>
            <w:rStyle w:val="a5"/>
            <w:rFonts w:ascii="Times New Roman" w:eastAsia="宋体" w:hAnsi="Times New Roman"/>
            <w:sz w:val="20"/>
            <w:szCs w:val="20"/>
          </w:rPr>
          <w:t>Contents</w:t>
        </w:r>
      </w:hyperlink>
    </w:p>
    <w:p w14:paraId="7DCFF245" w14:textId="77777777" w:rsidR="00C1563E" w:rsidRDefault="00C1563E"/>
    <w:p w14:paraId="7DCFF246" w14:textId="77777777" w:rsidR="00C1563E" w:rsidRDefault="000B648B">
      <w:r>
        <w:rPr>
          <w:rFonts w:ascii="Times New Roman" w:eastAsia="宋体" w:hAnsi="Times New Roman"/>
          <w:i/>
          <w:iCs/>
          <w:color w:val="000000"/>
          <w:sz w:val="20"/>
          <w:szCs w:val="20"/>
        </w:rPr>
        <w:t xml:space="preserve">Accounting for Operating Leases as a Lessee — </w:t>
      </w:r>
      <w:r>
        <w:rPr>
          <w:rFonts w:ascii="Times New Roman" w:eastAsia="宋体" w:hAnsi="Times New Roman"/>
          <w:color w:val="000000"/>
          <w:sz w:val="20"/>
          <w:szCs w:val="20"/>
        </w:rPr>
        <w:t>In its ordinary course of business, the Compan</w:t>
      </w:r>
      <w:r>
        <w:rPr>
          <w:rFonts w:ascii="Times New Roman" w:eastAsia="宋体" w:hAnsi="Times New Roman"/>
          <w:color w:val="000000"/>
          <w:sz w:val="20"/>
          <w:szCs w:val="20"/>
        </w:rPr>
        <w:t>y enters into leases as a lessee for office buildings, warehouses, employee vehicles, and equipment. The Company determines if an arrangement is a lease or contains a lease at inception. Operating leases result in the recognition of right of use (“ROU”) as</w:t>
      </w:r>
      <w:r>
        <w:rPr>
          <w:rFonts w:ascii="Times New Roman" w:eastAsia="宋体" w:hAnsi="Times New Roman"/>
          <w:color w:val="000000"/>
          <w:sz w:val="20"/>
          <w:szCs w:val="20"/>
        </w:rPr>
        <w:t>sets and lease liabilities on the Consolidated Statements of Financial Position. ROU assets represent the right to use an underlying asset for the lease term and lease liabilities represent the obligation to make lease payments arising from the lease, meas</w:t>
      </w:r>
      <w:r>
        <w:rPr>
          <w:rFonts w:ascii="Times New Roman" w:eastAsia="宋体" w:hAnsi="Times New Roman"/>
          <w:color w:val="000000"/>
          <w:sz w:val="20"/>
          <w:szCs w:val="20"/>
        </w:rPr>
        <w:t>ured on a discounted basis. At lease inception, the lease liability is measured at the present value of the lease payments over the lease term. The operating lease ROU asset equals the lease liability adjusted for any initial direct costs, prepaid or defer</w:t>
      </w:r>
      <w:r>
        <w:rPr>
          <w:rFonts w:ascii="Times New Roman" w:eastAsia="宋体" w:hAnsi="Times New Roman"/>
          <w:color w:val="000000"/>
          <w:sz w:val="20"/>
          <w:szCs w:val="20"/>
        </w:rPr>
        <w:t>red rent, and lease incentives. The Company uses the implicit rate when readily determinable. As most of the leases do not provide an implicit rate, the Company uses its incremental borrowing rate based on the information available at the commencement date</w:t>
      </w:r>
      <w:r>
        <w:rPr>
          <w:rFonts w:ascii="Times New Roman" w:eastAsia="宋体" w:hAnsi="Times New Roman"/>
          <w:color w:val="000000"/>
          <w:sz w:val="20"/>
          <w:szCs w:val="20"/>
        </w:rPr>
        <w:t xml:space="preserve"> to determine the present value of lease payments. Incremental borrowing rates used to determine the present value of lease payments were derived by reference to the Company’s secured-debt yields corresponding to the lease commencement date.</w:t>
      </w:r>
    </w:p>
    <w:p w14:paraId="7DCFF247" w14:textId="77777777" w:rsidR="00C1563E" w:rsidRDefault="00C1563E"/>
    <w:p w14:paraId="7DCFF248" w14:textId="77777777" w:rsidR="00C1563E" w:rsidRDefault="000B648B">
      <w:r>
        <w:rPr>
          <w:rFonts w:ascii="Times New Roman" w:eastAsia="宋体" w:hAnsi="Times New Roman"/>
          <w:color w:val="000000"/>
          <w:sz w:val="20"/>
          <w:szCs w:val="20"/>
        </w:rPr>
        <w:t>The lease ter</w:t>
      </w:r>
      <w:r>
        <w:rPr>
          <w:rFonts w:ascii="Times New Roman" w:eastAsia="宋体" w:hAnsi="Times New Roman"/>
          <w:color w:val="000000"/>
          <w:sz w:val="20"/>
          <w:szCs w:val="20"/>
        </w:rPr>
        <w:t>m may include options to extend or to terminate the lease that the Company is reasonably certain to exercise. Lease expense is recognized on a straight-line basis over the lease term in most instances. The Company has elected not to record leases with an i</w:t>
      </w:r>
      <w:r>
        <w:rPr>
          <w:rFonts w:ascii="Times New Roman" w:eastAsia="宋体" w:hAnsi="Times New Roman"/>
          <w:color w:val="000000"/>
          <w:sz w:val="20"/>
          <w:szCs w:val="20"/>
        </w:rPr>
        <w:t>nitial term of 12 months or less on the Consolidated Statements of Financial Position. Lease expense on such leases is recognized on a straight-line basis over the lease term. The Company does not generate material sublease income and has no material relat</w:t>
      </w:r>
      <w:r>
        <w:rPr>
          <w:rFonts w:ascii="Times New Roman" w:eastAsia="宋体" w:hAnsi="Times New Roman"/>
          <w:color w:val="000000"/>
          <w:sz w:val="20"/>
          <w:szCs w:val="20"/>
        </w:rPr>
        <w:t>ed party leases. The Company’s lease agreements do not contain any material residual value guarantees or material restrictive covenants.</w:t>
      </w:r>
    </w:p>
    <w:p w14:paraId="7DCFF249" w14:textId="77777777" w:rsidR="00C1563E" w:rsidRDefault="00C1563E"/>
    <w:p w14:paraId="7DCFF24A" w14:textId="77777777" w:rsidR="00C1563E" w:rsidRDefault="000B648B">
      <w:r>
        <w:rPr>
          <w:rFonts w:ascii="Times New Roman" w:eastAsia="宋体" w:hAnsi="Times New Roman"/>
          <w:color w:val="000000"/>
          <w:sz w:val="20"/>
          <w:szCs w:val="20"/>
        </w:rPr>
        <w:t xml:space="preserve">The Company’s office building agreements contain costs such as common area maintenance and other executory costs that </w:t>
      </w:r>
      <w:r>
        <w:rPr>
          <w:rFonts w:ascii="Times New Roman" w:eastAsia="宋体" w:hAnsi="Times New Roman"/>
          <w:color w:val="000000"/>
          <w:sz w:val="20"/>
          <w:szCs w:val="20"/>
        </w:rPr>
        <w:t>are variable in nature. Variable lease costs are expensed as incurred. The Company combines lease and non-lease components, such as common area and other maintenance costs, in calculating the ROU assets and lease liabilities for its office buildings and em</w:t>
      </w:r>
      <w:r>
        <w:rPr>
          <w:rFonts w:ascii="Times New Roman" w:eastAsia="宋体" w:hAnsi="Times New Roman"/>
          <w:color w:val="000000"/>
          <w:sz w:val="20"/>
          <w:szCs w:val="20"/>
        </w:rPr>
        <w:t>ployee vehicles. Under certain service agreements with third-party logistics providers, the Company directs the use of the inventory within the warehouses and, therefore, controls the assets. The warehouses and some of the equipment used are considered emb</w:t>
      </w:r>
      <w:r>
        <w:rPr>
          <w:rFonts w:ascii="Times New Roman" w:eastAsia="宋体" w:hAnsi="Times New Roman"/>
          <w:color w:val="000000"/>
          <w:sz w:val="20"/>
          <w:szCs w:val="20"/>
        </w:rPr>
        <w:t>edded leases. The Company accounts for the lease and non-lease components separately. The lease components consist of the warehouses and some of the equipment, such as conveyor belts. The non-lease components consist of services and other shared equipment,</w:t>
      </w:r>
      <w:r>
        <w:rPr>
          <w:rFonts w:ascii="Times New Roman" w:eastAsia="宋体" w:hAnsi="Times New Roman"/>
          <w:color w:val="000000"/>
          <w:sz w:val="20"/>
          <w:szCs w:val="20"/>
        </w:rPr>
        <w:t xml:space="preserve"> such as material handling and transportation. The Company allocates the consideration to the lease and non-lease components using their relative standalone values. See Note 5 of the Notes to the Consolidated Financial Statements for additional information</w:t>
      </w:r>
      <w:r>
        <w:rPr>
          <w:rFonts w:ascii="Times New Roman" w:eastAsia="宋体" w:hAnsi="Times New Roman"/>
          <w:color w:val="000000"/>
          <w:sz w:val="20"/>
          <w:szCs w:val="20"/>
        </w:rPr>
        <w:t>.</w:t>
      </w:r>
    </w:p>
    <w:p w14:paraId="7DCFF24B" w14:textId="77777777" w:rsidR="00C1563E" w:rsidRDefault="00C1563E"/>
    <w:p w14:paraId="7DCFF24C" w14:textId="77777777" w:rsidR="00C1563E" w:rsidRDefault="000B648B">
      <w:r>
        <w:rPr>
          <w:rFonts w:ascii="Times New Roman" w:eastAsia="宋体" w:hAnsi="Times New Roman"/>
          <w:i/>
          <w:iCs/>
          <w:color w:val="000000"/>
          <w:sz w:val="20"/>
          <w:szCs w:val="20"/>
        </w:rPr>
        <w:t xml:space="preserve">Accounting for Leases as a Lessor — </w:t>
      </w:r>
      <w:r>
        <w:rPr>
          <w:rFonts w:ascii="Times New Roman" w:eastAsia="宋体" w:hAnsi="Times New Roman"/>
          <w:color w:val="000000"/>
          <w:sz w:val="20"/>
          <w:szCs w:val="20"/>
        </w:rPr>
        <w:t>The Company’s wholly-owned subsidiary Dell Financial Services and its affiliates (“DFS”) act as a lessor to provide equipment financing to customers through a variety of lease arrangements (“DFS leases”). Subsequent t</w:t>
      </w:r>
      <w:r>
        <w:rPr>
          <w:rFonts w:ascii="Times New Roman" w:eastAsia="宋体" w:hAnsi="Times New Roman"/>
          <w:color w:val="000000"/>
          <w:sz w:val="20"/>
          <w:szCs w:val="20"/>
        </w:rPr>
        <w:t>o the adoption of amended accounting guidance for leasing transactions (the “current lease standard”), new DFS leases are classified as sales-type leases, direct financing leases, or operating leases. Direct financing leases under the current lease standar</w:t>
      </w:r>
      <w:r>
        <w:rPr>
          <w:rFonts w:ascii="Times New Roman" w:eastAsia="宋体" w:hAnsi="Times New Roman"/>
          <w:color w:val="000000"/>
          <w:sz w:val="20"/>
          <w:szCs w:val="20"/>
        </w:rPr>
        <w:t xml:space="preserve">d are immaterial. Leases that commenced prior to the adoption of the current lease standard were not reassessed or restated pursuant to the practical expedients elected and continue to be accounted for under previous lease accounting guidance. </w:t>
      </w:r>
    </w:p>
    <w:p w14:paraId="7DCFF24D" w14:textId="77777777" w:rsidR="00C1563E" w:rsidRDefault="00C1563E"/>
    <w:p w14:paraId="7DCFF24E" w14:textId="77777777" w:rsidR="00C1563E" w:rsidRDefault="000B648B">
      <w:r>
        <w:rPr>
          <w:rFonts w:ascii="Times New Roman" w:eastAsia="宋体" w:hAnsi="Times New Roman"/>
          <w:color w:val="000000"/>
          <w:sz w:val="20"/>
          <w:szCs w:val="20"/>
        </w:rPr>
        <w:t>The Compan</w:t>
      </w:r>
      <w:r>
        <w:rPr>
          <w:rFonts w:ascii="Times New Roman" w:eastAsia="宋体" w:hAnsi="Times New Roman"/>
          <w:color w:val="000000"/>
          <w:sz w:val="20"/>
          <w:szCs w:val="20"/>
        </w:rPr>
        <w:t>y also offers alternative payment structures and “as-a-service” offerings that are assessed to determine whether an embedded lease arrangement exists. The Company accounts for those contracts as a lease arrangement under the current lease standard if it is</w:t>
      </w:r>
      <w:r>
        <w:rPr>
          <w:rFonts w:ascii="Times New Roman" w:eastAsia="宋体" w:hAnsi="Times New Roman"/>
          <w:color w:val="000000"/>
          <w:sz w:val="20"/>
          <w:szCs w:val="20"/>
        </w:rPr>
        <w:t xml:space="preserve"> determined that the contract contains an identified asset and that control of that asset has transferred to the customer. </w:t>
      </w:r>
    </w:p>
    <w:p w14:paraId="7DCFF24F" w14:textId="77777777" w:rsidR="00C1563E" w:rsidRDefault="00C1563E"/>
    <w:p w14:paraId="7DCFF250" w14:textId="77777777" w:rsidR="00C1563E" w:rsidRDefault="000B648B">
      <w:r>
        <w:rPr>
          <w:rFonts w:ascii="Times New Roman" w:eastAsia="宋体" w:hAnsi="Times New Roman"/>
          <w:color w:val="000000"/>
          <w:sz w:val="20"/>
          <w:szCs w:val="20"/>
        </w:rPr>
        <w:t>When a contract includes lease and non-lease components, the Company allocates consideration under the contract to each component b</w:t>
      </w:r>
      <w:r>
        <w:rPr>
          <w:rFonts w:ascii="Times New Roman" w:eastAsia="宋体" w:hAnsi="Times New Roman"/>
          <w:color w:val="000000"/>
          <w:sz w:val="20"/>
          <w:szCs w:val="20"/>
        </w:rPr>
        <w:t>ased on relative standalone selling price and subsequently assesses lease classification for each lease component within a contract. DFS provides lessees with the option to extend the lease or purchase the underlying asset at the end of the lease term, whi</w:t>
      </w:r>
      <w:r>
        <w:rPr>
          <w:rFonts w:ascii="Times New Roman" w:eastAsia="宋体" w:hAnsi="Times New Roman"/>
          <w:color w:val="000000"/>
          <w:sz w:val="20"/>
          <w:szCs w:val="20"/>
        </w:rPr>
        <w:t>ch is considered when evaluating lease classification. In general, DFS’s lease arrangements do not have variable payment terms and are typically non-cancelable.</w:t>
      </w:r>
    </w:p>
    <w:p w14:paraId="7DCFF251" w14:textId="77777777" w:rsidR="00C1563E" w:rsidRDefault="00C1563E"/>
    <w:p w14:paraId="7DCFF252" w14:textId="77777777" w:rsidR="00C1563E" w:rsidRDefault="000B648B">
      <w:r>
        <w:rPr>
          <w:rFonts w:ascii="Times New Roman" w:eastAsia="宋体" w:hAnsi="Times New Roman"/>
          <w:color w:val="000000"/>
          <w:sz w:val="20"/>
          <w:szCs w:val="20"/>
        </w:rPr>
        <w:t xml:space="preserve">On commencement of sales-type leases, the Company recognizes profit up-front, and amounts due </w:t>
      </w:r>
      <w:r>
        <w:rPr>
          <w:rFonts w:ascii="Times New Roman" w:eastAsia="宋体" w:hAnsi="Times New Roman"/>
          <w:color w:val="000000"/>
          <w:sz w:val="20"/>
          <w:szCs w:val="20"/>
        </w:rPr>
        <w:t>from the customer under the lease contract are recognized as financing receivables on the Consolidated Statements of Financial Position. Interest income is recognized as Net revenue over the term of the lease based on the effective interest method. The Com</w:t>
      </w:r>
      <w:r>
        <w:rPr>
          <w:rFonts w:ascii="Times New Roman" w:eastAsia="宋体" w:hAnsi="Times New Roman"/>
          <w:color w:val="000000"/>
          <w:sz w:val="20"/>
          <w:szCs w:val="20"/>
        </w:rPr>
        <w:t xml:space="preserve">pany has elected not to include sales and other taxes collected from the lessee as part of lease revenue. </w:t>
      </w:r>
    </w:p>
    <w:p w14:paraId="7DCFF253" w14:textId="77777777" w:rsidR="00C1563E" w:rsidRDefault="00C1563E"/>
    <w:p w14:paraId="7DCFF254" w14:textId="77777777" w:rsidR="00C1563E" w:rsidRDefault="00C1563E">
      <w:pPr>
        <w:jc w:val="center"/>
      </w:pPr>
    </w:p>
    <w:p w14:paraId="7DCFF255" w14:textId="77777777" w:rsidR="00C1563E" w:rsidRDefault="000B648B">
      <w:pPr>
        <w:jc w:val="center"/>
      </w:pPr>
      <w:r>
        <w:rPr>
          <w:rFonts w:ascii="Times New Roman" w:eastAsia="宋体" w:hAnsi="Times New Roman"/>
          <w:color w:val="000000"/>
          <w:sz w:val="20"/>
          <w:szCs w:val="20"/>
        </w:rPr>
        <w:t>84</w:t>
      </w:r>
    </w:p>
    <w:p w14:paraId="7DCFF256" w14:textId="77777777" w:rsidR="00C1563E" w:rsidRDefault="00C1563E">
      <w:pPr>
        <w:jc w:val="center"/>
      </w:pPr>
    </w:p>
    <w:p w14:paraId="7DCFF257" w14:textId="77777777" w:rsidR="00C1563E" w:rsidRDefault="000B648B">
      <w:r>
        <w:pict w14:anchorId="7DD025BE">
          <v:rect id="_x0000_i1108" style="width:415.3pt;height:1.5pt" o:hralign="center" o:hrstd="t" o:hr="t" fillcolor="#a0a0a0" stroked="f"/>
        </w:pict>
      </w:r>
    </w:p>
    <w:p w14:paraId="7DCFF258" w14:textId="77777777" w:rsidR="00C1563E" w:rsidRDefault="000B648B">
      <w:hyperlink r:id="rId247" w:anchor="i418e32e4a35149ffbf7d3a25d66881b8_10" w:history="1">
        <w:r>
          <w:rPr>
            <w:rStyle w:val="a5"/>
            <w:rFonts w:ascii="Times New Roman" w:eastAsia="宋体" w:hAnsi="Times New Roman"/>
            <w:sz w:val="20"/>
            <w:szCs w:val="20"/>
          </w:rPr>
          <w:t>T</w:t>
        </w:r>
      </w:hyperlink>
      <w:hyperlink r:id="rId248" w:anchor="i418e32e4a35149ffbf7d3a25d66881b8_10" w:history="1">
        <w:r>
          <w:rPr>
            <w:rStyle w:val="a5"/>
            <w:rFonts w:ascii="Times New Roman" w:eastAsia="宋体" w:hAnsi="Times New Roman"/>
            <w:sz w:val="20"/>
            <w:szCs w:val="20"/>
          </w:rPr>
          <w:t xml:space="preserve">able of </w:t>
        </w:r>
      </w:hyperlink>
      <w:hyperlink r:id="rId249" w:anchor="i418e32e4a35149ffbf7d3a25d66881b8_10" w:history="1">
        <w:r>
          <w:rPr>
            <w:rStyle w:val="a5"/>
            <w:rFonts w:ascii="Times New Roman" w:eastAsia="宋体" w:hAnsi="Times New Roman"/>
            <w:sz w:val="20"/>
            <w:szCs w:val="20"/>
          </w:rPr>
          <w:t>Contents</w:t>
        </w:r>
      </w:hyperlink>
    </w:p>
    <w:p w14:paraId="7DCFF259" w14:textId="77777777" w:rsidR="00C1563E" w:rsidRDefault="000B648B">
      <w:r>
        <w:rPr>
          <w:rFonts w:ascii="Times New Roman" w:eastAsia="宋体" w:hAnsi="Times New Roman"/>
          <w:color w:val="000000"/>
          <w:sz w:val="20"/>
          <w:szCs w:val="20"/>
        </w:rPr>
        <w:t>All other leases that do not mee</w:t>
      </w:r>
      <w:r>
        <w:rPr>
          <w:rFonts w:ascii="Times New Roman" w:eastAsia="宋体" w:hAnsi="Times New Roman"/>
          <w:color w:val="000000"/>
          <w:sz w:val="20"/>
          <w:szCs w:val="20"/>
        </w:rPr>
        <w:t>t the definition of a sales-type lease or direct financing lease are classified as operating leases. The underlying asset in an operating lease arrangement is carried at depreciated cost as “Equipment under operating leases” within Property, plant, and equ</w:t>
      </w:r>
      <w:r>
        <w:rPr>
          <w:rFonts w:ascii="Times New Roman" w:eastAsia="宋体" w:hAnsi="Times New Roman"/>
          <w:color w:val="000000"/>
          <w:sz w:val="20"/>
          <w:szCs w:val="20"/>
        </w:rPr>
        <w:t xml:space="preserve">ipment, net on the Consolidated Statements of Financial Position. Depreciation is calculated using the straight-line method over the term of the underlying lease contract and is recognized as Cost of net revenue. The depreciable basis is the original cost </w:t>
      </w:r>
      <w:r>
        <w:rPr>
          <w:rFonts w:ascii="Times New Roman" w:eastAsia="宋体" w:hAnsi="Times New Roman"/>
          <w:color w:val="000000"/>
          <w:sz w:val="20"/>
          <w:szCs w:val="20"/>
        </w:rPr>
        <w:t>of the equipment less the estimated residual value of the equipment at the end of the lease term. The residual value is based upon estimates of the value of the equipment at the end of the lease term using historical studies, industry data, and future valu</w:t>
      </w:r>
      <w:r>
        <w:rPr>
          <w:rFonts w:ascii="Times New Roman" w:eastAsia="宋体" w:hAnsi="Times New Roman"/>
          <w:color w:val="000000"/>
          <w:sz w:val="20"/>
          <w:szCs w:val="20"/>
        </w:rPr>
        <w:t>e-at-risk demand valuation methods. The Company recognizes operating lease income to product revenue on a straight-line basis over the lease term and expenses deferred initial direct costs on the same basis. Impairment of equipment under operating leases i</w:t>
      </w:r>
      <w:r>
        <w:rPr>
          <w:rFonts w:ascii="Times New Roman" w:eastAsia="宋体" w:hAnsi="Times New Roman"/>
          <w:color w:val="000000"/>
          <w:sz w:val="20"/>
          <w:szCs w:val="20"/>
        </w:rPr>
        <w:t>s assessed on the same basis as other long-lived assets.</w:t>
      </w:r>
    </w:p>
    <w:p w14:paraId="7DCFF25A" w14:textId="77777777" w:rsidR="00C1563E" w:rsidRDefault="00C1563E"/>
    <w:p w14:paraId="7DCFF25B" w14:textId="77777777" w:rsidR="00C1563E" w:rsidRDefault="000B648B">
      <w:r>
        <w:rPr>
          <w:rFonts w:ascii="Times New Roman" w:eastAsia="宋体" w:hAnsi="Times New Roman"/>
          <w:color w:val="000000"/>
          <w:sz w:val="20"/>
          <w:szCs w:val="20"/>
        </w:rPr>
        <w:t>See Note 4 of the Notes to the Consolidated Financial Statements for more information regarding the Company’s lessor arrangements.</w:t>
      </w:r>
    </w:p>
    <w:p w14:paraId="7DCFF25C" w14:textId="77777777" w:rsidR="00C1563E" w:rsidRDefault="00C1563E"/>
    <w:p w14:paraId="7DCFF25D" w14:textId="77777777" w:rsidR="00C1563E" w:rsidRDefault="000B648B">
      <w:r>
        <w:rPr>
          <w:rFonts w:ascii="Times New Roman" w:eastAsia="宋体" w:hAnsi="Times New Roman"/>
          <w:i/>
          <w:iCs/>
          <w:color w:val="000000"/>
          <w:sz w:val="20"/>
          <w:szCs w:val="20"/>
        </w:rPr>
        <w:t xml:space="preserve">Financing Receivables </w:t>
      </w:r>
      <w:r>
        <w:rPr>
          <w:rFonts w:ascii="Times New Roman" w:eastAsia="宋体" w:hAnsi="Times New Roman"/>
          <w:color w:val="000000"/>
          <w:sz w:val="20"/>
          <w:szCs w:val="20"/>
        </w:rPr>
        <w:t>— Financing receivables are presented net of</w:t>
      </w:r>
      <w:r>
        <w:rPr>
          <w:rFonts w:ascii="Times New Roman" w:eastAsia="宋体" w:hAnsi="Times New Roman"/>
          <w:color w:val="000000"/>
          <w:sz w:val="20"/>
          <w:szCs w:val="20"/>
        </w:rPr>
        <w:t xml:space="preserve"> allowance for losses and consist of customer receivables and residual interest. Gross customer receivables includes amounts due from customers under revolving loans, fixed-term loans, fixed-term sales-type or direct financing leases, and accrued interest.</w:t>
      </w:r>
      <w:r>
        <w:rPr>
          <w:rFonts w:ascii="Times New Roman" w:eastAsia="宋体" w:hAnsi="Times New Roman"/>
          <w:color w:val="000000"/>
          <w:sz w:val="20"/>
          <w:szCs w:val="20"/>
        </w:rPr>
        <w:t xml:space="preserve"> The Company has two portfolios, consisting of (i) fixed-term leases and loans and (ii) revolving loans, and assesses risk at the portfolio level to determine the appropriate allowance levels. The portfolio segments are further segregated into classes base</w:t>
      </w:r>
      <w:r>
        <w:rPr>
          <w:rFonts w:ascii="Times New Roman" w:eastAsia="宋体" w:hAnsi="Times New Roman"/>
          <w:color w:val="000000"/>
          <w:sz w:val="20"/>
          <w:szCs w:val="20"/>
        </w:rPr>
        <w:t>d on products, customer type, and credit risk evaluation: (i) Revolving — Dell Preferred Account (“DPA”); (ii) Revolving — Dell Business Credit (“DBC”); and (iii) Fixed-term — Consumer and Commercial. Fixed-term leases and loans are offered to qualified sm</w:t>
      </w:r>
      <w:r>
        <w:rPr>
          <w:rFonts w:ascii="Times New Roman" w:eastAsia="宋体" w:hAnsi="Times New Roman"/>
          <w:color w:val="000000"/>
          <w:sz w:val="20"/>
          <w:szCs w:val="20"/>
        </w:rPr>
        <w:t>all and medium-sized businesses, large commercial accounts, governmental organizations, and educational entities. Fixed-term loans are also offered to qualified individual consumers. Revolving loans are offered under private label credit financing programs</w:t>
      </w:r>
      <w:r>
        <w:rPr>
          <w:rFonts w:ascii="Times New Roman" w:eastAsia="宋体" w:hAnsi="Times New Roman"/>
          <w:color w:val="000000"/>
          <w:sz w:val="20"/>
          <w:szCs w:val="20"/>
        </w:rPr>
        <w:t>. The DPA revolving loan programs are primarily offered to individual consumers and the DBC revolving loan programs are primarily offered to small and medium-sized business customers.</w:t>
      </w:r>
    </w:p>
    <w:p w14:paraId="7DCFF25E" w14:textId="77777777" w:rsidR="00C1563E" w:rsidRDefault="00C1563E"/>
    <w:p w14:paraId="7DCFF25F" w14:textId="77777777" w:rsidR="00C1563E" w:rsidRDefault="000B648B">
      <w:r>
        <w:rPr>
          <w:rFonts w:ascii="Times New Roman" w:eastAsia="宋体" w:hAnsi="Times New Roman"/>
          <w:color w:val="000000"/>
          <w:sz w:val="20"/>
          <w:szCs w:val="20"/>
        </w:rPr>
        <w:t>The Company retains a residual interest in equipment leased under its f</w:t>
      </w:r>
      <w:r>
        <w:rPr>
          <w:rFonts w:ascii="Times New Roman" w:eastAsia="宋体" w:hAnsi="Times New Roman"/>
          <w:color w:val="000000"/>
          <w:sz w:val="20"/>
          <w:szCs w:val="20"/>
        </w:rPr>
        <w:t>ixed-term lease programs. The amount of the residual interest is established at the inception of the lease based upon estimates of the value of the equipment at the end of the lease term using historical studies, industry data, and future value-at-risk dem</w:t>
      </w:r>
      <w:r>
        <w:rPr>
          <w:rFonts w:ascii="Times New Roman" w:eastAsia="宋体" w:hAnsi="Times New Roman"/>
          <w:color w:val="000000"/>
          <w:sz w:val="20"/>
          <w:szCs w:val="20"/>
        </w:rPr>
        <w:t>and valuation methods.</w:t>
      </w:r>
    </w:p>
    <w:p w14:paraId="7DCFF260" w14:textId="77777777" w:rsidR="00C1563E" w:rsidRDefault="00C1563E"/>
    <w:p w14:paraId="7DCFF261" w14:textId="77777777" w:rsidR="00C1563E" w:rsidRDefault="000B648B">
      <w:r>
        <w:rPr>
          <w:rFonts w:ascii="Times New Roman" w:eastAsia="宋体" w:hAnsi="Times New Roman"/>
          <w:i/>
          <w:iCs/>
          <w:color w:val="000000"/>
          <w:sz w:val="20"/>
          <w:szCs w:val="20"/>
        </w:rPr>
        <w:t xml:space="preserve">Allowance for Financing Receivables Losses </w:t>
      </w:r>
      <w:r>
        <w:rPr>
          <w:rFonts w:ascii="Times New Roman" w:eastAsia="宋体" w:hAnsi="Times New Roman"/>
          <w:color w:val="000000"/>
          <w:sz w:val="20"/>
          <w:szCs w:val="20"/>
        </w:rPr>
        <w:t>— The Company recognizes an allowance for losses on financing receivables, including both the lease receivable and unguaranteed residual, in an amount equal to the probable losses net of re</w:t>
      </w:r>
      <w:r>
        <w:rPr>
          <w:rFonts w:ascii="Times New Roman" w:eastAsia="宋体" w:hAnsi="Times New Roman"/>
          <w:color w:val="000000"/>
          <w:sz w:val="20"/>
          <w:szCs w:val="20"/>
        </w:rPr>
        <w:t>coveries. The allowance for losses on the lease receivable is determined based on various factors, including lifetime expected losses determined using macroeconomic forecast assumptions and management judgments applicable to and through the expected life o</w:t>
      </w:r>
      <w:r>
        <w:rPr>
          <w:rFonts w:ascii="Times New Roman" w:eastAsia="宋体" w:hAnsi="Times New Roman"/>
          <w:color w:val="000000"/>
          <w:sz w:val="20"/>
          <w:szCs w:val="20"/>
        </w:rPr>
        <w:t>f the portfolios as well as past due receivables, receivable type, and customer risk profile. Both fixed and revolving receivable loss rates are affected by macroeconomic conditions, including the level of gross domestic product (“GDP”) growth, the level o</w:t>
      </w:r>
      <w:r>
        <w:rPr>
          <w:rFonts w:ascii="Times New Roman" w:eastAsia="宋体" w:hAnsi="Times New Roman"/>
          <w:color w:val="000000"/>
          <w:sz w:val="20"/>
          <w:szCs w:val="20"/>
        </w:rPr>
        <w:t xml:space="preserve">f commercial capital equipment investment, unemployment rates, and the credit quality of the borrower. </w:t>
      </w:r>
    </w:p>
    <w:p w14:paraId="7DCFF262" w14:textId="77777777" w:rsidR="00C1563E" w:rsidRDefault="00C1563E"/>
    <w:p w14:paraId="7DCFF263" w14:textId="77777777" w:rsidR="00C1563E" w:rsidRDefault="000B648B">
      <w:r>
        <w:rPr>
          <w:rFonts w:ascii="Times New Roman" w:eastAsia="宋体" w:hAnsi="Times New Roman"/>
          <w:color w:val="000000"/>
          <w:sz w:val="20"/>
          <w:szCs w:val="20"/>
        </w:rPr>
        <w:t>Generally, expected credit losses as a result of residual value risk on equipment under lease are not considered to be significant primarily because of</w:t>
      </w:r>
      <w:r>
        <w:rPr>
          <w:rFonts w:ascii="Times New Roman" w:eastAsia="宋体" w:hAnsi="Times New Roman"/>
          <w:color w:val="000000"/>
          <w:sz w:val="20"/>
          <w:szCs w:val="20"/>
        </w:rPr>
        <w:t xml:space="preserve"> the existence of a secondary market with respect to the equipment. The lease agreement also clearly defines applicable return conditions and remedies for non-compliance, to ensure that the leased equipment will be in good operating condition upon return. </w:t>
      </w:r>
      <w:r>
        <w:rPr>
          <w:rFonts w:ascii="Times New Roman" w:eastAsia="宋体" w:hAnsi="Times New Roman"/>
          <w:color w:val="000000"/>
          <w:sz w:val="20"/>
          <w:szCs w:val="20"/>
        </w:rPr>
        <w:t>Model changes and updates, as well as market strength and product acceptance, are monitored and adjustments are made to residual values in accordance with the significance of any such changes.</w:t>
      </w:r>
    </w:p>
    <w:p w14:paraId="7DCFF264" w14:textId="77777777" w:rsidR="00C1563E" w:rsidRDefault="00C1563E"/>
    <w:p w14:paraId="7DCFF265" w14:textId="77777777" w:rsidR="00C1563E" w:rsidRDefault="000B648B">
      <w:r>
        <w:rPr>
          <w:rFonts w:ascii="Times New Roman" w:eastAsia="宋体" w:hAnsi="Times New Roman"/>
          <w:color w:val="000000"/>
          <w:sz w:val="20"/>
          <w:szCs w:val="20"/>
        </w:rPr>
        <w:t>When an account is deemed to be uncollectible, customer accoun</w:t>
      </w:r>
      <w:r>
        <w:rPr>
          <w:rFonts w:ascii="Times New Roman" w:eastAsia="宋体" w:hAnsi="Times New Roman"/>
          <w:color w:val="000000"/>
          <w:sz w:val="20"/>
          <w:szCs w:val="20"/>
        </w:rPr>
        <w:t>t principal and interest are charged off to the allowance for losses. While the Company does not generally place financing receivables on non-accrual status during the delinquency period, accrued interest is included in the allowance for loss calculation a</w:t>
      </w:r>
      <w:r>
        <w:rPr>
          <w:rFonts w:ascii="Times New Roman" w:eastAsia="宋体" w:hAnsi="Times New Roman"/>
          <w:color w:val="000000"/>
          <w:sz w:val="20"/>
          <w:szCs w:val="20"/>
        </w:rPr>
        <w:t>nd, therefore, the Company is adequately reserved in the event of charge off. Recoveries on receivables previously charged off as uncollectible are recorded to the allowance for financing receivables losses. The expense associated with the allowance for fi</w:t>
      </w:r>
      <w:r>
        <w:rPr>
          <w:rFonts w:ascii="Times New Roman" w:eastAsia="宋体" w:hAnsi="Times New Roman"/>
          <w:color w:val="000000"/>
          <w:sz w:val="20"/>
          <w:szCs w:val="20"/>
        </w:rPr>
        <w:t xml:space="preserve">nancing receivables losses is recognized as cost of net revenue. </w:t>
      </w:r>
    </w:p>
    <w:p w14:paraId="7DCFF266" w14:textId="77777777" w:rsidR="00C1563E" w:rsidRDefault="00C1563E"/>
    <w:p w14:paraId="7DCFF267" w14:textId="77777777" w:rsidR="00C1563E" w:rsidRDefault="000B648B">
      <w:r>
        <w:rPr>
          <w:rFonts w:ascii="Times New Roman" w:eastAsia="宋体" w:hAnsi="Times New Roman"/>
          <w:color w:val="000000"/>
          <w:sz w:val="20"/>
          <w:szCs w:val="20"/>
        </w:rPr>
        <w:t>The Company’s policy for estimating this allowance is based on an expected loss model and reflects the adoption of the new accounting standard related to current expected credit losses in t</w:t>
      </w:r>
      <w:r>
        <w:rPr>
          <w:rFonts w:ascii="Times New Roman" w:eastAsia="宋体" w:hAnsi="Times New Roman"/>
          <w:color w:val="000000"/>
          <w:sz w:val="20"/>
          <w:szCs w:val="20"/>
        </w:rPr>
        <w:t>he most recent fiscal year. See “Recently Adopted Accounting Pronouncements” in this Note 2 for more information. In prior periods, this allowance was estimated using an incurred loss model, which did not require the consideration of forward-looking inform</w:t>
      </w:r>
      <w:r>
        <w:rPr>
          <w:rFonts w:ascii="Times New Roman" w:eastAsia="宋体" w:hAnsi="Times New Roman"/>
          <w:color w:val="000000"/>
          <w:sz w:val="20"/>
          <w:szCs w:val="20"/>
        </w:rPr>
        <w:t>ation and conditions in the reserve calculation.</w:t>
      </w:r>
    </w:p>
    <w:p w14:paraId="7DCFF268" w14:textId="77777777" w:rsidR="00C1563E" w:rsidRDefault="00C1563E"/>
    <w:p w14:paraId="7DCFF269" w14:textId="77777777" w:rsidR="00C1563E" w:rsidRDefault="00C1563E">
      <w:pPr>
        <w:jc w:val="center"/>
      </w:pPr>
    </w:p>
    <w:p w14:paraId="7DCFF26A" w14:textId="77777777" w:rsidR="00C1563E" w:rsidRDefault="000B648B">
      <w:pPr>
        <w:jc w:val="center"/>
      </w:pPr>
      <w:r>
        <w:rPr>
          <w:rFonts w:ascii="Times New Roman" w:eastAsia="宋体" w:hAnsi="Times New Roman"/>
          <w:color w:val="000000"/>
          <w:sz w:val="20"/>
          <w:szCs w:val="20"/>
        </w:rPr>
        <w:t>85</w:t>
      </w:r>
    </w:p>
    <w:p w14:paraId="7DCFF26B" w14:textId="77777777" w:rsidR="00C1563E" w:rsidRDefault="00C1563E">
      <w:pPr>
        <w:jc w:val="center"/>
      </w:pPr>
    </w:p>
    <w:p w14:paraId="7DCFF26C" w14:textId="77777777" w:rsidR="00C1563E" w:rsidRDefault="000B648B">
      <w:r>
        <w:pict w14:anchorId="7DD025BF">
          <v:rect id="_x0000_i1109" style="width:415.3pt;height:1.5pt" o:hralign="center" o:hrstd="t" o:hr="t" fillcolor="#a0a0a0" stroked="f"/>
        </w:pict>
      </w:r>
    </w:p>
    <w:p w14:paraId="7DCFF26D" w14:textId="77777777" w:rsidR="00C1563E" w:rsidRDefault="000B648B">
      <w:hyperlink r:id="rId250" w:anchor="i418e32e4a35149ffbf7d3a25d66881b8_10" w:history="1">
        <w:r>
          <w:rPr>
            <w:rStyle w:val="a5"/>
            <w:rFonts w:ascii="Times New Roman" w:eastAsia="宋体" w:hAnsi="Times New Roman"/>
            <w:sz w:val="20"/>
            <w:szCs w:val="20"/>
          </w:rPr>
          <w:t>T</w:t>
        </w:r>
      </w:hyperlink>
      <w:hyperlink r:id="rId251" w:anchor="i418e32e4a35149ffbf7d3a25d66881b8_10" w:history="1">
        <w:r>
          <w:rPr>
            <w:rStyle w:val="a5"/>
            <w:rFonts w:ascii="Times New Roman" w:eastAsia="宋体" w:hAnsi="Times New Roman"/>
            <w:sz w:val="20"/>
            <w:szCs w:val="20"/>
          </w:rPr>
          <w:t xml:space="preserve">able of </w:t>
        </w:r>
      </w:hyperlink>
      <w:hyperlink r:id="rId252" w:anchor="i418e32e4a35149ffbf7d3a25d66881b8_10" w:history="1">
        <w:r>
          <w:rPr>
            <w:rStyle w:val="a5"/>
            <w:rFonts w:ascii="Times New Roman" w:eastAsia="宋体" w:hAnsi="Times New Roman"/>
            <w:sz w:val="20"/>
            <w:szCs w:val="20"/>
          </w:rPr>
          <w:t>Contents</w:t>
        </w:r>
      </w:hyperlink>
    </w:p>
    <w:p w14:paraId="7DCFF26E" w14:textId="77777777" w:rsidR="00C1563E" w:rsidRDefault="000B648B">
      <w:r>
        <w:rPr>
          <w:rFonts w:ascii="Times New Roman" w:eastAsia="宋体" w:hAnsi="Times New Roman"/>
          <w:i/>
          <w:iCs/>
          <w:color w:val="000000"/>
          <w:sz w:val="20"/>
          <w:szCs w:val="20"/>
        </w:rPr>
        <w:t xml:space="preserve">Asset Securitization </w:t>
      </w:r>
      <w:r>
        <w:rPr>
          <w:rFonts w:ascii="Times New Roman" w:eastAsia="宋体" w:hAnsi="Times New Roman"/>
          <w:color w:val="000000"/>
          <w:sz w:val="20"/>
          <w:szCs w:val="20"/>
        </w:rPr>
        <w:t>— The Compa</w:t>
      </w:r>
      <w:r>
        <w:rPr>
          <w:rFonts w:ascii="Times New Roman" w:eastAsia="宋体" w:hAnsi="Times New Roman"/>
          <w:color w:val="000000"/>
          <w:sz w:val="20"/>
          <w:szCs w:val="20"/>
        </w:rPr>
        <w:t>ny transfers certain U.S. and European customer loan and lease payments and associated equipment to Special Purpose Entities (“SPEs”) that meet the definition of a Variable Interest Entity (“VIE”) and are consolidated into the Consolidated Financial Statem</w:t>
      </w:r>
      <w:r>
        <w:rPr>
          <w:rFonts w:ascii="Times New Roman" w:eastAsia="宋体" w:hAnsi="Times New Roman"/>
          <w:color w:val="000000"/>
          <w:sz w:val="20"/>
          <w:szCs w:val="20"/>
        </w:rPr>
        <w:t>ents. These SPEs are bankruptcy-remote legal entities with separate assets and liabilities. The purpose of the SPEs is to facilitate the funding of customer loan and lease payments and associated equipment in the capital markets. These SPEs have entered in</w:t>
      </w:r>
      <w:r>
        <w:rPr>
          <w:rFonts w:ascii="Times New Roman" w:eastAsia="宋体" w:hAnsi="Times New Roman"/>
          <w:color w:val="000000"/>
          <w:sz w:val="20"/>
          <w:szCs w:val="20"/>
        </w:rPr>
        <w:t>to financing arrangements with multi-seller conduits that, in turn, issue asset-backed debt securities in the capital markets. The asset securitizations in the SPEs are accounted for as secured borrowings. See Note 4 of the Notes to the Consolidated Financ</w:t>
      </w:r>
      <w:r>
        <w:rPr>
          <w:rFonts w:ascii="Times New Roman" w:eastAsia="宋体" w:hAnsi="Times New Roman"/>
          <w:color w:val="000000"/>
          <w:sz w:val="20"/>
          <w:szCs w:val="20"/>
        </w:rPr>
        <w:t>ial Statements for additional information on the impact of the consolidation.</w:t>
      </w:r>
    </w:p>
    <w:p w14:paraId="7DCFF26F" w14:textId="77777777" w:rsidR="00C1563E" w:rsidRDefault="00C1563E"/>
    <w:p w14:paraId="7DCFF270" w14:textId="77777777" w:rsidR="00C1563E" w:rsidRDefault="000B648B">
      <w:r>
        <w:rPr>
          <w:rFonts w:ascii="Times New Roman" w:eastAsia="宋体" w:hAnsi="Times New Roman"/>
          <w:i/>
          <w:iCs/>
          <w:color w:val="000000"/>
          <w:sz w:val="20"/>
          <w:szCs w:val="20"/>
        </w:rPr>
        <w:t xml:space="preserve">Inventories </w:t>
      </w:r>
      <w:r>
        <w:rPr>
          <w:rFonts w:ascii="Times New Roman" w:eastAsia="宋体" w:hAnsi="Times New Roman"/>
          <w:color w:val="000000"/>
          <w:sz w:val="20"/>
          <w:szCs w:val="20"/>
        </w:rPr>
        <w:t xml:space="preserve">— Inventories are stated at the lower of cost or net realizable value, with cost being determined on a first-in, first-out basis. Adjustments to reduce the cost of </w:t>
      </w:r>
      <w:r>
        <w:rPr>
          <w:rFonts w:ascii="Times New Roman" w:eastAsia="宋体" w:hAnsi="Times New Roman"/>
          <w:color w:val="000000"/>
          <w:sz w:val="20"/>
          <w:szCs w:val="20"/>
        </w:rPr>
        <w:t>inventory to its net realizable value are made, if required, for estimated excess, obsolescence, or impaired balances. At the point of the loss recognition, a new, lower cost basis for that inventory is established, and subsequent changes in facts and circ</w:t>
      </w:r>
      <w:r>
        <w:rPr>
          <w:rFonts w:ascii="Times New Roman" w:eastAsia="宋体" w:hAnsi="Times New Roman"/>
          <w:color w:val="000000"/>
          <w:sz w:val="20"/>
          <w:szCs w:val="20"/>
        </w:rPr>
        <w:t>umstances do not result in the restoration or increase in that newly established cost basis.</w:t>
      </w:r>
    </w:p>
    <w:p w14:paraId="7DCFF271" w14:textId="77777777" w:rsidR="00C1563E" w:rsidRDefault="00C1563E"/>
    <w:p w14:paraId="7DCFF272" w14:textId="77777777" w:rsidR="00C1563E" w:rsidRDefault="000B648B">
      <w:pPr>
        <w:spacing w:after="60"/>
      </w:pPr>
      <w:r>
        <w:rPr>
          <w:rFonts w:ascii="Times New Roman" w:eastAsia="宋体" w:hAnsi="Times New Roman"/>
          <w:i/>
          <w:iCs/>
          <w:color w:val="000000"/>
          <w:sz w:val="20"/>
          <w:szCs w:val="20"/>
        </w:rPr>
        <w:t xml:space="preserve">Property, Plant, and Equipment </w:t>
      </w:r>
      <w:r>
        <w:rPr>
          <w:rFonts w:ascii="Times New Roman" w:eastAsia="宋体" w:hAnsi="Times New Roman"/>
          <w:color w:val="000000"/>
          <w:sz w:val="20"/>
          <w:szCs w:val="20"/>
        </w:rPr>
        <w:t>— Property, plant, and equipment are carried at depreciated cost. Depreciation is determined using the straight-line method over th</w:t>
      </w:r>
      <w:r>
        <w:rPr>
          <w:rFonts w:ascii="Times New Roman" w:eastAsia="宋体" w:hAnsi="Times New Roman"/>
          <w:color w:val="000000"/>
          <w:sz w:val="20"/>
          <w:szCs w:val="20"/>
        </w:rPr>
        <w:t>e shorter of the estimated economic lives of the assets or the lease term, as applicable. The estimated useful lives of the Company’s property, plant, and equipment are generally as follows:</w:t>
      </w: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3417"/>
        <w:gridCol w:w="37"/>
        <w:gridCol w:w="69"/>
        <w:gridCol w:w="4660"/>
        <w:gridCol w:w="36"/>
      </w:tblGrid>
      <w:tr w:rsidR="00C1563E" w14:paraId="7DCFF279" w14:textId="77777777">
        <w:trPr>
          <w:jc w:val="center"/>
        </w:trPr>
        <w:tc>
          <w:tcPr>
            <w:tcW w:w="50" w:type="pct"/>
            <w:shd w:val="clear" w:color="auto" w:fill="auto"/>
          </w:tcPr>
          <w:p w14:paraId="7DCFF273" w14:textId="77777777" w:rsidR="00C1563E" w:rsidRDefault="00C1563E">
            <w:pPr>
              <w:rPr>
                <w:rFonts w:ascii="宋体"/>
              </w:rPr>
            </w:pPr>
          </w:p>
        </w:tc>
        <w:tc>
          <w:tcPr>
            <w:tcW w:w="2070" w:type="pct"/>
            <w:shd w:val="clear" w:color="auto" w:fill="auto"/>
          </w:tcPr>
          <w:p w14:paraId="7DCFF274" w14:textId="77777777" w:rsidR="00C1563E" w:rsidRDefault="00C1563E">
            <w:pPr>
              <w:rPr>
                <w:rFonts w:ascii="宋体"/>
              </w:rPr>
            </w:pPr>
          </w:p>
        </w:tc>
        <w:tc>
          <w:tcPr>
            <w:tcW w:w="5" w:type="pct"/>
            <w:shd w:val="clear" w:color="auto" w:fill="auto"/>
          </w:tcPr>
          <w:p w14:paraId="7DCFF275" w14:textId="77777777" w:rsidR="00C1563E" w:rsidRDefault="00C1563E">
            <w:pPr>
              <w:rPr>
                <w:rFonts w:ascii="宋体"/>
              </w:rPr>
            </w:pPr>
          </w:p>
        </w:tc>
        <w:tc>
          <w:tcPr>
            <w:tcW w:w="50" w:type="pct"/>
            <w:shd w:val="clear" w:color="auto" w:fill="auto"/>
          </w:tcPr>
          <w:p w14:paraId="7DCFF276" w14:textId="77777777" w:rsidR="00C1563E" w:rsidRDefault="00C1563E">
            <w:pPr>
              <w:rPr>
                <w:rFonts w:ascii="宋体"/>
              </w:rPr>
            </w:pPr>
          </w:p>
        </w:tc>
        <w:tc>
          <w:tcPr>
            <w:tcW w:w="2819" w:type="pct"/>
            <w:shd w:val="clear" w:color="auto" w:fill="auto"/>
          </w:tcPr>
          <w:p w14:paraId="7DCFF277" w14:textId="77777777" w:rsidR="00C1563E" w:rsidRDefault="00C1563E">
            <w:pPr>
              <w:rPr>
                <w:rFonts w:ascii="宋体"/>
              </w:rPr>
            </w:pPr>
          </w:p>
        </w:tc>
        <w:tc>
          <w:tcPr>
            <w:tcW w:w="5" w:type="pct"/>
            <w:shd w:val="clear" w:color="auto" w:fill="auto"/>
          </w:tcPr>
          <w:p w14:paraId="7DCFF278" w14:textId="77777777" w:rsidR="00C1563E" w:rsidRDefault="00C1563E">
            <w:pPr>
              <w:rPr>
                <w:rFonts w:ascii="宋体"/>
              </w:rPr>
            </w:pPr>
          </w:p>
        </w:tc>
      </w:tr>
      <w:tr w:rsidR="00C1563E" w14:paraId="7DCFF27C" w14:textId="77777777">
        <w:trPr>
          <w:jc w:val="center"/>
        </w:trPr>
        <w:tc>
          <w:tcPr>
            <w:tcW w:w="0" w:type="auto"/>
            <w:gridSpan w:val="3"/>
            <w:shd w:val="clear" w:color="auto" w:fill="auto"/>
            <w:tcMar>
              <w:top w:w="0" w:type="dxa"/>
              <w:left w:w="20" w:type="dxa"/>
              <w:bottom w:w="0" w:type="dxa"/>
              <w:right w:w="20" w:type="dxa"/>
            </w:tcMar>
          </w:tcPr>
          <w:p w14:paraId="7DCFF27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27B" w14:textId="77777777" w:rsidR="00C1563E" w:rsidRDefault="000B648B">
            <w:pPr>
              <w:jc w:val="center"/>
              <w:textAlignment w:val="bottom"/>
            </w:pPr>
            <w:r>
              <w:rPr>
                <w:rFonts w:ascii="Times New Roman" w:eastAsia="宋体" w:hAnsi="Times New Roman"/>
                <w:b/>
                <w:bCs/>
                <w:color w:val="000000"/>
                <w:sz w:val="20"/>
                <w:szCs w:val="20"/>
              </w:rPr>
              <w:t>Estimated Useful Life</w:t>
            </w:r>
          </w:p>
        </w:tc>
      </w:tr>
      <w:tr w:rsidR="00C1563E" w14:paraId="7DCFF27F" w14:textId="77777777">
        <w:trPr>
          <w:jc w:val="center"/>
        </w:trPr>
        <w:tc>
          <w:tcPr>
            <w:tcW w:w="0" w:type="auto"/>
            <w:gridSpan w:val="3"/>
            <w:shd w:val="clear" w:color="auto" w:fill="CCEEFF"/>
            <w:tcMar>
              <w:top w:w="40" w:type="dxa"/>
              <w:left w:w="20" w:type="dxa"/>
              <w:bottom w:w="40" w:type="dxa"/>
              <w:right w:w="20" w:type="dxa"/>
            </w:tcMar>
            <w:vAlign w:val="bottom"/>
          </w:tcPr>
          <w:p w14:paraId="7DCFF27D" w14:textId="77777777" w:rsidR="00C1563E" w:rsidRDefault="000B648B">
            <w:pPr>
              <w:textAlignment w:val="bottom"/>
            </w:pPr>
            <w:r>
              <w:rPr>
                <w:rFonts w:ascii="Times New Roman" w:eastAsia="宋体" w:hAnsi="Times New Roman"/>
                <w:color w:val="000000"/>
                <w:sz w:val="20"/>
                <w:szCs w:val="20"/>
              </w:rPr>
              <w:t>Computer equipment</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DCFF27E" w14:textId="77777777" w:rsidR="00C1563E" w:rsidRDefault="000B648B">
            <w:pPr>
              <w:textAlignment w:val="bottom"/>
            </w:pPr>
            <w:r>
              <w:rPr>
                <w:rFonts w:ascii="Times New Roman" w:eastAsia="宋体" w:hAnsi="Times New Roman"/>
                <w:color w:val="000000"/>
                <w:sz w:val="20"/>
                <w:szCs w:val="20"/>
              </w:rPr>
              <w:t>3-5 years</w:t>
            </w:r>
          </w:p>
        </w:tc>
      </w:tr>
      <w:tr w:rsidR="00C1563E" w14:paraId="7DCFF282" w14:textId="77777777">
        <w:trPr>
          <w:jc w:val="center"/>
        </w:trPr>
        <w:tc>
          <w:tcPr>
            <w:tcW w:w="0" w:type="auto"/>
            <w:gridSpan w:val="3"/>
            <w:shd w:val="clear" w:color="auto" w:fill="FFFFFF"/>
            <w:tcMar>
              <w:top w:w="40" w:type="dxa"/>
              <w:left w:w="20" w:type="dxa"/>
              <w:bottom w:w="40" w:type="dxa"/>
              <w:right w:w="20" w:type="dxa"/>
            </w:tcMar>
            <w:vAlign w:val="bottom"/>
          </w:tcPr>
          <w:p w14:paraId="7DCFF280" w14:textId="77777777" w:rsidR="00C1563E" w:rsidRDefault="000B648B">
            <w:pPr>
              <w:textAlignment w:val="bottom"/>
            </w:pPr>
            <w:r>
              <w:rPr>
                <w:rFonts w:ascii="Times New Roman" w:eastAsia="宋体" w:hAnsi="Times New Roman"/>
                <w:color w:val="000000"/>
                <w:sz w:val="20"/>
                <w:szCs w:val="20"/>
              </w:rPr>
              <w:t>Equipment under operating leases</w:t>
            </w:r>
          </w:p>
        </w:tc>
        <w:tc>
          <w:tcPr>
            <w:tcW w:w="0" w:type="auto"/>
            <w:gridSpan w:val="3"/>
            <w:shd w:val="clear" w:color="auto" w:fill="FFFFFF"/>
            <w:tcMar>
              <w:top w:w="40" w:type="dxa"/>
              <w:left w:w="20" w:type="dxa"/>
              <w:bottom w:w="40" w:type="dxa"/>
              <w:right w:w="20" w:type="dxa"/>
            </w:tcMar>
            <w:vAlign w:val="bottom"/>
          </w:tcPr>
          <w:p w14:paraId="7DCFF281" w14:textId="77777777" w:rsidR="00C1563E" w:rsidRDefault="000B648B">
            <w:pPr>
              <w:textAlignment w:val="bottom"/>
            </w:pPr>
            <w:r>
              <w:rPr>
                <w:rFonts w:ascii="Times New Roman" w:eastAsia="宋体" w:hAnsi="Times New Roman"/>
                <w:color w:val="000000"/>
                <w:sz w:val="20"/>
                <w:szCs w:val="20"/>
              </w:rPr>
              <w:t>Term of underlying lease contract</w:t>
            </w:r>
          </w:p>
        </w:tc>
      </w:tr>
      <w:tr w:rsidR="00C1563E" w14:paraId="7DCFF285" w14:textId="77777777">
        <w:trPr>
          <w:jc w:val="center"/>
        </w:trPr>
        <w:tc>
          <w:tcPr>
            <w:tcW w:w="0" w:type="auto"/>
            <w:gridSpan w:val="3"/>
            <w:shd w:val="clear" w:color="auto" w:fill="CCEEFF"/>
            <w:tcMar>
              <w:top w:w="40" w:type="dxa"/>
              <w:left w:w="20" w:type="dxa"/>
              <w:bottom w:w="40" w:type="dxa"/>
              <w:right w:w="20" w:type="dxa"/>
            </w:tcMar>
            <w:vAlign w:val="bottom"/>
          </w:tcPr>
          <w:p w14:paraId="7DCFF283" w14:textId="77777777" w:rsidR="00C1563E" w:rsidRDefault="000B648B">
            <w:pPr>
              <w:textAlignment w:val="bottom"/>
            </w:pPr>
            <w:r>
              <w:rPr>
                <w:rFonts w:ascii="Times New Roman" w:eastAsia="宋体" w:hAnsi="Times New Roman"/>
                <w:color w:val="000000"/>
                <w:sz w:val="20"/>
                <w:szCs w:val="20"/>
              </w:rPr>
              <w:t>Buildings</w:t>
            </w:r>
          </w:p>
        </w:tc>
        <w:tc>
          <w:tcPr>
            <w:tcW w:w="0" w:type="auto"/>
            <w:gridSpan w:val="3"/>
            <w:shd w:val="clear" w:color="auto" w:fill="CCEEFF"/>
            <w:tcMar>
              <w:top w:w="40" w:type="dxa"/>
              <w:left w:w="20" w:type="dxa"/>
              <w:bottom w:w="40" w:type="dxa"/>
              <w:right w:w="20" w:type="dxa"/>
            </w:tcMar>
            <w:vAlign w:val="bottom"/>
          </w:tcPr>
          <w:p w14:paraId="7DCFF284" w14:textId="77777777" w:rsidR="00C1563E" w:rsidRDefault="000B648B">
            <w:pPr>
              <w:textAlignment w:val="bottom"/>
            </w:pPr>
            <w:r>
              <w:rPr>
                <w:rFonts w:ascii="Times New Roman" w:eastAsia="宋体" w:hAnsi="Times New Roman"/>
                <w:color w:val="000000"/>
                <w:sz w:val="20"/>
                <w:szCs w:val="20"/>
              </w:rPr>
              <w:t>10-30 years or term of underlying land lease</w:t>
            </w:r>
          </w:p>
        </w:tc>
      </w:tr>
      <w:tr w:rsidR="00C1563E" w14:paraId="7DCFF288" w14:textId="77777777">
        <w:trPr>
          <w:jc w:val="center"/>
        </w:trPr>
        <w:tc>
          <w:tcPr>
            <w:tcW w:w="0" w:type="auto"/>
            <w:gridSpan w:val="3"/>
            <w:shd w:val="clear" w:color="auto" w:fill="FFFFFF"/>
            <w:tcMar>
              <w:top w:w="40" w:type="dxa"/>
              <w:left w:w="20" w:type="dxa"/>
              <w:bottom w:w="40" w:type="dxa"/>
              <w:right w:w="20" w:type="dxa"/>
            </w:tcMar>
            <w:vAlign w:val="bottom"/>
          </w:tcPr>
          <w:p w14:paraId="7DCFF286" w14:textId="77777777" w:rsidR="00C1563E" w:rsidRDefault="000B648B">
            <w:pPr>
              <w:textAlignment w:val="bottom"/>
            </w:pPr>
            <w:r>
              <w:rPr>
                <w:rFonts w:ascii="Times New Roman" w:eastAsia="宋体" w:hAnsi="Times New Roman"/>
                <w:color w:val="000000"/>
                <w:sz w:val="20"/>
                <w:szCs w:val="20"/>
              </w:rPr>
              <w:t>Leasehold improvements</w:t>
            </w:r>
          </w:p>
        </w:tc>
        <w:tc>
          <w:tcPr>
            <w:tcW w:w="0" w:type="auto"/>
            <w:gridSpan w:val="3"/>
            <w:shd w:val="clear" w:color="auto" w:fill="FFFFFF"/>
            <w:tcMar>
              <w:top w:w="40" w:type="dxa"/>
              <w:left w:w="20" w:type="dxa"/>
              <w:bottom w:w="40" w:type="dxa"/>
              <w:right w:w="20" w:type="dxa"/>
            </w:tcMar>
            <w:vAlign w:val="bottom"/>
          </w:tcPr>
          <w:p w14:paraId="7DCFF287" w14:textId="77777777" w:rsidR="00C1563E" w:rsidRDefault="000B648B">
            <w:pPr>
              <w:textAlignment w:val="bottom"/>
            </w:pPr>
            <w:r>
              <w:rPr>
                <w:rFonts w:ascii="Times New Roman" w:eastAsia="宋体" w:hAnsi="Times New Roman"/>
                <w:color w:val="000000"/>
                <w:sz w:val="20"/>
                <w:szCs w:val="20"/>
              </w:rPr>
              <w:t>Shorter of 5-20 years or lease term</w:t>
            </w:r>
          </w:p>
        </w:tc>
      </w:tr>
      <w:tr w:rsidR="00C1563E" w14:paraId="7DCFF28B" w14:textId="77777777">
        <w:trPr>
          <w:jc w:val="center"/>
        </w:trPr>
        <w:tc>
          <w:tcPr>
            <w:tcW w:w="0" w:type="auto"/>
            <w:gridSpan w:val="3"/>
            <w:shd w:val="clear" w:color="auto" w:fill="CCEEFF"/>
            <w:tcMar>
              <w:top w:w="40" w:type="dxa"/>
              <w:left w:w="20" w:type="dxa"/>
              <w:bottom w:w="40" w:type="dxa"/>
              <w:right w:w="20" w:type="dxa"/>
            </w:tcMar>
            <w:vAlign w:val="bottom"/>
          </w:tcPr>
          <w:p w14:paraId="7DCFF289" w14:textId="77777777" w:rsidR="00C1563E" w:rsidRDefault="000B648B">
            <w:pPr>
              <w:textAlignment w:val="bottom"/>
            </w:pPr>
            <w:r>
              <w:rPr>
                <w:rFonts w:ascii="Times New Roman" w:eastAsia="宋体" w:hAnsi="Times New Roman"/>
                <w:color w:val="000000"/>
                <w:sz w:val="20"/>
                <w:szCs w:val="20"/>
              </w:rPr>
              <w:t>Machinery and equipment</w:t>
            </w:r>
          </w:p>
        </w:tc>
        <w:tc>
          <w:tcPr>
            <w:tcW w:w="0" w:type="auto"/>
            <w:gridSpan w:val="3"/>
            <w:shd w:val="clear" w:color="auto" w:fill="CCEEFF"/>
            <w:tcMar>
              <w:top w:w="40" w:type="dxa"/>
              <w:left w:w="20" w:type="dxa"/>
              <w:bottom w:w="40" w:type="dxa"/>
              <w:right w:w="20" w:type="dxa"/>
            </w:tcMar>
            <w:vAlign w:val="bottom"/>
          </w:tcPr>
          <w:p w14:paraId="7DCFF28A" w14:textId="77777777" w:rsidR="00C1563E" w:rsidRDefault="000B648B">
            <w:pPr>
              <w:textAlignment w:val="bottom"/>
            </w:pPr>
            <w:r>
              <w:rPr>
                <w:rFonts w:ascii="Times New Roman" w:eastAsia="宋体" w:hAnsi="Times New Roman"/>
                <w:color w:val="000000"/>
                <w:sz w:val="20"/>
                <w:szCs w:val="20"/>
              </w:rPr>
              <w:t>3-5 years</w:t>
            </w:r>
          </w:p>
        </w:tc>
      </w:tr>
    </w:tbl>
    <w:p w14:paraId="7DCFF28C" w14:textId="77777777" w:rsidR="00C1563E" w:rsidRDefault="00C1563E"/>
    <w:p w14:paraId="7DCFF28D" w14:textId="77777777" w:rsidR="00C1563E" w:rsidRDefault="000B648B">
      <w:r>
        <w:rPr>
          <w:rFonts w:ascii="Times New Roman" w:eastAsia="宋体" w:hAnsi="Times New Roman"/>
          <w:color w:val="000000"/>
          <w:sz w:val="20"/>
          <w:szCs w:val="20"/>
        </w:rPr>
        <w:t xml:space="preserve">Gains or losses related to </w:t>
      </w:r>
      <w:r>
        <w:rPr>
          <w:rFonts w:ascii="Times New Roman" w:eastAsia="宋体" w:hAnsi="Times New Roman"/>
          <w:color w:val="000000"/>
          <w:sz w:val="20"/>
          <w:szCs w:val="20"/>
        </w:rPr>
        <w:t>retirements or dispositions of fixed assets are recognized in the period during which the retirement or disposition occurs.</w:t>
      </w:r>
    </w:p>
    <w:p w14:paraId="7DCFF28E" w14:textId="77777777" w:rsidR="00C1563E" w:rsidRDefault="00C1563E"/>
    <w:p w14:paraId="7DCFF28F" w14:textId="77777777" w:rsidR="00C1563E" w:rsidRDefault="000B648B">
      <w:r>
        <w:rPr>
          <w:rFonts w:ascii="Times New Roman" w:eastAsia="宋体" w:hAnsi="Times New Roman"/>
          <w:i/>
          <w:iCs/>
          <w:color w:val="000000"/>
          <w:sz w:val="20"/>
          <w:szCs w:val="20"/>
        </w:rPr>
        <w:t xml:space="preserve">Capitalized Software Development Costs </w:t>
      </w:r>
      <w:r>
        <w:rPr>
          <w:rFonts w:ascii="Times New Roman" w:eastAsia="宋体" w:hAnsi="Times New Roman"/>
          <w:color w:val="000000"/>
          <w:sz w:val="20"/>
          <w:szCs w:val="20"/>
        </w:rPr>
        <w:t xml:space="preserve">— Software development costs related to the development of new product offerings are </w:t>
      </w:r>
      <w:r>
        <w:rPr>
          <w:rFonts w:ascii="Times New Roman" w:eastAsia="宋体" w:hAnsi="Times New Roman"/>
          <w:color w:val="000000"/>
          <w:sz w:val="20"/>
          <w:szCs w:val="20"/>
        </w:rPr>
        <w:t>capitalized subsequent to the establishment of technological feasibility, which is demonstrated by the completion of a detailed program design or working model, if no program design is completed. The Company amortizes capitalized costs on a straight-line b</w:t>
      </w:r>
      <w:r>
        <w:rPr>
          <w:rFonts w:ascii="Times New Roman" w:eastAsia="宋体" w:hAnsi="Times New Roman"/>
          <w:color w:val="000000"/>
          <w:sz w:val="20"/>
          <w:szCs w:val="20"/>
        </w:rPr>
        <w:t>asis over the estimated useful lives of the products, which generally range from two to four years.</w:t>
      </w:r>
    </w:p>
    <w:p w14:paraId="7DCFF290" w14:textId="77777777" w:rsidR="00C1563E" w:rsidRDefault="00C1563E"/>
    <w:p w14:paraId="7DCFF291" w14:textId="77777777" w:rsidR="00C1563E" w:rsidRDefault="000B648B">
      <w:r>
        <w:rPr>
          <w:rFonts w:ascii="Times New Roman" w:eastAsia="宋体" w:hAnsi="Times New Roman"/>
          <w:color w:val="000000"/>
          <w:sz w:val="20"/>
          <w:szCs w:val="20"/>
        </w:rPr>
        <w:t>As of January 29, 2021 and January 31, 2020, capitalized software development costs were $610 million and $679 million, respectively, and are included in o</w:t>
      </w:r>
      <w:r>
        <w:rPr>
          <w:rFonts w:ascii="Times New Roman" w:eastAsia="宋体" w:hAnsi="Times New Roman"/>
          <w:color w:val="000000"/>
          <w:sz w:val="20"/>
          <w:szCs w:val="20"/>
        </w:rPr>
        <w:t>ther non-current assets, net in the accompanying Consolidated Statements of Financial Position. Amortization expense for the fiscal years ended January 29, 2021, January 31, 2020, and February 1, 2019 was $315 million, $273 million, and $211 million, respe</w:t>
      </w:r>
      <w:r>
        <w:rPr>
          <w:rFonts w:ascii="Times New Roman" w:eastAsia="宋体" w:hAnsi="Times New Roman"/>
          <w:color w:val="000000"/>
          <w:sz w:val="20"/>
          <w:szCs w:val="20"/>
        </w:rPr>
        <w:t xml:space="preserve">ctively. </w:t>
      </w:r>
    </w:p>
    <w:p w14:paraId="7DCFF292" w14:textId="77777777" w:rsidR="00C1563E" w:rsidRDefault="00C1563E"/>
    <w:p w14:paraId="7DCFF293" w14:textId="77777777" w:rsidR="00C1563E" w:rsidRDefault="000B648B">
      <w:r>
        <w:rPr>
          <w:rFonts w:ascii="Times New Roman" w:eastAsia="宋体" w:hAnsi="Times New Roman"/>
          <w:color w:val="000000"/>
          <w:sz w:val="20"/>
          <w:szCs w:val="20"/>
        </w:rPr>
        <w:t>The Company capitalizes certain internal and external costs to acquire or create internal use software which are incurred subsequent to the completion of the preliminary project stage. Development costs are generally amortized on a straight-line</w:t>
      </w:r>
      <w:r>
        <w:rPr>
          <w:rFonts w:ascii="Times New Roman" w:eastAsia="宋体" w:hAnsi="Times New Roman"/>
          <w:color w:val="000000"/>
          <w:sz w:val="20"/>
          <w:szCs w:val="20"/>
        </w:rPr>
        <w:t xml:space="preserve"> basis over five years. Costs associated with maintenance and minor enhancements to the features and functionality of the Company’s internal use software, including its website are expensed as incurred.</w:t>
      </w:r>
    </w:p>
    <w:p w14:paraId="7DCFF294" w14:textId="77777777" w:rsidR="00C1563E" w:rsidRDefault="00C1563E"/>
    <w:p w14:paraId="7DCFF295" w14:textId="77777777" w:rsidR="00C1563E" w:rsidRDefault="000B648B">
      <w:r>
        <w:rPr>
          <w:rFonts w:ascii="Times New Roman" w:eastAsia="宋体" w:hAnsi="Times New Roman"/>
          <w:i/>
          <w:iCs/>
          <w:color w:val="000000"/>
          <w:sz w:val="20"/>
          <w:szCs w:val="20"/>
        </w:rPr>
        <w:t xml:space="preserve">Impairment of Long-Lived Assets </w:t>
      </w:r>
      <w:r>
        <w:rPr>
          <w:rFonts w:ascii="Times New Roman" w:eastAsia="宋体" w:hAnsi="Times New Roman"/>
          <w:color w:val="000000"/>
          <w:sz w:val="20"/>
          <w:szCs w:val="20"/>
        </w:rPr>
        <w:t>— The Company review</w:t>
      </w:r>
      <w:r>
        <w:rPr>
          <w:rFonts w:ascii="Times New Roman" w:eastAsia="宋体" w:hAnsi="Times New Roman"/>
          <w:color w:val="000000"/>
          <w:sz w:val="20"/>
          <w:szCs w:val="20"/>
        </w:rPr>
        <w:t xml:space="preserve">s long-lived assets for impairment when events or changes in circumstances indicate the carrying amount of an asset may not be recoverable. The Company assesses the recoverability of the assets based on the undiscounted future cash flows expected from the </w:t>
      </w:r>
      <w:r>
        <w:rPr>
          <w:rFonts w:ascii="Times New Roman" w:eastAsia="宋体" w:hAnsi="Times New Roman"/>
          <w:color w:val="000000"/>
          <w:sz w:val="20"/>
          <w:szCs w:val="20"/>
        </w:rPr>
        <w:t>use and eventual disposition of the asset. If the carrying amount of the asset is determined not to be recoverable, a write-down to fair value is recorded. Fair values are determined based on quoted market values, discounted cash flows, or external apprais</w:t>
      </w:r>
      <w:r>
        <w:rPr>
          <w:rFonts w:ascii="Times New Roman" w:eastAsia="宋体" w:hAnsi="Times New Roman"/>
          <w:color w:val="000000"/>
          <w:sz w:val="20"/>
          <w:szCs w:val="20"/>
        </w:rPr>
        <w:t>als, as applicable. Long-lived assets to be disposed of are reported at the lower of carrying amount or fair value less costs to sell.</w:t>
      </w:r>
    </w:p>
    <w:p w14:paraId="7DCFF296" w14:textId="77777777" w:rsidR="00C1563E" w:rsidRDefault="00C1563E"/>
    <w:p w14:paraId="7DCFF297" w14:textId="77777777" w:rsidR="00C1563E" w:rsidRDefault="00C1563E"/>
    <w:p w14:paraId="7DCFF298" w14:textId="77777777" w:rsidR="00C1563E" w:rsidRDefault="00C1563E">
      <w:pPr>
        <w:jc w:val="center"/>
      </w:pPr>
    </w:p>
    <w:p w14:paraId="7DCFF299" w14:textId="77777777" w:rsidR="00C1563E" w:rsidRDefault="000B648B">
      <w:pPr>
        <w:jc w:val="center"/>
      </w:pPr>
      <w:r>
        <w:rPr>
          <w:rFonts w:ascii="Times New Roman" w:eastAsia="宋体" w:hAnsi="Times New Roman"/>
          <w:color w:val="000000"/>
          <w:sz w:val="20"/>
          <w:szCs w:val="20"/>
        </w:rPr>
        <w:t>86</w:t>
      </w:r>
    </w:p>
    <w:p w14:paraId="7DCFF29A" w14:textId="77777777" w:rsidR="00C1563E" w:rsidRDefault="00C1563E">
      <w:pPr>
        <w:jc w:val="center"/>
      </w:pPr>
    </w:p>
    <w:p w14:paraId="7DCFF29B" w14:textId="77777777" w:rsidR="00C1563E" w:rsidRDefault="000B648B">
      <w:r>
        <w:pict w14:anchorId="7DD025C0">
          <v:rect id="_x0000_i1110" style="width:415.3pt;height:1.5pt" o:hralign="center" o:hrstd="t" o:hr="t" fillcolor="#a0a0a0" stroked="f"/>
        </w:pict>
      </w:r>
    </w:p>
    <w:p w14:paraId="7DCFF29C" w14:textId="77777777" w:rsidR="00C1563E" w:rsidRDefault="000B648B">
      <w:hyperlink r:id="rId253" w:anchor="i418e32e4a35149ffbf7d3a25d66881b8_10" w:history="1">
        <w:r>
          <w:rPr>
            <w:rStyle w:val="a5"/>
            <w:rFonts w:ascii="Times New Roman" w:eastAsia="宋体" w:hAnsi="Times New Roman"/>
            <w:sz w:val="20"/>
            <w:szCs w:val="20"/>
          </w:rPr>
          <w:t>T</w:t>
        </w:r>
      </w:hyperlink>
      <w:hyperlink r:id="rId254" w:anchor="i418e32e4a35149ffbf7d3a25d66881b8_10" w:history="1">
        <w:r>
          <w:rPr>
            <w:rStyle w:val="a5"/>
            <w:rFonts w:ascii="Times New Roman" w:eastAsia="宋体" w:hAnsi="Times New Roman"/>
            <w:sz w:val="20"/>
            <w:szCs w:val="20"/>
          </w:rPr>
          <w:t xml:space="preserve">able of </w:t>
        </w:r>
      </w:hyperlink>
      <w:hyperlink r:id="rId255" w:anchor="i418e32e4a35149ffbf7d3a25d66881b8_10" w:history="1">
        <w:r>
          <w:rPr>
            <w:rStyle w:val="a5"/>
            <w:rFonts w:ascii="Times New Roman" w:eastAsia="宋体" w:hAnsi="Times New Roman"/>
            <w:sz w:val="20"/>
            <w:szCs w:val="20"/>
          </w:rPr>
          <w:t>Contents</w:t>
        </w:r>
      </w:hyperlink>
    </w:p>
    <w:p w14:paraId="7DCFF29D" w14:textId="77777777" w:rsidR="00C1563E" w:rsidRDefault="000B648B">
      <w:r>
        <w:rPr>
          <w:rFonts w:ascii="Times New Roman" w:eastAsia="宋体" w:hAnsi="Times New Roman"/>
          <w:i/>
          <w:iCs/>
          <w:color w:val="000000"/>
          <w:sz w:val="20"/>
          <w:szCs w:val="20"/>
        </w:rPr>
        <w:t xml:space="preserve">Business Combinations </w:t>
      </w:r>
      <w:r>
        <w:rPr>
          <w:rFonts w:ascii="Times New Roman" w:eastAsia="宋体" w:hAnsi="Times New Roman"/>
          <w:color w:val="000000"/>
          <w:sz w:val="20"/>
          <w:szCs w:val="20"/>
        </w:rPr>
        <w:t>— The assets and liabilities of acquired businesses are recorded at their fair values at the date of acquisition. The exce</w:t>
      </w:r>
      <w:r>
        <w:rPr>
          <w:rFonts w:ascii="Times New Roman" w:eastAsia="宋体" w:hAnsi="Times New Roman"/>
          <w:color w:val="000000"/>
          <w:sz w:val="20"/>
          <w:szCs w:val="20"/>
        </w:rPr>
        <w:t>ss of the purchase price over the fair value of the tangible and intangible assets acquired and the liabilities assumed is recorded as goodwill. During the measurement period, which expires one year from the acquisition date, if new information is obtained</w:t>
      </w:r>
      <w:r>
        <w:rPr>
          <w:rFonts w:ascii="Times New Roman" w:eastAsia="宋体" w:hAnsi="Times New Roman"/>
          <w:color w:val="000000"/>
          <w:sz w:val="20"/>
          <w:szCs w:val="20"/>
        </w:rPr>
        <w:t xml:space="preserve"> about facts and circumstances that existed as of the acquisition date, cumulative changes in the estimated fair values of the net assets recorded may change the amount of the purchase price allocable to goodwill. If material, the amount will be adjusted i</w:t>
      </w:r>
      <w:r>
        <w:rPr>
          <w:rFonts w:ascii="Times New Roman" w:eastAsia="宋体" w:hAnsi="Times New Roman"/>
          <w:color w:val="000000"/>
          <w:sz w:val="20"/>
          <w:szCs w:val="20"/>
        </w:rPr>
        <w:t>n the reporting period in which the adjustment amount is determined. See Note 8 of the Notes to the Consolidated Financial Statements for more information on business combinations.</w:t>
      </w:r>
    </w:p>
    <w:p w14:paraId="7DCFF29E" w14:textId="77777777" w:rsidR="00C1563E" w:rsidRDefault="00C1563E"/>
    <w:p w14:paraId="7DCFF29F" w14:textId="77777777" w:rsidR="00C1563E" w:rsidRDefault="000B648B">
      <w:r>
        <w:rPr>
          <w:rFonts w:ascii="Times New Roman" w:eastAsia="宋体" w:hAnsi="Times New Roman"/>
          <w:color w:val="000000"/>
          <w:sz w:val="20"/>
          <w:szCs w:val="20"/>
        </w:rPr>
        <w:t>In-process research and development costs are recorded at fair value as an</w:t>
      </w:r>
      <w:r>
        <w:rPr>
          <w:rFonts w:ascii="Times New Roman" w:eastAsia="宋体" w:hAnsi="Times New Roman"/>
          <w:color w:val="000000"/>
          <w:sz w:val="20"/>
          <w:szCs w:val="20"/>
        </w:rPr>
        <w:t xml:space="preserve"> indefinite-lived intangible asset and assessed for impairment thereafter until completion, at which point the asset is amortized over its expected useful life. All acquisition costs are expensed as incurred, and the results of operations of acquired busin</w:t>
      </w:r>
      <w:r>
        <w:rPr>
          <w:rFonts w:ascii="Times New Roman" w:eastAsia="宋体" w:hAnsi="Times New Roman"/>
          <w:color w:val="000000"/>
          <w:sz w:val="20"/>
          <w:szCs w:val="20"/>
        </w:rPr>
        <w:t>esses are included in the Consolidated Financial Statements from the acquisition date.</w:t>
      </w:r>
    </w:p>
    <w:p w14:paraId="7DCFF2A0" w14:textId="77777777" w:rsidR="00C1563E" w:rsidRDefault="00C1563E"/>
    <w:p w14:paraId="7DCFF2A1" w14:textId="77777777" w:rsidR="00C1563E" w:rsidRDefault="000B648B">
      <w:r>
        <w:rPr>
          <w:rFonts w:ascii="Times New Roman" w:eastAsia="宋体" w:hAnsi="Times New Roman"/>
          <w:i/>
          <w:iCs/>
          <w:color w:val="000000"/>
          <w:sz w:val="20"/>
          <w:szCs w:val="20"/>
        </w:rPr>
        <w:t xml:space="preserve">Intangible Assets Including Goodwill </w:t>
      </w:r>
      <w:r>
        <w:rPr>
          <w:rFonts w:ascii="Times New Roman" w:eastAsia="宋体" w:hAnsi="Times New Roman"/>
          <w:color w:val="000000"/>
          <w:sz w:val="20"/>
          <w:szCs w:val="20"/>
        </w:rPr>
        <w:t>— Identifiable intangible assets with finite lives are amortized over their estimated useful lives. Definite-lived intangible asset</w:t>
      </w:r>
      <w:r>
        <w:rPr>
          <w:rFonts w:ascii="Times New Roman" w:eastAsia="宋体" w:hAnsi="Times New Roman"/>
          <w:color w:val="000000"/>
          <w:sz w:val="20"/>
          <w:szCs w:val="20"/>
        </w:rPr>
        <w:t>s are reviewed for impairment when events and circumstances indicate the asset may be impaired. Goodwill and indefinite-lived intangible assets are tested for impairment annually during the third fiscal quarter and whenever events or circumstances indicate</w:t>
      </w:r>
      <w:r>
        <w:rPr>
          <w:rFonts w:ascii="Times New Roman" w:eastAsia="宋体" w:hAnsi="Times New Roman"/>
          <w:color w:val="000000"/>
          <w:sz w:val="20"/>
          <w:szCs w:val="20"/>
        </w:rPr>
        <w:t xml:space="preserve"> that an impairment may have occurred.</w:t>
      </w:r>
    </w:p>
    <w:p w14:paraId="7DCFF2A2" w14:textId="77777777" w:rsidR="00C1563E" w:rsidRDefault="00C1563E"/>
    <w:p w14:paraId="7DCFF2A3" w14:textId="77777777" w:rsidR="00C1563E" w:rsidRDefault="000B648B">
      <w:r>
        <w:rPr>
          <w:rFonts w:ascii="Times New Roman" w:eastAsia="宋体" w:hAnsi="Times New Roman"/>
          <w:i/>
          <w:iCs/>
          <w:color w:val="000000"/>
          <w:sz w:val="20"/>
          <w:szCs w:val="20"/>
        </w:rPr>
        <w:t xml:space="preserve">Foreign Currency Translation </w:t>
      </w:r>
      <w:r>
        <w:rPr>
          <w:rFonts w:ascii="Times New Roman" w:eastAsia="宋体" w:hAnsi="Times New Roman"/>
          <w:color w:val="000000"/>
          <w:sz w:val="20"/>
          <w:szCs w:val="20"/>
        </w:rPr>
        <w:t>— The majority of the Company’s international sales are made by international subsidiaries, some of which have the U.S. Dollar as their functional currency. The Company’s subsidiaries tha</w:t>
      </w:r>
      <w:r>
        <w:rPr>
          <w:rFonts w:ascii="Times New Roman" w:eastAsia="宋体" w:hAnsi="Times New Roman"/>
          <w:color w:val="000000"/>
          <w:sz w:val="20"/>
          <w:szCs w:val="20"/>
        </w:rPr>
        <w:t>t do not use the U.S. Dollar as their functional currency translate assets and liabilities at current exchange rates in effect at the balance sheet date. Revenue and expenses from these international subsidiaries are translated using either the monthly ave</w:t>
      </w:r>
      <w:r>
        <w:rPr>
          <w:rFonts w:ascii="Times New Roman" w:eastAsia="宋体" w:hAnsi="Times New Roman"/>
          <w:color w:val="000000"/>
          <w:sz w:val="20"/>
          <w:szCs w:val="20"/>
        </w:rPr>
        <w:t>rage exchange rates in effect for the period in which the activity was recognized or the specific daily exchange rate associated with the date the transactions actually occur. Foreign currency translation adjustments are included as a component of accumula</w:t>
      </w:r>
      <w:r>
        <w:rPr>
          <w:rFonts w:ascii="Times New Roman" w:eastAsia="宋体" w:hAnsi="Times New Roman"/>
          <w:color w:val="000000"/>
          <w:sz w:val="20"/>
          <w:szCs w:val="20"/>
        </w:rPr>
        <w:t>ted other comprehensive income (loss) (“OCI”) in stockholders’ equity (deficit).</w:t>
      </w:r>
    </w:p>
    <w:p w14:paraId="7DCFF2A4" w14:textId="77777777" w:rsidR="00C1563E" w:rsidRDefault="00C1563E"/>
    <w:p w14:paraId="7DCFF2A5" w14:textId="77777777" w:rsidR="00C1563E" w:rsidRDefault="000B648B">
      <w:r>
        <w:rPr>
          <w:rFonts w:ascii="Times New Roman" w:eastAsia="宋体" w:hAnsi="Times New Roman"/>
          <w:color w:val="000000"/>
          <w:sz w:val="20"/>
          <w:szCs w:val="20"/>
        </w:rPr>
        <w:t>Local currency transactions of international subsidiaries that have the U.S. Dollar as their functional currency are remeasured into U.S. Dollars using the current rates of e</w:t>
      </w:r>
      <w:r>
        <w:rPr>
          <w:rFonts w:ascii="Times New Roman" w:eastAsia="宋体" w:hAnsi="Times New Roman"/>
          <w:color w:val="000000"/>
          <w:sz w:val="20"/>
          <w:szCs w:val="20"/>
        </w:rPr>
        <w:t>xchange for monetary assets and liabilities and historical rates of exchange for nonmonetary assets and liabilities. Gains and losses from remeasurement of monetary assets and liabilities are included in interest and other, net on the Consolidated Statemen</w:t>
      </w:r>
      <w:r>
        <w:rPr>
          <w:rFonts w:ascii="Times New Roman" w:eastAsia="宋体" w:hAnsi="Times New Roman"/>
          <w:color w:val="000000"/>
          <w:sz w:val="20"/>
          <w:szCs w:val="20"/>
        </w:rPr>
        <w:t>ts of Income (Loss). See Note 20 of the Notes to the Consolidated Financial Statements for amounts recognized from remeasurement during the periods presented.</w:t>
      </w:r>
    </w:p>
    <w:p w14:paraId="7DCFF2A6" w14:textId="77777777" w:rsidR="00C1563E" w:rsidRDefault="00C1563E"/>
    <w:p w14:paraId="7DCFF2A7" w14:textId="77777777" w:rsidR="00C1563E" w:rsidRDefault="000B648B">
      <w:r>
        <w:rPr>
          <w:rFonts w:ascii="Times New Roman" w:eastAsia="宋体" w:hAnsi="Times New Roman"/>
          <w:i/>
          <w:iCs/>
          <w:color w:val="000000"/>
          <w:sz w:val="20"/>
          <w:szCs w:val="20"/>
        </w:rPr>
        <w:t xml:space="preserve">Hedging Instruments </w:t>
      </w:r>
      <w:r>
        <w:rPr>
          <w:rFonts w:ascii="Times New Roman" w:eastAsia="宋体" w:hAnsi="Times New Roman"/>
          <w:color w:val="000000"/>
          <w:sz w:val="20"/>
          <w:szCs w:val="20"/>
        </w:rPr>
        <w:t>— The Company uses derivative financial instruments, primarily forward contr</w:t>
      </w:r>
      <w:r>
        <w:rPr>
          <w:rFonts w:ascii="Times New Roman" w:eastAsia="宋体" w:hAnsi="Times New Roman"/>
          <w:color w:val="000000"/>
          <w:sz w:val="20"/>
          <w:szCs w:val="20"/>
        </w:rPr>
        <w:t>acts, options, and swaps, to hedge certain foreign currency and interest rate exposures. The relationships between hedging instruments and hedged items, as well as the risk management objectives and strategies for undertaking hedge transactions, are formal</w:t>
      </w:r>
      <w:r>
        <w:rPr>
          <w:rFonts w:ascii="Times New Roman" w:eastAsia="宋体" w:hAnsi="Times New Roman"/>
          <w:color w:val="000000"/>
          <w:sz w:val="20"/>
          <w:szCs w:val="20"/>
        </w:rPr>
        <w:t>ly documented. The Company does not use derivatives for speculative purposes. All derivative instruments are recognized as either assets or liabilities in the Consolidated Statements of Financial Position and are measured at fair value.</w:t>
      </w:r>
    </w:p>
    <w:p w14:paraId="7DCFF2A8" w14:textId="77777777" w:rsidR="00C1563E" w:rsidRDefault="00C1563E"/>
    <w:p w14:paraId="7DCFF2A9" w14:textId="77777777" w:rsidR="00C1563E" w:rsidRDefault="000B648B">
      <w:r>
        <w:rPr>
          <w:rFonts w:ascii="Times New Roman" w:eastAsia="宋体" w:hAnsi="Times New Roman"/>
          <w:color w:val="000000"/>
          <w:sz w:val="20"/>
          <w:szCs w:val="20"/>
        </w:rPr>
        <w:t>The Company’s hedg</w:t>
      </w:r>
      <w:r>
        <w:rPr>
          <w:rFonts w:ascii="Times New Roman" w:eastAsia="宋体" w:hAnsi="Times New Roman"/>
          <w:color w:val="000000"/>
          <w:sz w:val="20"/>
          <w:szCs w:val="20"/>
        </w:rPr>
        <w:t>e portfolio includes non-designated derivatives and derivatives designated as cash flow hedges. For derivative instruments that are designated as cash flow hedges, the Company assesses hedge effectiveness at the onset of the hedge, then performs qualitativ</w:t>
      </w:r>
      <w:r>
        <w:rPr>
          <w:rFonts w:ascii="Times New Roman" w:eastAsia="宋体" w:hAnsi="Times New Roman"/>
          <w:color w:val="000000"/>
          <w:sz w:val="20"/>
          <w:szCs w:val="20"/>
        </w:rPr>
        <w:t>e assessments at regular intervals throughout the life of the derivative. The gain or loss on cash flow hedges is recorded in accumulated other comprehensive income (loss), as a separate component of stockholders’ equity (deficit), and reclassified into ea</w:t>
      </w:r>
      <w:r>
        <w:rPr>
          <w:rFonts w:ascii="Times New Roman" w:eastAsia="宋体" w:hAnsi="Times New Roman"/>
          <w:color w:val="000000"/>
          <w:sz w:val="20"/>
          <w:szCs w:val="20"/>
        </w:rPr>
        <w:t>rnings in the period during which the hedged transaction is recognized in earnings. For derivatives that are not designated as hedges or do not qualify for hedge accounting treatment, the Company recognizes the change in the instrument’s fair value current</w:t>
      </w:r>
      <w:r>
        <w:rPr>
          <w:rFonts w:ascii="Times New Roman" w:eastAsia="宋体" w:hAnsi="Times New Roman"/>
          <w:color w:val="000000"/>
          <w:sz w:val="20"/>
          <w:szCs w:val="20"/>
        </w:rPr>
        <w:t xml:space="preserve">ly in earnings as a component of interest and other, net. </w:t>
      </w:r>
    </w:p>
    <w:p w14:paraId="7DCFF2AA" w14:textId="77777777" w:rsidR="00C1563E" w:rsidRDefault="00C1563E"/>
    <w:p w14:paraId="7DCFF2AB" w14:textId="77777777" w:rsidR="00C1563E" w:rsidRDefault="000B648B">
      <w:r>
        <w:rPr>
          <w:rFonts w:ascii="Times New Roman" w:eastAsia="宋体" w:hAnsi="Times New Roman"/>
          <w:color w:val="000000"/>
          <w:sz w:val="20"/>
          <w:szCs w:val="20"/>
        </w:rPr>
        <w:t xml:space="preserve">Cash flows from derivative instruments are presented in the same category on the Consolidated Statements of Cash Flows as the cash flows from the underlying hedged items. See Note 7 of the </w:t>
      </w:r>
      <w:r>
        <w:rPr>
          <w:rFonts w:ascii="Times New Roman" w:eastAsia="宋体" w:hAnsi="Times New Roman"/>
          <w:color w:val="000000"/>
          <w:sz w:val="20"/>
          <w:szCs w:val="20"/>
        </w:rPr>
        <w:t>Notes to the Consolidated Financial Statements for a description of the Company’s derivative financial instrument activities.</w:t>
      </w:r>
    </w:p>
    <w:p w14:paraId="7DCFF2AC" w14:textId="77777777" w:rsidR="00C1563E" w:rsidRDefault="00C1563E"/>
    <w:p w14:paraId="7DCFF2AD" w14:textId="77777777" w:rsidR="00C1563E" w:rsidRDefault="00C1563E"/>
    <w:p w14:paraId="7DCFF2AE" w14:textId="77777777" w:rsidR="00C1563E" w:rsidRDefault="00C1563E">
      <w:pPr>
        <w:jc w:val="center"/>
      </w:pPr>
    </w:p>
    <w:p w14:paraId="7DCFF2AF" w14:textId="77777777" w:rsidR="00C1563E" w:rsidRDefault="000B648B">
      <w:pPr>
        <w:jc w:val="center"/>
      </w:pPr>
      <w:r>
        <w:rPr>
          <w:rFonts w:ascii="Times New Roman" w:eastAsia="宋体" w:hAnsi="Times New Roman"/>
          <w:color w:val="000000"/>
          <w:sz w:val="20"/>
          <w:szCs w:val="20"/>
        </w:rPr>
        <w:t>87</w:t>
      </w:r>
    </w:p>
    <w:p w14:paraId="7DCFF2B0" w14:textId="77777777" w:rsidR="00C1563E" w:rsidRDefault="00C1563E">
      <w:pPr>
        <w:jc w:val="center"/>
      </w:pPr>
    </w:p>
    <w:p w14:paraId="7DCFF2B1" w14:textId="77777777" w:rsidR="00C1563E" w:rsidRDefault="000B648B">
      <w:r>
        <w:pict w14:anchorId="7DD025C1">
          <v:rect id="_x0000_i1111" style="width:415.3pt;height:1.5pt" o:hralign="center" o:hrstd="t" o:hr="t" fillcolor="#a0a0a0" stroked="f"/>
        </w:pict>
      </w:r>
    </w:p>
    <w:p w14:paraId="7DCFF2B2" w14:textId="77777777" w:rsidR="00C1563E" w:rsidRDefault="000B648B">
      <w:hyperlink r:id="rId256" w:anchor="i418e32e4a35149ffbf7d3a25d66881b8_10" w:history="1">
        <w:r>
          <w:rPr>
            <w:rStyle w:val="a5"/>
            <w:rFonts w:ascii="Times New Roman" w:eastAsia="宋体" w:hAnsi="Times New Roman"/>
            <w:sz w:val="20"/>
            <w:szCs w:val="20"/>
          </w:rPr>
          <w:t>T</w:t>
        </w:r>
      </w:hyperlink>
      <w:hyperlink r:id="rId257" w:anchor="i418e32e4a35149ffbf7d3a25d66881b8_10" w:history="1">
        <w:r>
          <w:rPr>
            <w:rStyle w:val="a5"/>
            <w:rFonts w:ascii="Times New Roman" w:eastAsia="宋体" w:hAnsi="Times New Roman"/>
            <w:sz w:val="20"/>
            <w:szCs w:val="20"/>
          </w:rPr>
          <w:t xml:space="preserve">able of </w:t>
        </w:r>
      </w:hyperlink>
      <w:hyperlink r:id="rId258" w:anchor="i418e32e4a35149ffbf7d3a25d66881b8_10" w:history="1">
        <w:r>
          <w:rPr>
            <w:rStyle w:val="a5"/>
            <w:rFonts w:ascii="Times New Roman" w:eastAsia="宋体" w:hAnsi="Times New Roman"/>
            <w:sz w:val="20"/>
            <w:szCs w:val="20"/>
          </w:rPr>
          <w:t>Contents</w:t>
        </w:r>
      </w:hyperlink>
    </w:p>
    <w:p w14:paraId="7DCFF2B3" w14:textId="77777777" w:rsidR="00C1563E" w:rsidRDefault="000B648B">
      <w:r>
        <w:rPr>
          <w:rFonts w:ascii="Times New Roman" w:eastAsia="宋体" w:hAnsi="Times New Roman"/>
          <w:i/>
          <w:iCs/>
          <w:color w:val="000000"/>
          <w:sz w:val="20"/>
          <w:szCs w:val="20"/>
        </w:rPr>
        <w:t>Revenue Recognition</w:t>
      </w:r>
      <w:r>
        <w:rPr>
          <w:rFonts w:ascii="Times New Roman" w:eastAsia="宋体" w:hAnsi="Times New Roman"/>
          <w:color w:val="000000"/>
          <w:sz w:val="20"/>
          <w:szCs w:val="20"/>
        </w:rPr>
        <w:t xml:space="preserve"> — The Compan</w:t>
      </w:r>
      <w:r>
        <w:rPr>
          <w:rFonts w:ascii="Times New Roman" w:eastAsia="宋体" w:hAnsi="Times New Roman"/>
          <w:color w:val="000000"/>
          <w:sz w:val="20"/>
          <w:szCs w:val="20"/>
        </w:rPr>
        <w:t>y sells a wide portfolio of products and services to its customers. The Company’s agreements have varying requirements depending on the goods and services being sold, the rights and obligations conveyed, and the legal jurisdiction of the arrangement.</w:t>
      </w:r>
    </w:p>
    <w:p w14:paraId="7DCFF2B4" w14:textId="77777777" w:rsidR="00C1563E" w:rsidRDefault="00C1563E"/>
    <w:p w14:paraId="7DCFF2B5" w14:textId="77777777" w:rsidR="00C1563E" w:rsidRDefault="000B648B">
      <w:r>
        <w:rPr>
          <w:rFonts w:ascii="Times New Roman" w:eastAsia="宋体" w:hAnsi="Times New Roman"/>
          <w:color w:val="000000"/>
          <w:sz w:val="20"/>
          <w:szCs w:val="20"/>
        </w:rPr>
        <w:t>Reve</w:t>
      </w:r>
      <w:r>
        <w:rPr>
          <w:rFonts w:ascii="Times New Roman" w:eastAsia="宋体" w:hAnsi="Times New Roman"/>
          <w:color w:val="000000"/>
          <w:sz w:val="20"/>
          <w:szCs w:val="20"/>
        </w:rPr>
        <w:t>nue is recognized for these arrangements based on the following five steps:</w:t>
      </w:r>
    </w:p>
    <w:p w14:paraId="7DCFF2B6" w14:textId="77777777" w:rsidR="00C1563E" w:rsidRDefault="00C1563E"/>
    <w:p w14:paraId="7DCFF2B7" w14:textId="77777777" w:rsidR="00C1563E" w:rsidRDefault="000B648B">
      <w:pPr>
        <w:ind w:hanging="360"/>
      </w:pPr>
      <w:r>
        <w:rPr>
          <w:rFonts w:ascii="Times New Roman" w:eastAsia="宋体" w:hAnsi="Times New Roman"/>
          <w:i/>
          <w:iCs/>
          <w:color w:val="000000"/>
          <w:sz w:val="20"/>
          <w:szCs w:val="20"/>
        </w:rPr>
        <w:t>(1)    Identify the contract with a customer.</w:t>
      </w:r>
      <w:r>
        <w:rPr>
          <w:rFonts w:ascii="Times New Roman" w:eastAsia="宋体" w:hAnsi="Times New Roman"/>
          <w:color w:val="000000"/>
          <w:sz w:val="20"/>
          <w:szCs w:val="20"/>
        </w:rPr>
        <w:t xml:space="preserve"> The Company evaluates facts and circumstances regarding sales transactions in order to identify contracts with its customers. An agre</w:t>
      </w:r>
      <w:r>
        <w:rPr>
          <w:rFonts w:ascii="Times New Roman" w:eastAsia="宋体" w:hAnsi="Times New Roman"/>
          <w:color w:val="000000"/>
          <w:sz w:val="20"/>
          <w:szCs w:val="20"/>
        </w:rPr>
        <w:t>ement must meet all of the following criteria to qualify as a contract eligible for revenue recognition under the model: (i) the contract must be approved by all parties who are committed to perform their respective obligations; (ii) each party’s rights re</w:t>
      </w:r>
      <w:r>
        <w:rPr>
          <w:rFonts w:ascii="Times New Roman" w:eastAsia="宋体" w:hAnsi="Times New Roman"/>
          <w:color w:val="000000"/>
          <w:sz w:val="20"/>
          <w:szCs w:val="20"/>
        </w:rPr>
        <w:t>garding the goods and services to be transferred to the customer can be identified; (iii) the payment terms for the goods and services can be identified; (iv) the customer has the ability and intent to pay and it is probable that the Company will collect s</w:t>
      </w:r>
      <w:r>
        <w:rPr>
          <w:rFonts w:ascii="Times New Roman" w:eastAsia="宋体" w:hAnsi="Times New Roman"/>
          <w:color w:val="000000"/>
          <w:sz w:val="20"/>
          <w:szCs w:val="20"/>
        </w:rPr>
        <w:t>ubstantially all of the consideration to which it will be entitled; and (v) the contract must have commercial substance. Judgment is used in determining the customer’s ability and intent to pay, which is based upon various factors, including the customer’s</w:t>
      </w:r>
      <w:r>
        <w:rPr>
          <w:rFonts w:ascii="Times New Roman" w:eastAsia="宋体" w:hAnsi="Times New Roman"/>
          <w:color w:val="000000"/>
          <w:sz w:val="20"/>
          <w:szCs w:val="20"/>
        </w:rPr>
        <w:t xml:space="preserve"> historical payment experience or customer credit and financial information.</w:t>
      </w:r>
    </w:p>
    <w:p w14:paraId="7DCFF2B8" w14:textId="77777777" w:rsidR="00C1563E" w:rsidRDefault="000B648B">
      <w:pPr>
        <w:ind w:hanging="360"/>
      </w:pPr>
      <w:r>
        <w:rPr>
          <w:rFonts w:ascii="Times New Roman" w:eastAsia="宋体" w:hAnsi="Times New Roman"/>
          <w:color w:val="000000"/>
          <w:sz w:val="20"/>
          <w:szCs w:val="20"/>
        </w:rPr>
        <w:t>    </w:t>
      </w:r>
    </w:p>
    <w:p w14:paraId="7DCFF2B9" w14:textId="77777777" w:rsidR="00C1563E" w:rsidRDefault="000B648B">
      <w:pPr>
        <w:ind w:hanging="360"/>
      </w:pPr>
      <w:r>
        <w:rPr>
          <w:rFonts w:ascii="Times New Roman" w:eastAsia="宋体" w:hAnsi="Times New Roman"/>
          <w:i/>
          <w:iCs/>
          <w:color w:val="000000"/>
          <w:sz w:val="20"/>
          <w:szCs w:val="20"/>
        </w:rPr>
        <w:t xml:space="preserve">(2)    Identify the performance obligations in the contract. </w:t>
      </w:r>
      <w:r>
        <w:rPr>
          <w:rFonts w:ascii="Times New Roman" w:eastAsia="宋体" w:hAnsi="Times New Roman"/>
          <w:color w:val="000000"/>
          <w:sz w:val="20"/>
          <w:szCs w:val="20"/>
        </w:rPr>
        <w:t xml:space="preserve"> The Company’s contracts with customers often include the promise to transfer multiple goods and services to the </w:t>
      </w:r>
      <w:r>
        <w:rPr>
          <w:rFonts w:ascii="Times New Roman" w:eastAsia="宋体" w:hAnsi="Times New Roman"/>
          <w:color w:val="000000"/>
          <w:sz w:val="20"/>
          <w:szCs w:val="20"/>
        </w:rPr>
        <w:t>customer. Distinct promises within a contract are referred to as “performance obligations” and are accounted for as separate units of account. The Company assesses whether each promised good or service is distinct for the purpose of identifying the perform</w:t>
      </w:r>
      <w:r>
        <w:rPr>
          <w:rFonts w:ascii="Times New Roman" w:eastAsia="宋体" w:hAnsi="Times New Roman"/>
          <w:color w:val="000000"/>
          <w:sz w:val="20"/>
          <w:szCs w:val="20"/>
        </w:rPr>
        <w:t>ance obligations in the contract. This assessment involves subjective determinations and requires management to make judgments about the individual promised goods or services and whether such goods or services are separable from the other aspects of the co</w:t>
      </w:r>
      <w:r>
        <w:rPr>
          <w:rFonts w:ascii="Times New Roman" w:eastAsia="宋体" w:hAnsi="Times New Roman"/>
          <w:color w:val="000000"/>
          <w:sz w:val="20"/>
          <w:szCs w:val="20"/>
        </w:rPr>
        <w:t>ntractual relationship. Promised goods and services are considered distinct provided that: (i) the customer can benefit from the good or service either on its own or together with other resources that are readily available to the customer (that is, the goo</w:t>
      </w:r>
      <w:r>
        <w:rPr>
          <w:rFonts w:ascii="Times New Roman" w:eastAsia="宋体" w:hAnsi="Times New Roman"/>
          <w:color w:val="000000"/>
          <w:sz w:val="20"/>
          <w:szCs w:val="20"/>
        </w:rPr>
        <w:t>d or service is capable of being distinct); and (ii) the Company’s promise to transfer the good or service to the customer is separately identifiable from other promises in the contract (that is, the promise to transfer the good or service is distinct with</w:t>
      </w:r>
      <w:r>
        <w:rPr>
          <w:rFonts w:ascii="Times New Roman" w:eastAsia="宋体" w:hAnsi="Times New Roman"/>
          <w:color w:val="000000"/>
          <w:sz w:val="20"/>
          <w:szCs w:val="20"/>
        </w:rPr>
        <w:t>in the context of the contract). The Company’s performance obligations include various distinct goods and services such as hardware, software licenses, support and maintenance agreements, and other service offerings and solutions. Promised goods and servic</w:t>
      </w:r>
      <w:r>
        <w:rPr>
          <w:rFonts w:ascii="Times New Roman" w:eastAsia="宋体" w:hAnsi="Times New Roman"/>
          <w:color w:val="000000"/>
          <w:sz w:val="20"/>
          <w:szCs w:val="20"/>
        </w:rPr>
        <w:t xml:space="preserve">es are explicitly identified in the Company’s contracts and may be sold on a standalone basis or bundled as part of a combined solution. In certain hardware solutions, the hardware is highly interdependent on, and interrelated with, the embedded software. </w:t>
      </w:r>
      <w:r>
        <w:rPr>
          <w:rFonts w:ascii="Times New Roman" w:eastAsia="宋体" w:hAnsi="Times New Roman"/>
          <w:color w:val="000000"/>
          <w:sz w:val="20"/>
          <w:szCs w:val="20"/>
        </w:rPr>
        <w:t xml:space="preserve">In these offerings, the hardware and software licenses are accounted for as a single performance obligation. </w:t>
      </w:r>
    </w:p>
    <w:p w14:paraId="7DCFF2BA" w14:textId="77777777" w:rsidR="00C1563E" w:rsidRDefault="00C1563E">
      <w:pPr>
        <w:ind w:hanging="360"/>
      </w:pPr>
    </w:p>
    <w:p w14:paraId="7DCFF2BB" w14:textId="77777777" w:rsidR="00C1563E" w:rsidRDefault="000B648B">
      <w:pPr>
        <w:ind w:hanging="360"/>
      </w:pPr>
      <w:r>
        <w:rPr>
          <w:rFonts w:ascii="Times New Roman" w:eastAsia="宋体" w:hAnsi="Times New Roman"/>
          <w:i/>
          <w:iCs/>
          <w:color w:val="000000"/>
          <w:sz w:val="20"/>
          <w:szCs w:val="20"/>
        </w:rPr>
        <w:t>(3)    Determine the transaction price.</w:t>
      </w:r>
      <w:r>
        <w:rPr>
          <w:rFonts w:ascii="Times New Roman" w:eastAsia="宋体" w:hAnsi="Times New Roman"/>
          <w:color w:val="000000"/>
          <w:sz w:val="20"/>
          <w:szCs w:val="20"/>
        </w:rPr>
        <w:t>  The transaction price reflects the amount of consideration to which the Company expects to be entitled i</w:t>
      </w:r>
      <w:r>
        <w:rPr>
          <w:rFonts w:ascii="Times New Roman" w:eastAsia="宋体" w:hAnsi="Times New Roman"/>
          <w:color w:val="000000"/>
          <w:sz w:val="20"/>
          <w:szCs w:val="20"/>
        </w:rPr>
        <w:t>n exchange for transferring goods or services to the customer. If the consideration promised in a contract includes a variable amount, the Company estimates the amount to which it expects to be entitled using either the expected value or most likely amount</w:t>
      </w:r>
      <w:r>
        <w:rPr>
          <w:rFonts w:ascii="Times New Roman" w:eastAsia="宋体" w:hAnsi="Times New Roman"/>
          <w:color w:val="000000"/>
          <w:sz w:val="20"/>
          <w:szCs w:val="20"/>
        </w:rPr>
        <w:t xml:space="preserve"> method. Generally, volume discounts, rebates, and sales returns reduce the transaction price. In determining the transaction price, the Company only includes amounts that are not subject to significant future reversal.</w:t>
      </w:r>
    </w:p>
    <w:p w14:paraId="7DCFF2BC" w14:textId="77777777" w:rsidR="00C1563E" w:rsidRDefault="00C1563E">
      <w:pPr>
        <w:ind w:hanging="360"/>
      </w:pPr>
    </w:p>
    <w:p w14:paraId="7DCFF2BD" w14:textId="77777777" w:rsidR="00C1563E" w:rsidRDefault="000B648B">
      <w:pPr>
        <w:ind w:hanging="360"/>
      </w:pPr>
      <w:r>
        <w:rPr>
          <w:rFonts w:ascii="Times New Roman" w:eastAsia="宋体" w:hAnsi="Times New Roman"/>
          <w:i/>
          <w:iCs/>
          <w:color w:val="000000"/>
          <w:sz w:val="20"/>
          <w:szCs w:val="20"/>
        </w:rPr>
        <w:t>(4)    Allocate the transaction pri</w:t>
      </w:r>
      <w:r>
        <w:rPr>
          <w:rFonts w:ascii="Times New Roman" w:eastAsia="宋体" w:hAnsi="Times New Roman"/>
          <w:i/>
          <w:iCs/>
          <w:color w:val="000000"/>
          <w:sz w:val="20"/>
          <w:szCs w:val="20"/>
        </w:rPr>
        <w:t xml:space="preserve">ce to performance obligations in the contract. </w:t>
      </w:r>
      <w:r>
        <w:rPr>
          <w:rFonts w:ascii="Times New Roman" w:eastAsia="宋体" w:hAnsi="Times New Roman"/>
          <w:color w:val="000000"/>
          <w:sz w:val="20"/>
          <w:szCs w:val="20"/>
        </w:rPr>
        <w:t>When a contract includes multiple performance obligations, the transaction price is allocated to each performance obligation in an amount that depicts the consideration to which the Company expects to be entit</w:t>
      </w:r>
      <w:r>
        <w:rPr>
          <w:rFonts w:ascii="Times New Roman" w:eastAsia="宋体" w:hAnsi="Times New Roman"/>
          <w:color w:val="000000"/>
          <w:sz w:val="20"/>
          <w:szCs w:val="20"/>
        </w:rPr>
        <w:t>led in exchange for transferring the promised goods or services. For contracts with multiple performance obligations, the transaction price is allocated in proportion to the standalone selling price (“SSP”) of each performance obligation.</w:t>
      </w:r>
    </w:p>
    <w:p w14:paraId="7DCFF2BE" w14:textId="77777777" w:rsidR="00C1563E" w:rsidRDefault="00C1563E">
      <w:pPr>
        <w:ind w:hanging="360"/>
      </w:pPr>
    </w:p>
    <w:p w14:paraId="7DCFF2BF" w14:textId="77777777" w:rsidR="00C1563E" w:rsidRDefault="000B648B">
      <w:r>
        <w:rPr>
          <w:rFonts w:ascii="Times New Roman" w:eastAsia="宋体" w:hAnsi="Times New Roman"/>
          <w:color w:val="000000"/>
          <w:sz w:val="20"/>
          <w:szCs w:val="20"/>
        </w:rPr>
        <w:t>The best evidenc</w:t>
      </w:r>
      <w:r>
        <w:rPr>
          <w:rFonts w:ascii="Times New Roman" w:eastAsia="宋体" w:hAnsi="Times New Roman"/>
          <w:color w:val="000000"/>
          <w:sz w:val="20"/>
          <w:szCs w:val="20"/>
        </w:rPr>
        <w:t>e of SSP is the observable price of a good or service when the Company sells that good or service separately in similar circumstances to similar customers. If a directly observable price is available, the Company will utilize that price for the SSP. If a d</w:t>
      </w:r>
      <w:r>
        <w:rPr>
          <w:rFonts w:ascii="Times New Roman" w:eastAsia="宋体" w:hAnsi="Times New Roman"/>
          <w:color w:val="000000"/>
          <w:sz w:val="20"/>
          <w:szCs w:val="20"/>
        </w:rPr>
        <w:t>irectly observable price is not available, the SSP must be estimated. The Company estimates SSP by considering multiple factors, including, but not limited to, pricing practices, internal costs, and profit objectives as well as overall market conditions, w</w:t>
      </w:r>
      <w:r>
        <w:rPr>
          <w:rFonts w:ascii="Times New Roman" w:eastAsia="宋体" w:hAnsi="Times New Roman"/>
          <w:color w:val="000000"/>
          <w:sz w:val="20"/>
          <w:szCs w:val="20"/>
        </w:rPr>
        <w:t xml:space="preserve">hich include geographic or regional specific factors, competitive positioning, and competitor actions. </w:t>
      </w:r>
    </w:p>
    <w:p w14:paraId="7DCFF2C0" w14:textId="77777777" w:rsidR="00C1563E" w:rsidRDefault="00C1563E"/>
    <w:p w14:paraId="7DCFF2C1" w14:textId="77777777" w:rsidR="00C1563E" w:rsidRDefault="00C1563E">
      <w:pPr>
        <w:jc w:val="center"/>
      </w:pPr>
    </w:p>
    <w:p w14:paraId="7DCFF2C2" w14:textId="77777777" w:rsidR="00C1563E" w:rsidRDefault="000B648B">
      <w:pPr>
        <w:jc w:val="center"/>
      </w:pPr>
      <w:r>
        <w:rPr>
          <w:rFonts w:ascii="Times New Roman" w:eastAsia="宋体" w:hAnsi="Times New Roman"/>
          <w:color w:val="000000"/>
          <w:sz w:val="20"/>
          <w:szCs w:val="20"/>
        </w:rPr>
        <w:t>88</w:t>
      </w:r>
    </w:p>
    <w:p w14:paraId="7DCFF2C3" w14:textId="77777777" w:rsidR="00C1563E" w:rsidRDefault="00C1563E">
      <w:pPr>
        <w:jc w:val="center"/>
      </w:pPr>
    </w:p>
    <w:p w14:paraId="7DCFF2C4" w14:textId="77777777" w:rsidR="00C1563E" w:rsidRDefault="000B648B">
      <w:r>
        <w:pict w14:anchorId="7DD025C2">
          <v:rect id="_x0000_i1112" style="width:415.3pt;height:1.5pt" o:hralign="center" o:hrstd="t" o:hr="t" fillcolor="#a0a0a0" stroked="f"/>
        </w:pict>
      </w:r>
    </w:p>
    <w:p w14:paraId="7DCFF2C5" w14:textId="77777777" w:rsidR="00C1563E" w:rsidRDefault="000B648B">
      <w:hyperlink r:id="rId259" w:anchor="i418e32e4a35149ffbf7d3a25d66881b8_10" w:history="1">
        <w:r>
          <w:rPr>
            <w:rStyle w:val="a5"/>
            <w:rFonts w:ascii="Times New Roman" w:eastAsia="宋体" w:hAnsi="Times New Roman"/>
            <w:sz w:val="20"/>
            <w:szCs w:val="20"/>
          </w:rPr>
          <w:t>T</w:t>
        </w:r>
      </w:hyperlink>
      <w:hyperlink r:id="rId260" w:anchor="i418e32e4a35149ffbf7d3a25d66881b8_10" w:history="1">
        <w:r>
          <w:rPr>
            <w:rStyle w:val="a5"/>
            <w:rFonts w:ascii="Times New Roman" w:eastAsia="宋体" w:hAnsi="Times New Roman"/>
            <w:sz w:val="20"/>
            <w:szCs w:val="20"/>
          </w:rPr>
          <w:t xml:space="preserve">able of </w:t>
        </w:r>
      </w:hyperlink>
      <w:hyperlink r:id="rId261" w:anchor="i418e32e4a35149ffbf7d3a25d66881b8_10" w:history="1">
        <w:r>
          <w:rPr>
            <w:rStyle w:val="a5"/>
            <w:rFonts w:ascii="Times New Roman" w:eastAsia="宋体" w:hAnsi="Times New Roman"/>
            <w:sz w:val="20"/>
            <w:szCs w:val="20"/>
          </w:rPr>
          <w:t>Contents</w:t>
        </w:r>
      </w:hyperlink>
    </w:p>
    <w:p w14:paraId="7DCFF2C6" w14:textId="77777777" w:rsidR="00C1563E" w:rsidRDefault="00C1563E"/>
    <w:p w14:paraId="7DCFF2C7" w14:textId="77777777" w:rsidR="00C1563E" w:rsidRDefault="000B648B">
      <w:pPr>
        <w:ind w:hanging="360"/>
      </w:pPr>
      <w:r>
        <w:rPr>
          <w:rFonts w:ascii="Times New Roman" w:eastAsia="宋体" w:hAnsi="Times New Roman"/>
          <w:i/>
          <w:iCs/>
          <w:color w:val="000000"/>
          <w:sz w:val="20"/>
          <w:szCs w:val="20"/>
        </w:rPr>
        <w:t xml:space="preserve">(5)    Recognize revenue when (or as) the performance obligation is satisfied. </w:t>
      </w:r>
      <w:r>
        <w:rPr>
          <w:rFonts w:ascii="Times New Roman" w:eastAsia="宋体" w:hAnsi="Times New Roman"/>
          <w:color w:val="000000"/>
          <w:sz w:val="20"/>
          <w:szCs w:val="20"/>
        </w:rPr>
        <w:t>Revenue is recognized when obligations under the terms of the contract with the Company’s customer are satisfied. Revenue is recognized either over time or at a point in time, depending on when the underlying products or services are transferred to the cus</w:t>
      </w:r>
      <w:r>
        <w:rPr>
          <w:rFonts w:ascii="Times New Roman" w:eastAsia="宋体" w:hAnsi="Times New Roman"/>
          <w:color w:val="000000"/>
          <w:sz w:val="20"/>
          <w:szCs w:val="20"/>
        </w:rPr>
        <w:t xml:space="preserve">tomer. Revenue is recognized at a point in time for products upon transfer of control. Revenue is recognized over time for support and deployment services, software support, software-as-a-service (“SaaS”), and infrastructure-as-a-service (“IaaS”). Revenue </w:t>
      </w:r>
      <w:r>
        <w:rPr>
          <w:rFonts w:ascii="Times New Roman" w:eastAsia="宋体" w:hAnsi="Times New Roman"/>
          <w:color w:val="000000"/>
          <w:sz w:val="20"/>
          <w:szCs w:val="20"/>
        </w:rPr>
        <w:t xml:space="preserve">is recognized either over time or at a point in time for professional services and training depending on the nature of the offering to the customer. </w:t>
      </w:r>
    </w:p>
    <w:p w14:paraId="7DCFF2C8" w14:textId="77777777" w:rsidR="00C1563E" w:rsidRDefault="00C1563E">
      <w:pPr>
        <w:ind w:hanging="360"/>
      </w:pPr>
    </w:p>
    <w:p w14:paraId="7DCFF2C9" w14:textId="77777777" w:rsidR="00C1563E" w:rsidRDefault="000B648B">
      <w:r>
        <w:rPr>
          <w:rFonts w:ascii="Times New Roman" w:eastAsia="宋体" w:hAnsi="Times New Roman"/>
          <w:color w:val="000000"/>
          <w:sz w:val="20"/>
          <w:szCs w:val="20"/>
        </w:rPr>
        <w:t xml:space="preserve">The Company reports revenue net of any revenue-based taxes assessed by governmental authorities that are </w:t>
      </w:r>
      <w:r>
        <w:rPr>
          <w:rFonts w:ascii="Times New Roman" w:eastAsia="宋体" w:hAnsi="Times New Roman"/>
          <w:color w:val="000000"/>
          <w:sz w:val="20"/>
          <w:szCs w:val="20"/>
        </w:rPr>
        <w:t>imposed on and concurrently with specific revenue-producing transactions.</w:t>
      </w:r>
    </w:p>
    <w:p w14:paraId="7DCFF2CA" w14:textId="77777777" w:rsidR="00C1563E" w:rsidRDefault="00C1563E"/>
    <w:p w14:paraId="7DCFF2CB" w14:textId="77777777" w:rsidR="00C1563E" w:rsidRDefault="000B648B">
      <w:r>
        <w:rPr>
          <w:rFonts w:ascii="Times New Roman" w:eastAsia="宋体" w:hAnsi="Times New Roman"/>
          <w:color w:val="000000"/>
          <w:sz w:val="20"/>
          <w:szCs w:val="20"/>
        </w:rPr>
        <w:t>The Company has elected the following practical expedients:</w:t>
      </w:r>
    </w:p>
    <w:p w14:paraId="7DCFF2CC" w14:textId="77777777" w:rsidR="00C1563E" w:rsidRDefault="00C1563E"/>
    <w:p w14:paraId="7DCFF2CD" w14:textId="77777777" w:rsidR="00C1563E" w:rsidRDefault="000B648B">
      <w:pPr>
        <w:ind w:hanging="360"/>
      </w:pPr>
      <w:r>
        <w:rPr>
          <w:rFonts w:ascii="Times New Roman" w:eastAsia="宋体" w:hAnsi="Times New Roman"/>
          <w:color w:val="000000"/>
          <w:sz w:val="20"/>
          <w:szCs w:val="20"/>
        </w:rPr>
        <w:t xml:space="preserve">•The Company does not account for significant financing components if the period between revenue recognition and </w:t>
      </w:r>
      <w:r>
        <w:rPr>
          <w:rFonts w:ascii="Times New Roman" w:eastAsia="宋体" w:hAnsi="Times New Roman"/>
          <w:color w:val="000000"/>
          <w:sz w:val="20"/>
          <w:szCs w:val="20"/>
        </w:rPr>
        <w:t>when the customer pays for the product or service will be one year or less.</w:t>
      </w:r>
    </w:p>
    <w:p w14:paraId="7DCFF2CE" w14:textId="77777777" w:rsidR="00C1563E" w:rsidRDefault="00C1563E"/>
    <w:p w14:paraId="7DCFF2CF" w14:textId="77777777" w:rsidR="00C1563E" w:rsidRDefault="000B648B">
      <w:pPr>
        <w:ind w:hanging="360"/>
      </w:pPr>
      <w:r>
        <w:rPr>
          <w:rFonts w:ascii="Times New Roman" w:eastAsia="宋体" w:hAnsi="Times New Roman"/>
          <w:color w:val="000000"/>
          <w:sz w:val="20"/>
          <w:szCs w:val="20"/>
        </w:rPr>
        <w:t>•The Company recognizes revenue equal to the amount it has a right to invoice when the amount corresponds directly with the value to the customer of the Company’s performance to d</w:t>
      </w:r>
      <w:r>
        <w:rPr>
          <w:rFonts w:ascii="Times New Roman" w:eastAsia="宋体" w:hAnsi="Times New Roman"/>
          <w:color w:val="000000"/>
          <w:sz w:val="20"/>
          <w:szCs w:val="20"/>
        </w:rPr>
        <w:t>ate.</w:t>
      </w:r>
    </w:p>
    <w:p w14:paraId="7DCFF2D0" w14:textId="77777777" w:rsidR="00C1563E" w:rsidRDefault="00C1563E"/>
    <w:p w14:paraId="7DCFF2D1" w14:textId="77777777" w:rsidR="00C1563E" w:rsidRDefault="000B648B">
      <w:pPr>
        <w:ind w:hanging="360"/>
      </w:pPr>
      <w:r>
        <w:rPr>
          <w:rFonts w:ascii="Times New Roman" w:eastAsia="宋体" w:hAnsi="Times New Roman"/>
          <w:color w:val="000000"/>
          <w:sz w:val="20"/>
          <w:szCs w:val="20"/>
        </w:rPr>
        <w:t>•The Company does not account for shipping and handling activities as a separate performance obligation, but rather as an activity performed to transfer the promised good.</w:t>
      </w:r>
    </w:p>
    <w:p w14:paraId="7DCFF2D2" w14:textId="77777777" w:rsidR="00C1563E" w:rsidRDefault="00C1563E"/>
    <w:p w14:paraId="7DCFF2D3" w14:textId="77777777" w:rsidR="00C1563E" w:rsidRDefault="000B648B">
      <w:r>
        <w:rPr>
          <w:rFonts w:ascii="Times New Roman" w:eastAsia="宋体" w:hAnsi="Times New Roman"/>
          <w:color w:val="000000"/>
          <w:sz w:val="20"/>
          <w:szCs w:val="20"/>
        </w:rPr>
        <w:t>The following summarizes the nature of revenue recognized and the manner in w</w:t>
      </w:r>
      <w:r>
        <w:rPr>
          <w:rFonts w:ascii="Times New Roman" w:eastAsia="宋体" w:hAnsi="Times New Roman"/>
          <w:color w:val="000000"/>
          <w:sz w:val="20"/>
          <w:szCs w:val="20"/>
        </w:rPr>
        <w:t>hich the Company accounts for sales transactions.</w:t>
      </w:r>
    </w:p>
    <w:p w14:paraId="7DCFF2D4" w14:textId="77777777" w:rsidR="00C1563E" w:rsidRDefault="00C1563E"/>
    <w:p w14:paraId="7DCFF2D5" w14:textId="77777777" w:rsidR="00C1563E" w:rsidRDefault="000B648B">
      <w:r>
        <w:rPr>
          <w:rFonts w:ascii="Times New Roman" w:eastAsia="宋体" w:hAnsi="Times New Roman"/>
          <w:i/>
          <w:iCs/>
          <w:color w:val="000000"/>
          <w:sz w:val="20"/>
          <w:szCs w:val="20"/>
          <w:u w:val="single"/>
        </w:rPr>
        <w:t>Products</w:t>
      </w:r>
    </w:p>
    <w:p w14:paraId="7DCFF2D6" w14:textId="77777777" w:rsidR="00C1563E" w:rsidRDefault="00C1563E"/>
    <w:p w14:paraId="7DCFF2D7" w14:textId="77777777" w:rsidR="00C1563E" w:rsidRDefault="000B648B">
      <w:r>
        <w:rPr>
          <w:rFonts w:ascii="Times New Roman" w:eastAsia="宋体" w:hAnsi="Times New Roman"/>
          <w:color w:val="000000"/>
          <w:sz w:val="20"/>
          <w:szCs w:val="20"/>
        </w:rPr>
        <w:t>Product revenue consists of revenue from sales of hardware products, including notebooks and desktop PCs, servers, storage hardware, and other hardware-related devices, as well as revenue from so</w:t>
      </w:r>
      <w:r>
        <w:rPr>
          <w:rFonts w:ascii="Times New Roman" w:eastAsia="宋体" w:hAnsi="Times New Roman"/>
          <w:color w:val="000000"/>
          <w:sz w:val="20"/>
          <w:szCs w:val="20"/>
        </w:rPr>
        <w:t xml:space="preserve">ftware license sales, including non-essential software applications and third-party software licenses. </w:t>
      </w:r>
    </w:p>
    <w:p w14:paraId="7DCFF2D8" w14:textId="77777777" w:rsidR="00C1563E" w:rsidRDefault="00C1563E"/>
    <w:p w14:paraId="7DCFF2D9" w14:textId="77777777" w:rsidR="00C1563E" w:rsidRDefault="000B648B">
      <w:r>
        <w:rPr>
          <w:rFonts w:ascii="Times New Roman" w:eastAsia="宋体" w:hAnsi="Times New Roman"/>
          <w:color w:val="000000"/>
          <w:sz w:val="20"/>
          <w:szCs w:val="20"/>
        </w:rPr>
        <w:t>Revenue from sales of hardware products is recognized when control has transferred to the customer, which typically occurs when the hardware has been s</w:t>
      </w:r>
      <w:r>
        <w:rPr>
          <w:rFonts w:ascii="Times New Roman" w:eastAsia="宋体" w:hAnsi="Times New Roman"/>
          <w:color w:val="000000"/>
          <w:sz w:val="20"/>
          <w:szCs w:val="20"/>
        </w:rPr>
        <w:t>hipped to the customer, risk of loss has transferred to the customer, the Company has a present right to payment, and customer acceptance has been satisfied. Customer acceptance is satisfied if acceptance is obtained from the customer, if all acceptance pr</w:t>
      </w:r>
      <w:r>
        <w:rPr>
          <w:rFonts w:ascii="Times New Roman" w:eastAsia="宋体" w:hAnsi="Times New Roman"/>
          <w:color w:val="000000"/>
          <w:sz w:val="20"/>
          <w:szCs w:val="20"/>
        </w:rPr>
        <w:t>ovisions lapse, or if the Company has evidence that all acceptance provisions will be, or have been, satisfied. Revenue from software license sales is generally recognized when control has transferred to the customer, which is typically upon shipment, elec</w:t>
      </w:r>
      <w:r>
        <w:rPr>
          <w:rFonts w:ascii="Times New Roman" w:eastAsia="宋体" w:hAnsi="Times New Roman"/>
          <w:color w:val="000000"/>
          <w:sz w:val="20"/>
          <w:szCs w:val="20"/>
        </w:rPr>
        <w:t>tronic delivery, or when the software is available for download by the customer. For certain software arrangements in which the customer is granted a right to additional unspecified future software licenses, the Company’s promise to the customer is conside</w:t>
      </w:r>
      <w:r>
        <w:rPr>
          <w:rFonts w:ascii="Times New Roman" w:eastAsia="宋体" w:hAnsi="Times New Roman"/>
          <w:color w:val="000000"/>
          <w:sz w:val="20"/>
          <w:szCs w:val="20"/>
        </w:rPr>
        <w:t xml:space="preserve">red a stand-ready obligation in which the transfer of control and revenue recognition will occur over time. </w:t>
      </w:r>
    </w:p>
    <w:p w14:paraId="7DCFF2DA" w14:textId="77777777" w:rsidR="00C1563E" w:rsidRDefault="00C1563E"/>
    <w:p w14:paraId="7DCFF2DB" w14:textId="77777777" w:rsidR="00C1563E" w:rsidRDefault="000B648B">
      <w:r>
        <w:rPr>
          <w:rFonts w:ascii="Times New Roman" w:eastAsia="宋体" w:hAnsi="Times New Roman"/>
          <w:i/>
          <w:iCs/>
          <w:color w:val="000000"/>
          <w:sz w:val="20"/>
          <w:szCs w:val="20"/>
          <w:u w:val="single"/>
        </w:rPr>
        <w:t>Services</w:t>
      </w:r>
    </w:p>
    <w:p w14:paraId="7DCFF2DC" w14:textId="77777777" w:rsidR="00C1563E" w:rsidRDefault="00C1563E"/>
    <w:p w14:paraId="7DCFF2DD" w14:textId="77777777" w:rsidR="00C1563E" w:rsidRDefault="000B648B">
      <w:r>
        <w:rPr>
          <w:rFonts w:ascii="Times New Roman" w:eastAsia="宋体" w:hAnsi="Times New Roman"/>
          <w:color w:val="000000"/>
          <w:sz w:val="20"/>
          <w:szCs w:val="20"/>
        </w:rPr>
        <w:t>Services revenue consists of revenue from sales of support services, including hardware support that extends beyond the Company’s standa</w:t>
      </w:r>
      <w:r>
        <w:rPr>
          <w:rFonts w:ascii="Times New Roman" w:eastAsia="宋体" w:hAnsi="Times New Roman"/>
          <w:color w:val="000000"/>
          <w:sz w:val="20"/>
          <w:szCs w:val="20"/>
        </w:rPr>
        <w:t>rd warranties, software maintenance, and installation; professional services; training; SaaS; and IaaS. Revenue associated with undelivered performance obligations is deferred and recognized when or as control is transferred to the customer. Revenue from f</w:t>
      </w:r>
      <w:r>
        <w:rPr>
          <w:rFonts w:ascii="Times New Roman" w:eastAsia="宋体" w:hAnsi="Times New Roman"/>
          <w:color w:val="000000"/>
          <w:sz w:val="20"/>
          <w:szCs w:val="20"/>
        </w:rPr>
        <w:t>ixed-price support or maintenance contracts sold for both hardware and software is recognized on a straight-line basis over the period of performance because the Company is required to provide services at any given time. Other services revenue is recognize</w:t>
      </w:r>
      <w:r>
        <w:rPr>
          <w:rFonts w:ascii="Times New Roman" w:eastAsia="宋体" w:hAnsi="Times New Roman"/>
          <w:color w:val="000000"/>
          <w:sz w:val="20"/>
          <w:szCs w:val="20"/>
        </w:rPr>
        <w:t>d when the Company performs the services and the customer receives and consumes the benefits.</w:t>
      </w:r>
    </w:p>
    <w:p w14:paraId="7DCFF2DE" w14:textId="77777777" w:rsidR="00C1563E" w:rsidRDefault="00C1563E"/>
    <w:p w14:paraId="7DCFF2DF" w14:textId="77777777" w:rsidR="00C1563E" w:rsidRDefault="00C1563E">
      <w:pPr>
        <w:jc w:val="center"/>
      </w:pPr>
    </w:p>
    <w:p w14:paraId="7DCFF2E0" w14:textId="77777777" w:rsidR="00C1563E" w:rsidRDefault="000B648B">
      <w:pPr>
        <w:jc w:val="center"/>
      </w:pPr>
      <w:r>
        <w:rPr>
          <w:rFonts w:ascii="Times New Roman" w:eastAsia="宋体" w:hAnsi="Times New Roman"/>
          <w:color w:val="000000"/>
          <w:sz w:val="20"/>
          <w:szCs w:val="20"/>
        </w:rPr>
        <w:t>89</w:t>
      </w:r>
    </w:p>
    <w:p w14:paraId="7DCFF2E1" w14:textId="77777777" w:rsidR="00C1563E" w:rsidRDefault="00C1563E">
      <w:pPr>
        <w:jc w:val="center"/>
      </w:pPr>
    </w:p>
    <w:p w14:paraId="7DCFF2E2" w14:textId="77777777" w:rsidR="00C1563E" w:rsidRDefault="000B648B">
      <w:r>
        <w:pict w14:anchorId="7DD025C3">
          <v:rect id="_x0000_i1113" style="width:415.3pt;height:1.5pt" o:hralign="center" o:hrstd="t" o:hr="t" fillcolor="#a0a0a0" stroked="f"/>
        </w:pict>
      </w:r>
    </w:p>
    <w:p w14:paraId="7DCFF2E3" w14:textId="77777777" w:rsidR="00C1563E" w:rsidRDefault="000B648B">
      <w:hyperlink r:id="rId262" w:anchor="i418e32e4a35149ffbf7d3a25d66881b8_10" w:history="1">
        <w:r>
          <w:rPr>
            <w:rStyle w:val="a5"/>
            <w:rFonts w:ascii="Times New Roman" w:eastAsia="宋体" w:hAnsi="Times New Roman"/>
            <w:sz w:val="20"/>
            <w:szCs w:val="20"/>
          </w:rPr>
          <w:t>T</w:t>
        </w:r>
      </w:hyperlink>
      <w:hyperlink r:id="rId263" w:anchor="i418e32e4a35149ffbf7d3a25d66881b8_10" w:history="1">
        <w:r>
          <w:rPr>
            <w:rStyle w:val="a5"/>
            <w:rFonts w:ascii="Times New Roman" w:eastAsia="宋体" w:hAnsi="Times New Roman"/>
            <w:sz w:val="20"/>
            <w:szCs w:val="20"/>
          </w:rPr>
          <w:t xml:space="preserve">able of </w:t>
        </w:r>
      </w:hyperlink>
      <w:hyperlink r:id="rId264" w:anchor="i418e32e4a35149ffbf7d3a25d66881b8_10" w:history="1">
        <w:r>
          <w:rPr>
            <w:rStyle w:val="a5"/>
            <w:rFonts w:ascii="Times New Roman" w:eastAsia="宋体" w:hAnsi="Times New Roman"/>
            <w:sz w:val="20"/>
            <w:szCs w:val="20"/>
          </w:rPr>
          <w:t>Contents</w:t>
        </w:r>
      </w:hyperlink>
    </w:p>
    <w:p w14:paraId="7DCFF2E4" w14:textId="77777777" w:rsidR="00C1563E" w:rsidRDefault="000B648B">
      <w:r>
        <w:rPr>
          <w:rFonts w:ascii="Times New Roman" w:eastAsia="宋体" w:hAnsi="Times New Roman"/>
          <w:i/>
          <w:iCs/>
          <w:color w:val="000000"/>
          <w:sz w:val="20"/>
          <w:szCs w:val="20"/>
          <w:u w:val="single"/>
        </w:rPr>
        <w:t>Other</w:t>
      </w:r>
    </w:p>
    <w:p w14:paraId="7DCFF2E5" w14:textId="77777777" w:rsidR="00C1563E" w:rsidRDefault="00C1563E"/>
    <w:p w14:paraId="7DCFF2E6" w14:textId="77777777" w:rsidR="00C1563E" w:rsidRDefault="000B648B">
      <w:r>
        <w:rPr>
          <w:rFonts w:ascii="Times New Roman" w:eastAsia="宋体" w:hAnsi="Times New Roman"/>
          <w:color w:val="000000"/>
          <w:sz w:val="20"/>
          <w:szCs w:val="20"/>
        </w:rPr>
        <w:t>Revenue from leasing arra</w:t>
      </w:r>
      <w:r>
        <w:rPr>
          <w:rFonts w:ascii="Times New Roman" w:eastAsia="宋体" w:hAnsi="Times New Roman"/>
          <w:color w:val="000000"/>
          <w:sz w:val="20"/>
          <w:szCs w:val="20"/>
        </w:rPr>
        <w:t xml:space="preserve">ngements is not subject to the revenue standard for contracts with customers and remains separately accounted for under existing lease accounting guidance. The Company records operating lease rental revenue as product revenue on a straight-line basis over </w:t>
      </w:r>
      <w:r>
        <w:rPr>
          <w:rFonts w:ascii="Times New Roman" w:eastAsia="宋体" w:hAnsi="Times New Roman"/>
          <w:color w:val="000000"/>
          <w:sz w:val="20"/>
          <w:szCs w:val="20"/>
        </w:rPr>
        <w:t>the lease term. The Company records revenue from the sale of equipment under sales-type leases as product revenue in an amount equal to the present value of minimum lease payments at the inception of the lease. Sales-type leases also produce financing inco</w:t>
      </w:r>
      <w:r>
        <w:rPr>
          <w:rFonts w:ascii="Times New Roman" w:eastAsia="宋体" w:hAnsi="Times New Roman"/>
          <w:color w:val="000000"/>
          <w:sz w:val="20"/>
          <w:szCs w:val="20"/>
        </w:rPr>
        <w:t>me, which is included in products net revenue in the Consolidated Statements of Income (Loss) and is recognized at effective rates of return over the lease term. The Company also offers qualified customers fixed-term loans and revolving credit lines for th</w:t>
      </w:r>
      <w:r>
        <w:rPr>
          <w:rFonts w:ascii="Times New Roman" w:eastAsia="宋体" w:hAnsi="Times New Roman"/>
          <w:color w:val="000000"/>
          <w:sz w:val="20"/>
          <w:szCs w:val="20"/>
        </w:rPr>
        <w:t xml:space="preserve">e purchase of products and services offered by the Company. Financing income attributable to these loans is recognized in products net revenue on an accrual basis. </w:t>
      </w:r>
    </w:p>
    <w:p w14:paraId="7DCFF2E7" w14:textId="77777777" w:rsidR="00C1563E" w:rsidRDefault="00C1563E"/>
    <w:p w14:paraId="7DCFF2E8" w14:textId="77777777" w:rsidR="00C1563E" w:rsidRDefault="000B648B">
      <w:r>
        <w:rPr>
          <w:rFonts w:ascii="Times New Roman" w:eastAsia="宋体" w:hAnsi="Times New Roman"/>
          <w:i/>
          <w:iCs/>
          <w:color w:val="000000"/>
          <w:sz w:val="20"/>
          <w:szCs w:val="20"/>
        </w:rPr>
        <w:t>Disaggregation of Revenue</w:t>
      </w:r>
      <w:r>
        <w:rPr>
          <w:rFonts w:ascii="Times New Roman" w:eastAsia="宋体" w:hAnsi="Times New Roman"/>
          <w:color w:val="000000"/>
          <w:sz w:val="20"/>
          <w:szCs w:val="20"/>
        </w:rPr>
        <w:t xml:space="preserve"> — The Company’s revenue is presented on a disaggregated basis on</w:t>
      </w:r>
      <w:r>
        <w:rPr>
          <w:rFonts w:ascii="Times New Roman" w:eastAsia="宋体" w:hAnsi="Times New Roman"/>
          <w:color w:val="000000"/>
          <w:sz w:val="20"/>
          <w:szCs w:val="20"/>
        </w:rPr>
        <w:t xml:space="preserve"> the Consolidated Statements of Income (Loss) and in Note 19 of the Notes to the Consolidated Financial Statements based on an evaluation of disclosures outside of the financial statements, information regularly reviewed by the chief operating decision mak</w:t>
      </w:r>
      <w:r>
        <w:rPr>
          <w:rFonts w:ascii="Times New Roman" w:eastAsia="宋体" w:hAnsi="Times New Roman"/>
          <w:color w:val="000000"/>
          <w:sz w:val="20"/>
          <w:szCs w:val="20"/>
        </w:rPr>
        <w:t>er for evaluating the financial performance of operating segments, and other information that is used to evaluate the Company’s financial performance or make resource allocations. This information includes revenue from products and services, revenue from r</w:t>
      </w:r>
      <w:r>
        <w:rPr>
          <w:rFonts w:ascii="Times New Roman" w:eastAsia="宋体" w:hAnsi="Times New Roman"/>
          <w:color w:val="000000"/>
          <w:sz w:val="20"/>
          <w:szCs w:val="20"/>
        </w:rPr>
        <w:t xml:space="preserve">eportable segments, and revenue by major product categories within the segments. </w:t>
      </w:r>
    </w:p>
    <w:p w14:paraId="7DCFF2E9" w14:textId="77777777" w:rsidR="00C1563E" w:rsidRDefault="00C1563E"/>
    <w:p w14:paraId="7DCFF2EA" w14:textId="77777777" w:rsidR="00C1563E" w:rsidRDefault="000B648B">
      <w:r>
        <w:rPr>
          <w:rFonts w:ascii="Times New Roman" w:eastAsia="宋体" w:hAnsi="Times New Roman"/>
          <w:i/>
          <w:iCs/>
          <w:color w:val="000000"/>
          <w:sz w:val="20"/>
          <w:szCs w:val="20"/>
        </w:rPr>
        <w:t xml:space="preserve">Contract Assets </w:t>
      </w:r>
      <w:r>
        <w:rPr>
          <w:rFonts w:ascii="Times New Roman" w:eastAsia="宋体" w:hAnsi="Times New Roman"/>
          <w:color w:val="000000"/>
          <w:sz w:val="20"/>
          <w:szCs w:val="20"/>
        </w:rPr>
        <w:t>— Contract assets are rights to consideration in exchange for goods or services that the Company has transferred to a customer when such a right is condition</w:t>
      </w:r>
      <w:r>
        <w:rPr>
          <w:rFonts w:ascii="Times New Roman" w:eastAsia="宋体" w:hAnsi="Times New Roman"/>
          <w:color w:val="000000"/>
          <w:sz w:val="20"/>
          <w:szCs w:val="20"/>
        </w:rPr>
        <w:t xml:space="preserve">al on something other than the passage of time. Such amounts have been insignificant to date. </w:t>
      </w:r>
    </w:p>
    <w:p w14:paraId="7DCFF2EB" w14:textId="77777777" w:rsidR="00C1563E" w:rsidRDefault="00C1563E"/>
    <w:p w14:paraId="7DCFF2EC" w14:textId="77777777" w:rsidR="00C1563E" w:rsidRDefault="000B648B">
      <w:r>
        <w:rPr>
          <w:rFonts w:ascii="Times New Roman" w:eastAsia="宋体" w:hAnsi="Times New Roman"/>
          <w:i/>
          <w:iCs/>
          <w:color w:val="000000"/>
          <w:sz w:val="20"/>
          <w:szCs w:val="20"/>
        </w:rPr>
        <w:t xml:space="preserve">Contract Liabilities </w:t>
      </w:r>
      <w:r>
        <w:rPr>
          <w:rFonts w:ascii="Times New Roman" w:eastAsia="宋体" w:hAnsi="Times New Roman"/>
          <w:color w:val="000000"/>
          <w:sz w:val="20"/>
          <w:szCs w:val="20"/>
        </w:rPr>
        <w:t>— Contract liabilities primarily consist of deferred revenue. Deferred revenue is recorded when the Company has a right to invoice or payments have been received for undelivered products or services, or in situations where revenue recognition criteria have</w:t>
      </w:r>
      <w:r>
        <w:rPr>
          <w:rFonts w:ascii="Times New Roman" w:eastAsia="宋体" w:hAnsi="Times New Roman"/>
          <w:color w:val="000000"/>
          <w:sz w:val="20"/>
          <w:szCs w:val="20"/>
        </w:rPr>
        <w:t xml:space="preserve"> not been met. Deferred revenue primarily includes amounts received in advance for extended warranty services and software maintenance. Revenue is recognized on these items when the revenue recognition criteria are met, generally resulting in ratable recog</w:t>
      </w:r>
      <w:r>
        <w:rPr>
          <w:rFonts w:ascii="Times New Roman" w:eastAsia="宋体" w:hAnsi="Times New Roman"/>
          <w:color w:val="000000"/>
          <w:sz w:val="20"/>
          <w:szCs w:val="20"/>
        </w:rPr>
        <w:t>nition over the contract term. The Company also has deferred revenue related to undelivered hardware and professional services, consisting of installations and consulting engagements, which are recognized when the Company’s performance obligations under th</w:t>
      </w:r>
      <w:r>
        <w:rPr>
          <w:rFonts w:ascii="Times New Roman" w:eastAsia="宋体" w:hAnsi="Times New Roman"/>
          <w:color w:val="000000"/>
          <w:sz w:val="20"/>
          <w:szCs w:val="20"/>
        </w:rPr>
        <w:t xml:space="preserve">e contract are completed. See Note 9 of the Notes to the Consolidated Financial Statements for additional information about deferred revenue. </w:t>
      </w:r>
    </w:p>
    <w:p w14:paraId="7DCFF2ED" w14:textId="77777777" w:rsidR="00C1563E" w:rsidRDefault="00C1563E"/>
    <w:p w14:paraId="7DCFF2EE" w14:textId="77777777" w:rsidR="00C1563E" w:rsidRDefault="000B648B">
      <w:r>
        <w:rPr>
          <w:rFonts w:ascii="Times New Roman" w:eastAsia="宋体" w:hAnsi="Times New Roman"/>
          <w:i/>
          <w:iCs/>
          <w:color w:val="000000"/>
          <w:sz w:val="20"/>
          <w:szCs w:val="20"/>
        </w:rPr>
        <w:t xml:space="preserve">Costs to Obtain a Contract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capitalizes incremental direct costs to obtain a contract, primarily sa</w:t>
      </w:r>
      <w:r>
        <w:rPr>
          <w:rFonts w:ascii="Times New Roman" w:eastAsia="宋体" w:hAnsi="Times New Roman"/>
          <w:color w:val="000000"/>
          <w:sz w:val="20"/>
          <w:szCs w:val="20"/>
        </w:rPr>
        <w:t>les commissions and employer taxes related to commission payments, if the costs are deemed to be recoverable. The Company has elected, as a practical expedient, to expense as incurred costs to obtain a contract equal to or less than one year in duration. C</w:t>
      </w:r>
      <w:r>
        <w:rPr>
          <w:rFonts w:ascii="Times New Roman" w:eastAsia="宋体" w:hAnsi="Times New Roman"/>
          <w:color w:val="000000"/>
          <w:sz w:val="20"/>
          <w:szCs w:val="20"/>
        </w:rPr>
        <w:t>apitalized costs are deferred and amortized over the period of contract performance or the estimated life of the customer relationship, if renewals are expected, and are typically amortized over an average period of three to seven years. Amortization expen</w:t>
      </w:r>
      <w:r>
        <w:rPr>
          <w:rFonts w:ascii="Times New Roman" w:eastAsia="宋体" w:hAnsi="Times New Roman"/>
          <w:color w:val="000000"/>
          <w:sz w:val="20"/>
          <w:szCs w:val="20"/>
        </w:rPr>
        <w:t xml:space="preserve">se is recognized on a straight-line basis and included in selling, general, and administrative expenses in the Consolidated Statements of Income (Loss). </w:t>
      </w:r>
    </w:p>
    <w:p w14:paraId="7DCFF2EF" w14:textId="77777777" w:rsidR="00C1563E" w:rsidRDefault="00C1563E"/>
    <w:p w14:paraId="7DCFF2F0" w14:textId="77777777" w:rsidR="00C1563E" w:rsidRDefault="000B648B">
      <w:r>
        <w:rPr>
          <w:rFonts w:ascii="Times New Roman" w:eastAsia="宋体" w:hAnsi="Times New Roman"/>
          <w:color w:val="000000"/>
          <w:sz w:val="20"/>
          <w:szCs w:val="20"/>
        </w:rPr>
        <w:t>The Company periodically reviews these deferred costs to determine whether events or changes in circu</w:t>
      </w:r>
      <w:r>
        <w:rPr>
          <w:rFonts w:ascii="Times New Roman" w:eastAsia="宋体" w:hAnsi="Times New Roman"/>
          <w:color w:val="000000"/>
          <w:sz w:val="20"/>
          <w:szCs w:val="20"/>
        </w:rPr>
        <w:t>mstances have occurred that could impact the carrying value or period of benefit of the deferred sales commissions. There were no material impairment losses for deferred costs to obtain a contract during the fiscal years ended January 29, 2021, January 31,</w:t>
      </w:r>
      <w:r>
        <w:rPr>
          <w:rFonts w:ascii="Times New Roman" w:eastAsia="宋体" w:hAnsi="Times New Roman"/>
          <w:color w:val="000000"/>
          <w:sz w:val="20"/>
          <w:szCs w:val="20"/>
        </w:rPr>
        <w:t xml:space="preserve"> 2020, and February 1, 2019.</w:t>
      </w:r>
    </w:p>
    <w:p w14:paraId="7DCFF2F1" w14:textId="77777777" w:rsidR="00C1563E" w:rsidRDefault="00C1563E"/>
    <w:p w14:paraId="7DCFF2F2" w14:textId="77777777" w:rsidR="00C1563E" w:rsidRDefault="000B648B">
      <w:r>
        <w:rPr>
          <w:rFonts w:ascii="Times New Roman" w:eastAsia="宋体" w:hAnsi="Times New Roman"/>
          <w:color w:val="000000"/>
          <w:sz w:val="20"/>
          <w:szCs w:val="20"/>
        </w:rPr>
        <w:t>Deferred costs to obtain a contract as of January 29, 2021 and January 31, 2020 were $1.8 billion and $1.6 billion, respectively. Deferred costs to obtain a contract are classified as current assets and other non-current asset</w:t>
      </w:r>
      <w:r>
        <w:rPr>
          <w:rFonts w:ascii="Times New Roman" w:eastAsia="宋体" w:hAnsi="Times New Roman"/>
          <w:color w:val="000000"/>
          <w:sz w:val="20"/>
          <w:szCs w:val="20"/>
        </w:rPr>
        <w:t>s on the Consolidated Statements of Financial Position, based on when the expense is expected to be recognized. Amortization of costs to obtain a contract during the fiscal years ended January 29, 2021, January 31, 2020, and February 1, 2019 was $768 milli</w:t>
      </w:r>
      <w:r>
        <w:rPr>
          <w:rFonts w:ascii="Times New Roman" w:eastAsia="宋体" w:hAnsi="Times New Roman"/>
          <w:color w:val="000000"/>
          <w:sz w:val="20"/>
          <w:szCs w:val="20"/>
        </w:rPr>
        <w:t>on, $675 million, and $517 million, respectively.</w:t>
      </w:r>
    </w:p>
    <w:p w14:paraId="7DCFF2F3" w14:textId="77777777" w:rsidR="00C1563E" w:rsidRDefault="00C1563E"/>
    <w:p w14:paraId="7DCFF2F4" w14:textId="77777777" w:rsidR="00C1563E" w:rsidRDefault="00C1563E"/>
    <w:p w14:paraId="7DCFF2F5" w14:textId="77777777" w:rsidR="00C1563E" w:rsidRDefault="00C1563E">
      <w:pPr>
        <w:jc w:val="center"/>
      </w:pPr>
    </w:p>
    <w:p w14:paraId="7DCFF2F6" w14:textId="77777777" w:rsidR="00C1563E" w:rsidRDefault="000B648B">
      <w:pPr>
        <w:jc w:val="center"/>
      </w:pPr>
      <w:r>
        <w:rPr>
          <w:rFonts w:ascii="Times New Roman" w:eastAsia="宋体" w:hAnsi="Times New Roman"/>
          <w:color w:val="000000"/>
          <w:sz w:val="20"/>
          <w:szCs w:val="20"/>
        </w:rPr>
        <w:t>90</w:t>
      </w:r>
    </w:p>
    <w:p w14:paraId="7DCFF2F7" w14:textId="77777777" w:rsidR="00C1563E" w:rsidRDefault="00C1563E">
      <w:pPr>
        <w:jc w:val="center"/>
      </w:pPr>
    </w:p>
    <w:p w14:paraId="7DCFF2F8" w14:textId="77777777" w:rsidR="00C1563E" w:rsidRDefault="000B648B">
      <w:r>
        <w:pict w14:anchorId="7DD025C4">
          <v:rect id="_x0000_i1114" style="width:415.3pt;height:1.5pt" o:hralign="center" o:hrstd="t" o:hr="t" fillcolor="#a0a0a0" stroked="f"/>
        </w:pict>
      </w:r>
    </w:p>
    <w:p w14:paraId="7DCFF2F9" w14:textId="77777777" w:rsidR="00C1563E" w:rsidRDefault="000B648B">
      <w:hyperlink r:id="rId265" w:anchor="i418e32e4a35149ffbf7d3a25d66881b8_10" w:history="1">
        <w:r>
          <w:rPr>
            <w:rStyle w:val="a5"/>
            <w:rFonts w:ascii="Times New Roman" w:eastAsia="宋体" w:hAnsi="Times New Roman"/>
            <w:sz w:val="20"/>
            <w:szCs w:val="20"/>
          </w:rPr>
          <w:t>T</w:t>
        </w:r>
      </w:hyperlink>
      <w:hyperlink r:id="rId266" w:anchor="i418e32e4a35149ffbf7d3a25d66881b8_10" w:history="1">
        <w:r>
          <w:rPr>
            <w:rStyle w:val="a5"/>
            <w:rFonts w:ascii="Times New Roman" w:eastAsia="宋体" w:hAnsi="Times New Roman"/>
            <w:sz w:val="20"/>
            <w:szCs w:val="20"/>
          </w:rPr>
          <w:t xml:space="preserve">able of </w:t>
        </w:r>
      </w:hyperlink>
      <w:hyperlink r:id="rId267" w:anchor="i418e32e4a35149ffbf7d3a25d66881b8_10" w:history="1">
        <w:r>
          <w:rPr>
            <w:rStyle w:val="a5"/>
            <w:rFonts w:ascii="Times New Roman" w:eastAsia="宋体" w:hAnsi="Times New Roman"/>
            <w:sz w:val="20"/>
            <w:szCs w:val="20"/>
          </w:rPr>
          <w:t>Contents</w:t>
        </w:r>
      </w:hyperlink>
    </w:p>
    <w:p w14:paraId="7DCFF2FA" w14:textId="77777777" w:rsidR="00C1563E" w:rsidRDefault="000B648B">
      <w:r>
        <w:rPr>
          <w:rFonts w:ascii="Times New Roman" w:eastAsia="宋体" w:hAnsi="Times New Roman"/>
          <w:i/>
          <w:iCs/>
          <w:color w:val="000000"/>
          <w:sz w:val="20"/>
          <w:szCs w:val="20"/>
        </w:rPr>
        <w:t xml:space="preserve">Standard Warranty Liabilities </w:t>
      </w:r>
      <w:r>
        <w:rPr>
          <w:rFonts w:ascii="Times New Roman" w:eastAsia="宋体" w:hAnsi="Times New Roman"/>
          <w:color w:val="000000"/>
          <w:sz w:val="20"/>
          <w:szCs w:val="20"/>
        </w:rPr>
        <w:t>— The Company records warranty liabilities for estimated costs of fulfilling its obligations under standard limited hardware and software warranties at the time of sale. The liability for standard wa</w:t>
      </w:r>
      <w:r>
        <w:rPr>
          <w:rFonts w:ascii="Times New Roman" w:eastAsia="宋体" w:hAnsi="Times New Roman"/>
          <w:color w:val="000000"/>
          <w:sz w:val="20"/>
          <w:szCs w:val="20"/>
        </w:rPr>
        <w:t>rranties is included in accrued and other current and other non-current liabilities in the Consolidated Statements of Financial Position. The specific warranty terms and conditions vary depending upon the product sold and the country in which the Company d</w:t>
      </w:r>
      <w:r>
        <w:rPr>
          <w:rFonts w:ascii="Times New Roman" w:eastAsia="宋体" w:hAnsi="Times New Roman"/>
          <w:color w:val="000000"/>
          <w:sz w:val="20"/>
          <w:szCs w:val="20"/>
        </w:rPr>
        <w:t>oes business, but generally includes technical support, parts, and labor over a period ranging from one to three years. Factors that affect the Company’s warranty liability include the number of installed units currently under warranty, historical and anti</w:t>
      </w:r>
      <w:r>
        <w:rPr>
          <w:rFonts w:ascii="Times New Roman" w:eastAsia="宋体" w:hAnsi="Times New Roman"/>
          <w:color w:val="000000"/>
          <w:sz w:val="20"/>
          <w:szCs w:val="20"/>
        </w:rPr>
        <w:t>cipated rates of warranty claims on those units, and cost per claim to satisfy the Company’s warranty obligation. The anticipated rate of warranty claims is the primary factor impacting the estimated warranty obligation. The other factors are less signific</w:t>
      </w:r>
      <w:r>
        <w:rPr>
          <w:rFonts w:ascii="Times New Roman" w:eastAsia="宋体" w:hAnsi="Times New Roman"/>
          <w:color w:val="000000"/>
          <w:sz w:val="20"/>
          <w:szCs w:val="20"/>
        </w:rPr>
        <w:t xml:space="preserve">ant due to the fact that the average remaining aggregate warranty period of the covered installed base is approximately 18 months, repair parts are generally already in stock or available at pre-determined prices, and labor rates are generally arranged at </w:t>
      </w:r>
      <w:r>
        <w:rPr>
          <w:rFonts w:ascii="Times New Roman" w:eastAsia="宋体" w:hAnsi="Times New Roman"/>
          <w:color w:val="000000"/>
          <w:sz w:val="20"/>
          <w:szCs w:val="20"/>
        </w:rPr>
        <w:t xml:space="preserve">preestablished amounts with service providers. Warranty claims are relatively predictable based on historical experience of failure rates. If actual results differ from the estimates, the Company revises its estimated warranty liability. Each quarter, the </w:t>
      </w:r>
      <w:r>
        <w:rPr>
          <w:rFonts w:ascii="Times New Roman" w:eastAsia="宋体" w:hAnsi="Times New Roman"/>
          <w:color w:val="000000"/>
          <w:sz w:val="20"/>
          <w:szCs w:val="20"/>
        </w:rPr>
        <w:t>Company reevaluates its estimates to assess the adequacy of its recorded warranty liabilities and adjusts the amounts as necessary.</w:t>
      </w:r>
    </w:p>
    <w:p w14:paraId="7DCFF2FB" w14:textId="77777777" w:rsidR="00C1563E" w:rsidRDefault="00C1563E"/>
    <w:p w14:paraId="7DCFF2FC" w14:textId="77777777" w:rsidR="00C1563E" w:rsidRDefault="000B648B">
      <w:r>
        <w:rPr>
          <w:rFonts w:ascii="Times New Roman" w:eastAsia="宋体" w:hAnsi="Times New Roman"/>
          <w:i/>
          <w:iCs/>
          <w:color w:val="000000"/>
          <w:sz w:val="20"/>
          <w:szCs w:val="20"/>
        </w:rPr>
        <w:t xml:space="preserve">Vendor Rebates and Settlements </w:t>
      </w:r>
      <w:r>
        <w:rPr>
          <w:rFonts w:ascii="Times New Roman" w:eastAsia="宋体" w:hAnsi="Times New Roman"/>
          <w:color w:val="000000"/>
          <w:sz w:val="20"/>
          <w:szCs w:val="20"/>
        </w:rPr>
        <w:t>— The Company may receive consideration from vendors in the normal course of business. Certa</w:t>
      </w:r>
      <w:r>
        <w:rPr>
          <w:rFonts w:ascii="Times New Roman" w:eastAsia="宋体" w:hAnsi="Times New Roman"/>
          <w:color w:val="000000"/>
          <w:sz w:val="20"/>
          <w:szCs w:val="20"/>
        </w:rPr>
        <w:t>in of these funds are rebates of purchase price paid and others are related to reimbursement of costs incurred by the Company to sell the vendor’s products. The Company recognizes a reduction of cost of goods sold if the funds are determined to be a reduct</w:t>
      </w:r>
      <w:r>
        <w:rPr>
          <w:rFonts w:ascii="Times New Roman" w:eastAsia="宋体" w:hAnsi="Times New Roman"/>
          <w:color w:val="000000"/>
          <w:sz w:val="20"/>
          <w:szCs w:val="20"/>
        </w:rPr>
        <w:t xml:space="preserve">ion of the price of the vendor’s products. If the consideration is a reimbursement of costs incurred by the Company to sell or develop the vendor’s products, then the consideration is classified as a reduction of such costs, most often operating expenses, </w:t>
      </w:r>
      <w:r>
        <w:rPr>
          <w:rFonts w:ascii="Times New Roman" w:eastAsia="宋体" w:hAnsi="Times New Roman"/>
          <w:color w:val="000000"/>
          <w:sz w:val="20"/>
          <w:szCs w:val="20"/>
        </w:rPr>
        <w:t>in the Consolidated Statements of Income (Loss). In order to be recognized as a reduction of operating expenses, the reimbursement must be for a specific, incremental, and identifiable cost incurred by the Company in selling the vendor’s products or servic</w:t>
      </w:r>
      <w:r>
        <w:rPr>
          <w:rFonts w:ascii="Times New Roman" w:eastAsia="宋体" w:hAnsi="Times New Roman"/>
          <w:color w:val="000000"/>
          <w:sz w:val="20"/>
          <w:szCs w:val="20"/>
        </w:rPr>
        <w:t>es.</w:t>
      </w:r>
    </w:p>
    <w:p w14:paraId="7DCFF2FD" w14:textId="77777777" w:rsidR="00C1563E" w:rsidRDefault="00C1563E"/>
    <w:p w14:paraId="7DCFF2FE" w14:textId="77777777" w:rsidR="00C1563E" w:rsidRDefault="000B648B">
      <w:r>
        <w:rPr>
          <w:rFonts w:ascii="Times New Roman" w:eastAsia="宋体" w:hAnsi="Times New Roman"/>
          <w:color w:val="000000"/>
          <w:sz w:val="20"/>
          <w:szCs w:val="20"/>
        </w:rPr>
        <w:t xml:space="preserve">In addition, the Company may settle commercial disputes with vendors from time to time. Claims for loss recoveries are recognized when a loss event has occurred, recovery is considered probable, the agreement is finalized, and </w:t>
      </w:r>
      <w:r>
        <w:rPr>
          <w:rFonts w:ascii="Times New Roman" w:eastAsia="宋体" w:hAnsi="Times New Roman"/>
          <w:color w:val="000000"/>
          <w:sz w:val="20"/>
          <w:szCs w:val="20"/>
        </w:rPr>
        <w:t>collectibility is assured. Amounts received by the Company from vendors for loss recoveries are generally recorded as a reduction of cost of goods sold.</w:t>
      </w:r>
    </w:p>
    <w:p w14:paraId="7DCFF2FF" w14:textId="77777777" w:rsidR="00C1563E" w:rsidRDefault="00C1563E"/>
    <w:p w14:paraId="7DCFF300" w14:textId="77777777" w:rsidR="00C1563E" w:rsidRDefault="000B648B">
      <w:r>
        <w:rPr>
          <w:rFonts w:ascii="Times New Roman" w:eastAsia="宋体" w:hAnsi="Times New Roman"/>
          <w:i/>
          <w:iCs/>
          <w:color w:val="000000"/>
          <w:sz w:val="20"/>
          <w:szCs w:val="20"/>
        </w:rPr>
        <w:t xml:space="preserve">Loss Contingencies </w:t>
      </w:r>
      <w:r>
        <w:rPr>
          <w:rFonts w:ascii="Times New Roman" w:eastAsia="宋体" w:hAnsi="Times New Roman"/>
          <w:color w:val="000000"/>
          <w:sz w:val="20"/>
          <w:szCs w:val="20"/>
        </w:rPr>
        <w:t>— The Company is subject to the possibility of various losses arising in the ordina</w:t>
      </w:r>
      <w:r>
        <w:rPr>
          <w:rFonts w:ascii="Times New Roman" w:eastAsia="宋体" w:hAnsi="Times New Roman"/>
          <w:color w:val="000000"/>
          <w:sz w:val="20"/>
          <w:szCs w:val="20"/>
        </w:rPr>
        <w:t>ry course of business. The Company considers the likelihood of loss or impairment of an asset or the incurrence of a liability, as well as the Company’s ability to reasonably estimate the amount of loss, in determining loss contingencies. An estimated loss</w:t>
      </w:r>
      <w:r>
        <w:rPr>
          <w:rFonts w:ascii="Times New Roman" w:eastAsia="宋体" w:hAnsi="Times New Roman"/>
          <w:color w:val="000000"/>
          <w:sz w:val="20"/>
          <w:szCs w:val="20"/>
        </w:rPr>
        <w:t xml:space="preserve"> contingency is accrued when it is probable that an asset has been impaired or a liability has been incurred and the amount of loss can be reasonably estimated. The Company regularly evaluates current information available to determine whether such accrual</w:t>
      </w:r>
      <w:r>
        <w:rPr>
          <w:rFonts w:ascii="Times New Roman" w:eastAsia="宋体" w:hAnsi="Times New Roman"/>
          <w:color w:val="000000"/>
          <w:sz w:val="20"/>
          <w:szCs w:val="20"/>
        </w:rPr>
        <w:t>s should be adjusted and whether new accruals are required.</w:t>
      </w:r>
    </w:p>
    <w:p w14:paraId="7DCFF301" w14:textId="77777777" w:rsidR="00C1563E" w:rsidRDefault="00C1563E"/>
    <w:p w14:paraId="7DCFF302" w14:textId="77777777" w:rsidR="00C1563E" w:rsidRDefault="000B648B">
      <w:r>
        <w:rPr>
          <w:rFonts w:ascii="Times New Roman" w:eastAsia="宋体" w:hAnsi="Times New Roman"/>
          <w:i/>
          <w:iCs/>
          <w:color w:val="000000"/>
          <w:sz w:val="20"/>
          <w:szCs w:val="20"/>
        </w:rPr>
        <w:t xml:space="preserve">Shipping Costs </w:t>
      </w:r>
      <w:r>
        <w:rPr>
          <w:rFonts w:ascii="Times New Roman" w:eastAsia="宋体" w:hAnsi="Times New Roman"/>
          <w:color w:val="000000"/>
          <w:sz w:val="20"/>
          <w:szCs w:val="20"/>
        </w:rPr>
        <w:t>— The Company’s shipping and handling costs are included in cost of net revenue in the Consolidated Statements of Income (Loss).</w:t>
      </w:r>
    </w:p>
    <w:p w14:paraId="7DCFF303" w14:textId="77777777" w:rsidR="00C1563E" w:rsidRDefault="00C1563E"/>
    <w:p w14:paraId="7DCFF304" w14:textId="77777777" w:rsidR="00C1563E" w:rsidRDefault="000B648B">
      <w:r>
        <w:rPr>
          <w:rFonts w:ascii="Times New Roman" w:eastAsia="宋体" w:hAnsi="Times New Roman"/>
          <w:i/>
          <w:iCs/>
          <w:color w:val="000000"/>
          <w:sz w:val="20"/>
          <w:szCs w:val="20"/>
        </w:rPr>
        <w:t xml:space="preserve">Selling, General, and Administrative </w:t>
      </w:r>
      <w:r>
        <w:rPr>
          <w:rFonts w:ascii="Times New Roman" w:eastAsia="宋体" w:hAnsi="Times New Roman"/>
          <w:color w:val="000000"/>
          <w:sz w:val="20"/>
          <w:szCs w:val="20"/>
        </w:rPr>
        <w:t>— Selling exp</w:t>
      </w:r>
      <w:r>
        <w:rPr>
          <w:rFonts w:ascii="Times New Roman" w:eastAsia="宋体" w:hAnsi="Times New Roman"/>
          <w:color w:val="000000"/>
          <w:sz w:val="20"/>
          <w:szCs w:val="20"/>
        </w:rPr>
        <w:t>enses include items such as sales salaries and commissions, marketing and advertising costs, contractor services, and allowance for expected credit losses. Advertising costs are expensed as incurred in selling, general, and administrative expenses in the C</w:t>
      </w:r>
      <w:r>
        <w:rPr>
          <w:rFonts w:ascii="Times New Roman" w:eastAsia="宋体" w:hAnsi="Times New Roman"/>
          <w:color w:val="000000"/>
          <w:sz w:val="20"/>
          <w:szCs w:val="20"/>
        </w:rPr>
        <w:t xml:space="preserve">onsolidated Statements of Income (Loss). For the fiscal years ended January 29, 2021, January 31, 2020, and February 1, 2019, advertising expenses were $1.3 billion, $1.3 billion, and $1.1 billion, respectively. General and administrative expenses include </w:t>
      </w:r>
      <w:r>
        <w:rPr>
          <w:rFonts w:ascii="Times New Roman" w:eastAsia="宋体" w:hAnsi="Times New Roman"/>
          <w:color w:val="000000"/>
          <w:sz w:val="20"/>
          <w:szCs w:val="20"/>
        </w:rPr>
        <w:t>items for the Company’s administrative functions, such as finance, legal, human resources, and information technology support. These functions include costs for items such as salaries and benefits and other personnel-related costs, maintenance and supplies</w:t>
      </w:r>
      <w:r>
        <w:rPr>
          <w:rFonts w:ascii="Times New Roman" w:eastAsia="宋体" w:hAnsi="Times New Roman"/>
          <w:color w:val="000000"/>
          <w:sz w:val="20"/>
          <w:szCs w:val="20"/>
        </w:rPr>
        <w:t>, outside services, intangible asset amortization, and depreciation expense.</w:t>
      </w:r>
    </w:p>
    <w:p w14:paraId="7DCFF305" w14:textId="77777777" w:rsidR="00C1563E" w:rsidRDefault="00C1563E"/>
    <w:p w14:paraId="7DCFF306" w14:textId="77777777" w:rsidR="00C1563E" w:rsidRDefault="000B648B">
      <w:r>
        <w:rPr>
          <w:rFonts w:ascii="Times New Roman" w:eastAsia="宋体" w:hAnsi="Times New Roman"/>
          <w:i/>
          <w:iCs/>
          <w:color w:val="000000"/>
          <w:sz w:val="20"/>
          <w:szCs w:val="20"/>
        </w:rPr>
        <w:t xml:space="preserve">Research and Development </w:t>
      </w:r>
      <w:r>
        <w:rPr>
          <w:rFonts w:ascii="Times New Roman" w:eastAsia="宋体" w:hAnsi="Times New Roman"/>
          <w:color w:val="000000"/>
          <w:sz w:val="20"/>
          <w:szCs w:val="20"/>
        </w:rPr>
        <w:t>— Research and development (“R&amp;D”) costs are expensed as incurred. R&amp;D costs include salaries and benefits and other personnel-related costs associated w</w:t>
      </w:r>
      <w:r>
        <w:rPr>
          <w:rFonts w:ascii="Times New Roman" w:eastAsia="宋体" w:hAnsi="Times New Roman"/>
          <w:color w:val="000000"/>
          <w:sz w:val="20"/>
          <w:szCs w:val="20"/>
        </w:rPr>
        <w:t>ith product development. Also included in R&amp;D expenses are infrastructure costs, which consist of equipment and material costs, facilities-related costs, and depreciation expense.</w:t>
      </w:r>
    </w:p>
    <w:p w14:paraId="7DCFF307" w14:textId="77777777" w:rsidR="00C1563E" w:rsidRDefault="00C1563E"/>
    <w:p w14:paraId="7DCFF308" w14:textId="77777777" w:rsidR="00C1563E" w:rsidRDefault="00C1563E"/>
    <w:p w14:paraId="7DCFF309" w14:textId="77777777" w:rsidR="00C1563E" w:rsidRDefault="00C1563E">
      <w:pPr>
        <w:jc w:val="center"/>
      </w:pPr>
    </w:p>
    <w:p w14:paraId="7DCFF30A" w14:textId="77777777" w:rsidR="00C1563E" w:rsidRDefault="000B648B">
      <w:pPr>
        <w:jc w:val="center"/>
      </w:pPr>
      <w:r>
        <w:rPr>
          <w:rFonts w:ascii="Times New Roman" w:eastAsia="宋体" w:hAnsi="Times New Roman"/>
          <w:color w:val="000000"/>
          <w:sz w:val="20"/>
          <w:szCs w:val="20"/>
        </w:rPr>
        <w:t>91</w:t>
      </w:r>
    </w:p>
    <w:p w14:paraId="7DCFF30B" w14:textId="77777777" w:rsidR="00C1563E" w:rsidRDefault="00C1563E">
      <w:pPr>
        <w:jc w:val="center"/>
      </w:pPr>
    </w:p>
    <w:p w14:paraId="7DCFF30C" w14:textId="77777777" w:rsidR="00C1563E" w:rsidRDefault="000B648B">
      <w:r>
        <w:pict w14:anchorId="7DD025C5">
          <v:rect id="_x0000_i1115" style="width:415.3pt;height:1.5pt" o:hralign="center" o:hrstd="t" o:hr="t" fillcolor="#a0a0a0" stroked="f"/>
        </w:pict>
      </w:r>
    </w:p>
    <w:p w14:paraId="7DCFF30D" w14:textId="77777777" w:rsidR="00C1563E" w:rsidRDefault="000B648B">
      <w:hyperlink r:id="rId268" w:anchor="i418e32e4a35149ffbf7d3a25d66881b8_10" w:history="1">
        <w:r>
          <w:rPr>
            <w:rStyle w:val="a5"/>
            <w:rFonts w:ascii="Times New Roman" w:eastAsia="宋体" w:hAnsi="Times New Roman"/>
            <w:sz w:val="20"/>
            <w:szCs w:val="20"/>
          </w:rPr>
          <w:t>T</w:t>
        </w:r>
      </w:hyperlink>
      <w:hyperlink r:id="rId269" w:anchor="i418e32e4a35149ffbf7d3a25d66881b8_10" w:history="1">
        <w:r>
          <w:rPr>
            <w:rStyle w:val="a5"/>
            <w:rFonts w:ascii="Times New Roman" w:eastAsia="宋体" w:hAnsi="Times New Roman"/>
            <w:sz w:val="20"/>
            <w:szCs w:val="20"/>
          </w:rPr>
          <w:t xml:space="preserve">able of </w:t>
        </w:r>
      </w:hyperlink>
      <w:hyperlink r:id="rId270" w:anchor="i418e32e4a35149ffbf7d3a25d66881b8_10" w:history="1">
        <w:r>
          <w:rPr>
            <w:rStyle w:val="a5"/>
            <w:rFonts w:ascii="Times New Roman" w:eastAsia="宋体" w:hAnsi="Times New Roman"/>
            <w:sz w:val="20"/>
            <w:szCs w:val="20"/>
          </w:rPr>
          <w:t>Contents</w:t>
        </w:r>
      </w:hyperlink>
    </w:p>
    <w:p w14:paraId="7DCFF30E" w14:textId="77777777" w:rsidR="00C1563E" w:rsidRDefault="000B648B">
      <w:r>
        <w:rPr>
          <w:rFonts w:ascii="Times New Roman" w:eastAsia="宋体" w:hAnsi="Times New Roman"/>
          <w:i/>
          <w:iCs/>
          <w:color w:val="000000"/>
          <w:sz w:val="20"/>
          <w:szCs w:val="20"/>
        </w:rPr>
        <w:t xml:space="preserve">Income Taxes </w:t>
      </w:r>
      <w:r>
        <w:rPr>
          <w:rFonts w:ascii="Times New Roman" w:eastAsia="宋体" w:hAnsi="Times New Roman"/>
          <w:color w:val="000000"/>
          <w:sz w:val="20"/>
          <w:szCs w:val="20"/>
        </w:rPr>
        <w:t>— Deferred tax assets and liabilities are recorded based on the difference betwe</w:t>
      </w:r>
      <w:r>
        <w:rPr>
          <w:rFonts w:ascii="Times New Roman" w:eastAsia="宋体" w:hAnsi="Times New Roman"/>
          <w:color w:val="000000"/>
          <w:sz w:val="20"/>
          <w:szCs w:val="20"/>
        </w:rPr>
        <w:t>en the financial statement and tax basis of assets and liabilities using enacted tax rates in effect for the year in which the differences are expected to reverse. The Company calculates a provision for income taxes using the asset and liability method, un</w:t>
      </w:r>
      <w:r>
        <w:rPr>
          <w:rFonts w:ascii="Times New Roman" w:eastAsia="宋体" w:hAnsi="Times New Roman"/>
          <w:color w:val="000000"/>
          <w:sz w:val="20"/>
          <w:szCs w:val="20"/>
        </w:rPr>
        <w:t>der which deferred tax assets and liabilities are recognized by identifying the temporary differences arising from the different treatment of items for tax and accounting purposes. The Company accounts for the tax impact of including Global Intangible Low-</w:t>
      </w:r>
      <w:r>
        <w:rPr>
          <w:rFonts w:ascii="Times New Roman" w:eastAsia="宋体" w:hAnsi="Times New Roman"/>
          <w:color w:val="000000"/>
          <w:sz w:val="20"/>
          <w:szCs w:val="20"/>
        </w:rPr>
        <w:t>Taxed Income (GILTI) in U.S. taxable income as a period cost. The Company provides valuation allowances for deferred tax assets, where appropriate. In assessing the need for a valuation allowance, the Company considers all available evidence for each juris</w:t>
      </w:r>
      <w:r>
        <w:rPr>
          <w:rFonts w:ascii="Times New Roman" w:eastAsia="宋体" w:hAnsi="Times New Roman"/>
          <w:color w:val="000000"/>
          <w:sz w:val="20"/>
          <w:szCs w:val="20"/>
        </w:rPr>
        <w:t>diction, including past operating results, estimates of future taxable income, and the feasibility of ongoing tax planning strategies. In the event the Company determines that all or part of the net deferred tax assets are not realizable in the future, the</w:t>
      </w:r>
      <w:r>
        <w:rPr>
          <w:rFonts w:ascii="Times New Roman" w:eastAsia="宋体" w:hAnsi="Times New Roman"/>
          <w:color w:val="000000"/>
          <w:sz w:val="20"/>
          <w:szCs w:val="20"/>
        </w:rPr>
        <w:t xml:space="preserve"> Company will make an adjustment to the valuation allowance that will be charged to earnings in the period in which such a determination is made.</w:t>
      </w:r>
    </w:p>
    <w:p w14:paraId="7DCFF30F" w14:textId="77777777" w:rsidR="00C1563E" w:rsidRDefault="00C1563E"/>
    <w:p w14:paraId="7DCFF310" w14:textId="77777777" w:rsidR="00C1563E" w:rsidRDefault="000B648B">
      <w:r>
        <w:rPr>
          <w:rFonts w:ascii="Times New Roman" w:eastAsia="宋体" w:hAnsi="Times New Roman"/>
          <w:color w:val="000000"/>
          <w:sz w:val="20"/>
          <w:szCs w:val="20"/>
        </w:rPr>
        <w:t>The accounting guidance for uncertainties in income tax prescribes a comprehensive model for the financial st</w:t>
      </w:r>
      <w:r>
        <w:rPr>
          <w:rFonts w:ascii="Times New Roman" w:eastAsia="宋体" w:hAnsi="Times New Roman"/>
          <w:color w:val="000000"/>
          <w:sz w:val="20"/>
          <w:szCs w:val="20"/>
        </w:rPr>
        <w:t>atement recognition, measurement, presentation, and disclosure of uncertain tax positions taken or expected to be taken in income tax returns. The Company recognizes a tax benefit from an uncertain tax position in the financial statements only when it is m</w:t>
      </w:r>
      <w:r>
        <w:rPr>
          <w:rFonts w:ascii="Times New Roman" w:eastAsia="宋体" w:hAnsi="Times New Roman"/>
          <w:color w:val="000000"/>
          <w:sz w:val="20"/>
          <w:szCs w:val="20"/>
        </w:rPr>
        <w:t>ore likely than not that the position will be sustained upon examination, including resolution of any related appeals or litigation processes, based on the technical merits and a consideration of the relevant taxing authority’s administrative practices and</w:t>
      </w:r>
      <w:r>
        <w:rPr>
          <w:rFonts w:ascii="Times New Roman" w:eastAsia="宋体" w:hAnsi="Times New Roman"/>
          <w:color w:val="000000"/>
          <w:sz w:val="20"/>
          <w:szCs w:val="20"/>
        </w:rPr>
        <w:t xml:space="preserve"> precedents.</w:t>
      </w:r>
    </w:p>
    <w:p w14:paraId="7DCFF311" w14:textId="77777777" w:rsidR="00C1563E" w:rsidRDefault="00C1563E"/>
    <w:p w14:paraId="7DCFF312" w14:textId="77777777" w:rsidR="00C1563E" w:rsidRDefault="000B648B">
      <w:r>
        <w:rPr>
          <w:rFonts w:ascii="Times New Roman" w:eastAsia="宋体" w:hAnsi="Times New Roman"/>
          <w:i/>
          <w:iCs/>
          <w:color w:val="000000"/>
          <w:sz w:val="20"/>
          <w:szCs w:val="20"/>
        </w:rPr>
        <w:t xml:space="preserve">Stock-Based Compensation </w:t>
      </w:r>
      <w:r>
        <w:rPr>
          <w:rFonts w:ascii="Times New Roman" w:eastAsia="宋体" w:hAnsi="Times New Roman"/>
          <w:color w:val="000000"/>
          <w:sz w:val="20"/>
          <w:szCs w:val="20"/>
        </w:rPr>
        <w:t>— The Company measures stock-based compensation expense for all share-based awards granted based on the estimated fair value of those awards at grant date. The Company estimates the fair value of service-based stock o</w:t>
      </w:r>
      <w:r>
        <w:rPr>
          <w:rFonts w:ascii="Times New Roman" w:eastAsia="宋体" w:hAnsi="Times New Roman"/>
          <w:color w:val="000000"/>
          <w:sz w:val="20"/>
          <w:szCs w:val="20"/>
        </w:rPr>
        <w:t>ptions using the Black-Scholes valuation model. To estimate the fair value of performance-based awards containing a market condition, the Company uses the Monte Carlo valuation model. The fair value of all other share-based awards is based on the closing p</w:t>
      </w:r>
      <w:r>
        <w:rPr>
          <w:rFonts w:ascii="Times New Roman" w:eastAsia="宋体" w:hAnsi="Times New Roman"/>
          <w:color w:val="000000"/>
          <w:sz w:val="20"/>
          <w:szCs w:val="20"/>
        </w:rPr>
        <w:t>rice of the Class C Common Stock as reported on the NYSE on the date of grant.</w:t>
      </w:r>
    </w:p>
    <w:p w14:paraId="7DCFF313" w14:textId="77777777" w:rsidR="00C1563E" w:rsidRDefault="00C1563E"/>
    <w:p w14:paraId="7DCFF314" w14:textId="77777777" w:rsidR="00C1563E" w:rsidRDefault="000B648B">
      <w:r>
        <w:rPr>
          <w:rFonts w:ascii="Times New Roman" w:eastAsia="宋体" w:hAnsi="Times New Roman"/>
          <w:color w:val="000000"/>
          <w:sz w:val="20"/>
          <w:szCs w:val="20"/>
        </w:rPr>
        <w:t xml:space="preserve">The compensation cost of service-based stock options, restricted stock, and restricted stock units is recognized net of any estimated forfeitures on a straight-line basis over </w:t>
      </w:r>
      <w:r>
        <w:rPr>
          <w:rFonts w:ascii="Times New Roman" w:eastAsia="宋体" w:hAnsi="Times New Roman"/>
          <w:color w:val="000000"/>
          <w:sz w:val="20"/>
          <w:szCs w:val="20"/>
        </w:rPr>
        <w:t>the employee requisite service period. Compensation cost for performance-based awards is recognized on a graded accelerated basis net of estimated forfeitures over the requisite service period. Forfeiture rates are estimated at grant date based on historic</w:t>
      </w:r>
      <w:r>
        <w:rPr>
          <w:rFonts w:ascii="Times New Roman" w:eastAsia="宋体" w:hAnsi="Times New Roman"/>
          <w:color w:val="000000"/>
          <w:sz w:val="20"/>
          <w:szCs w:val="20"/>
        </w:rPr>
        <w:t>al experience and adjusted in subsequent periods for differences in actual forfeitures from those estimates. See Note 16 of the Notes to the Consolidated Financial Statements for further discussion of stock-based compensation.</w:t>
      </w:r>
    </w:p>
    <w:p w14:paraId="7DCFF315" w14:textId="77777777" w:rsidR="00C1563E" w:rsidRDefault="00C1563E"/>
    <w:p w14:paraId="7DCFF316" w14:textId="77777777" w:rsidR="00C1563E" w:rsidRDefault="000B648B">
      <w:r>
        <w:rPr>
          <w:rFonts w:ascii="Times New Roman" w:eastAsia="宋体" w:hAnsi="Times New Roman"/>
          <w:i/>
          <w:iCs/>
          <w:color w:val="000000"/>
          <w:sz w:val="20"/>
          <w:szCs w:val="20"/>
          <w:u w:val="single"/>
        </w:rPr>
        <w:t>Recently Issued Accounting P</w:t>
      </w:r>
      <w:r>
        <w:rPr>
          <w:rFonts w:ascii="Times New Roman" w:eastAsia="宋体" w:hAnsi="Times New Roman"/>
          <w:i/>
          <w:iCs/>
          <w:color w:val="000000"/>
          <w:sz w:val="20"/>
          <w:szCs w:val="20"/>
          <w:u w:val="single"/>
        </w:rPr>
        <w:t>ronouncements</w:t>
      </w:r>
    </w:p>
    <w:p w14:paraId="7DCFF317" w14:textId="77777777" w:rsidR="00C1563E" w:rsidRDefault="00C1563E"/>
    <w:p w14:paraId="7DCFF318" w14:textId="77777777" w:rsidR="00C1563E" w:rsidRDefault="000B648B">
      <w:r>
        <w:rPr>
          <w:rFonts w:ascii="Times New Roman" w:eastAsia="宋体" w:hAnsi="Times New Roman"/>
          <w:i/>
          <w:iCs/>
          <w:color w:val="000000"/>
          <w:sz w:val="20"/>
          <w:szCs w:val="20"/>
        </w:rPr>
        <w:t xml:space="preserve">Reference Rate Reform </w:t>
      </w:r>
      <w:r>
        <w:rPr>
          <w:rFonts w:ascii="Times New Roman" w:eastAsia="宋体" w:hAnsi="Times New Roman"/>
          <w:color w:val="000000"/>
          <w:sz w:val="20"/>
          <w:szCs w:val="20"/>
        </w:rPr>
        <w:t>— In March 2020, the Financial Accounting Standards Board (“FASB”) issued guidance which provides temporary optional expedients and exceptions to GAAP guidance on contract modifications and certain hedging relationships</w:t>
      </w:r>
      <w:r>
        <w:rPr>
          <w:rFonts w:ascii="Times New Roman" w:eastAsia="宋体" w:hAnsi="Times New Roman"/>
          <w:color w:val="000000"/>
          <w:sz w:val="20"/>
          <w:szCs w:val="20"/>
        </w:rPr>
        <w:t xml:space="preserve"> to ease the financial reporting burdens related to the expected market transition from the London Interbank Offered Rate to alternative reference rates. The Company may elect to apply the amendments prospectively through December 31, 2022. Adoption of the</w:t>
      </w:r>
      <w:r>
        <w:rPr>
          <w:rFonts w:ascii="Times New Roman" w:eastAsia="宋体" w:hAnsi="Times New Roman"/>
          <w:color w:val="000000"/>
          <w:sz w:val="20"/>
          <w:szCs w:val="20"/>
        </w:rPr>
        <w:t xml:space="preserve"> new guidance is not expected to have a material impact on the Company’s financial results. </w:t>
      </w:r>
    </w:p>
    <w:p w14:paraId="7DCFF319" w14:textId="77777777" w:rsidR="00C1563E" w:rsidRDefault="00C1563E"/>
    <w:p w14:paraId="7DCFF31A" w14:textId="77777777" w:rsidR="00C1563E" w:rsidRDefault="000B648B">
      <w:r>
        <w:rPr>
          <w:rFonts w:ascii="Times New Roman" w:eastAsia="宋体" w:hAnsi="Times New Roman"/>
          <w:i/>
          <w:iCs/>
          <w:color w:val="000000"/>
          <w:sz w:val="20"/>
          <w:szCs w:val="20"/>
        </w:rPr>
        <w:t xml:space="preserve">Accounting for Convertible Instruments and Contracts in an Entity’s Own Equity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In August 2020, the FASB issued guidance to simplify the accounting for </w:t>
      </w:r>
      <w:r>
        <w:rPr>
          <w:rFonts w:ascii="Times New Roman" w:eastAsia="宋体" w:hAnsi="Times New Roman"/>
          <w:color w:val="000000"/>
          <w:sz w:val="20"/>
          <w:szCs w:val="20"/>
        </w:rPr>
        <w:t>convertible debt instruments and convertible preferred stock, and the derivatives scope exception for contracts in an entity's own equity. In addition, the guidance on calculating diluted earnings per share has been simplified and made more internally cons</w:t>
      </w:r>
      <w:r>
        <w:rPr>
          <w:rFonts w:ascii="Times New Roman" w:eastAsia="宋体" w:hAnsi="Times New Roman"/>
          <w:color w:val="000000"/>
          <w:sz w:val="20"/>
          <w:szCs w:val="20"/>
        </w:rPr>
        <w:t>istent. Public entities must adopt the new guidance for fiscal years beginning after December 15, 2021, and interim periods within those fiscal years, with early adoption permitted for fiscal periods beginning after December 15, 2020. The Company will earl</w:t>
      </w:r>
      <w:r>
        <w:rPr>
          <w:rFonts w:ascii="Times New Roman" w:eastAsia="宋体" w:hAnsi="Times New Roman"/>
          <w:color w:val="000000"/>
          <w:sz w:val="20"/>
          <w:szCs w:val="20"/>
        </w:rPr>
        <w:t>y adopt this guidance for the fiscal year beginning January 30, 2021 on a modified retrospective basis. Adoption of the new guidance is not expected to have a material impact on the Company’s financial results.</w:t>
      </w:r>
    </w:p>
    <w:p w14:paraId="7DCFF31B" w14:textId="77777777" w:rsidR="00C1563E" w:rsidRDefault="00C1563E"/>
    <w:p w14:paraId="7DCFF31C" w14:textId="77777777" w:rsidR="00C1563E" w:rsidRDefault="000B648B">
      <w:r>
        <w:rPr>
          <w:rFonts w:ascii="Times New Roman" w:eastAsia="宋体" w:hAnsi="Times New Roman"/>
          <w:i/>
          <w:iCs/>
          <w:color w:val="000000"/>
          <w:sz w:val="20"/>
          <w:szCs w:val="20"/>
        </w:rPr>
        <w:t xml:space="preserve">Simplifying Accounting for Income Taxes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w:t>
      </w:r>
      <w:r>
        <w:rPr>
          <w:rFonts w:ascii="Times New Roman" w:eastAsia="宋体" w:hAnsi="Times New Roman"/>
          <w:color w:val="000000"/>
          <w:sz w:val="20"/>
          <w:szCs w:val="20"/>
        </w:rPr>
        <w:t xml:space="preserve"> December 2019, the FASB issued guidance to simplify the accounting for income taxes by removing certain exceptions to the general principles in Topic 740,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and by clarifying and amending existing guidance in order to improve consistent applic</w:t>
      </w:r>
      <w:r>
        <w:rPr>
          <w:rFonts w:ascii="Times New Roman" w:eastAsia="宋体" w:hAnsi="Times New Roman"/>
          <w:color w:val="000000"/>
          <w:sz w:val="20"/>
          <w:szCs w:val="20"/>
        </w:rPr>
        <w:t>ation of GAAP for other areas of Topic 740. Public entities must adopt the new guidance for fiscal years beginning after December 15, 2020, and interim periods within those fiscal years, with early adoption permitted for fiscal periods beginning after Dece</w:t>
      </w:r>
      <w:r>
        <w:rPr>
          <w:rFonts w:ascii="Times New Roman" w:eastAsia="宋体" w:hAnsi="Times New Roman"/>
          <w:color w:val="000000"/>
          <w:sz w:val="20"/>
          <w:szCs w:val="20"/>
        </w:rPr>
        <w:t>mber 15, 2019. The Company will adopt this guidance for the fiscal year beginning January 30, 2021. Adoption of the new guidance is not expected to have a material impact on the Company’s financial results.</w:t>
      </w:r>
    </w:p>
    <w:p w14:paraId="7DCFF31D" w14:textId="77777777" w:rsidR="00C1563E" w:rsidRDefault="00C1563E">
      <w:pPr>
        <w:jc w:val="center"/>
      </w:pPr>
    </w:p>
    <w:p w14:paraId="7DCFF31E" w14:textId="77777777" w:rsidR="00C1563E" w:rsidRDefault="000B648B">
      <w:pPr>
        <w:jc w:val="center"/>
      </w:pPr>
      <w:r>
        <w:rPr>
          <w:rFonts w:ascii="Times New Roman" w:eastAsia="宋体" w:hAnsi="Times New Roman"/>
          <w:color w:val="000000"/>
          <w:sz w:val="20"/>
          <w:szCs w:val="20"/>
        </w:rPr>
        <w:t>92</w:t>
      </w:r>
    </w:p>
    <w:p w14:paraId="7DCFF31F" w14:textId="77777777" w:rsidR="00C1563E" w:rsidRDefault="00C1563E">
      <w:pPr>
        <w:jc w:val="center"/>
      </w:pPr>
    </w:p>
    <w:p w14:paraId="7DCFF320" w14:textId="77777777" w:rsidR="00C1563E" w:rsidRDefault="000B648B">
      <w:r>
        <w:pict w14:anchorId="7DD025C6">
          <v:rect id="_x0000_i1116" style="width:415.3pt;height:1.5pt" o:hralign="center" o:hrstd="t" o:hr="t" fillcolor="#a0a0a0" stroked="f"/>
        </w:pict>
      </w:r>
    </w:p>
    <w:p w14:paraId="7DCFF321" w14:textId="77777777" w:rsidR="00C1563E" w:rsidRDefault="000B648B">
      <w:hyperlink r:id="rId271" w:anchor="i418e32e4a35149ffbf7d3a25d66881b8_10" w:history="1">
        <w:r>
          <w:rPr>
            <w:rStyle w:val="a5"/>
            <w:rFonts w:ascii="Times New Roman" w:eastAsia="宋体" w:hAnsi="Times New Roman"/>
            <w:sz w:val="20"/>
            <w:szCs w:val="20"/>
          </w:rPr>
          <w:t>T</w:t>
        </w:r>
      </w:hyperlink>
      <w:hyperlink r:id="rId272" w:anchor="i418e32e4a35149ffbf7d3a25d66881b8_10" w:history="1">
        <w:r>
          <w:rPr>
            <w:rStyle w:val="a5"/>
            <w:rFonts w:ascii="Times New Roman" w:eastAsia="宋体" w:hAnsi="Times New Roman"/>
            <w:sz w:val="20"/>
            <w:szCs w:val="20"/>
          </w:rPr>
          <w:t xml:space="preserve">able of </w:t>
        </w:r>
      </w:hyperlink>
      <w:hyperlink r:id="rId273" w:anchor="i418e32e4a35149ffbf7d3a25d66881b8_10" w:history="1">
        <w:r>
          <w:rPr>
            <w:rStyle w:val="a5"/>
            <w:rFonts w:ascii="Times New Roman" w:eastAsia="宋体" w:hAnsi="Times New Roman"/>
            <w:sz w:val="20"/>
            <w:szCs w:val="20"/>
          </w:rPr>
          <w:t>Contents</w:t>
        </w:r>
      </w:hyperlink>
    </w:p>
    <w:p w14:paraId="7DCFF322" w14:textId="77777777" w:rsidR="00C1563E" w:rsidRDefault="00C1563E"/>
    <w:p w14:paraId="7DCFF323" w14:textId="77777777" w:rsidR="00C1563E" w:rsidRDefault="000B648B">
      <w:r>
        <w:rPr>
          <w:rFonts w:ascii="Times New Roman" w:eastAsia="宋体" w:hAnsi="Times New Roman"/>
          <w:i/>
          <w:iCs/>
          <w:color w:val="000000"/>
          <w:sz w:val="20"/>
          <w:szCs w:val="20"/>
          <w:u w:val="single"/>
        </w:rPr>
        <w:t>Recently Adopted Accounting Pronouncements</w:t>
      </w:r>
    </w:p>
    <w:p w14:paraId="7DCFF324" w14:textId="77777777" w:rsidR="00C1563E" w:rsidRDefault="00C1563E"/>
    <w:p w14:paraId="7DCFF325" w14:textId="77777777" w:rsidR="00C1563E" w:rsidRDefault="000B648B">
      <w:r>
        <w:rPr>
          <w:rFonts w:ascii="Times New Roman" w:eastAsia="宋体" w:hAnsi="Times New Roman"/>
          <w:i/>
          <w:iCs/>
          <w:color w:val="000000"/>
          <w:sz w:val="20"/>
          <w:szCs w:val="20"/>
        </w:rPr>
        <w:t xml:space="preserve">Measurement of Credit </w:t>
      </w:r>
      <w:r>
        <w:rPr>
          <w:rFonts w:ascii="Times New Roman" w:eastAsia="宋体" w:hAnsi="Times New Roman"/>
          <w:i/>
          <w:iCs/>
          <w:color w:val="000000"/>
          <w:sz w:val="20"/>
          <w:szCs w:val="20"/>
        </w:rPr>
        <w:t>Losses on Financial Instruments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In June 2016, the FASB issued amended guidance which replaced the current incurred loss impairment methodology for measurement of credit losses on financial instruments with a methodology (the “current expected credit loss</w:t>
      </w:r>
      <w:r>
        <w:rPr>
          <w:rFonts w:ascii="Times New Roman" w:eastAsia="宋体" w:hAnsi="Times New Roman"/>
          <w:color w:val="000000"/>
          <w:sz w:val="20"/>
          <w:szCs w:val="20"/>
        </w:rPr>
        <w:t>es model” or “CECL model”) that reflects expected credit losses and requires consideration of a broader range of reasonable and supportable information to inform credit loss estimates. Under the CECL model, the allowance for losses on financial assets, mea</w:t>
      </w:r>
      <w:r>
        <w:rPr>
          <w:rFonts w:ascii="Times New Roman" w:eastAsia="宋体" w:hAnsi="Times New Roman"/>
          <w:color w:val="000000"/>
          <w:sz w:val="20"/>
          <w:szCs w:val="20"/>
        </w:rPr>
        <w:t xml:space="preserve">sured at amortized cost, reflects management’s estimate of credit losses over the remaining expected life of such assets. </w:t>
      </w:r>
    </w:p>
    <w:p w14:paraId="7DCFF326" w14:textId="77777777" w:rsidR="00C1563E" w:rsidRDefault="00C1563E"/>
    <w:p w14:paraId="7DCFF327" w14:textId="77777777" w:rsidR="00C1563E" w:rsidRDefault="000B648B">
      <w:r>
        <w:rPr>
          <w:rFonts w:ascii="Times New Roman" w:eastAsia="宋体" w:hAnsi="Times New Roman"/>
          <w:color w:val="000000"/>
          <w:sz w:val="20"/>
          <w:szCs w:val="20"/>
        </w:rPr>
        <w:t xml:space="preserve">The Company adopted the standard (the “new CECL standard”) as of February 1, 2020 using the modified retrospective method, with the </w:t>
      </w:r>
      <w:r>
        <w:rPr>
          <w:rFonts w:ascii="Times New Roman" w:eastAsia="宋体" w:hAnsi="Times New Roman"/>
          <w:color w:val="000000"/>
          <w:sz w:val="20"/>
          <w:szCs w:val="20"/>
        </w:rPr>
        <w:t>cumulative-effect adjustment to the opening balance of stockholders’ equity (deficit) as of the adoption date. The cumulative effect of adopting the new CECL standard resulted in an increase of $111 million and $27 million to the allowance for expected cre</w:t>
      </w:r>
      <w:r>
        <w:rPr>
          <w:rFonts w:ascii="Times New Roman" w:eastAsia="宋体" w:hAnsi="Times New Roman"/>
          <w:color w:val="000000"/>
          <w:sz w:val="20"/>
          <w:szCs w:val="20"/>
        </w:rPr>
        <w:t>dit losses within financing receivables, net and accounts receivable, net, respectively, on the Consolidated Statements of Financial Position, and a corresponding decrease of $28 million to other non-current liabilities related to deferred taxes and $110 m</w:t>
      </w:r>
      <w:r>
        <w:rPr>
          <w:rFonts w:ascii="Times New Roman" w:eastAsia="宋体" w:hAnsi="Times New Roman"/>
          <w:color w:val="000000"/>
          <w:sz w:val="20"/>
          <w:szCs w:val="20"/>
        </w:rPr>
        <w:t>illion to stockholders’ equity (deficit) as of February 1, 2020. See Note 2, Note 4, and Note 20 of the Notes to the Consolidated Financial Statements for additional information about the Company’s allowance for financing receivables losses and allowance f</w:t>
      </w:r>
      <w:r>
        <w:rPr>
          <w:rFonts w:ascii="Times New Roman" w:eastAsia="宋体" w:hAnsi="Times New Roman"/>
          <w:color w:val="000000"/>
          <w:sz w:val="20"/>
          <w:szCs w:val="20"/>
        </w:rPr>
        <w:t>or expected credit losses of accounts receivable.</w:t>
      </w:r>
    </w:p>
    <w:p w14:paraId="7DCFF328" w14:textId="77777777" w:rsidR="00C1563E" w:rsidRDefault="00C1563E"/>
    <w:p w14:paraId="7DCFF329" w14:textId="77777777" w:rsidR="00C1563E" w:rsidRDefault="000B648B">
      <w:r>
        <w:rPr>
          <w:rFonts w:ascii="Times New Roman" w:eastAsia="宋体" w:hAnsi="Times New Roman"/>
          <w:i/>
          <w:iCs/>
          <w:color w:val="000000"/>
          <w:sz w:val="20"/>
          <w:szCs w:val="20"/>
        </w:rPr>
        <w:t xml:space="preserve">Intangibles - Goodwill and Other - Internal-Use Software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2018, the FASB issued guidance on a customer’s accounting for implementation costs incurred in a cloud-computing arrangement when hosted</w:t>
      </w:r>
      <w:r>
        <w:rPr>
          <w:rFonts w:ascii="Times New Roman" w:eastAsia="宋体" w:hAnsi="Times New Roman"/>
          <w:color w:val="000000"/>
          <w:sz w:val="20"/>
          <w:szCs w:val="20"/>
        </w:rPr>
        <w:t xml:space="preserve"> by a vendor. The guidance provides that, in a hosting arrangement that is a service contract, certain implementation costs should be capitalized and amortized over the term of the arrangement. The Company adopted the standard during the three months ended</w:t>
      </w:r>
      <w:r>
        <w:rPr>
          <w:rFonts w:ascii="Times New Roman" w:eastAsia="宋体" w:hAnsi="Times New Roman"/>
          <w:color w:val="000000"/>
          <w:sz w:val="20"/>
          <w:szCs w:val="20"/>
        </w:rPr>
        <w:t xml:space="preserve"> May 1, 2020 using the prospective method. The impact of the adoption of this standard was immaterial to the Consolidated Financial Statements.</w:t>
      </w:r>
    </w:p>
    <w:p w14:paraId="7DCFF32A" w14:textId="77777777" w:rsidR="00C1563E" w:rsidRDefault="00C1563E"/>
    <w:p w14:paraId="7DCFF32B" w14:textId="77777777" w:rsidR="00C1563E" w:rsidRDefault="000B648B">
      <w:r>
        <w:rPr>
          <w:rFonts w:ascii="Times New Roman" w:eastAsia="宋体" w:hAnsi="Times New Roman"/>
          <w:i/>
          <w:iCs/>
          <w:color w:val="000000"/>
          <w:sz w:val="20"/>
          <w:szCs w:val="20"/>
        </w:rPr>
        <w:t xml:space="preserve">Leases — </w:t>
      </w:r>
      <w:r>
        <w:rPr>
          <w:rFonts w:ascii="Times New Roman" w:eastAsia="宋体" w:hAnsi="Times New Roman"/>
          <w:color w:val="000000"/>
          <w:sz w:val="20"/>
          <w:szCs w:val="20"/>
        </w:rPr>
        <w:t>In February 2016, the FASB issued amended guidance on the accounting for leasing transactions. The pri</w:t>
      </w:r>
      <w:r>
        <w:rPr>
          <w:rFonts w:ascii="Times New Roman" w:eastAsia="宋体" w:hAnsi="Times New Roman"/>
          <w:color w:val="000000"/>
          <w:sz w:val="20"/>
          <w:szCs w:val="20"/>
        </w:rPr>
        <w:t>mary objective of this update is to increase transparency and comparability among organizations by requiring lessees to recognize a lease liability for the obligation to make lease payments and an ROU asset for the right to use the underlying asset for the</w:t>
      </w:r>
      <w:r>
        <w:rPr>
          <w:rFonts w:ascii="Times New Roman" w:eastAsia="宋体" w:hAnsi="Times New Roman"/>
          <w:color w:val="000000"/>
          <w:sz w:val="20"/>
          <w:szCs w:val="20"/>
        </w:rPr>
        <w:t xml:space="preserve"> lease term. The guidance also results in some changes to lessor accounting and requires additional disclosures about all leasing arrangements.</w:t>
      </w:r>
    </w:p>
    <w:p w14:paraId="7DCFF32C" w14:textId="77777777" w:rsidR="00C1563E" w:rsidRDefault="00C1563E"/>
    <w:p w14:paraId="7DCFF32D" w14:textId="77777777" w:rsidR="00C1563E" w:rsidRDefault="000B648B">
      <w:r>
        <w:rPr>
          <w:rFonts w:ascii="Times New Roman" w:eastAsia="宋体" w:hAnsi="Times New Roman"/>
          <w:color w:val="000000"/>
          <w:sz w:val="20"/>
          <w:szCs w:val="20"/>
        </w:rPr>
        <w:t>The Company adopted the new lease standard as of February 2, 2019 using the modified retrospective approach, wi</w:t>
      </w:r>
      <w:r>
        <w:rPr>
          <w:rFonts w:ascii="Times New Roman" w:eastAsia="宋体" w:hAnsi="Times New Roman"/>
          <w:color w:val="000000"/>
          <w:sz w:val="20"/>
          <w:szCs w:val="20"/>
        </w:rPr>
        <w:t>th the cumulative-effect adjustment to the opening balance of stockholders’ equity (deficit) as of the adoption date. The Company elected to apply the practical expedient using the transition option whereby prior comparative periods were not retrospectivel</w:t>
      </w:r>
      <w:r>
        <w:rPr>
          <w:rFonts w:ascii="Times New Roman" w:eastAsia="宋体" w:hAnsi="Times New Roman"/>
          <w:color w:val="000000"/>
          <w:sz w:val="20"/>
          <w:szCs w:val="20"/>
        </w:rPr>
        <w:t xml:space="preserve">y adjusted in the Consolidated Financial Statements. Accordingly, prior comparative periods have not been adjusted in the Consolidated Financial Statements. The Company also elected the package of practical expedients that does not require reassessment of </w:t>
      </w:r>
      <w:r>
        <w:rPr>
          <w:rFonts w:ascii="Times New Roman" w:eastAsia="宋体" w:hAnsi="Times New Roman"/>
          <w:color w:val="000000"/>
          <w:sz w:val="20"/>
          <w:szCs w:val="20"/>
        </w:rPr>
        <w:t>initial direct costs, classification of a lease, and definition of a lease.</w:t>
      </w:r>
    </w:p>
    <w:p w14:paraId="7DCFF32E" w14:textId="77777777" w:rsidR="00C1563E" w:rsidRDefault="00C1563E"/>
    <w:p w14:paraId="7DCFF32F" w14:textId="77777777" w:rsidR="00C1563E" w:rsidRDefault="000B648B">
      <w:r>
        <w:rPr>
          <w:rFonts w:ascii="Times New Roman" w:eastAsia="宋体" w:hAnsi="Times New Roman"/>
          <w:color w:val="000000"/>
          <w:sz w:val="20"/>
          <w:szCs w:val="20"/>
        </w:rPr>
        <w:t>The adoption of the new lease standard resulted in the recognition of $1.6 billion in operating lease liabilities and related right of use (“ROU”) assets on the Consolidated State</w:t>
      </w:r>
      <w:r>
        <w:rPr>
          <w:rFonts w:ascii="Times New Roman" w:eastAsia="宋体" w:hAnsi="Times New Roman"/>
          <w:color w:val="000000"/>
          <w:sz w:val="20"/>
          <w:szCs w:val="20"/>
        </w:rPr>
        <w:t>ments of Financial Position. The Company recorded an immaterial adjustment to stockholders’ equity (deficit) as of February 2, 2019 to reflect the cumulative effect of adoption of the new lease standard. As of February 2, 2019, there were no material finan</w:t>
      </w:r>
      <w:r>
        <w:rPr>
          <w:rFonts w:ascii="Times New Roman" w:eastAsia="宋体" w:hAnsi="Times New Roman"/>
          <w:color w:val="000000"/>
          <w:sz w:val="20"/>
          <w:szCs w:val="20"/>
        </w:rPr>
        <w:t>ce leases for which the Company was a lessee.</w:t>
      </w:r>
    </w:p>
    <w:p w14:paraId="7DCFF330" w14:textId="77777777" w:rsidR="00C1563E" w:rsidRDefault="00C1563E"/>
    <w:p w14:paraId="7DCFF331" w14:textId="77777777" w:rsidR="00C1563E" w:rsidRDefault="000B648B">
      <w:r>
        <w:rPr>
          <w:rFonts w:ascii="Times New Roman" w:eastAsia="宋体" w:hAnsi="Times New Roman"/>
          <w:color w:val="000000"/>
          <w:sz w:val="20"/>
          <w:szCs w:val="20"/>
        </w:rPr>
        <w:t>In the area of lessor accounting, as of February 2, 2019, the Company began to originate operating leases due to the elimination of third-party residual value guarantee insurance from the sales-type lease clas</w:t>
      </w:r>
      <w:r>
        <w:rPr>
          <w:rFonts w:ascii="Times New Roman" w:eastAsia="宋体" w:hAnsi="Times New Roman"/>
          <w:color w:val="000000"/>
          <w:sz w:val="20"/>
          <w:szCs w:val="20"/>
        </w:rPr>
        <w:t>sification test. Leases that commenced prior to the adoption of the new lease standard were not reassessed or restated pursuant to the practical expedients elected. Accordingly, there was no cumulative adjustment to stockholders’ equity (deficit) related t</w:t>
      </w:r>
      <w:r>
        <w:rPr>
          <w:rFonts w:ascii="Times New Roman" w:eastAsia="宋体" w:hAnsi="Times New Roman"/>
          <w:color w:val="000000"/>
          <w:sz w:val="20"/>
          <w:szCs w:val="20"/>
        </w:rPr>
        <w:t>o lessor accounting.</w:t>
      </w:r>
    </w:p>
    <w:p w14:paraId="7DCFF332" w14:textId="77777777" w:rsidR="00C1563E" w:rsidRDefault="00C1563E"/>
    <w:p w14:paraId="7DCFF333" w14:textId="77777777" w:rsidR="00C1563E" w:rsidRDefault="000B648B">
      <w:r>
        <w:rPr>
          <w:rFonts w:ascii="Times New Roman" w:eastAsia="宋体" w:hAnsi="Times New Roman"/>
          <w:color w:val="000000"/>
          <w:sz w:val="20"/>
          <w:szCs w:val="20"/>
        </w:rPr>
        <w:t>See Note 4 and Note 5 of the Notes to the Consolidated Financial Statements for additional information about the Company’s leases from a lessor and lessee perspective, respectively.</w:t>
      </w:r>
    </w:p>
    <w:p w14:paraId="7DCFF334" w14:textId="77777777" w:rsidR="00C1563E" w:rsidRDefault="00C1563E"/>
    <w:p w14:paraId="7DCFF335" w14:textId="77777777" w:rsidR="00C1563E" w:rsidRDefault="00C1563E"/>
    <w:p w14:paraId="7DCFF336" w14:textId="77777777" w:rsidR="00C1563E" w:rsidRDefault="00C1563E">
      <w:pPr>
        <w:jc w:val="center"/>
      </w:pPr>
    </w:p>
    <w:p w14:paraId="7DCFF337" w14:textId="77777777" w:rsidR="00C1563E" w:rsidRDefault="000B648B">
      <w:pPr>
        <w:jc w:val="center"/>
      </w:pPr>
      <w:r>
        <w:rPr>
          <w:rFonts w:ascii="Times New Roman" w:eastAsia="宋体" w:hAnsi="Times New Roman"/>
          <w:color w:val="000000"/>
          <w:sz w:val="20"/>
          <w:szCs w:val="20"/>
        </w:rPr>
        <w:t>93</w:t>
      </w:r>
    </w:p>
    <w:p w14:paraId="7DCFF338" w14:textId="77777777" w:rsidR="00C1563E" w:rsidRDefault="00C1563E">
      <w:pPr>
        <w:jc w:val="center"/>
      </w:pPr>
    </w:p>
    <w:p w14:paraId="7DCFF339" w14:textId="77777777" w:rsidR="00C1563E" w:rsidRDefault="000B648B">
      <w:r>
        <w:pict w14:anchorId="7DD025C7">
          <v:rect id="_x0000_i1117" style="width:415.3pt;height:1.5pt" o:hralign="center" o:hrstd="t" o:hr="t" fillcolor="#a0a0a0" stroked="f"/>
        </w:pict>
      </w:r>
    </w:p>
    <w:p w14:paraId="7DCFF33A" w14:textId="77777777" w:rsidR="00C1563E" w:rsidRDefault="000B648B">
      <w:hyperlink r:id="rId274" w:anchor="i418e32e4a35149ffbf7d3a25d66881b8_10" w:history="1">
        <w:r>
          <w:rPr>
            <w:rStyle w:val="a5"/>
            <w:rFonts w:ascii="Times New Roman" w:eastAsia="宋体" w:hAnsi="Times New Roman"/>
            <w:sz w:val="20"/>
            <w:szCs w:val="20"/>
          </w:rPr>
          <w:t>T</w:t>
        </w:r>
      </w:hyperlink>
      <w:hyperlink r:id="rId275" w:anchor="i418e32e4a35149ffbf7d3a25d66881b8_10" w:history="1">
        <w:r>
          <w:rPr>
            <w:rStyle w:val="a5"/>
            <w:rFonts w:ascii="Times New Roman" w:eastAsia="宋体" w:hAnsi="Times New Roman"/>
            <w:sz w:val="20"/>
            <w:szCs w:val="20"/>
          </w:rPr>
          <w:t xml:space="preserve">able of </w:t>
        </w:r>
      </w:hyperlink>
      <w:hyperlink r:id="rId276" w:anchor="i418e32e4a35149ffbf7d3a25d66881b8_10" w:history="1">
        <w:r>
          <w:rPr>
            <w:rStyle w:val="a5"/>
            <w:rFonts w:ascii="Times New Roman" w:eastAsia="宋体" w:hAnsi="Times New Roman"/>
            <w:sz w:val="20"/>
            <w:szCs w:val="20"/>
          </w:rPr>
          <w:t>Contents</w:t>
        </w:r>
      </w:hyperlink>
    </w:p>
    <w:p w14:paraId="7DCFF33B" w14:textId="77777777" w:rsidR="00C1563E" w:rsidRDefault="000B648B">
      <w:r>
        <w:rPr>
          <w:rFonts w:ascii="Times New Roman" w:eastAsia="宋体" w:hAnsi="Times New Roman"/>
          <w:i/>
          <w:iCs/>
          <w:color w:val="000000"/>
          <w:sz w:val="20"/>
          <w:szCs w:val="20"/>
        </w:rPr>
        <w:t>Revenue from Contracts with Cust</w:t>
      </w:r>
      <w:r>
        <w:rPr>
          <w:rFonts w:ascii="Times New Roman" w:eastAsia="宋体" w:hAnsi="Times New Roman"/>
          <w:i/>
          <w:iCs/>
          <w:color w:val="000000"/>
          <w:sz w:val="20"/>
          <w:szCs w:val="20"/>
        </w:rPr>
        <w:t>omers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May 2014, the FASB issued amended guidance on the recognition of revenue from contracts with customers. The new standard established a single comprehensive model for entities to use in accounting for revenue arising from contracts with customers and sup</w:t>
      </w:r>
      <w:r>
        <w:rPr>
          <w:rFonts w:ascii="Times New Roman" w:eastAsia="宋体" w:hAnsi="Times New Roman"/>
          <w:color w:val="000000"/>
          <w:sz w:val="20"/>
          <w:szCs w:val="20"/>
        </w:rPr>
        <w:t>ersedes substantially all of the previous revenue recognition guidance, including industry-specific guidance. The new standard requires entities to recognize revenue when it transfers promised goods or services to customers in an amount that reflects the c</w:t>
      </w:r>
      <w:r>
        <w:rPr>
          <w:rFonts w:ascii="Times New Roman" w:eastAsia="宋体" w:hAnsi="Times New Roman"/>
          <w:color w:val="000000"/>
          <w:sz w:val="20"/>
          <w:szCs w:val="20"/>
        </w:rPr>
        <w:t>onsideration to which the entity expects to be entitled in exchange for those goods or services. Further, the new standard requires additional disclosures to help enable users of the financial statements to better understand the nature, amount, timing, ris</w:t>
      </w:r>
      <w:r>
        <w:rPr>
          <w:rFonts w:ascii="Times New Roman" w:eastAsia="宋体" w:hAnsi="Times New Roman"/>
          <w:color w:val="000000"/>
          <w:sz w:val="20"/>
          <w:szCs w:val="20"/>
        </w:rPr>
        <w:t>ks, and judgments related to revenue recognition and related cash flows from contracts with customers. Concurrently, the FASB issued guidance on the accounting for costs to fulfill or obtain a customer contract. The Company adopted these standards during t</w:t>
      </w:r>
      <w:r>
        <w:rPr>
          <w:rFonts w:ascii="Times New Roman" w:eastAsia="宋体" w:hAnsi="Times New Roman"/>
          <w:color w:val="000000"/>
          <w:sz w:val="20"/>
          <w:szCs w:val="20"/>
        </w:rPr>
        <w:t>he three months ended May 4, 2018 using the full retrospective method, which requires the Company to recast each prior period presented consistent with the new guidance. The Company recorded a credit of approximately $1 billion to retained earnings as of J</w:t>
      </w:r>
      <w:r>
        <w:rPr>
          <w:rFonts w:ascii="Times New Roman" w:eastAsia="宋体" w:hAnsi="Times New Roman"/>
          <w:color w:val="000000"/>
          <w:sz w:val="20"/>
          <w:szCs w:val="20"/>
        </w:rPr>
        <w:t xml:space="preserve">anuary 29, 2016 to reflect the cumulative effect of the adoption. </w:t>
      </w:r>
    </w:p>
    <w:p w14:paraId="7DCFF33C" w14:textId="77777777" w:rsidR="00C1563E" w:rsidRDefault="00C1563E"/>
    <w:p w14:paraId="7DCFF33D" w14:textId="77777777" w:rsidR="00C1563E" w:rsidRDefault="000B648B">
      <w:r>
        <w:rPr>
          <w:rFonts w:ascii="Times New Roman" w:eastAsia="宋体" w:hAnsi="Times New Roman"/>
          <w:i/>
          <w:iCs/>
          <w:color w:val="000000"/>
          <w:sz w:val="20"/>
          <w:szCs w:val="20"/>
        </w:rPr>
        <w:t>Recognition and Measurement of Financial Assets and Financial Liabilities </w:t>
      </w:r>
      <w:r>
        <w:rPr>
          <w:rFonts w:ascii="Times New Roman" w:eastAsia="宋体" w:hAnsi="Times New Roman"/>
          <w:color w:val="000000"/>
          <w:sz w:val="20"/>
          <w:szCs w:val="20"/>
        </w:rPr>
        <w:t>— In January 2016, the FASB issued amended guidance that generally requires changes in the fair value of equity in</w:t>
      </w:r>
      <w:r>
        <w:rPr>
          <w:rFonts w:ascii="Times New Roman" w:eastAsia="宋体" w:hAnsi="Times New Roman"/>
          <w:color w:val="000000"/>
          <w:sz w:val="20"/>
          <w:szCs w:val="20"/>
        </w:rPr>
        <w:t>vestments, other than those accounted for under the equity method, to be recognized through net income, rather than other comprehensive income. For equity investments without readily determinable fair values, the Company is no longer permitted to use the c</w:t>
      </w:r>
      <w:r>
        <w:rPr>
          <w:rFonts w:ascii="Times New Roman" w:eastAsia="宋体" w:hAnsi="Times New Roman"/>
          <w:color w:val="000000"/>
          <w:sz w:val="20"/>
          <w:szCs w:val="20"/>
        </w:rPr>
        <w:t xml:space="preserve">ost method of accounting. The Company has elected to apply the measurement alternative for those investments. Under the alternative, the Company measures investments without readily determinable fair values at cost, less impairment, adjusted by observable </w:t>
      </w:r>
      <w:r>
        <w:rPr>
          <w:rFonts w:ascii="Times New Roman" w:eastAsia="宋体" w:hAnsi="Times New Roman"/>
          <w:color w:val="000000"/>
          <w:sz w:val="20"/>
          <w:szCs w:val="20"/>
        </w:rPr>
        <w:t>price changes on a prospective basis. The Company must make a separate election to use the alternative for each eligible investment and is required to reassess at each reporting period whether an investment qualifies for the alternative. The Company adopte</w:t>
      </w:r>
      <w:r>
        <w:rPr>
          <w:rFonts w:ascii="Times New Roman" w:eastAsia="宋体" w:hAnsi="Times New Roman"/>
          <w:color w:val="000000"/>
          <w:sz w:val="20"/>
          <w:szCs w:val="20"/>
        </w:rPr>
        <w:t>d this standard during the three months ended May 4, 2018. Adoption of the standard was applied through a cumulative one-time adjustment to accumulated deficit of $56 million for the accumulated unrealized gain previously recorded in other comprehensive in</w:t>
      </w:r>
      <w:r>
        <w:rPr>
          <w:rFonts w:ascii="Times New Roman" w:eastAsia="宋体" w:hAnsi="Times New Roman"/>
          <w:color w:val="000000"/>
          <w:sz w:val="20"/>
          <w:szCs w:val="20"/>
        </w:rPr>
        <w:t xml:space="preserve">come. </w:t>
      </w:r>
    </w:p>
    <w:p w14:paraId="7DCFF33E" w14:textId="77777777" w:rsidR="00C1563E" w:rsidRDefault="00C1563E"/>
    <w:p w14:paraId="7DCFF33F" w14:textId="77777777" w:rsidR="00C1563E" w:rsidRDefault="00C1563E"/>
    <w:p w14:paraId="7DCFF340" w14:textId="77777777" w:rsidR="00C1563E" w:rsidRDefault="00C1563E">
      <w:pPr>
        <w:jc w:val="center"/>
      </w:pPr>
    </w:p>
    <w:p w14:paraId="7DCFF341" w14:textId="77777777" w:rsidR="00C1563E" w:rsidRDefault="000B648B">
      <w:pPr>
        <w:jc w:val="center"/>
      </w:pPr>
      <w:r>
        <w:rPr>
          <w:rFonts w:ascii="Times New Roman" w:eastAsia="宋体" w:hAnsi="Times New Roman"/>
          <w:color w:val="000000"/>
          <w:sz w:val="20"/>
          <w:szCs w:val="20"/>
        </w:rPr>
        <w:t>94</w:t>
      </w:r>
    </w:p>
    <w:p w14:paraId="7DCFF342" w14:textId="77777777" w:rsidR="00C1563E" w:rsidRDefault="00C1563E">
      <w:pPr>
        <w:jc w:val="center"/>
      </w:pPr>
    </w:p>
    <w:p w14:paraId="7DCFF343" w14:textId="77777777" w:rsidR="00C1563E" w:rsidRDefault="000B648B">
      <w:r>
        <w:pict w14:anchorId="7DD025C8">
          <v:rect id="_x0000_i1118" style="width:415.3pt;height:1.5pt" o:hralign="center" o:hrstd="t" o:hr="t" fillcolor="#a0a0a0" stroked="f"/>
        </w:pict>
      </w:r>
    </w:p>
    <w:p w14:paraId="7DCFF344" w14:textId="77777777" w:rsidR="00C1563E" w:rsidRDefault="000B648B">
      <w:hyperlink r:id="rId277" w:anchor="i418e32e4a35149ffbf7d3a25d66881b8_10" w:history="1">
        <w:r>
          <w:rPr>
            <w:rStyle w:val="a5"/>
            <w:rFonts w:ascii="Times New Roman" w:eastAsia="宋体" w:hAnsi="Times New Roman"/>
            <w:sz w:val="20"/>
            <w:szCs w:val="20"/>
          </w:rPr>
          <w:t>Table of Contents</w:t>
        </w:r>
      </w:hyperlink>
    </w:p>
    <w:p w14:paraId="7DCFF345" w14:textId="77777777" w:rsidR="00C1563E" w:rsidRDefault="000B648B">
      <w:r>
        <w:rPr>
          <w:rFonts w:ascii="Times New Roman" w:eastAsia="宋体" w:hAnsi="Times New Roman"/>
          <w:b/>
          <w:bCs/>
          <w:color w:val="000000"/>
          <w:sz w:val="20"/>
          <w:szCs w:val="20"/>
        </w:rPr>
        <w:t>NOTE 3 — FAIR VALUE MEASUREMENTS AND INVESTMENTS</w:t>
      </w:r>
    </w:p>
    <w:p w14:paraId="7DCFF346" w14:textId="77777777" w:rsidR="00C1563E" w:rsidRDefault="00C1563E"/>
    <w:p w14:paraId="7DCFF347" w14:textId="77777777" w:rsidR="00C1563E" w:rsidRDefault="000B648B">
      <w:pPr>
        <w:spacing w:after="120"/>
      </w:pPr>
      <w:r>
        <w:rPr>
          <w:rFonts w:ascii="Times New Roman" w:eastAsia="宋体" w:hAnsi="Times New Roman"/>
          <w:color w:val="000000"/>
          <w:sz w:val="20"/>
          <w:szCs w:val="20"/>
        </w:rPr>
        <w:t>The following tabl</w:t>
      </w:r>
      <w:r>
        <w:rPr>
          <w:rFonts w:ascii="Times New Roman" w:eastAsia="宋体" w:hAnsi="Times New Roman"/>
          <w:color w:val="000000"/>
          <w:sz w:val="20"/>
          <w:szCs w:val="20"/>
        </w:rPr>
        <w:t>e presents the Company’s hierarchy for its assets and liabilities measured at fair value on a recurring basis as of the dates indicated:</w:t>
      </w:r>
    </w:p>
    <w:tbl>
      <w:tblPr>
        <w:tblW w:w="4971" w:type="pct"/>
        <w:tblCellMar>
          <w:top w:w="15" w:type="dxa"/>
          <w:left w:w="15" w:type="dxa"/>
          <w:bottom w:w="15" w:type="dxa"/>
          <w:right w:w="15" w:type="dxa"/>
        </w:tblCellMar>
        <w:tblLook w:val="04A0" w:firstRow="1" w:lastRow="0" w:firstColumn="1" w:lastColumn="0" w:noHBand="0" w:noVBand="1"/>
      </w:tblPr>
      <w:tblGrid>
        <w:gridCol w:w="62"/>
        <w:gridCol w:w="1029"/>
        <w:gridCol w:w="35"/>
        <w:gridCol w:w="111"/>
        <w:gridCol w:w="562"/>
        <w:gridCol w:w="35"/>
        <w:gridCol w:w="36"/>
        <w:gridCol w:w="35"/>
        <w:gridCol w:w="36"/>
        <w:gridCol w:w="113"/>
        <w:gridCol w:w="731"/>
        <w:gridCol w:w="36"/>
        <w:gridCol w:w="36"/>
        <w:gridCol w:w="36"/>
        <w:gridCol w:w="36"/>
        <w:gridCol w:w="113"/>
        <w:gridCol w:w="891"/>
        <w:gridCol w:w="36"/>
        <w:gridCol w:w="36"/>
        <w:gridCol w:w="36"/>
        <w:gridCol w:w="36"/>
        <w:gridCol w:w="111"/>
        <w:gridCol w:w="451"/>
        <w:gridCol w:w="36"/>
        <w:gridCol w:w="36"/>
        <w:gridCol w:w="36"/>
        <w:gridCol w:w="36"/>
        <w:gridCol w:w="112"/>
        <w:gridCol w:w="563"/>
        <w:gridCol w:w="36"/>
        <w:gridCol w:w="36"/>
        <w:gridCol w:w="36"/>
        <w:gridCol w:w="36"/>
        <w:gridCol w:w="113"/>
        <w:gridCol w:w="731"/>
        <w:gridCol w:w="36"/>
        <w:gridCol w:w="36"/>
        <w:gridCol w:w="36"/>
        <w:gridCol w:w="36"/>
        <w:gridCol w:w="113"/>
        <w:gridCol w:w="891"/>
        <w:gridCol w:w="36"/>
        <w:gridCol w:w="36"/>
        <w:gridCol w:w="36"/>
        <w:gridCol w:w="36"/>
        <w:gridCol w:w="111"/>
        <w:gridCol w:w="451"/>
        <w:gridCol w:w="36"/>
      </w:tblGrid>
      <w:tr w:rsidR="00C1563E" w14:paraId="7DCFF378" w14:textId="77777777">
        <w:tc>
          <w:tcPr>
            <w:tcW w:w="50" w:type="pct"/>
            <w:shd w:val="clear" w:color="auto" w:fill="auto"/>
          </w:tcPr>
          <w:p w14:paraId="7DCFF348" w14:textId="77777777" w:rsidR="00C1563E" w:rsidRDefault="00C1563E">
            <w:pPr>
              <w:rPr>
                <w:rFonts w:ascii="宋体"/>
              </w:rPr>
            </w:pPr>
          </w:p>
        </w:tc>
        <w:tc>
          <w:tcPr>
            <w:tcW w:w="1070" w:type="pct"/>
            <w:shd w:val="clear" w:color="auto" w:fill="auto"/>
          </w:tcPr>
          <w:p w14:paraId="7DCFF349" w14:textId="77777777" w:rsidR="00C1563E" w:rsidRDefault="00C1563E">
            <w:pPr>
              <w:rPr>
                <w:rFonts w:ascii="宋体"/>
              </w:rPr>
            </w:pPr>
          </w:p>
        </w:tc>
        <w:tc>
          <w:tcPr>
            <w:tcW w:w="5" w:type="pct"/>
            <w:shd w:val="clear" w:color="auto" w:fill="auto"/>
          </w:tcPr>
          <w:p w14:paraId="7DCFF34A" w14:textId="77777777" w:rsidR="00C1563E" w:rsidRDefault="00C1563E">
            <w:pPr>
              <w:rPr>
                <w:rFonts w:ascii="宋体"/>
              </w:rPr>
            </w:pPr>
          </w:p>
        </w:tc>
        <w:tc>
          <w:tcPr>
            <w:tcW w:w="50" w:type="pct"/>
            <w:shd w:val="clear" w:color="auto" w:fill="auto"/>
          </w:tcPr>
          <w:p w14:paraId="7DCFF34B" w14:textId="77777777" w:rsidR="00C1563E" w:rsidRDefault="00C1563E">
            <w:pPr>
              <w:rPr>
                <w:rFonts w:ascii="宋体"/>
              </w:rPr>
            </w:pPr>
          </w:p>
        </w:tc>
        <w:tc>
          <w:tcPr>
            <w:tcW w:w="364" w:type="pct"/>
            <w:shd w:val="clear" w:color="auto" w:fill="auto"/>
          </w:tcPr>
          <w:p w14:paraId="7DCFF34C" w14:textId="77777777" w:rsidR="00C1563E" w:rsidRDefault="00C1563E">
            <w:pPr>
              <w:rPr>
                <w:rFonts w:ascii="宋体"/>
              </w:rPr>
            </w:pPr>
          </w:p>
        </w:tc>
        <w:tc>
          <w:tcPr>
            <w:tcW w:w="5" w:type="pct"/>
            <w:shd w:val="clear" w:color="auto" w:fill="auto"/>
          </w:tcPr>
          <w:p w14:paraId="7DCFF34D" w14:textId="77777777" w:rsidR="00C1563E" w:rsidRDefault="00C1563E">
            <w:pPr>
              <w:rPr>
                <w:rFonts w:ascii="宋体"/>
              </w:rPr>
            </w:pPr>
          </w:p>
        </w:tc>
        <w:tc>
          <w:tcPr>
            <w:tcW w:w="5" w:type="pct"/>
            <w:shd w:val="clear" w:color="auto" w:fill="auto"/>
          </w:tcPr>
          <w:p w14:paraId="7DCFF34E" w14:textId="77777777" w:rsidR="00C1563E" w:rsidRDefault="00C1563E">
            <w:pPr>
              <w:rPr>
                <w:rFonts w:ascii="宋体"/>
              </w:rPr>
            </w:pPr>
          </w:p>
        </w:tc>
        <w:tc>
          <w:tcPr>
            <w:tcW w:w="26" w:type="pct"/>
            <w:shd w:val="clear" w:color="auto" w:fill="auto"/>
          </w:tcPr>
          <w:p w14:paraId="7DCFF34F" w14:textId="77777777" w:rsidR="00C1563E" w:rsidRDefault="00C1563E">
            <w:pPr>
              <w:rPr>
                <w:rFonts w:ascii="宋体"/>
              </w:rPr>
            </w:pPr>
          </w:p>
        </w:tc>
        <w:tc>
          <w:tcPr>
            <w:tcW w:w="5" w:type="pct"/>
            <w:shd w:val="clear" w:color="auto" w:fill="auto"/>
          </w:tcPr>
          <w:p w14:paraId="7DCFF350" w14:textId="77777777" w:rsidR="00C1563E" w:rsidRDefault="00C1563E">
            <w:pPr>
              <w:rPr>
                <w:rFonts w:ascii="宋体"/>
              </w:rPr>
            </w:pPr>
          </w:p>
        </w:tc>
        <w:tc>
          <w:tcPr>
            <w:tcW w:w="50" w:type="pct"/>
            <w:shd w:val="clear" w:color="auto" w:fill="auto"/>
          </w:tcPr>
          <w:p w14:paraId="7DCFF351" w14:textId="77777777" w:rsidR="00C1563E" w:rsidRDefault="00C1563E">
            <w:pPr>
              <w:rPr>
                <w:rFonts w:ascii="宋体"/>
              </w:rPr>
            </w:pPr>
          </w:p>
        </w:tc>
        <w:tc>
          <w:tcPr>
            <w:tcW w:w="415" w:type="pct"/>
            <w:shd w:val="clear" w:color="auto" w:fill="auto"/>
          </w:tcPr>
          <w:p w14:paraId="7DCFF352" w14:textId="77777777" w:rsidR="00C1563E" w:rsidRDefault="00C1563E">
            <w:pPr>
              <w:rPr>
                <w:rFonts w:ascii="宋体"/>
              </w:rPr>
            </w:pPr>
          </w:p>
        </w:tc>
        <w:tc>
          <w:tcPr>
            <w:tcW w:w="5" w:type="pct"/>
            <w:shd w:val="clear" w:color="auto" w:fill="auto"/>
          </w:tcPr>
          <w:p w14:paraId="7DCFF353" w14:textId="77777777" w:rsidR="00C1563E" w:rsidRDefault="00C1563E">
            <w:pPr>
              <w:rPr>
                <w:rFonts w:ascii="宋体"/>
              </w:rPr>
            </w:pPr>
          </w:p>
        </w:tc>
        <w:tc>
          <w:tcPr>
            <w:tcW w:w="5" w:type="pct"/>
            <w:shd w:val="clear" w:color="auto" w:fill="auto"/>
          </w:tcPr>
          <w:p w14:paraId="7DCFF354" w14:textId="77777777" w:rsidR="00C1563E" w:rsidRDefault="00C1563E">
            <w:pPr>
              <w:rPr>
                <w:rFonts w:ascii="宋体"/>
              </w:rPr>
            </w:pPr>
          </w:p>
        </w:tc>
        <w:tc>
          <w:tcPr>
            <w:tcW w:w="26" w:type="pct"/>
            <w:shd w:val="clear" w:color="auto" w:fill="auto"/>
          </w:tcPr>
          <w:p w14:paraId="7DCFF355" w14:textId="77777777" w:rsidR="00C1563E" w:rsidRDefault="00C1563E">
            <w:pPr>
              <w:rPr>
                <w:rFonts w:ascii="宋体"/>
              </w:rPr>
            </w:pPr>
          </w:p>
        </w:tc>
        <w:tc>
          <w:tcPr>
            <w:tcW w:w="5" w:type="pct"/>
            <w:shd w:val="clear" w:color="auto" w:fill="auto"/>
          </w:tcPr>
          <w:p w14:paraId="7DCFF356" w14:textId="77777777" w:rsidR="00C1563E" w:rsidRDefault="00C1563E">
            <w:pPr>
              <w:rPr>
                <w:rFonts w:ascii="宋体"/>
              </w:rPr>
            </w:pPr>
          </w:p>
        </w:tc>
        <w:tc>
          <w:tcPr>
            <w:tcW w:w="50" w:type="pct"/>
            <w:shd w:val="clear" w:color="auto" w:fill="auto"/>
          </w:tcPr>
          <w:p w14:paraId="7DCFF357" w14:textId="77777777" w:rsidR="00C1563E" w:rsidRDefault="00C1563E">
            <w:pPr>
              <w:rPr>
                <w:rFonts w:ascii="宋体"/>
              </w:rPr>
            </w:pPr>
          </w:p>
        </w:tc>
        <w:tc>
          <w:tcPr>
            <w:tcW w:w="503" w:type="pct"/>
            <w:shd w:val="clear" w:color="auto" w:fill="auto"/>
          </w:tcPr>
          <w:p w14:paraId="7DCFF358" w14:textId="77777777" w:rsidR="00C1563E" w:rsidRDefault="00C1563E">
            <w:pPr>
              <w:rPr>
                <w:rFonts w:ascii="宋体"/>
              </w:rPr>
            </w:pPr>
          </w:p>
        </w:tc>
        <w:tc>
          <w:tcPr>
            <w:tcW w:w="5" w:type="pct"/>
            <w:shd w:val="clear" w:color="auto" w:fill="auto"/>
          </w:tcPr>
          <w:p w14:paraId="7DCFF359" w14:textId="77777777" w:rsidR="00C1563E" w:rsidRDefault="00C1563E">
            <w:pPr>
              <w:rPr>
                <w:rFonts w:ascii="宋体"/>
              </w:rPr>
            </w:pPr>
          </w:p>
        </w:tc>
        <w:tc>
          <w:tcPr>
            <w:tcW w:w="5" w:type="pct"/>
            <w:shd w:val="clear" w:color="auto" w:fill="auto"/>
          </w:tcPr>
          <w:p w14:paraId="7DCFF35A" w14:textId="77777777" w:rsidR="00C1563E" w:rsidRDefault="00C1563E">
            <w:pPr>
              <w:rPr>
                <w:rFonts w:ascii="宋体"/>
              </w:rPr>
            </w:pPr>
          </w:p>
        </w:tc>
        <w:tc>
          <w:tcPr>
            <w:tcW w:w="26" w:type="pct"/>
            <w:shd w:val="clear" w:color="auto" w:fill="auto"/>
          </w:tcPr>
          <w:p w14:paraId="7DCFF35B" w14:textId="77777777" w:rsidR="00C1563E" w:rsidRDefault="00C1563E">
            <w:pPr>
              <w:rPr>
                <w:rFonts w:ascii="宋体"/>
              </w:rPr>
            </w:pPr>
          </w:p>
        </w:tc>
        <w:tc>
          <w:tcPr>
            <w:tcW w:w="5" w:type="pct"/>
            <w:shd w:val="clear" w:color="auto" w:fill="auto"/>
          </w:tcPr>
          <w:p w14:paraId="7DCFF35C" w14:textId="77777777" w:rsidR="00C1563E" w:rsidRDefault="00C1563E">
            <w:pPr>
              <w:rPr>
                <w:rFonts w:ascii="宋体"/>
              </w:rPr>
            </w:pPr>
          </w:p>
        </w:tc>
        <w:tc>
          <w:tcPr>
            <w:tcW w:w="50" w:type="pct"/>
            <w:shd w:val="clear" w:color="auto" w:fill="auto"/>
          </w:tcPr>
          <w:p w14:paraId="7DCFF35D" w14:textId="77777777" w:rsidR="00C1563E" w:rsidRDefault="00C1563E">
            <w:pPr>
              <w:rPr>
                <w:rFonts w:ascii="宋体"/>
              </w:rPr>
            </w:pPr>
          </w:p>
        </w:tc>
        <w:tc>
          <w:tcPr>
            <w:tcW w:w="305" w:type="pct"/>
            <w:shd w:val="clear" w:color="auto" w:fill="auto"/>
          </w:tcPr>
          <w:p w14:paraId="7DCFF35E" w14:textId="77777777" w:rsidR="00C1563E" w:rsidRDefault="00C1563E">
            <w:pPr>
              <w:rPr>
                <w:rFonts w:ascii="宋体"/>
              </w:rPr>
            </w:pPr>
          </w:p>
        </w:tc>
        <w:tc>
          <w:tcPr>
            <w:tcW w:w="5" w:type="pct"/>
            <w:shd w:val="clear" w:color="auto" w:fill="auto"/>
          </w:tcPr>
          <w:p w14:paraId="7DCFF35F" w14:textId="77777777" w:rsidR="00C1563E" w:rsidRDefault="00C1563E">
            <w:pPr>
              <w:rPr>
                <w:rFonts w:ascii="宋体"/>
              </w:rPr>
            </w:pPr>
          </w:p>
        </w:tc>
        <w:tc>
          <w:tcPr>
            <w:tcW w:w="5" w:type="pct"/>
            <w:shd w:val="clear" w:color="auto" w:fill="auto"/>
          </w:tcPr>
          <w:p w14:paraId="7DCFF360" w14:textId="77777777" w:rsidR="00C1563E" w:rsidRDefault="00C1563E">
            <w:pPr>
              <w:rPr>
                <w:rFonts w:ascii="宋体"/>
              </w:rPr>
            </w:pPr>
          </w:p>
        </w:tc>
        <w:tc>
          <w:tcPr>
            <w:tcW w:w="26" w:type="pct"/>
            <w:shd w:val="clear" w:color="auto" w:fill="auto"/>
          </w:tcPr>
          <w:p w14:paraId="7DCFF361" w14:textId="77777777" w:rsidR="00C1563E" w:rsidRDefault="00C1563E">
            <w:pPr>
              <w:rPr>
                <w:rFonts w:ascii="宋体"/>
              </w:rPr>
            </w:pPr>
          </w:p>
        </w:tc>
        <w:tc>
          <w:tcPr>
            <w:tcW w:w="5" w:type="pct"/>
            <w:shd w:val="clear" w:color="auto" w:fill="auto"/>
          </w:tcPr>
          <w:p w14:paraId="7DCFF362" w14:textId="77777777" w:rsidR="00C1563E" w:rsidRDefault="00C1563E">
            <w:pPr>
              <w:rPr>
                <w:rFonts w:ascii="宋体"/>
              </w:rPr>
            </w:pPr>
          </w:p>
        </w:tc>
        <w:tc>
          <w:tcPr>
            <w:tcW w:w="50" w:type="pct"/>
            <w:shd w:val="clear" w:color="auto" w:fill="auto"/>
          </w:tcPr>
          <w:p w14:paraId="7DCFF363" w14:textId="77777777" w:rsidR="00C1563E" w:rsidRDefault="00C1563E">
            <w:pPr>
              <w:rPr>
                <w:rFonts w:ascii="宋体"/>
              </w:rPr>
            </w:pPr>
          </w:p>
        </w:tc>
        <w:tc>
          <w:tcPr>
            <w:tcW w:w="364" w:type="pct"/>
            <w:shd w:val="clear" w:color="auto" w:fill="auto"/>
          </w:tcPr>
          <w:p w14:paraId="7DCFF364" w14:textId="77777777" w:rsidR="00C1563E" w:rsidRDefault="00C1563E">
            <w:pPr>
              <w:rPr>
                <w:rFonts w:ascii="宋体"/>
              </w:rPr>
            </w:pPr>
          </w:p>
        </w:tc>
        <w:tc>
          <w:tcPr>
            <w:tcW w:w="5" w:type="pct"/>
            <w:shd w:val="clear" w:color="auto" w:fill="auto"/>
          </w:tcPr>
          <w:p w14:paraId="7DCFF365" w14:textId="77777777" w:rsidR="00C1563E" w:rsidRDefault="00C1563E">
            <w:pPr>
              <w:rPr>
                <w:rFonts w:ascii="宋体"/>
              </w:rPr>
            </w:pPr>
          </w:p>
        </w:tc>
        <w:tc>
          <w:tcPr>
            <w:tcW w:w="5" w:type="pct"/>
            <w:shd w:val="clear" w:color="auto" w:fill="auto"/>
          </w:tcPr>
          <w:p w14:paraId="7DCFF366" w14:textId="77777777" w:rsidR="00C1563E" w:rsidRDefault="00C1563E">
            <w:pPr>
              <w:rPr>
                <w:rFonts w:ascii="宋体"/>
              </w:rPr>
            </w:pPr>
          </w:p>
        </w:tc>
        <w:tc>
          <w:tcPr>
            <w:tcW w:w="26" w:type="pct"/>
            <w:shd w:val="clear" w:color="auto" w:fill="auto"/>
          </w:tcPr>
          <w:p w14:paraId="7DCFF367" w14:textId="77777777" w:rsidR="00C1563E" w:rsidRDefault="00C1563E">
            <w:pPr>
              <w:rPr>
                <w:rFonts w:ascii="宋体"/>
              </w:rPr>
            </w:pPr>
          </w:p>
        </w:tc>
        <w:tc>
          <w:tcPr>
            <w:tcW w:w="5" w:type="pct"/>
            <w:shd w:val="clear" w:color="auto" w:fill="auto"/>
          </w:tcPr>
          <w:p w14:paraId="7DCFF368" w14:textId="77777777" w:rsidR="00C1563E" w:rsidRDefault="00C1563E">
            <w:pPr>
              <w:rPr>
                <w:rFonts w:ascii="宋体"/>
              </w:rPr>
            </w:pPr>
          </w:p>
        </w:tc>
        <w:tc>
          <w:tcPr>
            <w:tcW w:w="50" w:type="pct"/>
            <w:shd w:val="clear" w:color="auto" w:fill="auto"/>
          </w:tcPr>
          <w:p w14:paraId="7DCFF369" w14:textId="77777777" w:rsidR="00C1563E" w:rsidRDefault="00C1563E">
            <w:pPr>
              <w:rPr>
                <w:rFonts w:ascii="宋体"/>
              </w:rPr>
            </w:pPr>
          </w:p>
        </w:tc>
        <w:tc>
          <w:tcPr>
            <w:tcW w:w="415" w:type="pct"/>
            <w:shd w:val="clear" w:color="auto" w:fill="auto"/>
          </w:tcPr>
          <w:p w14:paraId="7DCFF36A" w14:textId="77777777" w:rsidR="00C1563E" w:rsidRDefault="00C1563E">
            <w:pPr>
              <w:rPr>
                <w:rFonts w:ascii="宋体"/>
              </w:rPr>
            </w:pPr>
          </w:p>
        </w:tc>
        <w:tc>
          <w:tcPr>
            <w:tcW w:w="5" w:type="pct"/>
            <w:shd w:val="clear" w:color="auto" w:fill="auto"/>
          </w:tcPr>
          <w:p w14:paraId="7DCFF36B" w14:textId="77777777" w:rsidR="00C1563E" w:rsidRDefault="00C1563E">
            <w:pPr>
              <w:rPr>
                <w:rFonts w:ascii="宋体"/>
              </w:rPr>
            </w:pPr>
          </w:p>
        </w:tc>
        <w:tc>
          <w:tcPr>
            <w:tcW w:w="5" w:type="pct"/>
            <w:shd w:val="clear" w:color="auto" w:fill="auto"/>
          </w:tcPr>
          <w:p w14:paraId="7DCFF36C" w14:textId="77777777" w:rsidR="00C1563E" w:rsidRDefault="00C1563E">
            <w:pPr>
              <w:rPr>
                <w:rFonts w:ascii="宋体"/>
              </w:rPr>
            </w:pPr>
          </w:p>
        </w:tc>
        <w:tc>
          <w:tcPr>
            <w:tcW w:w="26" w:type="pct"/>
            <w:shd w:val="clear" w:color="auto" w:fill="auto"/>
          </w:tcPr>
          <w:p w14:paraId="7DCFF36D" w14:textId="77777777" w:rsidR="00C1563E" w:rsidRDefault="00C1563E">
            <w:pPr>
              <w:rPr>
                <w:rFonts w:ascii="宋体"/>
              </w:rPr>
            </w:pPr>
          </w:p>
        </w:tc>
        <w:tc>
          <w:tcPr>
            <w:tcW w:w="5" w:type="pct"/>
            <w:shd w:val="clear" w:color="auto" w:fill="auto"/>
          </w:tcPr>
          <w:p w14:paraId="7DCFF36E" w14:textId="77777777" w:rsidR="00C1563E" w:rsidRDefault="00C1563E">
            <w:pPr>
              <w:rPr>
                <w:rFonts w:ascii="宋体"/>
              </w:rPr>
            </w:pPr>
          </w:p>
        </w:tc>
        <w:tc>
          <w:tcPr>
            <w:tcW w:w="50" w:type="pct"/>
            <w:shd w:val="clear" w:color="auto" w:fill="auto"/>
          </w:tcPr>
          <w:p w14:paraId="7DCFF36F" w14:textId="77777777" w:rsidR="00C1563E" w:rsidRDefault="00C1563E">
            <w:pPr>
              <w:rPr>
                <w:rFonts w:ascii="宋体"/>
              </w:rPr>
            </w:pPr>
          </w:p>
        </w:tc>
        <w:tc>
          <w:tcPr>
            <w:tcW w:w="503" w:type="pct"/>
            <w:shd w:val="clear" w:color="auto" w:fill="auto"/>
          </w:tcPr>
          <w:p w14:paraId="7DCFF370" w14:textId="77777777" w:rsidR="00C1563E" w:rsidRDefault="00C1563E">
            <w:pPr>
              <w:rPr>
                <w:rFonts w:ascii="宋体"/>
              </w:rPr>
            </w:pPr>
          </w:p>
        </w:tc>
        <w:tc>
          <w:tcPr>
            <w:tcW w:w="5" w:type="pct"/>
            <w:shd w:val="clear" w:color="auto" w:fill="auto"/>
          </w:tcPr>
          <w:p w14:paraId="7DCFF371" w14:textId="77777777" w:rsidR="00C1563E" w:rsidRDefault="00C1563E">
            <w:pPr>
              <w:rPr>
                <w:rFonts w:ascii="宋体"/>
              </w:rPr>
            </w:pPr>
          </w:p>
        </w:tc>
        <w:tc>
          <w:tcPr>
            <w:tcW w:w="5" w:type="pct"/>
            <w:shd w:val="clear" w:color="auto" w:fill="auto"/>
          </w:tcPr>
          <w:p w14:paraId="7DCFF372" w14:textId="77777777" w:rsidR="00C1563E" w:rsidRDefault="00C1563E">
            <w:pPr>
              <w:rPr>
                <w:rFonts w:ascii="宋体"/>
              </w:rPr>
            </w:pPr>
          </w:p>
        </w:tc>
        <w:tc>
          <w:tcPr>
            <w:tcW w:w="26" w:type="pct"/>
            <w:shd w:val="clear" w:color="auto" w:fill="auto"/>
          </w:tcPr>
          <w:p w14:paraId="7DCFF373" w14:textId="77777777" w:rsidR="00C1563E" w:rsidRDefault="00C1563E">
            <w:pPr>
              <w:rPr>
                <w:rFonts w:ascii="宋体"/>
              </w:rPr>
            </w:pPr>
          </w:p>
        </w:tc>
        <w:tc>
          <w:tcPr>
            <w:tcW w:w="5" w:type="pct"/>
            <w:shd w:val="clear" w:color="auto" w:fill="auto"/>
          </w:tcPr>
          <w:p w14:paraId="7DCFF374" w14:textId="77777777" w:rsidR="00C1563E" w:rsidRDefault="00C1563E">
            <w:pPr>
              <w:rPr>
                <w:rFonts w:ascii="宋体"/>
              </w:rPr>
            </w:pPr>
          </w:p>
        </w:tc>
        <w:tc>
          <w:tcPr>
            <w:tcW w:w="50" w:type="pct"/>
            <w:shd w:val="clear" w:color="auto" w:fill="auto"/>
          </w:tcPr>
          <w:p w14:paraId="7DCFF375" w14:textId="77777777" w:rsidR="00C1563E" w:rsidRDefault="00C1563E">
            <w:pPr>
              <w:rPr>
                <w:rFonts w:ascii="宋体"/>
              </w:rPr>
            </w:pPr>
          </w:p>
        </w:tc>
        <w:tc>
          <w:tcPr>
            <w:tcW w:w="305" w:type="pct"/>
            <w:shd w:val="clear" w:color="auto" w:fill="auto"/>
          </w:tcPr>
          <w:p w14:paraId="7DCFF376" w14:textId="77777777" w:rsidR="00C1563E" w:rsidRDefault="00C1563E">
            <w:pPr>
              <w:rPr>
                <w:rFonts w:ascii="宋体"/>
              </w:rPr>
            </w:pPr>
          </w:p>
        </w:tc>
        <w:tc>
          <w:tcPr>
            <w:tcW w:w="5" w:type="pct"/>
            <w:shd w:val="clear" w:color="auto" w:fill="auto"/>
          </w:tcPr>
          <w:p w14:paraId="7DCFF377" w14:textId="77777777" w:rsidR="00C1563E" w:rsidRDefault="00C1563E">
            <w:pPr>
              <w:rPr>
                <w:rFonts w:ascii="宋体"/>
              </w:rPr>
            </w:pPr>
          </w:p>
        </w:tc>
      </w:tr>
      <w:tr w:rsidR="00C1563E" w14:paraId="7DCFF37D" w14:textId="77777777">
        <w:tc>
          <w:tcPr>
            <w:tcW w:w="0" w:type="auto"/>
            <w:gridSpan w:val="3"/>
            <w:shd w:val="clear" w:color="auto" w:fill="auto"/>
            <w:tcMar>
              <w:top w:w="40" w:type="dxa"/>
              <w:left w:w="20" w:type="dxa"/>
              <w:bottom w:w="40" w:type="dxa"/>
              <w:right w:w="20" w:type="dxa"/>
            </w:tcMar>
            <w:vAlign w:val="bottom"/>
          </w:tcPr>
          <w:p w14:paraId="7DCFF379" w14:textId="77777777" w:rsidR="00C1563E" w:rsidRDefault="000B648B">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DCFF37A"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37B"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F37C"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38E" w14:textId="77777777">
        <w:tc>
          <w:tcPr>
            <w:tcW w:w="0" w:type="auto"/>
            <w:gridSpan w:val="3"/>
            <w:shd w:val="clear" w:color="auto" w:fill="auto"/>
            <w:tcMar>
              <w:top w:w="40" w:type="dxa"/>
              <w:left w:w="20" w:type="dxa"/>
              <w:bottom w:w="40" w:type="dxa"/>
              <w:right w:w="20" w:type="dxa"/>
            </w:tcMar>
            <w:vAlign w:val="bottom"/>
          </w:tcPr>
          <w:p w14:paraId="7DCFF37E" w14:textId="77777777" w:rsidR="00C1563E" w:rsidRDefault="000B648B">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7F" w14:textId="77777777" w:rsidR="00C1563E" w:rsidRDefault="000B648B">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DCFF38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1" w14:textId="77777777" w:rsidR="00C1563E" w:rsidRDefault="000B648B">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DCFF382"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3" w14:textId="77777777" w:rsidR="00C1563E" w:rsidRDefault="000B648B">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DCFF38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5" w14:textId="77777777" w:rsidR="00C1563E" w:rsidRDefault="000B648B">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DCFF386"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7" w14:textId="77777777" w:rsidR="00C1563E" w:rsidRDefault="000B648B">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DCFF38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9" w14:textId="77777777" w:rsidR="00C1563E" w:rsidRDefault="000B648B">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DCFF38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B" w14:textId="77777777" w:rsidR="00C1563E" w:rsidRDefault="000B648B">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DCFF38C"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8D"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39F" w14:textId="77777777">
        <w:tc>
          <w:tcPr>
            <w:tcW w:w="0" w:type="auto"/>
            <w:gridSpan w:val="3"/>
            <w:shd w:val="clear" w:color="auto" w:fill="auto"/>
            <w:tcMar>
              <w:top w:w="40" w:type="dxa"/>
              <w:left w:w="20" w:type="dxa"/>
              <w:bottom w:w="40" w:type="dxa"/>
              <w:right w:w="20" w:type="dxa"/>
            </w:tcMar>
            <w:vAlign w:val="bottom"/>
          </w:tcPr>
          <w:p w14:paraId="7DCFF38F" w14:textId="77777777" w:rsidR="00C1563E" w:rsidRDefault="000B648B">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390" w14:textId="77777777" w:rsidR="00C1563E" w:rsidRDefault="000B648B">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tcPr>
          <w:p w14:paraId="7DCFF39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2" w14:textId="77777777" w:rsidR="00C1563E" w:rsidRDefault="000B648B">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tcPr>
          <w:p w14:paraId="7DCFF39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4" w14:textId="77777777" w:rsidR="00C1563E" w:rsidRDefault="000B648B">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tcPr>
          <w:p w14:paraId="7DCFF39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6" w14:textId="77777777" w:rsidR="00C1563E" w:rsidRDefault="000B648B">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tcPr>
          <w:p w14:paraId="7DCFF39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8" w14:textId="77777777" w:rsidR="00C1563E" w:rsidRDefault="000B648B">
            <w:pPr>
              <w:jc w:val="center"/>
              <w:textAlignment w:val="bottom"/>
            </w:pPr>
            <w:r>
              <w:rPr>
                <w:rFonts w:ascii="Times New Roman" w:eastAsia="宋体" w:hAnsi="Times New Roman"/>
                <w:b/>
                <w:bCs/>
                <w:color w:val="000000"/>
                <w:sz w:val="17"/>
                <w:szCs w:val="17"/>
              </w:rPr>
              <w:t>Quoted Prices in Active Markets for Identical As</w:t>
            </w:r>
            <w:r>
              <w:rPr>
                <w:rFonts w:ascii="Times New Roman" w:eastAsia="宋体" w:hAnsi="Times New Roman"/>
                <w:b/>
                <w:bCs/>
                <w:color w:val="000000"/>
                <w:sz w:val="17"/>
                <w:szCs w:val="17"/>
              </w:rPr>
              <w:t>sets</w:t>
            </w:r>
          </w:p>
        </w:tc>
        <w:tc>
          <w:tcPr>
            <w:tcW w:w="0" w:type="auto"/>
            <w:gridSpan w:val="3"/>
            <w:shd w:val="clear" w:color="auto" w:fill="auto"/>
            <w:tcMar>
              <w:top w:w="0" w:type="dxa"/>
              <w:left w:w="20" w:type="dxa"/>
              <w:bottom w:w="0" w:type="dxa"/>
              <w:right w:w="20" w:type="dxa"/>
            </w:tcMar>
          </w:tcPr>
          <w:p w14:paraId="7DCFF39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A" w14:textId="77777777" w:rsidR="00C1563E" w:rsidRDefault="000B648B">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tcPr>
          <w:p w14:paraId="7DCFF39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C" w14:textId="77777777" w:rsidR="00C1563E" w:rsidRDefault="000B648B">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tcPr>
          <w:p w14:paraId="7DCFF39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39E" w14:textId="77777777" w:rsidR="00C1563E" w:rsidRDefault="000B648B">
            <w:pPr>
              <w:jc w:val="center"/>
              <w:textAlignment w:val="bottom"/>
            </w:pPr>
            <w:r>
              <w:rPr>
                <w:rFonts w:ascii="Times New Roman" w:eastAsia="宋体" w:hAnsi="Times New Roman"/>
                <w:b/>
                <w:bCs/>
                <w:color w:val="000000"/>
                <w:sz w:val="17"/>
                <w:szCs w:val="17"/>
              </w:rPr>
              <w:t> </w:t>
            </w:r>
          </w:p>
        </w:tc>
      </w:tr>
      <w:tr w:rsidR="00C1563E" w14:paraId="7DCFF3A2" w14:textId="77777777">
        <w:tc>
          <w:tcPr>
            <w:tcW w:w="0" w:type="auto"/>
            <w:gridSpan w:val="3"/>
            <w:shd w:val="clear" w:color="auto" w:fill="auto"/>
            <w:tcMar>
              <w:top w:w="40" w:type="dxa"/>
              <w:left w:w="20" w:type="dxa"/>
              <w:bottom w:w="40" w:type="dxa"/>
              <w:right w:w="20" w:type="dxa"/>
            </w:tcMar>
            <w:vAlign w:val="bottom"/>
          </w:tcPr>
          <w:p w14:paraId="7DCFF3A0" w14:textId="77777777" w:rsidR="00C1563E" w:rsidRDefault="000B648B">
            <w:pPr>
              <w:jc w:val="center"/>
              <w:textAlignment w:val="bottom"/>
            </w:pPr>
            <w:r>
              <w:rPr>
                <w:rFonts w:ascii="Times New Roman" w:eastAsia="宋体" w:hAnsi="Times New Roman"/>
                <w:color w:val="000000"/>
                <w:sz w:val="18"/>
                <w:szCs w:val="18"/>
              </w:rPr>
              <w:t> </w:t>
            </w: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7DCFF3A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3B3" w14:textId="77777777">
        <w:tc>
          <w:tcPr>
            <w:tcW w:w="0" w:type="auto"/>
            <w:gridSpan w:val="3"/>
            <w:shd w:val="clear" w:color="auto" w:fill="CCEEFF"/>
            <w:tcMar>
              <w:top w:w="40" w:type="dxa"/>
              <w:left w:w="20" w:type="dxa"/>
              <w:bottom w:w="40" w:type="dxa"/>
              <w:right w:w="20" w:type="dxa"/>
            </w:tcMar>
            <w:vAlign w:val="bottom"/>
          </w:tcPr>
          <w:p w14:paraId="7DCFF3A3" w14:textId="77777777" w:rsidR="00C1563E" w:rsidRDefault="000B648B">
            <w:pPr>
              <w:textAlignment w:val="bottom"/>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bottom"/>
          </w:tcPr>
          <w:p w14:paraId="7DCFF3A4"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5"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A6"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7"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A8"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9"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AA"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B"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AC"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D"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AE"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AF"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B0"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3B1"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3B2" w14:textId="77777777" w:rsidR="00C1563E" w:rsidRDefault="000B648B">
            <w:pPr>
              <w:jc w:val="right"/>
              <w:textAlignment w:val="bottom"/>
            </w:pPr>
            <w:r>
              <w:rPr>
                <w:rFonts w:ascii="Times New Roman" w:eastAsia="宋体" w:hAnsi="Times New Roman"/>
                <w:color w:val="000000"/>
                <w:sz w:val="19"/>
                <w:szCs w:val="19"/>
              </w:rPr>
              <w:t> </w:t>
            </w:r>
          </w:p>
        </w:tc>
      </w:tr>
      <w:tr w:rsidR="00C1563E" w14:paraId="7DCFF3C4" w14:textId="77777777">
        <w:tc>
          <w:tcPr>
            <w:tcW w:w="0" w:type="auto"/>
            <w:gridSpan w:val="3"/>
            <w:shd w:val="clear" w:color="auto" w:fill="FFFFFF"/>
            <w:tcMar>
              <w:top w:w="40" w:type="dxa"/>
              <w:left w:w="155" w:type="dxa"/>
              <w:bottom w:w="40" w:type="dxa"/>
              <w:right w:w="20" w:type="dxa"/>
            </w:tcMar>
            <w:vAlign w:val="bottom"/>
          </w:tcPr>
          <w:p w14:paraId="7DCFF3B4" w14:textId="77777777" w:rsidR="00C1563E" w:rsidRDefault="000B648B">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tcPr>
          <w:p w14:paraId="7DCFF3B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B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C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C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C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3C3" w14:textId="77777777" w:rsidR="00C1563E" w:rsidRDefault="00C1563E">
            <w:pPr>
              <w:rPr>
                <w:rFonts w:ascii="宋体"/>
              </w:rPr>
            </w:pPr>
          </w:p>
        </w:tc>
      </w:tr>
      <w:tr w:rsidR="000B648B" w14:paraId="7DCFF3E5" w14:textId="77777777">
        <w:tc>
          <w:tcPr>
            <w:tcW w:w="0" w:type="auto"/>
            <w:gridSpan w:val="3"/>
            <w:shd w:val="clear" w:color="auto" w:fill="CCEEFF"/>
            <w:tcMar>
              <w:top w:w="40" w:type="dxa"/>
              <w:left w:w="155" w:type="dxa"/>
              <w:bottom w:w="40" w:type="dxa"/>
              <w:right w:w="20" w:type="dxa"/>
            </w:tcMar>
            <w:vAlign w:val="bottom"/>
          </w:tcPr>
          <w:p w14:paraId="7DCFF3C5" w14:textId="77777777" w:rsidR="00C1563E" w:rsidRDefault="000B648B">
            <w:pPr>
              <w:textAlignment w:val="bottom"/>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7DCFF3C6"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C7" w14:textId="77777777" w:rsidR="00C1563E" w:rsidRDefault="000B648B">
            <w:pPr>
              <w:jc w:val="right"/>
              <w:textAlignment w:val="bottom"/>
            </w:pPr>
            <w:r>
              <w:rPr>
                <w:rFonts w:ascii="Times New Roman" w:eastAsia="宋体" w:hAnsi="Times New Roman"/>
                <w:color w:val="000000"/>
                <w:sz w:val="19"/>
                <w:szCs w:val="19"/>
              </w:rPr>
              <w:t>8,846 </w:t>
            </w:r>
          </w:p>
        </w:tc>
        <w:tc>
          <w:tcPr>
            <w:tcW w:w="0" w:type="auto"/>
            <w:shd w:val="clear" w:color="auto" w:fill="CCEEFF"/>
            <w:tcMar>
              <w:top w:w="40" w:type="dxa"/>
              <w:left w:w="0" w:type="dxa"/>
              <w:bottom w:w="40" w:type="dxa"/>
              <w:right w:w="20" w:type="dxa"/>
            </w:tcMar>
            <w:vAlign w:val="bottom"/>
          </w:tcPr>
          <w:p w14:paraId="7DCFF3C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C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CA"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CB"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3C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C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CE"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CF"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3D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D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D2"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D3" w14:textId="77777777" w:rsidR="00C1563E" w:rsidRDefault="000B648B">
            <w:pPr>
              <w:jc w:val="right"/>
              <w:textAlignment w:val="bottom"/>
            </w:pPr>
            <w:r>
              <w:rPr>
                <w:rFonts w:ascii="Times New Roman" w:eastAsia="宋体" w:hAnsi="Times New Roman"/>
                <w:color w:val="000000"/>
                <w:sz w:val="19"/>
                <w:szCs w:val="19"/>
              </w:rPr>
              <w:t>8,846 </w:t>
            </w:r>
          </w:p>
        </w:tc>
        <w:tc>
          <w:tcPr>
            <w:tcW w:w="0" w:type="auto"/>
            <w:shd w:val="clear" w:color="auto" w:fill="CCEEFF"/>
            <w:tcMar>
              <w:top w:w="40" w:type="dxa"/>
              <w:left w:w="0" w:type="dxa"/>
              <w:bottom w:w="40" w:type="dxa"/>
              <w:right w:w="20" w:type="dxa"/>
            </w:tcMar>
            <w:vAlign w:val="bottom"/>
          </w:tcPr>
          <w:p w14:paraId="7DCFF3D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D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D6"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D7" w14:textId="77777777" w:rsidR="00C1563E" w:rsidRDefault="000B648B">
            <w:pPr>
              <w:jc w:val="right"/>
              <w:textAlignment w:val="bottom"/>
            </w:pPr>
            <w:r>
              <w:rPr>
                <w:rFonts w:ascii="Times New Roman" w:eastAsia="宋体" w:hAnsi="Times New Roman"/>
                <w:color w:val="000000"/>
                <w:sz w:val="19"/>
                <w:szCs w:val="19"/>
              </w:rPr>
              <w:t>4,621 </w:t>
            </w:r>
          </w:p>
        </w:tc>
        <w:tc>
          <w:tcPr>
            <w:tcW w:w="0" w:type="auto"/>
            <w:shd w:val="clear" w:color="auto" w:fill="CCEEFF"/>
            <w:tcMar>
              <w:top w:w="40" w:type="dxa"/>
              <w:left w:w="0" w:type="dxa"/>
              <w:bottom w:w="40" w:type="dxa"/>
              <w:right w:w="20" w:type="dxa"/>
            </w:tcMar>
            <w:vAlign w:val="bottom"/>
          </w:tcPr>
          <w:p w14:paraId="7DCFF3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D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DA"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DB"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3D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D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DE"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DF"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3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3E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3E2"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DCFF3E3" w14:textId="77777777" w:rsidR="00C1563E" w:rsidRDefault="000B648B">
            <w:pPr>
              <w:jc w:val="right"/>
              <w:textAlignment w:val="bottom"/>
            </w:pPr>
            <w:r>
              <w:rPr>
                <w:rFonts w:ascii="Times New Roman" w:eastAsia="宋体" w:hAnsi="Times New Roman"/>
                <w:color w:val="000000"/>
                <w:sz w:val="19"/>
                <w:szCs w:val="19"/>
              </w:rPr>
              <w:t>4,621 </w:t>
            </w:r>
          </w:p>
        </w:tc>
        <w:tc>
          <w:tcPr>
            <w:tcW w:w="0" w:type="auto"/>
            <w:shd w:val="clear" w:color="auto" w:fill="CCEEFF"/>
            <w:tcMar>
              <w:top w:w="40" w:type="dxa"/>
              <w:left w:w="0" w:type="dxa"/>
              <w:bottom w:w="40" w:type="dxa"/>
              <w:right w:w="20" w:type="dxa"/>
            </w:tcMar>
            <w:vAlign w:val="bottom"/>
          </w:tcPr>
          <w:p w14:paraId="7DCFF3E4" w14:textId="77777777" w:rsidR="00C1563E" w:rsidRDefault="00C1563E">
            <w:pPr>
              <w:jc w:val="right"/>
              <w:rPr>
                <w:rFonts w:ascii="宋体"/>
              </w:rPr>
            </w:pPr>
          </w:p>
        </w:tc>
      </w:tr>
      <w:tr w:rsidR="00C1563E" w14:paraId="7DCFF3F6" w14:textId="77777777">
        <w:trPr>
          <w:hidden/>
        </w:trPr>
        <w:tc>
          <w:tcPr>
            <w:tcW w:w="0" w:type="auto"/>
            <w:gridSpan w:val="3"/>
            <w:shd w:val="clear" w:color="auto" w:fill="auto"/>
          </w:tcPr>
          <w:p w14:paraId="7DCFF3E6" w14:textId="77777777" w:rsidR="00C1563E" w:rsidRDefault="00C1563E">
            <w:pPr>
              <w:rPr>
                <w:rFonts w:ascii="宋体"/>
                <w:vanish/>
              </w:rPr>
            </w:pPr>
          </w:p>
        </w:tc>
        <w:tc>
          <w:tcPr>
            <w:tcW w:w="0" w:type="auto"/>
            <w:gridSpan w:val="3"/>
            <w:shd w:val="clear" w:color="auto" w:fill="auto"/>
          </w:tcPr>
          <w:p w14:paraId="7DCFF3E7" w14:textId="77777777" w:rsidR="00C1563E" w:rsidRDefault="00C1563E">
            <w:pPr>
              <w:rPr>
                <w:rFonts w:ascii="宋体"/>
                <w:vanish/>
              </w:rPr>
            </w:pPr>
          </w:p>
        </w:tc>
        <w:tc>
          <w:tcPr>
            <w:tcW w:w="0" w:type="auto"/>
            <w:gridSpan w:val="3"/>
            <w:shd w:val="clear" w:color="auto" w:fill="auto"/>
          </w:tcPr>
          <w:p w14:paraId="7DCFF3E8" w14:textId="77777777" w:rsidR="00C1563E" w:rsidRDefault="00C1563E">
            <w:pPr>
              <w:rPr>
                <w:rFonts w:ascii="宋体"/>
                <w:vanish/>
              </w:rPr>
            </w:pPr>
          </w:p>
        </w:tc>
        <w:tc>
          <w:tcPr>
            <w:tcW w:w="0" w:type="auto"/>
            <w:gridSpan w:val="3"/>
            <w:shd w:val="clear" w:color="auto" w:fill="auto"/>
          </w:tcPr>
          <w:p w14:paraId="7DCFF3E9" w14:textId="77777777" w:rsidR="00C1563E" w:rsidRDefault="00C1563E">
            <w:pPr>
              <w:rPr>
                <w:rFonts w:ascii="宋体"/>
                <w:vanish/>
              </w:rPr>
            </w:pPr>
          </w:p>
        </w:tc>
        <w:tc>
          <w:tcPr>
            <w:tcW w:w="0" w:type="auto"/>
            <w:gridSpan w:val="3"/>
            <w:shd w:val="clear" w:color="auto" w:fill="auto"/>
          </w:tcPr>
          <w:p w14:paraId="7DCFF3EA" w14:textId="77777777" w:rsidR="00C1563E" w:rsidRDefault="00C1563E">
            <w:pPr>
              <w:rPr>
                <w:rFonts w:ascii="宋体"/>
                <w:vanish/>
              </w:rPr>
            </w:pPr>
          </w:p>
        </w:tc>
        <w:tc>
          <w:tcPr>
            <w:tcW w:w="0" w:type="auto"/>
            <w:gridSpan w:val="3"/>
            <w:shd w:val="clear" w:color="auto" w:fill="auto"/>
          </w:tcPr>
          <w:p w14:paraId="7DCFF3EB" w14:textId="77777777" w:rsidR="00C1563E" w:rsidRDefault="00C1563E">
            <w:pPr>
              <w:rPr>
                <w:rFonts w:ascii="宋体"/>
                <w:vanish/>
              </w:rPr>
            </w:pPr>
          </w:p>
        </w:tc>
        <w:tc>
          <w:tcPr>
            <w:tcW w:w="0" w:type="auto"/>
            <w:gridSpan w:val="3"/>
            <w:shd w:val="clear" w:color="auto" w:fill="auto"/>
          </w:tcPr>
          <w:p w14:paraId="7DCFF3EC" w14:textId="77777777" w:rsidR="00C1563E" w:rsidRDefault="00C1563E">
            <w:pPr>
              <w:rPr>
                <w:rFonts w:ascii="宋体"/>
                <w:vanish/>
              </w:rPr>
            </w:pPr>
          </w:p>
        </w:tc>
        <w:tc>
          <w:tcPr>
            <w:tcW w:w="0" w:type="auto"/>
            <w:gridSpan w:val="3"/>
            <w:shd w:val="clear" w:color="auto" w:fill="auto"/>
          </w:tcPr>
          <w:p w14:paraId="7DCFF3ED" w14:textId="77777777" w:rsidR="00C1563E" w:rsidRDefault="00C1563E">
            <w:pPr>
              <w:rPr>
                <w:rFonts w:ascii="宋体"/>
                <w:vanish/>
              </w:rPr>
            </w:pPr>
          </w:p>
        </w:tc>
        <w:tc>
          <w:tcPr>
            <w:tcW w:w="0" w:type="auto"/>
            <w:gridSpan w:val="3"/>
            <w:shd w:val="clear" w:color="auto" w:fill="auto"/>
          </w:tcPr>
          <w:p w14:paraId="7DCFF3EE" w14:textId="77777777" w:rsidR="00C1563E" w:rsidRDefault="00C1563E">
            <w:pPr>
              <w:rPr>
                <w:rFonts w:ascii="宋体"/>
                <w:vanish/>
              </w:rPr>
            </w:pPr>
          </w:p>
        </w:tc>
        <w:tc>
          <w:tcPr>
            <w:tcW w:w="0" w:type="auto"/>
            <w:gridSpan w:val="3"/>
            <w:shd w:val="clear" w:color="auto" w:fill="auto"/>
          </w:tcPr>
          <w:p w14:paraId="7DCFF3EF" w14:textId="77777777" w:rsidR="00C1563E" w:rsidRDefault="00C1563E">
            <w:pPr>
              <w:rPr>
                <w:rFonts w:ascii="宋体"/>
                <w:vanish/>
              </w:rPr>
            </w:pPr>
          </w:p>
        </w:tc>
        <w:tc>
          <w:tcPr>
            <w:tcW w:w="0" w:type="auto"/>
            <w:gridSpan w:val="3"/>
            <w:shd w:val="clear" w:color="auto" w:fill="auto"/>
          </w:tcPr>
          <w:p w14:paraId="7DCFF3F0" w14:textId="77777777" w:rsidR="00C1563E" w:rsidRDefault="00C1563E">
            <w:pPr>
              <w:rPr>
                <w:rFonts w:ascii="宋体"/>
                <w:vanish/>
              </w:rPr>
            </w:pPr>
          </w:p>
        </w:tc>
        <w:tc>
          <w:tcPr>
            <w:tcW w:w="0" w:type="auto"/>
            <w:gridSpan w:val="3"/>
            <w:shd w:val="clear" w:color="auto" w:fill="auto"/>
          </w:tcPr>
          <w:p w14:paraId="7DCFF3F1" w14:textId="77777777" w:rsidR="00C1563E" w:rsidRDefault="00C1563E">
            <w:pPr>
              <w:rPr>
                <w:rFonts w:ascii="宋体"/>
                <w:vanish/>
              </w:rPr>
            </w:pPr>
          </w:p>
        </w:tc>
        <w:tc>
          <w:tcPr>
            <w:tcW w:w="0" w:type="auto"/>
            <w:gridSpan w:val="3"/>
            <w:shd w:val="clear" w:color="auto" w:fill="auto"/>
          </w:tcPr>
          <w:p w14:paraId="7DCFF3F2" w14:textId="77777777" w:rsidR="00C1563E" w:rsidRDefault="00C1563E">
            <w:pPr>
              <w:rPr>
                <w:rFonts w:ascii="宋体"/>
                <w:vanish/>
              </w:rPr>
            </w:pPr>
          </w:p>
        </w:tc>
        <w:tc>
          <w:tcPr>
            <w:tcW w:w="0" w:type="auto"/>
            <w:gridSpan w:val="3"/>
            <w:shd w:val="clear" w:color="auto" w:fill="auto"/>
          </w:tcPr>
          <w:p w14:paraId="7DCFF3F3" w14:textId="77777777" w:rsidR="00C1563E" w:rsidRDefault="00C1563E">
            <w:pPr>
              <w:rPr>
                <w:rFonts w:ascii="宋体"/>
                <w:vanish/>
              </w:rPr>
            </w:pPr>
          </w:p>
        </w:tc>
        <w:tc>
          <w:tcPr>
            <w:tcW w:w="0" w:type="auto"/>
            <w:gridSpan w:val="3"/>
            <w:shd w:val="clear" w:color="auto" w:fill="auto"/>
          </w:tcPr>
          <w:p w14:paraId="7DCFF3F4" w14:textId="77777777" w:rsidR="00C1563E" w:rsidRDefault="00C1563E">
            <w:pPr>
              <w:rPr>
                <w:rFonts w:ascii="宋体"/>
                <w:vanish/>
              </w:rPr>
            </w:pPr>
          </w:p>
        </w:tc>
        <w:tc>
          <w:tcPr>
            <w:tcW w:w="0" w:type="auto"/>
            <w:gridSpan w:val="3"/>
            <w:shd w:val="clear" w:color="auto" w:fill="auto"/>
          </w:tcPr>
          <w:p w14:paraId="7DCFF3F5" w14:textId="77777777" w:rsidR="00C1563E" w:rsidRDefault="00C1563E">
            <w:pPr>
              <w:rPr>
                <w:rFonts w:ascii="宋体"/>
                <w:vanish/>
              </w:rPr>
            </w:pPr>
          </w:p>
        </w:tc>
      </w:tr>
      <w:tr w:rsidR="00C1563E" w14:paraId="7DCFF407" w14:textId="77777777">
        <w:trPr>
          <w:hidden/>
        </w:trPr>
        <w:tc>
          <w:tcPr>
            <w:tcW w:w="0" w:type="auto"/>
            <w:gridSpan w:val="3"/>
            <w:shd w:val="clear" w:color="auto" w:fill="auto"/>
          </w:tcPr>
          <w:p w14:paraId="7DCFF3F7" w14:textId="77777777" w:rsidR="00C1563E" w:rsidRDefault="00C1563E">
            <w:pPr>
              <w:rPr>
                <w:rFonts w:ascii="宋体"/>
                <w:vanish/>
              </w:rPr>
            </w:pPr>
          </w:p>
        </w:tc>
        <w:tc>
          <w:tcPr>
            <w:tcW w:w="0" w:type="auto"/>
            <w:gridSpan w:val="3"/>
            <w:shd w:val="clear" w:color="auto" w:fill="auto"/>
          </w:tcPr>
          <w:p w14:paraId="7DCFF3F8" w14:textId="77777777" w:rsidR="00C1563E" w:rsidRDefault="00C1563E">
            <w:pPr>
              <w:rPr>
                <w:rFonts w:ascii="宋体"/>
                <w:vanish/>
              </w:rPr>
            </w:pPr>
          </w:p>
        </w:tc>
        <w:tc>
          <w:tcPr>
            <w:tcW w:w="0" w:type="auto"/>
            <w:gridSpan w:val="3"/>
            <w:shd w:val="clear" w:color="auto" w:fill="auto"/>
          </w:tcPr>
          <w:p w14:paraId="7DCFF3F9" w14:textId="77777777" w:rsidR="00C1563E" w:rsidRDefault="00C1563E">
            <w:pPr>
              <w:rPr>
                <w:rFonts w:ascii="宋体"/>
                <w:vanish/>
              </w:rPr>
            </w:pPr>
          </w:p>
        </w:tc>
        <w:tc>
          <w:tcPr>
            <w:tcW w:w="0" w:type="auto"/>
            <w:gridSpan w:val="3"/>
            <w:shd w:val="clear" w:color="auto" w:fill="auto"/>
          </w:tcPr>
          <w:p w14:paraId="7DCFF3FA" w14:textId="77777777" w:rsidR="00C1563E" w:rsidRDefault="00C1563E">
            <w:pPr>
              <w:rPr>
                <w:rFonts w:ascii="宋体"/>
                <w:vanish/>
              </w:rPr>
            </w:pPr>
          </w:p>
        </w:tc>
        <w:tc>
          <w:tcPr>
            <w:tcW w:w="0" w:type="auto"/>
            <w:gridSpan w:val="3"/>
            <w:shd w:val="clear" w:color="auto" w:fill="auto"/>
          </w:tcPr>
          <w:p w14:paraId="7DCFF3FB" w14:textId="77777777" w:rsidR="00C1563E" w:rsidRDefault="00C1563E">
            <w:pPr>
              <w:rPr>
                <w:rFonts w:ascii="宋体"/>
                <w:vanish/>
              </w:rPr>
            </w:pPr>
          </w:p>
        </w:tc>
        <w:tc>
          <w:tcPr>
            <w:tcW w:w="0" w:type="auto"/>
            <w:gridSpan w:val="3"/>
            <w:shd w:val="clear" w:color="auto" w:fill="auto"/>
          </w:tcPr>
          <w:p w14:paraId="7DCFF3FC" w14:textId="77777777" w:rsidR="00C1563E" w:rsidRDefault="00C1563E">
            <w:pPr>
              <w:rPr>
                <w:rFonts w:ascii="宋体"/>
                <w:vanish/>
              </w:rPr>
            </w:pPr>
          </w:p>
        </w:tc>
        <w:tc>
          <w:tcPr>
            <w:tcW w:w="0" w:type="auto"/>
            <w:gridSpan w:val="3"/>
            <w:shd w:val="clear" w:color="auto" w:fill="auto"/>
          </w:tcPr>
          <w:p w14:paraId="7DCFF3FD" w14:textId="77777777" w:rsidR="00C1563E" w:rsidRDefault="00C1563E">
            <w:pPr>
              <w:rPr>
                <w:rFonts w:ascii="宋体"/>
                <w:vanish/>
              </w:rPr>
            </w:pPr>
          </w:p>
        </w:tc>
        <w:tc>
          <w:tcPr>
            <w:tcW w:w="0" w:type="auto"/>
            <w:gridSpan w:val="3"/>
            <w:shd w:val="clear" w:color="auto" w:fill="auto"/>
          </w:tcPr>
          <w:p w14:paraId="7DCFF3FE" w14:textId="77777777" w:rsidR="00C1563E" w:rsidRDefault="00C1563E">
            <w:pPr>
              <w:rPr>
                <w:rFonts w:ascii="宋体"/>
                <w:vanish/>
              </w:rPr>
            </w:pPr>
          </w:p>
        </w:tc>
        <w:tc>
          <w:tcPr>
            <w:tcW w:w="0" w:type="auto"/>
            <w:gridSpan w:val="3"/>
            <w:shd w:val="clear" w:color="auto" w:fill="auto"/>
          </w:tcPr>
          <w:p w14:paraId="7DCFF3FF" w14:textId="77777777" w:rsidR="00C1563E" w:rsidRDefault="00C1563E">
            <w:pPr>
              <w:rPr>
                <w:rFonts w:ascii="宋体"/>
                <w:vanish/>
              </w:rPr>
            </w:pPr>
          </w:p>
        </w:tc>
        <w:tc>
          <w:tcPr>
            <w:tcW w:w="0" w:type="auto"/>
            <w:gridSpan w:val="3"/>
            <w:shd w:val="clear" w:color="auto" w:fill="auto"/>
          </w:tcPr>
          <w:p w14:paraId="7DCFF400" w14:textId="77777777" w:rsidR="00C1563E" w:rsidRDefault="00C1563E">
            <w:pPr>
              <w:rPr>
                <w:rFonts w:ascii="宋体"/>
                <w:vanish/>
              </w:rPr>
            </w:pPr>
          </w:p>
        </w:tc>
        <w:tc>
          <w:tcPr>
            <w:tcW w:w="0" w:type="auto"/>
            <w:gridSpan w:val="3"/>
            <w:shd w:val="clear" w:color="auto" w:fill="auto"/>
          </w:tcPr>
          <w:p w14:paraId="7DCFF401" w14:textId="77777777" w:rsidR="00C1563E" w:rsidRDefault="00C1563E">
            <w:pPr>
              <w:rPr>
                <w:rFonts w:ascii="宋体"/>
                <w:vanish/>
              </w:rPr>
            </w:pPr>
          </w:p>
        </w:tc>
        <w:tc>
          <w:tcPr>
            <w:tcW w:w="0" w:type="auto"/>
            <w:gridSpan w:val="3"/>
            <w:shd w:val="clear" w:color="auto" w:fill="auto"/>
          </w:tcPr>
          <w:p w14:paraId="7DCFF402" w14:textId="77777777" w:rsidR="00C1563E" w:rsidRDefault="00C1563E">
            <w:pPr>
              <w:rPr>
                <w:rFonts w:ascii="宋体"/>
                <w:vanish/>
              </w:rPr>
            </w:pPr>
          </w:p>
        </w:tc>
        <w:tc>
          <w:tcPr>
            <w:tcW w:w="0" w:type="auto"/>
            <w:gridSpan w:val="3"/>
            <w:shd w:val="clear" w:color="auto" w:fill="auto"/>
          </w:tcPr>
          <w:p w14:paraId="7DCFF403" w14:textId="77777777" w:rsidR="00C1563E" w:rsidRDefault="00C1563E">
            <w:pPr>
              <w:rPr>
                <w:rFonts w:ascii="宋体"/>
                <w:vanish/>
              </w:rPr>
            </w:pPr>
          </w:p>
        </w:tc>
        <w:tc>
          <w:tcPr>
            <w:tcW w:w="0" w:type="auto"/>
            <w:gridSpan w:val="3"/>
            <w:shd w:val="clear" w:color="auto" w:fill="auto"/>
          </w:tcPr>
          <w:p w14:paraId="7DCFF404" w14:textId="77777777" w:rsidR="00C1563E" w:rsidRDefault="00C1563E">
            <w:pPr>
              <w:rPr>
                <w:rFonts w:ascii="宋体"/>
                <w:vanish/>
              </w:rPr>
            </w:pPr>
          </w:p>
        </w:tc>
        <w:tc>
          <w:tcPr>
            <w:tcW w:w="0" w:type="auto"/>
            <w:gridSpan w:val="3"/>
            <w:shd w:val="clear" w:color="auto" w:fill="auto"/>
          </w:tcPr>
          <w:p w14:paraId="7DCFF405" w14:textId="77777777" w:rsidR="00C1563E" w:rsidRDefault="00C1563E">
            <w:pPr>
              <w:rPr>
                <w:rFonts w:ascii="宋体"/>
                <w:vanish/>
              </w:rPr>
            </w:pPr>
          </w:p>
        </w:tc>
        <w:tc>
          <w:tcPr>
            <w:tcW w:w="0" w:type="auto"/>
            <w:gridSpan w:val="3"/>
            <w:shd w:val="clear" w:color="auto" w:fill="auto"/>
          </w:tcPr>
          <w:p w14:paraId="7DCFF406" w14:textId="77777777" w:rsidR="00C1563E" w:rsidRDefault="00C1563E">
            <w:pPr>
              <w:rPr>
                <w:rFonts w:ascii="宋体"/>
                <w:vanish/>
              </w:rPr>
            </w:pPr>
          </w:p>
        </w:tc>
      </w:tr>
      <w:tr w:rsidR="00C1563E" w14:paraId="7DCFF418" w14:textId="77777777">
        <w:trPr>
          <w:hidden/>
        </w:trPr>
        <w:tc>
          <w:tcPr>
            <w:tcW w:w="0" w:type="auto"/>
            <w:gridSpan w:val="3"/>
            <w:shd w:val="clear" w:color="auto" w:fill="auto"/>
          </w:tcPr>
          <w:p w14:paraId="7DCFF408" w14:textId="77777777" w:rsidR="00C1563E" w:rsidRDefault="00C1563E">
            <w:pPr>
              <w:rPr>
                <w:rFonts w:ascii="宋体"/>
                <w:vanish/>
              </w:rPr>
            </w:pPr>
          </w:p>
        </w:tc>
        <w:tc>
          <w:tcPr>
            <w:tcW w:w="0" w:type="auto"/>
            <w:gridSpan w:val="3"/>
            <w:shd w:val="clear" w:color="auto" w:fill="auto"/>
          </w:tcPr>
          <w:p w14:paraId="7DCFF409" w14:textId="77777777" w:rsidR="00C1563E" w:rsidRDefault="00C1563E">
            <w:pPr>
              <w:rPr>
                <w:rFonts w:ascii="宋体"/>
                <w:vanish/>
              </w:rPr>
            </w:pPr>
          </w:p>
        </w:tc>
        <w:tc>
          <w:tcPr>
            <w:tcW w:w="0" w:type="auto"/>
            <w:gridSpan w:val="3"/>
            <w:shd w:val="clear" w:color="auto" w:fill="auto"/>
          </w:tcPr>
          <w:p w14:paraId="7DCFF40A" w14:textId="77777777" w:rsidR="00C1563E" w:rsidRDefault="00C1563E">
            <w:pPr>
              <w:rPr>
                <w:rFonts w:ascii="宋体"/>
                <w:vanish/>
              </w:rPr>
            </w:pPr>
          </w:p>
        </w:tc>
        <w:tc>
          <w:tcPr>
            <w:tcW w:w="0" w:type="auto"/>
            <w:gridSpan w:val="3"/>
            <w:shd w:val="clear" w:color="auto" w:fill="auto"/>
          </w:tcPr>
          <w:p w14:paraId="7DCFF40B" w14:textId="77777777" w:rsidR="00C1563E" w:rsidRDefault="00C1563E">
            <w:pPr>
              <w:rPr>
                <w:rFonts w:ascii="宋体"/>
                <w:vanish/>
              </w:rPr>
            </w:pPr>
          </w:p>
        </w:tc>
        <w:tc>
          <w:tcPr>
            <w:tcW w:w="0" w:type="auto"/>
            <w:gridSpan w:val="3"/>
            <w:shd w:val="clear" w:color="auto" w:fill="auto"/>
          </w:tcPr>
          <w:p w14:paraId="7DCFF40C" w14:textId="77777777" w:rsidR="00C1563E" w:rsidRDefault="00C1563E">
            <w:pPr>
              <w:rPr>
                <w:rFonts w:ascii="宋体"/>
                <w:vanish/>
              </w:rPr>
            </w:pPr>
          </w:p>
        </w:tc>
        <w:tc>
          <w:tcPr>
            <w:tcW w:w="0" w:type="auto"/>
            <w:gridSpan w:val="3"/>
            <w:shd w:val="clear" w:color="auto" w:fill="auto"/>
          </w:tcPr>
          <w:p w14:paraId="7DCFF40D" w14:textId="77777777" w:rsidR="00C1563E" w:rsidRDefault="00C1563E">
            <w:pPr>
              <w:rPr>
                <w:rFonts w:ascii="宋体"/>
                <w:vanish/>
              </w:rPr>
            </w:pPr>
          </w:p>
        </w:tc>
        <w:tc>
          <w:tcPr>
            <w:tcW w:w="0" w:type="auto"/>
            <w:gridSpan w:val="3"/>
            <w:shd w:val="clear" w:color="auto" w:fill="auto"/>
          </w:tcPr>
          <w:p w14:paraId="7DCFF40E" w14:textId="77777777" w:rsidR="00C1563E" w:rsidRDefault="00C1563E">
            <w:pPr>
              <w:rPr>
                <w:rFonts w:ascii="宋体"/>
                <w:vanish/>
              </w:rPr>
            </w:pPr>
          </w:p>
        </w:tc>
        <w:tc>
          <w:tcPr>
            <w:tcW w:w="0" w:type="auto"/>
            <w:gridSpan w:val="3"/>
            <w:shd w:val="clear" w:color="auto" w:fill="auto"/>
          </w:tcPr>
          <w:p w14:paraId="7DCFF40F" w14:textId="77777777" w:rsidR="00C1563E" w:rsidRDefault="00C1563E">
            <w:pPr>
              <w:rPr>
                <w:rFonts w:ascii="宋体"/>
                <w:vanish/>
              </w:rPr>
            </w:pPr>
          </w:p>
        </w:tc>
        <w:tc>
          <w:tcPr>
            <w:tcW w:w="0" w:type="auto"/>
            <w:gridSpan w:val="3"/>
            <w:shd w:val="clear" w:color="auto" w:fill="auto"/>
          </w:tcPr>
          <w:p w14:paraId="7DCFF410" w14:textId="77777777" w:rsidR="00C1563E" w:rsidRDefault="00C1563E">
            <w:pPr>
              <w:rPr>
                <w:rFonts w:ascii="宋体"/>
                <w:vanish/>
              </w:rPr>
            </w:pPr>
          </w:p>
        </w:tc>
        <w:tc>
          <w:tcPr>
            <w:tcW w:w="0" w:type="auto"/>
            <w:gridSpan w:val="3"/>
            <w:shd w:val="clear" w:color="auto" w:fill="auto"/>
          </w:tcPr>
          <w:p w14:paraId="7DCFF411" w14:textId="77777777" w:rsidR="00C1563E" w:rsidRDefault="00C1563E">
            <w:pPr>
              <w:rPr>
                <w:rFonts w:ascii="宋体"/>
                <w:vanish/>
              </w:rPr>
            </w:pPr>
          </w:p>
        </w:tc>
        <w:tc>
          <w:tcPr>
            <w:tcW w:w="0" w:type="auto"/>
            <w:gridSpan w:val="3"/>
            <w:shd w:val="clear" w:color="auto" w:fill="auto"/>
          </w:tcPr>
          <w:p w14:paraId="7DCFF412" w14:textId="77777777" w:rsidR="00C1563E" w:rsidRDefault="00C1563E">
            <w:pPr>
              <w:rPr>
                <w:rFonts w:ascii="宋体"/>
                <w:vanish/>
              </w:rPr>
            </w:pPr>
          </w:p>
        </w:tc>
        <w:tc>
          <w:tcPr>
            <w:tcW w:w="0" w:type="auto"/>
            <w:gridSpan w:val="3"/>
            <w:shd w:val="clear" w:color="auto" w:fill="auto"/>
          </w:tcPr>
          <w:p w14:paraId="7DCFF413" w14:textId="77777777" w:rsidR="00C1563E" w:rsidRDefault="00C1563E">
            <w:pPr>
              <w:rPr>
                <w:rFonts w:ascii="宋体"/>
                <w:vanish/>
              </w:rPr>
            </w:pPr>
          </w:p>
        </w:tc>
        <w:tc>
          <w:tcPr>
            <w:tcW w:w="0" w:type="auto"/>
            <w:gridSpan w:val="3"/>
            <w:shd w:val="clear" w:color="auto" w:fill="auto"/>
          </w:tcPr>
          <w:p w14:paraId="7DCFF414" w14:textId="77777777" w:rsidR="00C1563E" w:rsidRDefault="00C1563E">
            <w:pPr>
              <w:rPr>
                <w:rFonts w:ascii="宋体"/>
                <w:vanish/>
              </w:rPr>
            </w:pPr>
          </w:p>
        </w:tc>
        <w:tc>
          <w:tcPr>
            <w:tcW w:w="0" w:type="auto"/>
            <w:gridSpan w:val="3"/>
            <w:shd w:val="clear" w:color="auto" w:fill="auto"/>
          </w:tcPr>
          <w:p w14:paraId="7DCFF415" w14:textId="77777777" w:rsidR="00C1563E" w:rsidRDefault="00C1563E">
            <w:pPr>
              <w:rPr>
                <w:rFonts w:ascii="宋体"/>
                <w:vanish/>
              </w:rPr>
            </w:pPr>
          </w:p>
        </w:tc>
        <w:tc>
          <w:tcPr>
            <w:tcW w:w="0" w:type="auto"/>
            <w:gridSpan w:val="3"/>
            <w:shd w:val="clear" w:color="auto" w:fill="auto"/>
          </w:tcPr>
          <w:p w14:paraId="7DCFF416" w14:textId="77777777" w:rsidR="00C1563E" w:rsidRDefault="00C1563E">
            <w:pPr>
              <w:rPr>
                <w:rFonts w:ascii="宋体"/>
                <w:vanish/>
              </w:rPr>
            </w:pPr>
          </w:p>
        </w:tc>
        <w:tc>
          <w:tcPr>
            <w:tcW w:w="0" w:type="auto"/>
            <w:gridSpan w:val="3"/>
            <w:shd w:val="clear" w:color="auto" w:fill="auto"/>
          </w:tcPr>
          <w:p w14:paraId="7DCFF417" w14:textId="77777777" w:rsidR="00C1563E" w:rsidRDefault="00C1563E">
            <w:pPr>
              <w:rPr>
                <w:rFonts w:ascii="宋体"/>
                <w:vanish/>
              </w:rPr>
            </w:pPr>
          </w:p>
        </w:tc>
      </w:tr>
      <w:tr w:rsidR="00C1563E" w14:paraId="7DCFF429" w14:textId="77777777">
        <w:trPr>
          <w:hidden/>
        </w:trPr>
        <w:tc>
          <w:tcPr>
            <w:tcW w:w="0" w:type="auto"/>
            <w:gridSpan w:val="3"/>
            <w:shd w:val="clear" w:color="auto" w:fill="auto"/>
          </w:tcPr>
          <w:p w14:paraId="7DCFF419" w14:textId="77777777" w:rsidR="00C1563E" w:rsidRDefault="00C1563E">
            <w:pPr>
              <w:rPr>
                <w:rFonts w:ascii="宋体"/>
                <w:vanish/>
              </w:rPr>
            </w:pPr>
          </w:p>
        </w:tc>
        <w:tc>
          <w:tcPr>
            <w:tcW w:w="0" w:type="auto"/>
            <w:gridSpan w:val="3"/>
            <w:shd w:val="clear" w:color="auto" w:fill="auto"/>
          </w:tcPr>
          <w:p w14:paraId="7DCFF41A" w14:textId="77777777" w:rsidR="00C1563E" w:rsidRDefault="00C1563E">
            <w:pPr>
              <w:rPr>
                <w:rFonts w:ascii="宋体"/>
                <w:vanish/>
              </w:rPr>
            </w:pPr>
          </w:p>
        </w:tc>
        <w:tc>
          <w:tcPr>
            <w:tcW w:w="0" w:type="auto"/>
            <w:gridSpan w:val="3"/>
            <w:shd w:val="clear" w:color="auto" w:fill="auto"/>
          </w:tcPr>
          <w:p w14:paraId="7DCFF41B" w14:textId="77777777" w:rsidR="00C1563E" w:rsidRDefault="00C1563E">
            <w:pPr>
              <w:rPr>
                <w:rFonts w:ascii="宋体"/>
                <w:vanish/>
              </w:rPr>
            </w:pPr>
          </w:p>
        </w:tc>
        <w:tc>
          <w:tcPr>
            <w:tcW w:w="0" w:type="auto"/>
            <w:gridSpan w:val="3"/>
            <w:shd w:val="clear" w:color="auto" w:fill="auto"/>
          </w:tcPr>
          <w:p w14:paraId="7DCFF41C" w14:textId="77777777" w:rsidR="00C1563E" w:rsidRDefault="00C1563E">
            <w:pPr>
              <w:rPr>
                <w:rFonts w:ascii="宋体"/>
                <w:vanish/>
              </w:rPr>
            </w:pPr>
          </w:p>
        </w:tc>
        <w:tc>
          <w:tcPr>
            <w:tcW w:w="0" w:type="auto"/>
            <w:gridSpan w:val="3"/>
            <w:shd w:val="clear" w:color="auto" w:fill="auto"/>
          </w:tcPr>
          <w:p w14:paraId="7DCFF41D" w14:textId="77777777" w:rsidR="00C1563E" w:rsidRDefault="00C1563E">
            <w:pPr>
              <w:rPr>
                <w:rFonts w:ascii="宋体"/>
                <w:vanish/>
              </w:rPr>
            </w:pPr>
          </w:p>
        </w:tc>
        <w:tc>
          <w:tcPr>
            <w:tcW w:w="0" w:type="auto"/>
            <w:gridSpan w:val="3"/>
            <w:shd w:val="clear" w:color="auto" w:fill="auto"/>
          </w:tcPr>
          <w:p w14:paraId="7DCFF41E" w14:textId="77777777" w:rsidR="00C1563E" w:rsidRDefault="00C1563E">
            <w:pPr>
              <w:rPr>
                <w:rFonts w:ascii="宋体"/>
                <w:vanish/>
              </w:rPr>
            </w:pPr>
          </w:p>
        </w:tc>
        <w:tc>
          <w:tcPr>
            <w:tcW w:w="0" w:type="auto"/>
            <w:gridSpan w:val="3"/>
            <w:shd w:val="clear" w:color="auto" w:fill="auto"/>
          </w:tcPr>
          <w:p w14:paraId="7DCFF41F" w14:textId="77777777" w:rsidR="00C1563E" w:rsidRDefault="00C1563E">
            <w:pPr>
              <w:rPr>
                <w:rFonts w:ascii="宋体"/>
                <w:vanish/>
              </w:rPr>
            </w:pPr>
          </w:p>
        </w:tc>
        <w:tc>
          <w:tcPr>
            <w:tcW w:w="0" w:type="auto"/>
            <w:gridSpan w:val="3"/>
            <w:shd w:val="clear" w:color="auto" w:fill="auto"/>
          </w:tcPr>
          <w:p w14:paraId="7DCFF420" w14:textId="77777777" w:rsidR="00C1563E" w:rsidRDefault="00C1563E">
            <w:pPr>
              <w:rPr>
                <w:rFonts w:ascii="宋体"/>
                <w:vanish/>
              </w:rPr>
            </w:pPr>
          </w:p>
        </w:tc>
        <w:tc>
          <w:tcPr>
            <w:tcW w:w="0" w:type="auto"/>
            <w:gridSpan w:val="3"/>
            <w:shd w:val="clear" w:color="auto" w:fill="auto"/>
          </w:tcPr>
          <w:p w14:paraId="7DCFF421" w14:textId="77777777" w:rsidR="00C1563E" w:rsidRDefault="00C1563E">
            <w:pPr>
              <w:rPr>
                <w:rFonts w:ascii="宋体"/>
                <w:vanish/>
              </w:rPr>
            </w:pPr>
          </w:p>
        </w:tc>
        <w:tc>
          <w:tcPr>
            <w:tcW w:w="0" w:type="auto"/>
            <w:gridSpan w:val="3"/>
            <w:shd w:val="clear" w:color="auto" w:fill="auto"/>
          </w:tcPr>
          <w:p w14:paraId="7DCFF422" w14:textId="77777777" w:rsidR="00C1563E" w:rsidRDefault="00C1563E">
            <w:pPr>
              <w:rPr>
                <w:rFonts w:ascii="宋体"/>
                <w:vanish/>
              </w:rPr>
            </w:pPr>
          </w:p>
        </w:tc>
        <w:tc>
          <w:tcPr>
            <w:tcW w:w="0" w:type="auto"/>
            <w:gridSpan w:val="3"/>
            <w:shd w:val="clear" w:color="auto" w:fill="auto"/>
          </w:tcPr>
          <w:p w14:paraId="7DCFF423" w14:textId="77777777" w:rsidR="00C1563E" w:rsidRDefault="00C1563E">
            <w:pPr>
              <w:rPr>
                <w:rFonts w:ascii="宋体"/>
                <w:vanish/>
              </w:rPr>
            </w:pPr>
          </w:p>
        </w:tc>
        <w:tc>
          <w:tcPr>
            <w:tcW w:w="0" w:type="auto"/>
            <w:gridSpan w:val="3"/>
            <w:shd w:val="clear" w:color="auto" w:fill="auto"/>
          </w:tcPr>
          <w:p w14:paraId="7DCFF424" w14:textId="77777777" w:rsidR="00C1563E" w:rsidRDefault="00C1563E">
            <w:pPr>
              <w:rPr>
                <w:rFonts w:ascii="宋体"/>
                <w:vanish/>
              </w:rPr>
            </w:pPr>
          </w:p>
        </w:tc>
        <w:tc>
          <w:tcPr>
            <w:tcW w:w="0" w:type="auto"/>
            <w:gridSpan w:val="3"/>
            <w:shd w:val="clear" w:color="auto" w:fill="auto"/>
          </w:tcPr>
          <w:p w14:paraId="7DCFF425" w14:textId="77777777" w:rsidR="00C1563E" w:rsidRDefault="00C1563E">
            <w:pPr>
              <w:rPr>
                <w:rFonts w:ascii="宋体"/>
                <w:vanish/>
              </w:rPr>
            </w:pPr>
          </w:p>
        </w:tc>
        <w:tc>
          <w:tcPr>
            <w:tcW w:w="0" w:type="auto"/>
            <w:gridSpan w:val="3"/>
            <w:shd w:val="clear" w:color="auto" w:fill="auto"/>
          </w:tcPr>
          <w:p w14:paraId="7DCFF426" w14:textId="77777777" w:rsidR="00C1563E" w:rsidRDefault="00C1563E">
            <w:pPr>
              <w:rPr>
                <w:rFonts w:ascii="宋体"/>
                <w:vanish/>
              </w:rPr>
            </w:pPr>
          </w:p>
        </w:tc>
        <w:tc>
          <w:tcPr>
            <w:tcW w:w="0" w:type="auto"/>
            <w:gridSpan w:val="3"/>
            <w:shd w:val="clear" w:color="auto" w:fill="auto"/>
          </w:tcPr>
          <w:p w14:paraId="7DCFF427" w14:textId="77777777" w:rsidR="00C1563E" w:rsidRDefault="00C1563E">
            <w:pPr>
              <w:rPr>
                <w:rFonts w:ascii="宋体"/>
                <w:vanish/>
              </w:rPr>
            </w:pPr>
          </w:p>
        </w:tc>
        <w:tc>
          <w:tcPr>
            <w:tcW w:w="0" w:type="auto"/>
            <w:gridSpan w:val="3"/>
            <w:shd w:val="clear" w:color="auto" w:fill="auto"/>
          </w:tcPr>
          <w:p w14:paraId="7DCFF428" w14:textId="77777777" w:rsidR="00C1563E" w:rsidRDefault="00C1563E">
            <w:pPr>
              <w:rPr>
                <w:rFonts w:ascii="宋体"/>
                <w:vanish/>
              </w:rPr>
            </w:pPr>
          </w:p>
        </w:tc>
      </w:tr>
      <w:tr w:rsidR="00C1563E" w14:paraId="7DCFF43A" w14:textId="77777777">
        <w:trPr>
          <w:hidden/>
        </w:trPr>
        <w:tc>
          <w:tcPr>
            <w:tcW w:w="0" w:type="auto"/>
            <w:gridSpan w:val="3"/>
            <w:shd w:val="clear" w:color="auto" w:fill="auto"/>
          </w:tcPr>
          <w:p w14:paraId="7DCFF42A" w14:textId="77777777" w:rsidR="00C1563E" w:rsidRDefault="00C1563E">
            <w:pPr>
              <w:rPr>
                <w:rFonts w:ascii="宋体"/>
                <w:vanish/>
              </w:rPr>
            </w:pPr>
          </w:p>
        </w:tc>
        <w:tc>
          <w:tcPr>
            <w:tcW w:w="0" w:type="auto"/>
            <w:gridSpan w:val="3"/>
            <w:shd w:val="clear" w:color="auto" w:fill="auto"/>
          </w:tcPr>
          <w:p w14:paraId="7DCFF42B" w14:textId="77777777" w:rsidR="00C1563E" w:rsidRDefault="00C1563E">
            <w:pPr>
              <w:rPr>
                <w:rFonts w:ascii="宋体"/>
                <w:vanish/>
              </w:rPr>
            </w:pPr>
          </w:p>
        </w:tc>
        <w:tc>
          <w:tcPr>
            <w:tcW w:w="0" w:type="auto"/>
            <w:gridSpan w:val="3"/>
            <w:shd w:val="clear" w:color="auto" w:fill="auto"/>
          </w:tcPr>
          <w:p w14:paraId="7DCFF42C" w14:textId="77777777" w:rsidR="00C1563E" w:rsidRDefault="00C1563E">
            <w:pPr>
              <w:rPr>
                <w:rFonts w:ascii="宋体"/>
                <w:vanish/>
              </w:rPr>
            </w:pPr>
          </w:p>
        </w:tc>
        <w:tc>
          <w:tcPr>
            <w:tcW w:w="0" w:type="auto"/>
            <w:gridSpan w:val="3"/>
            <w:shd w:val="clear" w:color="auto" w:fill="auto"/>
          </w:tcPr>
          <w:p w14:paraId="7DCFF42D" w14:textId="77777777" w:rsidR="00C1563E" w:rsidRDefault="00C1563E">
            <w:pPr>
              <w:rPr>
                <w:rFonts w:ascii="宋体"/>
                <w:vanish/>
              </w:rPr>
            </w:pPr>
          </w:p>
        </w:tc>
        <w:tc>
          <w:tcPr>
            <w:tcW w:w="0" w:type="auto"/>
            <w:gridSpan w:val="3"/>
            <w:shd w:val="clear" w:color="auto" w:fill="auto"/>
          </w:tcPr>
          <w:p w14:paraId="7DCFF42E" w14:textId="77777777" w:rsidR="00C1563E" w:rsidRDefault="00C1563E">
            <w:pPr>
              <w:rPr>
                <w:rFonts w:ascii="宋体"/>
                <w:vanish/>
              </w:rPr>
            </w:pPr>
          </w:p>
        </w:tc>
        <w:tc>
          <w:tcPr>
            <w:tcW w:w="0" w:type="auto"/>
            <w:gridSpan w:val="3"/>
            <w:shd w:val="clear" w:color="auto" w:fill="auto"/>
          </w:tcPr>
          <w:p w14:paraId="7DCFF42F" w14:textId="77777777" w:rsidR="00C1563E" w:rsidRDefault="00C1563E">
            <w:pPr>
              <w:rPr>
                <w:rFonts w:ascii="宋体"/>
                <w:vanish/>
              </w:rPr>
            </w:pPr>
          </w:p>
        </w:tc>
        <w:tc>
          <w:tcPr>
            <w:tcW w:w="0" w:type="auto"/>
            <w:gridSpan w:val="3"/>
            <w:shd w:val="clear" w:color="auto" w:fill="auto"/>
          </w:tcPr>
          <w:p w14:paraId="7DCFF430" w14:textId="77777777" w:rsidR="00C1563E" w:rsidRDefault="00C1563E">
            <w:pPr>
              <w:rPr>
                <w:rFonts w:ascii="宋体"/>
                <w:vanish/>
              </w:rPr>
            </w:pPr>
          </w:p>
        </w:tc>
        <w:tc>
          <w:tcPr>
            <w:tcW w:w="0" w:type="auto"/>
            <w:gridSpan w:val="3"/>
            <w:shd w:val="clear" w:color="auto" w:fill="auto"/>
          </w:tcPr>
          <w:p w14:paraId="7DCFF431" w14:textId="77777777" w:rsidR="00C1563E" w:rsidRDefault="00C1563E">
            <w:pPr>
              <w:rPr>
                <w:rFonts w:ascii="宋体"/>
                <w:vanish/>
              </w:rPr>
            </w:pPr>
          </w:p>
        </w:tc>
        <w:tc>
          <w:tcPr>
            <w:tcW w:w="0" w:type="auto"/>
            <w:gridSpan w:val="3"/>
            <w:shd w:val="clear" w:color="auto" w:fill="auto"/>
          </w:tcPr>
          <w:p w14:paraId="7DCFF432" w14:textId="77777777" w:rsidR="00C1563E" w:rsidRDefault="00C1563E">
            <w:pPr>
              <w:rPr>
                <w:rFonts w:ascii="宋体"/>
                <w:vanish/>
              </w:rPr>
            </w:pPr>
          </w:p>
        </w:tc>
        <w:tc>
          <w:tcPr>
            <w:tcW w:w="0" w:type="auto"/>
            <w:gridSpan w:val="3"/>
            <w:shd w:val="clear" w:color="auto" w:fill="auto"/>
          </w:tcPr>
          <w:p w14:paraId="7DCFF433" w14:textId="77777777" w:rsidR="00C1563E" w:rsidRDefault="00C1563E">
            <w:pPr>
              <w:rPr>
                <w:rFonts w:ascii="宋体"/>
                <w:vanish/>
              </w:rPr>
            </w:pPr>
          </w:p>
        </w:tc>
        <w:tc>
          <w:tcPr>
            <w:tcW w:w="0" w:type="auto"/>
            <w:gridSpan w:val="3"/>
            <w:shd w:val="clear" w:color="auto" w:fill="auto"/>
          </w:tcPr>
          <w:p w14:paraId="7DCFF434" w14:textId="77777777" w:rsidR="00C1563E" w:rsidRDefault="00C1563E">
            <w:pPr>
              <w:rPr>
                <w:rFonts w:ascii="宋体"/>
                <w:vanish/>
              </w:rPr>
            </w:pPr>
          </w:p>
        </w:tc>
        <w:tc>
          <w:tcPr>
            <w:tcW w:w="0" w:type="auto"/>
            <w:gridSpan w:val="3"/>
            <w:shd w:val="clear" w:color="auto" w:fill="auto"/>
          </w:tcPr>
          <w:p w14:paraId="7DCFF435" w14:textId="77777777" w:rsidR="00C1563E" w:rsidRDefault="00C1563E">
            <w:pPr>
              <w:rPr>
                <w:rFonts w:ascii="宋体"/>
                <w:vanish/>
              </w:rPr>
            </w:pPr>
          </w:p>
        </w:tc>
        <w:tc>
          <w:tcPr>
            <w:tcW w:w="0" w:type="auto"/>
            <w:gridSpan w:val="3"/>
            <w:shd w:val="clear" w:color="auto" w:fill="auto"/>
          </w:tcPr>
          <w:p w14:paraId="7DCFF436" w14:textId="77777777" w:rsidR="00C1563E" w:rsidRDefault="00C1563E">
            <w:pPr>
              <w:rPr>
                <w:rFonts w:ascii="宋体"/>
                <w:vanish/>
              </w:rPr>
            </w:pPr>
          </w:p>
        </w:tc>
        <w:tc>
          <w:tcPr>
            <w:tcW w:w="0" w:type="auto"/>
            <w:gridSpan w:val="3"/>
            <w:shd w:val="clear" w:color="auto" w:fill="auto"/>
          </w:tcPr>
          <w:p w14:paraId="7DCFF437" w14:textId="77777777" w:rsidR="00C1563E" w:rsidRDefault="00C1563E">
            <w:pPr>
              <w:rPr>
                <w:rFonts w:ascii="宋体"/>
                <w:vanish/>
              </w:rPr>
            </w:pPr>
          </w:p>
        </w:tc>
        <w:tc>
          <w:tcPr>
            <w:tcW w:w="0" w:type="auto"/>
            <w:gridSpan w:val="3"/>
            <w:shd w:val="clear" w:color="auto" w:fill="auto"/>
          </w:tcPr>
          <w:p w14:paraId="7DCFF438" w14:textId="77777777" w:rsidR="00C1563E" w:rsidRDefault="00C1563E">
            <w:pPr>
              <w:rPr>
                <w:rFonts w:ascii="宋体"/>
                <w:vanish/>
              </w:rPr>
            </w:pPr>
          </w:p>
        </w:tc>
        <w:tc>
          <w:tcPr>
            <w:tcW w:w="0" w:type="auto"/>
            <w:gridSpan w:val="3"/>
            <w:shd w:val="clear" w:color="auto" w:fill="auto"/>
          </w:tcPr>
          <w:p w14:paraId="7DCFF439" w14:textId="77777777" w:rsidR="00C1563E" w:rsidRDefault="00C1563E">
            <w:pPr>
              <w:rPr>
                <w:rFonts w:ascii="宋体"/>
                <w:vanish/>
              </w:rPr>
            </w:pPr>
          </w:p>
        </w:tc>
      </w:tr>
      <w:tr w:rsidR="00C1563E" w14:paraId="7DCFF44B" w14:textId="77777777">
        <w:trPr>
          <w:hidden/>
        </w:trPr>
        <w:tc>
          <w:tcPr>
            <w:tcW w:w="0" w:type="auto"/>
            <w:gridSpan w:val="3"/>
            <w:shd w:val="clear" w:color="auto" w:fill="auto"/>
          </w:tcPr>
          <w:p w14:paraId="7DCFF43B" w14:textId="77777777" w:rsidR="00C1563E" w:rsidRDefault="00C1563E">
            <w:pPr>
              <w:rPr>
                <w:rFonts w:ascii="宋体"/>
                <w:vanish/>
              </w:rPr>
            </w:pPr>
          </w:p>
        </w:tc>
        <w:tc>
          <w:tcPr>
            <w:tcW w:w="0" w:type="auto"/>
            <w:gridSpan w:val="3"/>
            <w:shd w:val="clear" w:color="auto" w:fill="auto"/>
          </w:tcPr>
          <w:p w14:paraId="7DCFF43C" w14:textId="77777777" w:rsidR="00C1563E" w:rsidRDefault="00C1563E">
            <w:pPr>
              <w:rPr>
                <w:rFonts w:ascii="宋体"/>
                <w:vanish/>
              </w:rPr>
            </w:pPr>
          </w:p>
        </w:tc>
        <w:tc>
          <w:tcPr>
            <w:tcW w:w="0" w:type="auto"/>
            <w:gridSpan w:val="3"/>
            <w:shd w:val="clear" w:color="auto" w:fill="auto"/>
          </w:tcPr>
          <w:p w14:paraId="7DCFF43D" w14:textId="77777777" w:rsidR="00C1563E" w:rsidRDefault="00C1563E">
            <w:pPr>
              <w:rPr>
                <w:rFonts w:ascii="宋体"/>
                <w:vanish/>
              </w:rPr>
            </w:pPr>
          </w:p>
        </w:tc>
        <w:tc>
          <w:tcPr>
            <w:tcW w:w="0" w:type="auto"/>
            <w:gridSpan w:val="3"/>
            <w:shd w:val="clear" w:color="auto" w:fill="auto"/>
          </w:tcPr>
          <w:p w14:paraId="7DCFF43E" w14:textId="77777777" w:rsidR="00C1563E" w:rsidRDefault="00C1563E">
            <w:pPr>
              <w:rPr>
                <w:rFonts w:ascii="宋体"/>
                <w:vanish/>
              </w:rPr>
            </w:pPr>
          </w:p>
        </w:tc>
        <w:tc>
          <w:tcPr>
            <w:tcW w:w="0" w:type="auto"/>
            <w:gridSpan w:val="3"/>
            <w:shd w:val="clear" w:color="auto" w:fill="auto"/>
          </w:tcPr>
          <w:p w14:paraId="7DCFF43F" w14:textId="77777777" w:rsidR="00C1563E" w:rsidRDefault="00C1563E">
            <w:pPr>
              <w:rPr>
                <w:rFonts w:ascii="宋体"/>
                <w:vanish/>
              </w:rPr>
            </w:pPr>
          </w:p>
        </w:tc>
        <w:tc>
          <w:tcPr>
            <w:tcW w:w="0" w:type="auto"/>
            <w:gridSpan w:val="3"/>
            <w:shd w:val="clear" w:color="auto" w:fill="auto"/>
          </w:tcPr>
          <w:p w14:paraId="7DCFF440" w14:textId="77777777" w:rsidR="00C1563E" w:rsidRDefault="00C1563E">
            <w:pPr>
              <w:rPr>
                <w:rFonts w:ascii="宋体"/>
                <w:vanish/>
              </w:rPr>
            </w:pPr>
          </w:p>
        </w:tc>
        <w:tc>
          <w:tcPr>
            <w:tcW w:w="0" w:type="auto"/>
            <w:gridSpan w:val="3"/>
            <w:shd w:val="clear" w:color="auto" w:fill="auto"/>
          </w:tcPr>
          <w:p w14:paraId="7DCFF441" w14:textId="77777777" w:rsidR="00C1563E" w:rsidRDefault="00C1563E">
            <w:pPr>
              <w:rPr>
                <w:rFonts w:ascii="宋体"/>
                <w:vanish/>
              </w:rPr>
            </w:pPr>
          </w:p>
        </w:tc>
        <w:tc>
          <w:tcPr>
            <w:tcW w:w="0" w:type="auto"/>
            <w:gridSpan w:val="3"/>
            <w:shd w:val="clear" w:color="auto" w:fill="auto"/>
          </w:tcPr>
          <w:p w14:paraId="7DCFF442" w14:textId="77777777" w:rsidR="00C1563E" w:rsidRDefault="00C1563E">
            <w:pPr>
              <w:rPr>
                <w:rFonts w:ascii="宋体"/>
                <w:vanish/>
              </w:rPr>
            </w:pPr>
          </w:p>
        </w:tc>
        <w:tc>
          <w:tcPr>
            <w:tcW w:w="0" w:type="auto"/>
            <w:gridSpan w:val="3"/>
            <w:shd w:val="clear" w:color="auto" w:fill="auto"/>
          </w:tcPr>
          <w:p w14:paraId="7DCFF443" w14:textId="77777777" w:rsidR="00C1563E" w:rsidRDefault="00C1563E">
            <w:pPr>
              <w:rPr>
                <w:rFonts w:ascii="宋体"/>
                <w:vanish/>
              </w:rPr>
            </w:pPr>
          </w:p>
        </w:tc>
        <w:tc>
          <w:tcPr>
            <w:tcW w:w="0" w:type="auto"/>
            <w:gridSpan w:val="3"/>
            <w:shd w:val="clear" w:color="auto" w:fill="auto"/>
          </w:tcPr>
          <w:p w14:paraId="7DCFF444" w14:textId="77777777" w:rsidR="00C1563E" w:rsidRDefault="00C1563E">
            <w:pPr>
              <w:rPr>
                <w:rFonts w:ascii="宋体"/>
                <w:vanish/>
              </w:rPr>
            </w:pPr>
          </w:p>
        </w:tc>
        <w:tc>
          <w:tcPr>
            <w:tcW w:w="0" w:type="auto"/>
            <w:gridSpan w:val="3"/>
            <w:shd w:val="clear" w:color="auto" w:fill="auto"/>
          </w:tcPr>
          <w:p w14:paraId="7DCFF445" w14:textId="77777777" w:rsidR="00C1563E" w:rsidRDefault="00C1563E">
            <w:pPr>
              <w:rPr>
                <w:rFonts w:ascii="宋体"/>
                <w:vanish/>
              </w:rPr>
            </w:pPr>
          </w:p>
        </w:tc>
        <w:tc>
          <w:tcPr>
            <w:tcW w:w="0" w:type="auto"/>
            <w:gridSpan w:val="3"/>
            <w:shd w:val="clear" w:color="auto" w:fill="auto"/>
          </w:tcPr>
          <w:p w14:paraId="7DCFF446" w14:textId="77777777" w:rsidR="00C1563E" w:rsidRDefault="00C1563E">
            <w:pPr>
              <w:rPr>
                <w:rFonts w:ascii="宋体"/>
                <w:vanish/>
              </w:rPr>
            </w:pPr>
          </w:p>
        </w:tc>
        <w:tc>
          <w:tcPr>
            <w:tcW w:w="0" w:type="auto"/>
            <w:gridSpan w:val="3"/>
            <w:shd w:val="clear" w:color="auto" w:fill="auto"/>
          </w:tcPr>
          <w:p w14:paraId="7DCFF447" w14:textId="77777777" w:rsidR="00C1563E" w:rsidRDefault="00C1563E">
            <w:pPr>
              <w:rPr>
                <w:rFonts w:ascii="宋体"/>
                <w:vanish/>
              </w:rPr>
            </w:pPr>
          </w:p>
        </w:tc>
        <w:tc>
          <w:tcPr>
            <w:tcW w:w="0" w:type="auto"/>
            <w:gridSpan w:val="3"/>
            <w:shd w:val="clear" w:color="auto" w:fill="auto"/>
          </w:tcPr>
          <w:p w14:paraId="7DCFF448" w14:textId="77777777" w:rsidR="00C1563E" w:rsidRDefault="00C1563E">
            <w:pPr>
              <w:rPr>
                <w:rFonts w:ascii="宋体"/>
                <w:vanish/>
              </w:rPr>
            </w:pPr>
          </w:p>
        </w:tc>
        <w:tc>
          <w:tcPr>
            <w:tcW w:w="0" w:type="auto"/>
            <w:gridSpan w:val="3"/>
            <w:shd w:val="clear" w:color="auto" w:fill="auto"/>
          </w:tcPr>
          <w:p w14:paraId="7DCFF449" w14:textId="77777777" w:rsidR="00C1563E" w:rsidRDefault="00C1563E">
            <w:pPr>
              <w:rPr>
                <w:rFonts w:ascii="宋体"/>
                <w:vanish/>
              </w:rPr>
            </w:pPr>
          </w:p>
        </w:tc>
        <w:tc>
          <w:tcPr>
            <w:tcW w:w="0" w:type="auto"/>
            <w:gridSpan w:val="3"/>
            <w:shd w:val="clear" w:color="auto" w:fill="auto"/>
          </w:tcPr>
          <w:p w14:paraId="7DCFF44A" w14:textId="77777777" w:rsidR="00C1563E" w:rsidRDefault="00C1563E">
            <w:pPr>
              <w:rPr>
                <w:rFonts w:ascii="宋体"/>
                <w:vanish/>
              </w:rPr>
            </w:pPr>
          </w:p>
        </w:tc>
      </w:tr>
      <w:tr w:rsidR="00C1563E" w14:paraId="7DCFF464" w14:textId="77777777">
        <w:tc>
          <w:tcPr>
            <w:tcW w:w="0" w:type="auto"/>
            <w:gridSpan w:val="3"/>
            <w:shd w:val="clear" w:color="auto" w:fill="FFFFFF"/>
            <w:tcMar>
              <w:top w:w="40" w:type="dxa"/>
              <w:left w:w="155" w:type="dxa"/>
              <w:bottom w:w="40" w:type="dxa"/>
              <w:right w:w="20" w:type="dxa"/>
            </w:tcMar>
            <w:vAlign w:val="bottom"/>
          </w:tcPr>
          <w:p w14:paraId="7DCFF44C" w14:textId="77777777" w:rsidR="00C1563E" w:rsidRDefault="000B648B">
            <w:pPr>
              <w:textAlignment w:val="bottom"/>
            </w:pPr>
            <w:r>
              <w:rPr>
                <w:rFonts w:ascii="Times New Roman" w:eastAsia="宋体" w:hAnsi="Times New Roman"/>
                <w:color w:val="000000"/>
                <w:sz w:val="20"/>
                <w:szCs w:val="20"/>
              </w:rPr>
              <w:t>Equity and other securities</w:t>
            </w:r>
          </w:p>
        </w:tc>
        <w:tc>
          <w:tcPr>
            <w:tcW w:w="0" w:type="auto"/>
            <w:gridSpan w:val="2"/>
            <w:shd w:val="clear" w:color="auto" w:fill="FFFFFF"/>
            <w:tcMar>
              <w:top w:w="40" w:type="dxa"/>
              <w:left w:w="20" w:type="dxa"/>
              <w:bottom w:w="40" w:type="dxa"/>
              <w:right w:w="0" w:type="dxa"/>
            </w:tcMar>
            <w:vAlign w:val="bottom"/>
          </w:tcPr>
          <w:p w14:paraId="7DCFF44D" w14:textId="77777777" w:rsidR="00C1563E" w:rsidRDefault="000B648B">
            <w:pPr>
              <w:jc w:val="right"/>
              <w:textAlignment w:val="bottom"/>
            </w:pPr>
            <w:r>
              <w:rPr>
                <w:rFonts w:ascii="Times New Roman" w:eastAsia="宋体" w:hAnsi="Times New Roman"/>
                <w:color w:val="000000"/>
                <w:sz w:val="19"/>
                <w:szCs w:val="19"/>
              </w:rPr>
              <w:t>449 </w:t>
            </w:r>
          </w:p>
        </w:tc>
        <w:tc>
          <w:tcPr>
            <w:tcW w:w="0" w:type="auto"/>
            <w:shd w:val="clear" w:color="auto" w:fill="FFFFFF"/>
            <w:tcMar>
              <w:top w:w="40" w:type="dxa"/>
              <w:left w:w="0" w:type="dxa"/>
              <w:bottom w:w="40" w:type="dxa"/>
              <w:right w:w="20" w:type="dxa"/>
            </w:tcMar>
            <w:vAlign w:val="bottom"/>
          </w:tcPr>
          <w:p w14:paraId="7DCFF44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4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0"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5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5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3"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6" w14:textId="77777777" w:rsidR="00C1563E" w:rsidRDefault="000B648B">
            <w:pPr>
              <w:jc w:val="right"/>
              <w:textAlignment w:val="bottom"/>
            </w:pPr>
            <w:r>
              <w:rPr>
                <w:rFonts w:ascii="Times New Roman" w:eastAsia="宋体" w:hAnsi="Times New Roman"/>
                <w:color w:val="000000"/>
                <w:sz w:val="19"/>
                <w:szCs w:val="19"/>
              </w:rPr>
              <w:t>449 </w:t>
            </w:r>
          </w:p>
        </w:tc>
        <w:tc>
          <w:tcPr>
            <w:tcW w:w="0" w:type="auto"/>
            <w:shd w:val="clear" w:color="auto" w:fill="FFFFFF"/>
            <w:tcMar>
              <w:top w:w="40" w:type="dxa"/>
              <w:left w:w="0" w:type="dxa"/>
              <w:bottom w:w="40" w:type="dxa"/>
              <w:right w:w="20" w:type="dxa"/>
            </w:tcMar>
            <w:vAlign w:val="bottom"/>
          </w:tcPr>
          <w:p w14:paraId="7DCFF4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9" w14:textId="77777777" w:rsidR="00C1563E" w:rsidRDefault="000B648B">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7DCFF45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5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C"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5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5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5F"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6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462" w14:textId="77777777" w:rsidR="00C1563E" w:rsidRDefault="000B648B">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7DCFF463" w14:textId="77777777" w:rsidR="00C1563E" w:rsidRDefault="00C1563E">
            <w:pPr>
              <w:jc w:val="right"/>
              <w:rPr>
                <w:rFonts w:ascii="宋体"/>
              </w:rPr>
            </w:pPr>
          </w:p>
        </w:tc>
      </w:tr>
      <w:tr w:rsidR="00C1563E" w14:paraId="7DCFF47D" w14:textId="77777777">
        <w:tc>
          <w:tcPr>
            <w:tcW w:w="0" w:type="auto"/>
            <w:gridSpan w:val="3"/>
            <w:shd w:val="clear" w:color="auto" w:fill="CCEEFF"/>
            <w:tcMar>
              <w:top w:w="40" w:type="dxa"/>
              <w:left w:w="155" w:type="dxa"/>
              <w:bottom w:w="40" w:type="dxa"/>
              <w:right w:w="20" w:type="dxa"/>
            </w:tcMar>
            <w:vAlign w:val="bottom"/>
          </w:tcPr>
          <w:p w14:paraId="7DCFF465" w14:textId="77777777" w:rsidR="00C1563E" w:rsidRDefault="000B648B">
            <w:pPr>
              <w:textAlignment w:val="bottom"/>
            </w:pPr>
            <w:r>
              <w:rPr>
                <w:rFonts w:ascii="Times New Roman" w:eastAsia="宋体" w:hAnsi="Times New Roman"/>
                <w:color w:val="000000"/>
                <w:sz w:val="20"/>
                <w:szCs w:val="20"/>
              </w:rPr>
              <w:t>Derivative instruments</w:t>
            </w:r>
          </w:p>
        </w:tc>
        <w:tc>
          <w:tcPr>
            <w:tcW w:w="0" w:type="auto"/>
            <w:gridSpan w:val="2"/>
            <w:shd w:val="clear" w:color="auto" w:fill="CCEEFF"/>
            <w:tcMar>
              <w:top w:w="40" w:type="dxa"/>
              <w:left w:w="20" w:type="dxa"/>
              <w:bottom w:w="40" w:type="dxa"/>
              <w:right w:w="0" w:type="dxa"/>
            </w:tcMar>
            <w:vAlign w:val="bottom"/>
          </w:tcPr>
          <w:p w14:paraId="7DCFF466"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46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6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69" w14:textId="77777777" w:rsidR="00C1563E" w:rsidRDefault="000B648B">
            <w:pPr>
              <w:jc w:val="right"/>
              <w:textAlignment w:val="bottom"/>
            </w:pPr>
            <w:r>
              <w:rPr>
                <w:rFonts w:ascii="Times New Roman" w:eastAsia="宋体" w:hAnsi="Times New Roman"/>
                <w:color w:val="000000"/>
                <w:sz w:val="19"/>
                <w:szCs w:val="19"/>
              </w:rPr>
              <w:t>104 </w:t>
            </w:r>
          </w:p>
        </w:tc>
        <w:tc>
          <w:tcPr>
            <w:tcW w:w="0" w:type="auto"/>
            <w:shd w:val="clear" w:color="auto" w:fill="CCEEFF"/>
            <w:tcMar>
              <w:top w:w="40" w:type="dxa"/>
              <w:left w:w="0" w:type="dxa"/>
              <w:bottom w:w="40" w:type="dxa"/>
              <w:right w:w="20" w:type="dxa"/>
            </w:tcMar>
            <w:vAlign w:val="bottom"/>
          </w:tcPr>
          <w:p w14:paraId="7DCFF46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6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6C"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4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6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6F" w14:textId="77777777" w:rsidR="00C1563E" w:rsidRDefault="000B648B">
            <w:pPr>
              <w:jc w:val="right"/>
              <w:textAlignment w:val="bottom"/>
            </w:pPr>
            <w:r>
              <w:rPr>
                <w:rFonts w:ascii="Times New Roman" w:eastAsia="宋体" w:hAnsi="Times New Roman"/>
                <w:color w:val="000000"/>
                <w:sz w:val="19"/>
                <w:szCs w:val="19"/>
              </w:rPr>
              <w:t>104 </w:t>
            </w:r>
          </w:p>
        </w:tc>
        <w:tc>
          <w:tcPr>
            <w:tcW w:w="0" w:type="auto"/>
            <w:shd w:val="clear" w:color="auto" w:fill="CCEEFF"/>
            <w:tcMar>
              <w:top w:w="40" w:type="dxa"/>
              <w:left w:w="0" w:type="dxa"/>
              <w:bottom w:w="40" w:type="dxa"/>
              <w:right w:w="20" w:type="dxa"/>
            </w:tcMar>
            <w:vAlign w:val="bottom"/>
          </w:tcPr>
          <w:p w14:paraId="7DCFF4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7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72"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47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7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75" w14:textId="77777777" w:rsidR="00C1563E" w:rsidRDefault="000B648B">
            <w:pPr>
              <w:jc w:val="right"/>
              <w:textAlignment w:val="bottom"/>
            </w:pPr>
            <w:r>
              <w:rPr>
                <w:rFonts w:ascii="Times New Roman" w:eastAsia="宋体" w:hAnsi="Times New Roman"/>
                <w:color w:val="000000"/>
                <w:sz w:val="19"/>
                <w:szCs w:val="19"/>
              </w:rPr>
              <w:t>81 </w:t>
            </w:r>
          </w:p>
        </w:tc>
        <w:tc>
          <w:tcPr>
            <w:tcW w:w="0" w:type="auto"/>
            <w:shd w:val="clear" w:color="auto" w:fill="CCEEFF"/>
            <w:tcMar>
              <w:top w:w="40" w:type="dxa"/>
              <w:left w:w="0" w:type="dxa"/>
              <w:bottom w:w="40" w:type="dxa"/>
              <w:right w:w="20" w:type="dxa"/>
            </w:tcMar>
            <w:vAlign w:val="bottom"/>
          </w:tcPr>
          <w:p w14:paraId="7DCFF47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7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78"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DCFF47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7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47B" w14:textId="77777777" w:rsidR="00C1563E" w:rsidRDefault="000B648B">
            <w:pPr>
              <w:jc w:val="right"/>
              <w:textAlignment w:val="bottom"/>
            </w:pPr>
            <w:r>
              <w:rPr>
                <w:rFonts w:ascii="Times New Roman" w:eastAsia="宋体" w:hAnsi="Times New Roman"/>
                <w:color w:val="000000"/>
                <w:sz w:val="19"/>
                <w:szCs w:val="19"/>
              </w:rPr>
              <w:t>81 </w:t>
            </w:r>
          </w:p>
        </w:tc>
        <w:tc>
          <w:tcPr>
            <w:tcW w:w="0" w:type="auto"/>
            <w:shd w:val="clear" w:color="auto" w:fill="CCEEFF"/>
            <w:tcMar>
              <w:top w:w="40" w:type="dxa"/>
              <w:left w:w="0" w:type="dxa"/>
              <w:bottom w:w="40" w:type="dxa"/>
              <w:right w:w="20" w:type="dxa"/>
            </w:tcMar>
            <w:vAlign w:val="bottom"/>
          </w:tcPr>
          <w:p w14:paraId="7DCFF47C" w14:textId="77777777" w:rsidR="00C1563E" w:rsidRDefault="00C1563E">
            <w:pPr>
              <w:jc w:val="right"/>
              <w:rPr>
                <w:rFonts w:ascii="宋体"/>
              </w:rPr>
            </w:pPr>
          </w:p>
        </w:tc>
      </w:tr>
      <w:tr w:rsidR="000B648B" w14:paraId="7DCFF49E" w14:textId="77777777">
        <w:tc>
          <w:tcPr>
            <w:tcW w:w="0" w:type="auto"/>
            <w:gridSpan w:val="3"/>
            <w:shd w:val="clear" w:color="auto" w:fill="FFFFFF"/>
            <w:tcMar>
              <w:top w:w="40" w:type="dxa"/>
              <w:left w:w="245" w:type="dxa"/>
              <w:bottom w:w="40" w:type="dxa"/>
              <w:right w:w="20" w:type="dxa"/>
            </w:tcMar>
            <w:vAlign w:val="bottom"/>
          </w:tcPr>
          <w:p w14:paraId="7DCFF47E" w14:textId="77777777" w:rsidR="00C1563E" w:rsidRDefault="000B648B">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F47F"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80" w14:textId="77777777" w:rsidR="00C1563E" w:rsidRDefault="000B648B">
            <w:pPr>
              <w:jc w:val="right"/>
              <w:textAlignment w:val="bottom"/>
            </w:pPr>
            <w:r>
              <w:rPr>
                <w:rFonts w:ascii="Times New Roman" w:eastAsia="宋体" w:hAnsi="Times New Roman"/>
                <w:color w:val="000000"/>
                <w:sz w:val="19"/>
                <w:szCs w:val="19"/>
              </w:rPr>
              <w:t>9,295 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8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8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83"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84" w14:textId="77777777" w:rsidR="00C1563E" w:rsidRDefault="000B648B">
            <w:pPr>
              <w:jc w:val="right"/>
              <w:textAlignment w:val="bottom"/>
            </w:pPr>
            <w:r>
              <w:rPr>
                <w:rFonts w:ascii="Times New Roman" w:eastAsia="宋体" w:hAnsi="Times New Roman"/>
                <w:color w:val="000000"/>
                <w:sz w:val="19"/>
                <w:szCs w:val="19"/>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8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8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87"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88"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8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8A"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8B"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8C" w14:textId="77777777" w:rsidR="00C1563E" w:rsidRDefault="000B648B">
            <w:pPr>
              <w:jc w:val="right"/>
              <w:textAlignment w:val="bottom"/>
            </w:pPr>
            <w:r>
              <w:rPr>
                <w:rFonts w:ascii="Times New Roman" w:eastAsia="宋体" w:hAnsi="Times New Roman"/>
                <w:color w:val="000000"/>
                <w:sz w:val="19"/>
                <w:szCs w:val="19"/>
              </w:rPr>
              <w:t>9,399 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8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8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8F"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90" w14:textId="77777777" w:rsidR="00C1563E" w:rsidRDefault="000B648B">
            <w:pPr>
              <w:jc w:val="right"/>
              <w:textAlignment w:val="bottom"/>
            </w:pPr>
            <w:r>
              <w:rPr>
                <w:rFonts w:ascii="Times New Roman" w:eastAsia="宋体" w:hAnsi="Times New Roman"/>
                <w:color w:val="000000"/>
                <w:sz w:val="19"/>
                <w:szCs w:val="19"/>
              </w:rPr>
              <w:t>4,633 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9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9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93"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94" w14:textId="77777777" w:rsidR="00C1563E" w:rsidRDefault="000B648B">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9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97"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98"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9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9A"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49B"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49C" w14:textId="77777777" w:rsidR="00C1563E" w:rsidRDefault="000B648B">
            <w:pPr>
              <w:jc w:val="right"/>
              <w:textAlignment w:val="bottom"/>
            </w:pPr>
            <w:r>
              <w:rPr>
                <w:rFonts w:ascii="Times New Roman" w:eastAsia="宋体" w:hAnsi="Times New Roman"/>
                <w:color w:val="000000"/>
                <w:sz w:val="19"/>
                <w:szCs w:val="19"/>
              </w:rPr>
              <w:t>4,714 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49D" w14:textId="77777777" w:rsidR="00C1563E" w:rsidRDefault="00C1563E">
            <w:pPr>
              <w:jc w:val="right"/>
              <w:rPr>
                <w:rFonts w:ascii="宋体"/>
              </w:rPr>
            </w:pPr>
          </w:p>
        </w:tc>
      </w:tr>
      <w:tr w:rsidR="00C1563E" w14:paraId="7DCFF4AF" w14:textId="77777777">
        <w:tc>
          <w:tcPr>
            <w:tcW w:w="0" w:type="auto"/>
            <w:gridSpan w:val="3"/>
            <w:shd w:val="clear" w:color="auto" w:fill="CCEEFF"/>
            <w:tcMar>
              <w:top w:w="40" w:type="dxa"/>
              <w:left w:w="20" w:type="dxa"/>
              <w:bottom w:w="40" w:type="dxa"/>
              <w:right w:w="20" w:type="dxa"/>
            </w:tcMar>
            <w:vAlign w:val="bottom"/>
          </w:tcPr>
          <w:p w14:paraId="7DCFF49F" w14:textId="77777777" w:rsidR="00C1563E" w:rsidRDefault="000B648B">
            <w:pPr>
              <w:textAlignment w:val="bottom"/>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0"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1"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2"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3"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4"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5"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6"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7"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8"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9"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A"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B"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C" w14:textId="77777777" w:rsidR="00C1563E" w:rsidRDefault="000B648B">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tcPr>
          <w:p w14:paraId="7DCFF4AD" w14:textId="77777777" w:rsidR="00C1563E" w:rsidRDefault="00C1563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7DCFF4AE" w14:textId="77777777" w:rsidR="00C1563E" w:rsidRDefault="000B648B">
            <w:pPr>
              <w:jc w:val="right"/>
              <w:textAlignment w:val="bottom"/>
            </w:pPr>
            <w:r>
              <w:rPr>
                <w:rFonts w:ascii="Times New Roman" w:eastAsia="宋体" w:hAnsi="Times New Roman"/>
                <w:color w:val="000000"/>
                <w:sz w:val="19"/>
                <w:szCs w:val="19"/>
              </w:rPr>
              <w:t> </w:t>
            </w:r>
          </w:p>
        </w:tc>
      </w:tr>
      <w:tr w:rsidR="000B648B" w14:paraId="7DCFF4D0" w14:textId="77777777">
        <w:tc>
          <w:tcPr>
            <w:tcW w:w="0" w:type="auto"/>
            <w:gridSpan w:val="3"/>
            <w:shd w:val="clear" w:color="auto" w:fill="FFFFFF"/>
            <w:tcMar>
              <w:top w:w="40" w:type="dxa"/>
              <w:left w:w="20" w:type="dxa"/>
              <w:bottom w:w="40" w:type="dxa"/>
              <w:right w:w="20" w:type="dxa"/>
            </w:tcMar>
            <w:vAlign w:val="bottom"/>
          </w:tcPr>
          <w:p w14:paraId="7DCFF4B0" w14:textId="77777777" w:rsidR="00C1563E" w:rsidRDefault="000B648B">
            <w:pPr>
              <w:textAlignment w:val="bottom"/>
            </w:pPr>
            <w:r>
              <w:rPr>
                <w:rFonts w:ascii="Times New Roman" w:eastAsia="宋体" w:hAnsi="Times New Roman"/>
                <w:color w:val="000000"/>
                <w:sz w:val="20"/>
                <w:szCs w:val="20"/>
              </w:rPr>
              <w:t>Derivative instruments</w:t>
            </w:r>
          </w:p>
        </w:tc>
        <w:tc>
          <w:tcPr>
            <w:tcW w:w="0" w:type="auto"/>
            <w:shd w:val="clear" w:color="auto" w:fill="FFFFFF"/>
            <w:tcMar>
              <w:top w:w="40" w:type="dxa"/>
              <w:left w:w="20" w:type="dxa"/>
              <w:bottom w:w="40" w:type="dxa"/>
              <w:right w:w="0" w:type="dxa"/>
            </w:tcMar>
            <w:vAlign w:val="bottom"/>
          </w:tcPr>
          <w:p w14:paraId="7DCFF4B1"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B2"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B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B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B5"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B6" w14:textId="77777777" w:rsidR="00C1563E" w:rsidRDefault="000B648B">
            <w:pPr>
              <w:jc w:val="right"/>
              <w:textAlignment w:val="bottom"/>
            </w:pPr>
            <w:r>
              <w:rPr>
                <w:rFonts w:ascii="Times New Roman" w:eastAsia="宋体" w:hAnsi="Times New Roman"/>
                <w:color w:val="000000"/>
                <w:sz w:val="19"/>
                <w:szCs w:val="19"/>
              </w:rPr>
              <w:t>133 </w:t>
            </w:r>
          </w:p>
        </w:tc>
        <w:tc>
          <w:tcPr>
            <w:tcW w:w="0" w:type="auto"/>
            <w:shd w:val="clear" w:color="auto" w:fill="FFFFFF"/>
            <w:tcMar>
              <w:top w:w="40" w:type="dxa"/>
              <w:left w:w="0" w:type="dxa"/>
              <w:bottom w:w="40" w:type="dxa"/>
              <w:right w:w="20" w:type="dxa"/>
            </w:tcMar>
            <w:vAlign w:val="bottom"/>
          </w:tcPr>
          <w:p w14:paraId="7DCFF4B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B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B9"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BA"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B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BD"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BE" w14:textId="77777777" w:rsidR="00C1563E" w:rsidRDefault="000B648B">
            <w:pPr>
              <w:jc w:val="right"/>
              <w:textAlignment w:val="bottom"/>
            </w:pPr>
            <w:r>
              <w:rPr>
                <w:rFonts w:ascii="Times New Roman" w:eastAsia="宋体" w:hAnsi="Times New Roman"/>
                <w:color w:val="000000"/>
                <w:sz w:val="19"/>
                <w:szCs w:val="19"/>
              </w:rPr>
              <w:t>133 </w:t>
            </w:r>
          </w:p>
        </w:tc>
        <w:tc>
          <w:tcPr>
            <w:tcW w:w="0" w:type="auto"/>
            <w:shd w:val="clear" w:color="auto" w:fill="FFFFFF"/>
            <w:tcMar>
              <w:top w:w="40" w:type="dxa"/>
              <w:left w:w="0" w:type="dxa"/>
              <w:bottom w:w="40" w:type="dxa"/>
              <w:right w:w="20" w:type="dxa"/>
            </w:tcMar>
            <w:vAlign w:val="bottom"/>
          </w:tcPr>
          <w:p w14:paraId="7DCFF4B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C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C1"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C2"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C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C5"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C6" w14:textId="77777777" w:rsidR="00C1563E" w:rsidRDefault="000B648B">
            <w:pPr>
              <w:jc w:val="right"/>
              <w:textAlignment w:val="bottom"/>
            </w:pPr>
            <w:r>
              <w:rPr>
                <w:rFonts w:ascii="Times New Roman" w:eastAsia="宋体" w:hAnsi="Times New Roman"/>
                <w:color w:val="000000"/>
                <w:sz w:val="19"/>
                <w:szCs w:val="19"/>
              </w:rPr>
              <w:t>68 </w:t>
            </w:r>
          </w:p>
        </w:tc>
        <w:tc>
          <w:tcPr>
            <w:tcW w:w="0" w:type="auto"/>
            <w:shd w:val="clear" w:color="auto" w:fill="FFFFFF"/>
            <w:tcMar>
              <w:top w:w="40" w:type="dxa"/>
              <w:left w:w="0" w:type="dxa"/>
              <w:bottom w:w="40" w:type="dxa"/>
              <w:right w:w="20" w:type="dxa"/>
            </w:tcMar>
            <w:vAlign w:val="bottom"/>
          </w:tcPr>
          <w:p w14:paraId="7DCFF4C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C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C9"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CA" w14:textId="77777777" w:rsidR="00C1563E" w:rsidRDefault="000B648B">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DCFF4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4C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4CD" w14:textId="77777777" w:rsidR="00C1563E" w:rsidRDefault="000B648B">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DCFF4CE" w14:textId="77777777" w:rsidR="00C1563E" w:rsidRDefault="000B648B">
            <w:pPr>
              <w:jc w:val="right"/>
              <w:textAlignment w:val="bottom"/>
            </w:pPr>
            <w:r>
              <w:rPr>
                <w:rFonts w:ascii="Times New Roman" w:eastAsia="宋体" w:hAnsi="Times New Roman"/>
                <w:color w:val="000000"/>
                <w:sz w:val="19"/>
                <w:szCs w:val="19"/>
              </w:rPr>
              <w:t>68 </w:t>
            </w:r>
          </w:p>
        </w:tc>
        <w:tc>
          <w:tcPr>
            <w:tcW w:w="0" w:type="auto"/>
            <w:shd w:val="clear" w:color="auto" w:fill="FFFFFF"/>
            <w:tcMar>
              <w:top w:w="40" w:type="dxa"/>
              <w:left w:w="0" w:type="dxa"/>
              <w:bottom w:w="40" w:type="dxa"/>
              <w:right w:w="20" w:type="dxa"/>
            </w:tcMar>
            <w:vAlign w:val="bottom"/>
          </w:tcPr>
          <w:p w14:paraId="7DCFF4CF" w14:textId="77777777" w:rsidR="00C1563E" w:rsidRDefault="00C1563E">
            <w:pPr>
              <w:jc w:val="right"/>
              <w:rPr>
                <w:rFonts w:ascii="宋体"/>
              </w:rPr>
            </w:pPr>
          </w:p>
        </w:tc>
      </w:tr>
      <w:tr w:rsidR="000B648B" w14:paraId="7DCFF4F1" w14:textId="77777777">
        <w:tc>
          <w:tcPr>
            <w:tcW w:w="0" w:type="auto"/>
            <w:gridSpan w:val="3"/>
            <w:shd w:val="clear" w:color="auto" w:fill="CCEEFF"/>
            <w:tcMar>
              <w:top w:w="40" w:type="dxa"/>
              <w:left w:w="245" w:type="dxa"/>
              <w:bottom w:w="40" w:type="dxa"/>
              <w:right w:w="20" w:type="dxa"/>
            </w:tcMar>
            <w:vAlign w:val="bottom"/>
          </w:tcPr>
          <w:p w14:paraId="7DCFF4D1" w14:textId="77777777" w:rsidR="00C1563E" w:rsidRDefault="000B648B">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D2"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D3"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D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D5"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D6"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D7" w14:textId="77777777" w:rsidR="00C1563E" w:rsidRDefault="000B648B">
            <w:pPr>
              <w:jc w:val="right"/>
              <w:textAlignment w:val="bottom"/>
            </w:pPr>
            <w:r>
              <w:rPr>
                <w:rFonts w:ascii="Times New Roman" w:eastAsia="宋体" w:hAnsi="Times New Roman"/>
                <w:color w:val="000000"/>
                <w:sz w:val="19"/>
                <w:szCs w:val="19"/>
              </w:rPr>
              <w:t>133 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D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DA"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DB"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D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D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DE"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DF" w14:textId="77777777" w:rsidR="00C1563E" w:rsidRDefault="000B648B">
            <w:pPr>
              <w:jc w:val="right"/>
              <w:textAlignment w:val="bottom"/>
            </w:pPr>
            <w:r>
              <w:rPr>
                <w:rFonts w:ascii="Times New Roman" w:eastAsia="宋体" w:hAnsi="Times New Roman"/>
                <w:color w:val="000000"/>
                <w:sz w:val="19"/>
                <w:szCs w:val="19"/>
              </w:rPr>
              <w:t>133 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E1"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E2"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E3"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E5"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E6"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E7" w14:textId="77777777" w:rsidR="00C1563E" w:rsidRDefault="000B648B">
            <w:pPr>
              <w:jc w:val="right"/>
              <w:textAlignment w:val="bottom"/>
            </w:pPr>
            <w:r>
              <w:rPr>
                <w:rFonts w:ascii="Times New Roman" w:eastAsia="宋体" w:hAnsi="Times New Roman"/>
                <w:color w:val="000000"/>
                <w:sz w:val="19"/>
                <w:szCs w:val="19"/>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E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E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EA"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EB" w14:textId="77777777" w:rsidR="00C1563E" w:rsidRDefault="000B648B">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E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4E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4EE" w14:textId="77777777" w:rsidR="00C1563E" w:rsidRDefault="000B648B">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4EF" w14:textId="77777777" w:rsidR="00C1563E" w:rsidRDefault="000B648B">
            <w:pPr>
              <w:jc w:val="right"/>
              <w:textAlignment w:val="bottom"/>
            </w:pPr>
            <w:r>
              <w:rPr>
                <w:rFonts w:ascii="Times New Roman" w:eastAsia="宋体" w:hAnsi="Times New Roman"/>
                <w:color w:val="000000"/>
                <w:sz w:val="19"/>
                <w:szCs w:val="19"/>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4F0" w14:textId="77777777" w:rsidR="00C1563E" w:rsidRDefault="00C1563E">
            <w:pPr>
              <w:jc w:val="right"/>
              <w:rPr>
                <w:rFonts w:ascii="宋体"/>
              </w:rPr>
            </w:pPr>
          </w:p>
        </w:tc>
      </w:tr>
    </w:tbl>
    <w:p w14:paraId="7DCFF4F2" w14:textId="77777777" w:rsidR="00C1563E" w:rsidRDefault="00C1563E"/>
    <w:p w14:paraId="7DCFF4F3" w14:textId="77777777" w:rsidR="00C1563E" w:rsidRDefault="000B648B">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7DCFF4F4" w14:textId="77777777" w:rsidR="00C1563E" w:rsidRDefault="00C1563E"/>
    <w:p w14:paraId="7DCFF4F5" w14:textId="77777777" w:rsidR="00C1563E" w:rsidRDefault="000B648B">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xml:space="preserve">— The Company’s investment in money market funds that are classified as cash </w:t>
      </w:r>
      <w:r>
        <w:rPr>
          <w:rFonts w:ascii="Times New Roman" w:eastAsia="宋体" w:hAnsi="Times New Roman"/>
          <w:color w:val="000000"/>
          <w:sz w:val="20"/>
          <w:szCs w:val="20"/>
        </w:rPr>
        <w:t>equivalents hold underlying investments with a weighted average maturity of 90 days or less and are recognized at fair value. The valuations of these securities are based on quoted prices in active markets for identical assets, when available, or pricing m</w:t>
      </w:r>
      <w:r>
        <w:rPr>
          <w:rFonts w:ascii="Times New Roman" w:eastAsia="宋体" w:hAnsi="Times New Roman"/>
          <w:color w:val="000000"/>
          <w:sz w:val="20"/>
          <w:szCs w:val="20"/>
        </w:rPr>
        <w:t>odels whereby all significant inputs are observable or can be derived from or corroborated by observable market data. The Company reviews security pricing and assesses liquidity on a quarterly basis. As of January 29, 2021, the Company’s U.S. portfolio had</w:t>
      </w:r>
      <w:r>
        <w:rPr>
          <w:rFonts w:ascii="Times New Roman" w:eastAsia="宋体" w:hAnsi="Times New Roman"/>
          <w:color w:val="000000"/>
          <w:sz w:val="20"/>
          <w:szCs w:val="20"/>
        </w:rPr>
        <w:t xml:space="preserve"> no material exposure to money market funds with a fluctuating net asset value.</w:t>
      </w:r>
    </w:p>
    <w:p w14:paraId="7DCFF4F6" w14:textId="77777777" w:rsidR="00C1563E" w:rsidRDefault="00C1563E"/>
    <w:p w14:paraId="7DCFF4F7" w14:textId="77777777" w:rsidR="00C1563E" w:rsidRDefault="000B648B">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majority of the Company’s investments in equity and other securities that are measured at fair value on a recurring basis consist of strategi</w:t>
      </w:r>
      <w:r>
        <w:rPr>
          <w:rFonts w:ascii="Times New Roman" w:eastAsia="宋体" w:hAnsi="Times New Roman"/>
          <w:color w:val="000000"/>
          <w:sz w:val="20"/>
          <w:szCs w:val="20"/>
        </w:rPr>
        <w:t>c investments in publicly-traded companies. The valuation of these securities is based on quoted prices in active markets.</w:t>
      </w:r>
    </w:p>
    <w:p w14:paraId="7DCFF4F8" w14:textId="77777777" w:rsidR="00C1563E" w:rsidRDefault="00C1563E"/>
    <w:p w14:paraId="7DCFF4F9" w14:textId="77777777" w:rsidR="00C1563E" w:rsidRDefault="000B648B">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Company’s derivative financial instruments consist primarily of foreign currency forward and purchased </w:t>
      </w:r>
      <w:r>
        <w:rPr>
          <w:rFonts w:ascii="Times New Roman" w:eastAsia="宋体" w:hAnsi="Times New Roman"/>
          <w:color w:val="000000"/>
          <w:sz w:val="20"/>
          <w:szCs w:val="20"/>
        </w:rPr>
        <w:t xml:space="preserve">option contracts and interest rate swaps. The fair value of the portfolio is determined using valuation models based on market observable inputs, including interest rate curves, forward and spot prices for currencies, and implied volatilities. Credit risk </w:t>
      </w:r>
      <w:r>
        <w:rPr>
          <w:rFonts w:ascii="Times New Roman" w:eastAsia="宋体" w:hAnsi="Times New Roman"/>
          <w:color w:val="000000"/>
          <w:sz w:val="20"/>
          <w:szCs w:val="20"/>
        </w:rPr>
        <w:t>is also factored into the fair value calculation of the Company’s derivative financial instrument portfolio. See Note 7 of the Notes to the Consolidated Financial Statements for a description of the Company’s derivative financial instrument activities.</w:t>
      </w:r>
    </w:p>
    <w:p w14:paraId="7DCFF4FA" w14:textId="77777777" w:rsidR="00C1563E" w:rsidRDefault="00C1563E"/>
    <w:p w14:paraId="7DCFF4FB" w14:textId="77777777" w:rsidR="00C1563E" w:rsidRDefault="000B648B">
      <w:r>
        <w:rPr>
          <w:rFonts w:ascii="Times New Roman" w:eastAsia="宋体" w:hAnsi="Times New Roman"/>
          <w:i/>
          <w:iCs/>
          <w:color w:val="000000"/>
          <w:sz w:val="20"/>
          <w:szCs w:val="20"/>
        </w:rPr>
        <w:t>De</w:t>
      </w:r>
      <w:r>
        <w:rPr>
          <w:rFonts w:ascii="Times New Roman" w:eastAsia="宋体" w:hAnsi="Times New Roman"/>
          <w:i/>
          <w:iCs/>
          <w:color w:val="000000"/>
          <w:sz w:val="20"/>
          <w:szCs w:val="20"/>
        </w:rPr>
        <w:t xml:space="preserve">ferred Compensation Plans </w:t>
      </w:r>
      <w:r>
        <w:rPr>
          <w:rFonts w:ascii="Times New Roman" w:eastAsia="宋体" w:hAnsi="Times New Roman"/>
          <w:color w:val="000000"/>
          <w:sz w:val="20"/>
          <w:szCs w:val="20"/>
        </w:rPr>
        <w:t xml:space="preserve">—The Company offers deferred compensation plans for eligible employees, which allow participants to defer payment for a portion of their compensation. Assets were the same as liabilities associated with the plans at approximately </w:t>
      </w:r>
      <w:r>
        <w:rPr>
          <w:rFonts w:ascii="Times New Roman" w:eastAsia="宋体" w:hAnsi="Times New Roman"/>
          <w:color w:val="000000"/>
          <w:sz w:val="20"/>
          <w:szCs w:val="20"/>
        </w:rPr>
        <w:t>$308 million and $241 million as of January 29, 2021 and January 31, 2020, respectively, and are included in other assets and other liabilities on the Consolidated Statements of Financial Position. The net impact to the Consolidated Statements of Income (L</w:t>
      </w:r>
      <w:r>
        <w:rPr>
          <w:rFonts w:ascii="Times New Roman" w:eastAsia="宋体" w:hAnsi="Times New Roman"/>
          <w:color w:val="000000"/>
          <w:sz w:val="20"/>
          <w:szCs w:val="20"/>
        </w:rPr>
        <w:t>oss) is not material since changes in the fair value of the assets substantially offset changes in the fair value of the liabilities. As such, assets and liabilities associated with these plans have not been included in the recurring fair value table above</w:t>
      </w:r>
      <w:r>
        <w:rPr>
          <w:rFonts w:ascii="Times New Roman" w:eastAsia="宋体" w:hAnsi="Times New Roman"/>
          <w:color w:val="000000"/>
          <w:sz w:val="20"/>
          <w:szCs w:val="20"/>
        </w:rPr>
        <w:t xml:space="preserve">. </w:t>
      </w:r>
    </w:p>
    <w:p w14:paraId="7DCFF4FC" w14:textId="77777777" w:rsidR="00C1563E" w:rsidRDefault="00C1563E"/>
    <w:p w14:paraId="7DCFF4FD" w14:textId="77777777" w:rsidR="00C1563E" w:rsidRDefault="00C1563E">
      <w:pPr>
        <w:jc w:val="center"/>
      </w:pPr>
    </w:p>
    <w:p w14:paraId="7DCFF4FE" w14:textId="77777777" w:rsidR="00C1563E" w:rsidRDefault="000B648B">
      <w:pPr>
        <w:jc w:val="center"/>
      </w:pPr>
      <w:r>
        <w:rPr>
          <w:rFonts w:ascii="Times New Roman" w:eastAsia="宋体" w:hAnsi="Times New Roman"/>
          <w:color w:val="000000"/>
          <w:sz w:val="20"/>
          <w:szCs w:val="20"/>
        </w:rPr>
        <w:t>95</w:t>
      </w:r>
    </w:p>
    <w:p w14:paraId="7DCFF4FF" w14:textId="77777777" w:rsidR="00C1563E" w:rsidRDefault="00C1563E">
      <w:pPr>
        <w:jc w:val="center"/>
      </w:pPr>
    </w:p>
    <w:p w14:paraId="7DCFF500" w14:textId="77777777" w:rsidR="00C1563E" w:rsidRDefault="000B648B">
      <w:r>
        <w:pict w14:anchorId="7DD025C9">
          <v:rect id="_x0000_i1119" style="width:415.3pt;height:1.5pt" o:hralign="center" o:hrstd="t" o:hr="t" fillcolor="#a0a0a0" stroked="f"/>
        </w:pict>
      </w:r>
    </w:p>
    <w:p w14:paraId="7DCFF501" w14:textId="77777777" w:rsidR="00C1563E" w:rsidRDefault="000B648B">
      <w:hyperlink r:id="rId278" w:anchor="i418e32e4a35149ffbf7d3a25d66881b8_10" w:history="1">
        <w:r>
          <w:rPr>
            <w:rStyle w:val="a5"/>
            <w:rFonts w:ascii="Times New Roman" w:eastAsia="宋体" w:hAnsi="Times New Roman"/>
            <w:sz w:val="20"/>
            <w:szCs w:val="20"/>
          </w:rPr>
          <w:t>Table of Contents</w:t>
        </w:r>
      </w:hyperlink>
    </w:p>
    <w:p w14:paraId="7DCFF502" w14:textId="77777777" w:rsidR="00C1563E" w:rsidRDefault="000B648B">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w:t>
      </w:r>
      <w:r>
        <w:rPr>
          <w:rFonts w:ascii="Times New Roman" w:eastAsia="宋体" w:hAnsi="Times New Roman"/>
          <w:color w:val="000000"/>
          <w:sz w:val="20"/>
          <w:szCs w:val="20"/>
        </w:rPr>
        <w:t>ts are measured at fair value on a nonrecurring basis and therefore are not included in the recurring fair value table above. These assets consist primarily of non-financial assets such as goodwill and intangible assets. See Note 8 of the Notes to the Cons</w:t>
      </w:r>
      <w:r>
        <w:rPr>
          <w:rFonts w:ascii="Times New Roman" w:eastAsia="宋体" w:hAnsi="Times New Roman"/>
          <w:color w:val="000000"/>
          <w:sz w:val="20"/>
          <w:szCs w:val="20"/>
        </w:rPr>
        <w:t>olidated Financial Statements for additional information about goodwill and intangible assets.</w:t>
      </w:r>
    </w:p>
    <w:p w14:paraId="7DCFF503" w14:textId="77777777" w:rsidR="00C1563E" w:rsidRDefault="00C1563E"/>
    <w:p w14:paraId="7DCFF504" w14:textId="77777777" w:rsidR="00C1563E" w:rsidRDefault="000B648B">
      <w:r>
        <w:rPr>
          <w:rFonts w:ascii="Times New Roman" w:eastAsia="宋体" w:hAnsi="Times New Roman"/>
          <w:color w:val="000000"/>
          <w:sz w:val="20"/>
          <w:szCs w:val="20"/>
        </w:rPr>
        <w:t>As of January 29, 2021 and January 31, 2020, the Company held private strategic investments of $990 million and $852 million, respectively. As these investments</w:t>
      </w:r>
      <w:r>
        <w:rPr>
          <w:rFonts w:ascii="Times New Roman" w:eastAsia="宋体" w:hAnsi="Times New Roman"/>
          <w:color w:val="000000"/>
          <w:sz w:val="20"/>
          <w:szCs w:val="20"/>
        </w:rPr>
        <w:t xml:space="preserve"> represent early-stage companies without readily determinable fair values, they are not included in the recurring fair value table above.</w:t>
      </w:r>
    </w:p>
    <w:p w14:paraId="7DCFF505" w14:textId="77777777" w:rsidR="00C1563E" w:rsidRDefault="00C1563E"/>
    <w:p w14:paraId="7DCFF506" w14:textId="77777777" w:rsidR="00C1563E" w:rsidRDefault="000B648B">
      <w:r>
        <w:rPr>
          <w:rFonts w:ascii="Times New Roman" w:eastAsia="宋体" w:hAnsi="Times New Roman"/>
          <w:color w:val="000000"/>
          <w:sz w:val="20"/>
          <w:szCs w:val="20"/>
        </w:rPr>
        <w:t>The Company has elected to apply the measurement alternative for these investments. Under the alternative, the Compan</w:t>
      </w:r>
      <w:r>
        <w:rPr>
          <w:rFonts w:ascii="Times New Roman" w:eastAsia="宋体" w:hAnsi="Times New Roman"/>
          <w:color w:val="000000"/>
          <w:sz w:val="20"/>
          <w:szCs w:val="20"/>
        </w:rPr>
        <w:t>y measures investments without readily determinable fair values at cost, less impairment, adjusted by observable price changes. The Company must make a separate election to use the alternative for each eligible investment and is required to reassess at eac</w:t>
      </w:r>
      <w:r>
        <w:rPr>
          <w:rFonts w:ascii="Times New Roman" w:eastAsia="宋体" w:hAnsi="Times New Roman"/>
          <w:color w:val="000000"/>
          <w:sz w:val="20"/>
          <w:szCs w:val="20"/>
        </w:rPr>
        <w:t>h reporting period whether an investment qualifies for the alternative. In evaluating these investments for impairment or observable price changes, the Company uses inputs including pre- and post-money valuations of recent financing events and the impact o</w:t>
      </w:r>
      <w:r>
        <w:rPr>
          <w:rFonts w:ascii="Times New Roman" w:eastAsia="宋体" w:hAnsi="Times New Roman"/>
          <w:color w:val="000000"/>
          <w:sz w:val="20"/>
          <w:szCs w:val="20"/>
        </w:rPr>
        <w:t>f those events on its fully diluted ownership percentages, as well as other available information regarding the issuer’s historical and forecasted performance.</w:t>
      </w:r>
    </w:p>
    <w:p w14:paraId="7DCFF507" w14:textId="77777777" w:rsidR="00C1563E" w:rsidRDefault="00C1563E"/>
    <w:p w14:paraId="7DCFF508" w14:textId="77777777" w:rsidR="00C1563E" w:rsidRDefault="000B648B">
      <w:pPr>
        <w:spacing w:after="120"/>
      </w:pPr>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xml:space="preserve">— The following table presents the </w:t>
      </w:r>
      <w:r>
        <w:rPr>
          <w:rFonts w:ascii="Times New Roman" w:eastAsia="宋体" w:hAnsi="Times New Roman"/>
          <w:color w:val="000000"/>
          <w:sz w:val="20"/>
          <w:szCs w:val="20"/>
        </w:rPr>
        <w:t>carrying value and estimated fair value of the Company’s outstanding debt as described in Note 6 of the Notes to the Consolidated Financial Statements, including the current portion, as of the dates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316"/>
        <w:gridCol w:w="37"/>
        <w:gridCol w:w="121"/>
        <w:gridCol w:w="1028"/>
        <w:gridCol w:w="36"/>
        <w:gridCol w:w="36"/>
        <w:gridCol w:w="36"/>
        <w:gridCol w:w="36"/>
        <w:gridCol w:w="120"/>
        <w:gridCol w:w="984"/>
        <w:gridCol w:w="36"/>
        <w:gridCol w:w="36"/>
        <w:gridCol w:w="36"/>
        <w:gridCol w:w="36"/>
        <w:gridCol w:w="121"/>
        <w:gridCol w:w="985"/>
        <w:gridCol w:w="36"/>
        <w:gridCol w:w="36"/>
        <w:gridCol w:w="36"/>
        <w:gridCol w:w="36"/>
        <w:gridCol w:w="120"/>
        <w:gridCol w:w="986"/>
        <w:gridCol w:w="36"/>
      </w:tblGrid>
      <w:tr w:rsidR="00C1563E" w14:paraId="7DCFF521" w14:textId="77777777">
        <w:trPr>
          <w:jc w:val="center"/>
        </w:trPr>
        <w:tc>
          <w:tcPr>
            <w:tcW w:w="50" w:type="pct"/>
            <w:shd w:val="clear" w:color="auto" w:fill="auto"/>
          </w:tcPr>
          <w:p w14:paraId="7DCFF509" w14:textId="77777777" w:rsidR="00C1563E" w:rsidRDefault="00C1563E">
            <w:pPr>
              <w:rPr>
                <w:rFonts w:ascii="宋体"/>
              </w:rPr>
            </w:pPr>
          </w:p>
        </w:tc>
        <w:tc>
          <w:tcPr>
            <w:tcW w:w="2024" w:type="pct"/>
            <w:shd w:val="clear" w:color="auto" w:fill="auto"/>
          </w:tcPr>
          <w:p w14:paraId="7DCFF50A" w14:textId="77777777" w:rsidR="00C1563E" w:rsidRDefault="00C1563E">
            <w:pPr>
              <w:rPr>
                <w:rFonts w:ascii="宋体"/>
              </w:rPr>
            </w:pPr>
          </w:p>
        </w:tc>
        <w:tc>
          <w:tcPr>
            <w:tcW w:w="5" w:type="pct"/>
            <w:shd w:val="clear" w:color="auto" w:fill="auto"/>
          </w:tcPr>
          <w:p w14:paraId="7DCFF50B" w14:textId="77777777" w:rsidR="00C1563E" w:rsidRDefault="00C1563E">
            <w:pPr>
              <w:rPr>
                <w:rFonts w:ascii="宋体"/>
              </w:rPr>
            </w:pPr>
          </w:p>
        </w:tc>
        <w:tc>
          <w:tcPr>
            <w:tcW w:w="50" w:type="pct"/>
            <w:shd w:val="clear" w:color="auto" w:fill="auto"/>
          </w:tcPr>
          <w:p w14:paraId="7DCFF50C" w14:textId="77777777" w:rsidR="00C1563E" w:rsidRDefault="00C1563E">
            <w:pPr>
              <w:rPr>
                <w:rFonts w:ascii="宋体"/>
              </w:rPr>
            </w:pPr>
          </w:p>
        </w:tc>
        <w:tc>
          <w:tcPr>
            <w:tcW w:w="647" w:type="pct"/>
            <w:shd w:val="clear" w:color="auto" w:fill="auto"/>
          </w:tcPr>
          <w:p w14:paraId="7DCFF50D" w14:textId="77777777" w:rsidR="00C1563E" w:rsidRDefault="00C1563E">
            <w:pPr>
              <w:rPr>
                <w:rFonts w:ascii="宋体"/>
              </w:rPr>
            </w:pPr>
          </w:p>
        </w:tc>
        <w:tc>
          <w:tcPr>
            <w:tcW w:w="5" w:type="pct"/>
            <w:shd w:val="clear" w:color="auto" w:fill="auto"/>
          </w:tcPr>
          <w:p w14:paraId="7DCFF50E" w14:textId="77777777" w:rsidR="00C1563E" w:rsidRDefault="00C1563E">
            <w:pPr>
              <w:rPr>
                <w:rFonts w:ascii="宋体"/>
              </w:rPr>
            </w:pPr>
          </w:p>
        </w:tc>
        <w:tc>
          <w:tcPr>
            <w:tcW w:w="5" w:type="pct"/>
            <w:shd w:val="clear" w:color="auto" w:fill="auto"/>
          </w:tcPr>
          <w:p w14:paraId="7DCFF50F" w14:textId="77777777" w:rsidR="00C1563E" w:rsidRDefault="00C1563E">
            <w:pPr>
              <w:rPr>
                <w:rFonts w:ascii="宋体"/>
              </w:rPr>
            </w:pPr>
          </w:p>
        </w:tc>
        <w:tc>
          <w:tcPr>
            <w:tcW w:w="26" w:type="pct"/>
            <w:shd w:val="clear" w:color="auto" w:fill="auto"/>
          </w:tcPr>
          <w:p w14:paraId="7DCFF510" w14:textId="77777777" w:rsidR="00C1563E" w:rsidRDefault="00C1563E">
            <w:pPr>
              <w:rPr>
                <w:rFonts w:ascii="宋体"/>
              </w:rPr>
            </w:pPr>
          </w:p>
        </w:tc>
        <w:tc>
          <w:tcPr>
            <w:tcW w:w="5" w:type="pct"/>
            <w:shd w:val="clear" w:color="auto" w:fill="auto"/>
          </w:tcPr>
          <w:p w14:paraId="7DCFF511" w14:textId="77777777" w:rsidR="00C1563E" w:rsidRDefault="00C1563E">
            <w:pPr>
              <w:rPr>
                <w:rFonts w:ascii="宋体"/>
              </w:rPr>
            </w:pPr>
          </w:p>
        </w:tc>
        <w:tc>
          <w:tcPr>
            <w:tcW w:w="50" w:type="pct"/>
            <w:shd w:val="clear" w:color="auto" w:fill="auto"/>
          </w:tcPr>
          <w:p w14:paraId="7DCFF512" w14:textId="77777777" w:rsidR="00C1563E" w:rsidRDefault="00C1563E">
            <w:pPr>
              <w:rPr>
                <w:rFonts w:ascii="宋体"/>
              </w:rPr>
            </w:pPr>
          </w:p>
        </w:tc>
        <w:tc>
          <w:tcPr>
            <w:tcW w:w="647" w:type="pct"/>
            <w:shd w:val="clear" w:color="auto" w:fill="auto"/>
          </w:tcPr>
          <w:p w14:paraId="7DCFF513" w14:textId="77777777" w:rsidR="00C1563E" w:rsidRDefault="00C1563E">
            <w:pPr>
              <w:rPr>
                <w:rFonts w:ascii="宋体"/>
              </w:rPr>
            </w:pPr>
          </w:p>
        </w:tc>
        <w:tc>
          <w:tcPr>
            <w:tcW w:w="5" w:type="pct"/>
            <w:shd w:val="clear" w:color="auto" w:fill="auto"/>
          </w:tcPr>
          <w:p w14:paraId="7DCFF514" w14:textId="77777777" w:rsidR="00C1563E" w:rsidRDefault="00C1563E">
            <w:pPr>
              <w:rPr>
                <w:rFonts w:ascii="宋体"/>
              </w:rPr>
            </w:pPr>
          </w:p>
        </w:tc>
        <w:tc>
          <w:tcPr>
            <w:tcW w:w="5" w:type="pct"/>
            <w:shd w:val="clear" w:color="auto" w:fill="auto"/>
          </w:tcPr>
          <w:p w14:paraId="7DCFF515" w14:textId="77777777" w:rsidR="00C1563E" w:rsidRDefault="00C1563E">
            <w:pPr>
              <w:rPr>
                <w:rFonts w:ascii="宋体"/>
              </w:rPr>
            </w:pPr>
          </w:p>
        </w:tc>
        <w:tc>
          <w:tcPr>
            <w:tcW w:w="26" w:type="pct"/>
            <w:shd w:val="clear" w:color="auto" w:fill="auto"/>
          </w:tcPr>
          <w:p w14:paraId="7DCFF516" w14:textId="77777777" w:rsidR="00C1563E" w:rsidRDefault="00C1563E">
            <w:pPr>
              <w:rPr>
                <w:rFonts w:ascii="宋体"/>
              </w:rPr>
            </w:pPr>
          </w:p>
        </w:tc>
        <w:tc>
          <w:tcPr>
            <w:tcW w:w="5" w:type="pct"/>
            <w:shd w:val="clear" w:color="auto" w:fill="auto"/>
          </w:tcPr>
          <w:p w14:paraId="7DCFF517" w14:textId="77777777" w:rsidR="00C1563E" w:rsidRDefault="00C1563E">
            <w:pPr>
              <w:rPr>
                <w:rFonts w:ascii="宋体"/>
              </w:rPr>
            </w:pPr>
          </w:p>
        </w:tc>
        <w:tc>
          <w:tcPr>
            <w:tcW w:w="50" w:type="pct"/>
            <w:shd w:val="clear" w:color="auto" w:fill="auto"/>
          </w:tcPr>
          <w:p w14:paraId="7DCFF518" w14:textId="77777777" w:rsidR="00C1563E" w:rsidRDefault="00C1563E">
            <w:pPr>
              <w:rPr>
                <w:rFonts w:ascii="宋体"/>
              </w:rPr>
            </w:pPr>
          </w:p>
        </w:tc>
        <w:tc>
          <w:tcPr>
            <w:tcW w:w="647" w:type="pct"/>
            <w:shd w:val="clear" w:color="auto" w:fill="auto"/>
          </w:tcPr>
          <w:p w14:paraId="7DCFF519" w14:textId="77777777" w:rsidR="00C1563E" w:rsidRDefault="00C1563E">
            <w:pPr>
              <w:rPr>
                <w:rFonts w:ascii="宋体"/>
              </w:rPr>
            </w:pPr>
          </w:p>
        </w:tc>
        <w:tc>
          <w:tcPr>
            <w:tcW w:w="5" w:type="pct"/>
            <w:shd w:val="clear" w:color="auto" w:fill="auto"/>
          </w:tcPr>
          <w:p w14:paraId="7DCFF51A" w14:textId="77777777" w:rsidR="00C1563E" w:rsidRDefault="00C1563E">
            <w:pPr>
              <w:rPr>
                <w:rFonts w:ascii="宋体"/>
              </w:rPr>
            </w:pPr>
          </w:p>
        </w:tc>
        <w:tc>
          <w:tcPr>
            <w:tcW w:w="5" w:type="pct"/>
            <w:shd w:val="clear" w:color="auto" w:fill="auto"/>
          </w:tcPr>
          <w:p w14:paraId="7DCFF51B" w14:textId="77777777" w:rsidR="00C1563E" w:rsidRDefault="00C1563E">
            <w:pPr>
              <w:rPr>
                <w:rFonts w:ascii="宋体"/>
              </w:rPr>
            </w:pPr>
          </w:p>
        </w:tc>
        <w:tc>
          <w:tcPr>
            <w:tcW w:w="26" w:type="pct"/>
            <w:shd w:val="clear" w:color="auto" w:fill="auto"/>
          </w:tcPr>
          <w:p w14:paraId="7DCFF51C" w14:textId="77777777" w:rsidR="00C1563E" w:rsidRDefault="00C1563E">
            <w:pPr>
              <w:rPr>
                <w:rFonts w:ascii="宋体"/>
              </w:rPr>
            </w:pPr>
          </w:p>
        </w:tc>
        <w:tc>
          <w:tcPr>
            <w:tcW w:w="5" w:type="pct"/>
            <w:shd w:val="clear" w:color="auto" w:fill="auto"/>
          </w:tcPr>
          <w:p w14:paraId="7DCFF51D" w14:textId="77777777" w:rsidR="00C1563E" w:rsidRDefault="00C1563E">
            <w:pPr>
              <w:rPr>
                <w:rFonts w:ascii="宋体"/>
              </w:rPr>
            </w:pPr>
          </w:p>
        </w:tc>
        <w:tc>
          <w:tcPr>
            <w:tcW w:w="50" w:type="pct"/>
            <w:shd w:val="clear" w:color="auto" w:fill="auto"/>
          </w:tcPr>
          <w:p w14:paraId="7DCFF51E" w14:textId="77777777" w:rsidR="00C1563E" w:rsidRDefault="00C1563E">
            <w:pPr>
              <w:rPr>
                <w:rFonts w:ascii="宋体"/>
              </w:rPr>
            </w:pPr>
          </w:p>
        </w:tc>
        <w:tc>
          <w:tcPr>
            <w:tcW w:w="647" w:type="pct"/>
            <w:shd w:val="clear" w:color="auto" w:fill="auto"/>
          </w:tcPr>
          <w:p w14:paraId="7DCFF51F" w14:textId="77777777" w:rsidR="00C1563E" w:rsidRDefault="00C1563E">
            <w:pPr>
              <w:rPr>
                <w:rFonts w:ascii="宋体"/>
              </w:rPr>
            </w:pPr>
          </w:p>
        </w:tc>
        <w:tc>
          <w:tcPr>
            <w:tcW w:w="5" w:type="pct"/>
            <w:shd w:val="clear" w:color="auto" w:fill="auto"/>
          </w:tcPr>
          <w:p w14:paraId="7DCFF520" w14:textId="77777777" w:rsidR="00C1563E" w:rsidRDefault="00C1563E">
            <w:pPr>
              <w:rPr>
                <w:rFonts w:ascii="宋体"/>
              </w:rPr>
            </w:pPr>
          </w:p>
        </w:tc>
      </w:tr>
      <w:tr w:rsidR="00C1563E" w14:paraId="7DCFF526" w14:textId="77777777">
        <w:trPr>
          <w:jc w:val="center"/>
        </w:trPr>
        <w:tc>
          <w:tcPr>
            <w:tcW w:w="0" w:type="auto"/>
            <w:gridSpan w:val="3"/>
            <w:shd w:val="clear" w:color="auto" w:fill="auto"/>
            <w:tcMar>
              <w:top w:w="0" w:type="dxa"/>
              <w:left w:w="20" w:type="dxa"/>
              <w:bottom w:w="0" w:type="dxa"/>
              <w:right w:w="20" w:type="dxa"/>
            </w:tcMar>
          </w:tcPr>
          <w:p w14:paraId="7DCFF522"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CFF523"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524"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CFF525"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52F" w14:textId="77777777">
        <w:trPr>
          <w:jc w:val="center"/>
        </w:trPr>
        <w:tc>
          <w:tcPr>
            <w:tcW w:w="0" w:type="auto"/>
            <w:gridSpan w:val="3"/>
            <w:shd w:val="clear" w:color="auto" w:fill="auto"/>
            <w:tcMar>
              <w:top w:w="0" w:type="dxa"/>
              <w:left w:w="20" w:type="dxa"/>
              <w:bottom w:w="0" w:type="dxa"/>
              <w:right w:w="20" w:type="dxa"/>
            </w:tcMar>
          </w:tcPr>
          <w:p w14:paraId="7DCFF52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528" w14:textId="77777777" w:rsidR="00C1563E" w:rsidRDefault="000B648B">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DCFF52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2A" w14:textId="77777777" w:rsidR="00C1563E" w:rsidRDefault="000B648B">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tcPr>
          <w:p w14:paraId="7DCFF52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2C" w14:textId="77777777" w:rsidR="00C1563E" w:rsidRDefault="000B648B">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7DCFF52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2E" w14:textId="77777777" w:rsidR="00C1563E" w:rsidRDefault="000B648B">
            <w:pPr>
              <w:jc w:val="center"/>
              <w:textAlignment w:val="bottom"/>
            </w:pPr>
            <w:r>
              <w:rPr>
                <w:rFonts w:ascii="Times New Roman" w:eastAsia="宋体" w:hAnsi="Times New Roman"/>
                <w:b/>
                <w:bCs/>
                <w:color w:val="000000"/>
                <w:sz w:val="20"/>
                <w:szCs w:val="20"/>
              </w:rPr>
              <w:t>Fair Value</w:t>
            </w:r>
          </w:p>
        </w:tc>
      </w:tr>
      <w:tr w:rsidR="00C1563E" w14:paraId="7DCFF532" w14:textId="77777777">
        <w:trPr>
          <w:jc w:val="center"/>
        </w:trPr>
        <w:tc>
          <w:tcPr>
            <w:tcW w:w="0" w:type="auto"/>
            <w:gridSpan w:val="3"/>
            <w:shd w:val="clear" w:color="auto" w:fill="auto"/>
            <w:tcMar>
              <w:top w:w="0" w:type="dxa"/>
              <w:left w:w="20" w:type="dxa"/>
              <w:bottom w:w="0" w:type="dxa"/>
              <w:right w:w="20" w:type="dxa"/>
            </w:tcMar>
          </w:tcPr>
          <w:p w14:paraId="7DCFF530" w14:textId="77777777" w:rsidR="00C1563E" w:rsidRDefault="00C1563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DCFF531" w14:textId="77777777" w:rsidR="00C1563E" w:rsidRDefault="000B648B">
            <w:pPr>
              <w:jc w:val="center"/>
              <w:textAlignment w:val="bottom"/>
            </w:pPr>
            <w:r>
              <w:rPr>
                <w:rFonts w:ascii="Times New Roman" w:eastAsia="宋体" w:hAnsi="Times New Roman"/>
                <w:color w:val="000000"/>
                <w:sz w:val="20"/>
                <w:szCs w:val="20"/>
              </w:rPr>
              <w:t>(in billions)</w:t>
            </w:r>
          </w:p>
        </w:tc>
      </w:tr>
      <w:tr w:rsidR="00C1563E" w14:paraId="7DCFF543" w14:textId="77777777">
        <w:trPr>
          <w:jc w:val="center"/>
        </w:trPr>
        <w:tc>
          <w:tcPr>
            <w:tcW w:w="0" w:type="auto"/>
            <w:gridSpan w:val="3"/>
            <w:shd w:val="clear" w:color="auto" w:fill="CCEEFF"/>
            <w:tcMar>
              <w:top w:w="40" w:type="dxa"/>
              <w:left w:w="20" w:type="dxa"/>
              <w:bottom w:w="40" w:type="dxa"/>
              <w:right w:w="20" w:type="dxa"/>
            </w:tcMar>
            <w:vAlign w:val="bottom"/>
          </w:tcPr>
          <w:p w14:paraId="7DCFF533" w14:textId="77777777" w:rsidR="00C1563E" w:rsidRDefault="000B648B">
            <w:pPr>
              <w:textAlignment w:val="bottom"/>
            </w:pPr>
            <w:r>
              <w:rPr>
                <w:rFonts w:ascii="Times New Roman" w:eastAsia="宋体" w:hAnsi="Times New Roman"/>
                <w:color w:val="000000"/>
                <w:sz w:val="20"/>
                <w:szCs w:val="20"/>
              </w:rPr>
              <w:t>Senior Secured Credit Facilities</w:t>
            </w:r>
          </w:p>
        </w:tc>
        <w:tc>
          <w:tcPr>
            <w:tcW w:w="0" w:type="auto"/>
            <w:shd w:val="clear" w:color="auto" w:fill="CCEEFF"/>
            <w:tcMar>
              <w:top w:w="40" w:type="dxa"/>
              <w:left w:w="20" w:type="dxa"/>
              <w:bottom w:w="40" w:type="dxa"/>
              <w:right w:w="0" w:type="dxa"/>
            </w:tcMar>
            <w:vAlign w:val="bottom"/>
          </w:tcPr>
          <w:p w14:paraId="7DCFF53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35" w14:textId="77777777" w:rsidR="00C1563E" w:rsidRDefault="000B648B">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7DCFF5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3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3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39" w14:textId="77777777" w:rsidR="00C1563E" w:rsidRDefault="000B648B">
            <w:pPr>
              <w:jc w:val="right"/>
              <w:textAlignment w:val="bottom"/>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bottom"/>
          </w:tcPr>
          <w:p w14:paraId="7DCFF53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3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3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3D" w14:textId="77777777" w:rsidR="00C1563E" w:rsidRDefault="000B648B">
            <w:pPr>
              <w:jc w:val="right"/>
              <w:textAlignment w:val="bottom"/>
            </w:pPr>
            <w:r>
              <w:rPr>
                <w:rFonts w:ascii="Times New Roman" w:eastAsia="宋体" w:hAnsi="Times New Roman"/>
                <w:color w:val="000000"/>
                <w:sz w:val="20"/>
                <w:szCs w:val="20"/>
              </w:rPr>
              <w:t>8.8 </w:t>
            </w:r>
          </w:p>
        </w:tc>
        <w:tc>
          <w:tcPr>
            <w:tcW w:w="0" w:type="auto"/>
            <w:shd w:val="clear" w:color="auto" w:fill="CCEEFF"/>
            <w:tcMar>
              <w:top w:w="40" w:type="dxa"/>
              <w:left w:w="0" w:type="dxa"/>
              <w:bottom w:w="40" w:type="dxa"/>
              <w:right w:w="20" w:type="dxa"/>
            </w:tcMar>
            <w:vAlign w:val="bottom"/>
          </w:tcPr>
          <w:p w14:paraId="7DCFF53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3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4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41" w14:textId="77777777" w:rsidR="00C1563E" w:rsidRDefault="000B648B">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7DCFF542" w14:textId="77777777" w:rsidR="00C1563E" w:rsidRDefault="00C1563E">
            <w:pPr>
              <w:jc w:val="right"/>
              <w:rPr>
                <w:rFonts w:ascii="宋体"/>
              </w:rPr>
            </w:pPr>
          </w:p>
        </w:tc>
      </w:tr>
      <w:tr w:rsidR="00C1563E" w14:paraId="7DCFF554" w14:textId="77777777">
        <w:trPr>
          <w:jc w:val="center"/>
        </w:trPr>
        <w:tc>
          <w:tcPr>
            <w:tcW w:w="0" w:type="auto"/>
            <w:gridSpan w:val="3"/>
            <w:shd w:val="clear" w:color="auto" w:fill="FFFFFF"/>
            <w:tcMar>
              <w:top w:w="40" w:type="dxa"/>
              <w:left w:w="20" w:type="dxa"/>
              <w:bottom w:w="40" w:type="dxa"/>
              <w:right w:w="20" w:type="dxa"/>
            </w:tcMar>
            <w:vAlign w:val="bottom"/>
          </w:tcPr>
          <w:p w14:paraId="7DCFF544" w14:textId="77777777" w:rsidR="00C1563E" w:rsidRDefault="000B648B">
            <w:pPr>
              <w:textAlignment w:val="bottom"/>
            </w:pPr>
            <w:r>
              <w:rPr>
                <w:rFonts w:ascii="Times New Roman" w:eastAsia="宋体" w:hAnsi="Times New Roman"/>
                <w:color w:val="000000"/>
                <w:sz w:val="20"/>
                <w:szCs w:val="20"/>
              </w:rPr>
              <w:t>First Lien Notes</w:t>
            </w:r>
          </w:p>
        </w:tc>
        <w:tc>
          <w:tcPr>
            <w:tcW w:w="0" w:type="auto"/>
            <w:shd w:val="clear" w:color="auto" w:fill="FFFFFF"/>
            <w:tcMar>
              <w:top w:w="40" w:type="dxa"/>
              <w:left w:w="20" w:type="dxa"/>
              <w:bottom w:w="40" w:type="dxa"/>
              <w:right w:w="0" w:type="dxa"/>
            </w:tcMar>
            <w:vAlign w:val="bottom"/>
          </w:tcPr>
          <w:p w14:paraId="7DCFF54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46" w14:textId="77777777" w:rsidR="00C1563E" w:rsidRDefault="000B648B">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7DCFF54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4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4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4A" w14:textId="77777777" w:rsidR="00C1563E" w:rsidRDefault="000B648B">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7DCFF5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4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4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4E" w14:textId="77777777" w:rsidR="00C1563E" w:rsidRDefault="000B648B">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7DCFF54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5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5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52" w14:textId="77777777" w:rsidR="00C1563E" w:rsidRDefault="000B648B">
            <w:pPr>
              <w:jc w:val="right"/>
              <w:textAlignment w:val="bottom"/>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bottom"/>
          </w:tcPr>
          <w:p w14:paraId="7DCFF553" w14:textId="77777777" w:rsidR="00C1563E" w:rsidRDefault="00C1563E">
            <w:pPr>
              <w:jc w:val="right"/>
              <w:rPr>
                <w:rFonts w:ascii="宋体"/>
              </w:rPr>
            </w:pPr>
          </w:p>
        </w:tc>
      </w:tr>
      <w:tr w:rsidR="00C1563E" w14:paraId="7DCFF565" w14:textId="77777777">
        <w:trPr>
          <w:jc w:val="center"/>
        </w:trPr>
        <w:tc>
          <w:tcPr>
            <w:tcW w:w="0" w:type="auto"/>
            <w:gridSpan w:val="3"/>
            <w:shd w:val="clear" w:color="auto" w:fill="CCEEFF"/>
            <w:tcMar>
              <w:top w:w="40" w:type="dxa"/>
              <w:left w:w="20" w:type="dxa"/>
              <w:bottom w:w="40" w:type="dxa"/>
              <w:right w:w="20" w:type="dxa"/>
            </w:tcMar>
            <w:vAlign w:val="bottom"/>
          </w:tcPr>
          <w:p w14:paraId="7DCFF555" w14:textId="77777777" w:rsidR="00C1563E" w:rsidRDefault="000B648B">
            <w:pPr>
              <w:textAlignment w:val="bottom"/>
            </w:pPr>
            <w:r>
              <w:rPr>
                <w:rFonts w:ascii="Times New Roman" w:eastAsia="宋体" w:hAnsi="Times New Roman"/>
                <w:color w:val="000000"/>
                <w:sz w:val="20"/>
                <w:szCs w:val="20"/>
              </w:rPr>
              <w:t>Unsecured Notes and Debentures</w:t>
            </w:r>
          </w:p>
        </w:tc>
        <w:tc>
          <w:tcPr>
            <w:tcW w:w="0" w:type="auto"/>
            <w:shd w:val="clear" w:color="auto" w:fill="CCEEFF"/>
            <w:tcMar>
              <w:top w:w="40" w:type="dxa"/>
              <w:left w:w="20" w:type="dxa"/>
              <w:bottom w:w="40" w:type="dxa"/>
              <w:right w:w="0" w:type="dxa"/>
            </w:tcMar>
            <w:vAlign w:val="bottom"/>
          </w:tcPr>
          <w:p w14:paraId="7DCFF55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57"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DCFF55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5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5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5B"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F55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5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5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5F"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DCFF5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6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6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63"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CFF564" w14:textId="77777777" w:rsidR="00C1563E" w:rsidRDefault="00C1563E">
            <w:pPr>
              <w:jc w:val="right"/>
              <w:rPr>
                <w:rFonts w:ascii="宋体"/>
              </w:rPr>
            </w:pPr>
          </w:p>
        </w:tc>
      </w:tr>
      <w:tr w:rsidR="00C1563E" w14:paraId="7DCFF576" w14:textId="77777777">
        <w:trPr>
          <w:jc w:val="center"/>
        </w:trPr>
        <w:tc>
          <w:tcPr>
            <w:tcW w:w="0" w:type="auto"/>
            <w:gridSpan w:val="3"/>
            <w:shd w:val="clear" w:color="auto" w:fill="FFFFFF"/>
            <w:tcMar>
              <w:top w:w="40" w:type="dxa"/>
              <w:left w:w="20" w:type="dxa"/>
              <w:bottom w:w="40" w:type="dxa"/>
              <w:right w:w="20" w:type="dxa"/>
            </w:tcMar>
            <w:vAlign w:val="bottom"/>
          </w:tcPr>
          <w:p w14:paraId="7DCFF566" w14:textId="77777777" w:rsidR="00C1563E" w:rsidRDefault="000B648B">
            <w:pPr>
              <w:textAlignment w:val="bottom"/>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bottom"/>
          </w:tcPr>
          <w:p w14:paraId="7DCFF56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68" w14:textId="77777777" w:rsidR="00C1563E" w:rsidRDefault="000B648B">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7DCFF56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6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6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6C" w14:textId="77777777" w:rsidR="00C1563E" w:rsidRDefault="000B648B">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DCFF5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6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6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70" w14:textId="77777777" w:rsidR="00C1563E" w:rsidRDefault="000B648B">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DCFF57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7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7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74" w14:textId="77777777" w:rsidR="00C1563E" w:rsidRDefault="000B648B">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DCFF575" w14:textId="77777777" w:rsidR="00C1563E" w:rsidRDefault="00C1563E">
            <w:pPr>
              <w:jc w:val="right"/>
              <w:rPr>
                <w:rFonts w:ascii="宋体"/>
              </w:rPr>
            </w:pPr>
          </w:p>
        </w:tc>
      </w:tr>
      <w:tr w:rsidR="00C1563E" w14:paraId="7DCFF587" w14:textId="77777777">
        <w:trPr>
          <w:jc w:val="center"/>
        </w:trPr>
        <w:tc>
          <w:tcPr>
            <w:tcW w:w="0" w:type="auto"/>
            <w:gridSpan w:val="3"/>
            <w:shd w:val="clear" w:color="auto" w:fill="CCEEFF"/>
            <w:tcMar>
              <w:top w:w="40" w:type="dxa"/>
              <w:left w:w="20" w:type="dxa"/>
              <w:bottom w:w="40" w:type="dxa"/>
              <w:right w:w="20" w:type="dxa"/>
            </w:tcMar>
            <w:vAlign w:val="bottom"/>
          </w:tcPr>
          <w:p w14:paraId="7DCFF577" w14:textId="77777777" w:rsidR="00C1563E" w:rsidRDefault="000B648B">
            <w:pPr>
              <w:textAlignment w:val="bottom"/>
            </w:pPr>
            <w:r>
              <w:rPr>
                <w:rFonts w:ascii="Times New Roman" w:eastAsia="宋体" w:hAnsi="Times New Roman"/>
                <w:color w:val="000000"/>
                <w:sz w:val="20"/>
                <w:szCs w:val="20"/>
              </w:rPr>
              <w:t>EMC Notes</w:t>
            </w:r>
          </w:p>
        </w:tc>
        <w:tc>
          <w:tcPr>
            <w:tcW w:w="0" w:type="auto"/>
            <w:shd w:val="clear" w:color="auto" w:fill="CCEEFF"/>
            <w:tcMar>
              <w:top w:w="40" w:type="dxa"/>
              <w:left w:w="20" w:type="dxa"/>
              <w:bottom w:w="40" w:type="dxa"/>
              <w:right w:w="0" w:type="dxa"/>
            </w:tcMar>
            <w:vAlign w:val="bottom"/>
          </w:tcPr>
          <w:p w14:paraId="7DCFF57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79"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CFF5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7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7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7D"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CFF57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7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8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81"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F58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8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8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85"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DCFF586" w14:textId="77777777" w:rsidR="00C1563E" w:rsidRDefault="00C1563E">
            <w:pPr>
              <w:jc w:val="right"/>
              <w:rPr>
                <w:rFonts w:ascii="宋体"/>
              </w:rPr>
            </w:pPr>
          </w:p>
        </w:tc>
      </w:tr>
      <w:tr w:rsidR="00C1563E" w14:paraId="7DCFF598" w14:textId="77777777">
        <w:trPr>
          <w:jc w:val="center"/>
        </w:trPr>
        <w:tc>
          <w:tcPr>
            <w:tcW w:w="0" w:type="auto"/>
            <w:gridSpan w:val="3"/>
            <w:shd w:val="clear" w:color="auto" w:fill="FFFFFF"/>
            <w:tcMar>
              <w:top w:w="40" w:type="dxa"/>
              <w:left w:w="20" w:type="dxa"/>
              <w:bottom w:w="40" w:type="dxa"/>
              <w:right w:w="20" w:type="dxa"/>
            </w:tcMar>
            <w:vAlign w:val="bottom"/>
          </w:tcPr>
          <w:p w14:paraId="7DCFF588" w14:textId="77777777" w:rsidR="00C1563E" w:rsidRDefault="000B648B">
            <w:pPr>
              <w:textAlignment w:val="bottom"/>
            </w:pPr>
            <w:r>
              <w:rPr>
                <w:rFonts w:ascii="Times New Roman" w:eastAsia="宋体" w:hAnsi="Times New Roman"/>
                <w:color w:val="000000"/>
                <w:sz w:val="20"/>
                <w:szCs w:val="20"/>
              </w:rPr>
              <w:t>VMware Notes and VMware Term Loan Facility</w:t>
            </w:r>
          </w:p>
        </w:tc>
        <w:tc>
          <w:tcPr>
            <w:tcW w:w="0" w:type="auto"/>
            <w:shd w:val="clear" w:color="auto" w:fill="FFFFFF"/>
            <w:tcMar>
              <w:top w:w="40" w:type="dxa"/>
              <w:left w:w="20" w:type="dxa"/>
              <w:bottom w:w="40" w:type="dxa"/>
              <w:right w:w="0" w:type="dxa"/>
            </w:tcMar>
            <w:vAlign w:val="bottom"/>
          </w:tcPr>
          <w:p w14:paraId="7DCFF58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8A" w14:textId="77777777" w:rsidR="00C1563E" w:rsidRDefault="000B648B">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7DCFF58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8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8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8E" w14:textId="77777777" w:rsidR="00C1563E" w:rsidRDefault="000B648B">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7DCFF5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9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9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92" w14:textId="77777777" w:rsidR="00C1563E" w:rsidRDefault="000B648B">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7DCFF59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59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59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596" w14:textId="77777777" w:rsidR="00C1563E" w:rsidRDefault="000B648B">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DCFF597" w14:textId="77777777" w:rsidR="00C1563E" w:rsidRDefault="00C1563E">
            <w:pPr>
              <w:jc w:val="right"/>
              <w:rPr>
                <w:rFonts w:ascii="宋体"/>
              </w:rPr>
            </w:pPr>
          </w:p>
        </w:tc>
      </w:tr>
      <w:tr w:rsidR="00C1563E" w14:paraId="7DCFF5A9" w14:textId="77777777">
        <w:trPr>
          <w:jc w:val="center"/>
        </w:trPr>
        <w:tc>
          <w:tcPr>
            <w:tcW w:w="0" w:type="auto"/>
            <w:gridSpan w:val="3"/>
            <w:shd w:val="clear" w:color="auto" w:fill="CCEEFF"/>
            <w:tcMar>
              <w:top w:w="40" w:type="dxa"/>
              <w:left w:w="20" w:type="dxa"/>
              <w:bottom w:w="40" w:type="dxa"/>
              <w:right w:w="20" w:type="dxa"/>
            </w:tcMar>
            <w:vAlign w:val="bottom"/>
          </w:tcPr>
          <w:p w14:paraId="7DCFF599" w14:textId="77777777" w:rsidR="00C1563E" w:rsidRDefault="000B648B">
            <w:pPr>
              <w:textAlignment w:val="bottom"/>
            </w:pPr>
            <w:r>
              <w:rPr>
                <w:rFonts w:ascii="Times New Roman" w:eastAsia="宋体" w:hAnsi="Times New Roman"/>
                <w:color w:val="000000"/>
                <w:sz w:val="20"/>
                <w:szCs w:val="20"/>
              </w:rPr>
              <w:t>Margin Loan Facility</w:t>
            </w:r>
          </w:p>
        </w:tc>
        <w:tc>
          <w:tcPr>
            <w:tcW w:w="0" w:type="auto"/>
            <w:shd w:val="clear" w:color="auto" w:fill="CCEEFF"/>
            <w:tcMar>
              <w:top w:w="40" w:type="dxa"/>
              <w:left w:w="20" w:type="dxa"/>
              <w:bottom w:w="40" w:type="dxa"/>
              <w:right w:w="0" w:type="dxa"/>
            </w:tcMar>
            <w:vAlign w:val="bottom"/>
          </w:tcPr>
          <w:p w14:paraId="7DCFF59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9B" w14:textId="77777777" w:rsidR="00C1563E" w:rsidRDefault="000B648B">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7DCFF5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9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9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9F" w14:textId="77777777" w:rsidR="00C1563E" w:rsidRDefault="000B648B">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7DCFF5A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A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A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A3" w14:textId="77777777" w:rsidR="00C1563E" w:rsidRDefault="000B648B">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7DCFF5A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5A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5A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5A7" w14:textId="77777777" w:rsidR="00C1563E" w:rsidRDefault="000B648B">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7DCFF5A8" w14:textId="77777777" w:rsidR="00C1563E" w:rsidRDefault="00C1563E">
            <w:pPr>
              <w:jc w:val="right"/>
              <w:rPr>
                <w:rFonts w:ascii="宋体"/>
              </w:rPr>
            </w:pPr>
          </w:p>
        </w:tc>
      </w:tr>
    </w:tbl>
    <w:p w14:paraId="7DCFF5AA" w14:textId="77777777" w:rsidR="00C1563E" w:rsidRDefault="00C1563E">
      <w:pPr>
        <w:jc w:val="center"/>
      </w:pPr>
    </w:p>
    <w:p w14:paraId="7DCFF5AB" w14:textId="77777777" w:rsidR="00C1563E" w:rsidRDefault="000B648B">
      <w:r>
        <w:rPr>
          <w:rFonts w:ascii="Times New Roman" w:eastAsia="宋体" w:hAnsi="Times New Roman"/>
          <w:color w:val="000000"/>
          <w:sz w:val="20"/>
          <w:szCs w:val="20"/>
        </w:rPr>
        <w:t>The fair values of the outstanding debt shown in the table above, as well as the DFS debt described in Note 4 of the Notes to the Consolidated Financial Statements, were determined based on observable market prices in a less active market or based on valu</w:t>
      </w:r>
      <w:r>
        <w:rPr>
          <w:rFonts w:ascii="Times New Roman" w:eastAsia="宋体" w:hAnsi="Times New Roman"/>
          <w:color w:val="000000"/>
          <w:sz w:val="20"/>
          <w:szCs w:val="20"/>
        </w:rPr>
        <w:t>ation methodologies using observable inputs and were categorized as Level 2 in the fair value hierarchy. The carrying value of DFS debt approximates fair value.</w:t>
      </w:r>
    </w:p>
    <w:p w14:paraId="7DCFF5AC" w14:textId="77777777" w:rsidR="00C1563E" w:rsidRDefault="00C1563E"/>
    <w:p w14:paraId="7DCFF5AD" w14:textId="77777777" w:rsidR="00C1563E" w:rsidRDefault="00C1563E">
      <w:pPr>
        <w:jc w:val="center"/>
      </w:pPr>
    </w:p>
    <w:p w14:paraId="7DCFF5AE" w14:textId="77777777" w:rsidR="00C1563E" w:rsidRDefault="000B648B">
      <w:pPr>
        <w:jc w:val="center"/>
      </w:pPr>
      <w:r>
        <w:rPr>
          <w:rFonts w:ascii="Times New Roman" w:eastAsia="宋体" w:hAnsi="Times New Roman"/>
          <w:color w:val="000000"/>
          <w:sz w:val="20"/>
          <w:szCs w:val="20"/>
        </w:rPr>
        <w:t>96</w:t>
      </w:r>
    </w:p>
    <w:p w14:paraId="7DCFF5AF" w14:textId="77777777" w:rsidR="00C1563E" w:rsidRDefault="00C1563E">
      <w:pPr>
        <w:jc w:val="center"/>
      </w:pPr>
    </w:p>
    <w:p w14:paraId="7DCFF5B0" w14:textId="77777777" w:rsidR="00C1563E" w:rsidRDefault="000B648B">
      <w:r>
        <w:pict w14:anchorId="7DD025CA">
          <v:rect id="_x0000_i1120" style="width:415.3pt;height:1.5pt" o:hralign="center" o:hrstd="t" o:hr="t" fillcolor="#a0a0a0" stroked="f"/>
        </w:pict>
      </w:r>
    </w:p>
    <w:p w14:paraId="7DCFF5B1" w14:textId="77777777" w:rsidR="00C1563E" w:rsidRDefault="000B648B">
      <w:hyperlink r:id="rId279" w:anchor="i418e32e4a35149ffbf7d3a25d66881b8_10" w:history="1">
        <w:r>
          <w:rPr>
            <w:rStyle w:val="a5"/>
            <w:rFonts w:ascii="Times New Roman" w:eastAsia="宋体" w:hAnsi="Times New Roman"/>
            <w:sz w:val="20"/>
            <w:szCs w:val="20"/>
          </w:rPr>
          <w:t>Table of Contents</w:t>
        </w:r>
      </w:hyperlink>
    </w:p>
    <w:p w14:paraId="7DCFF5B2" w14:textId="77777777" w:rsidR="00C1563E" w:rsidRDefault="000B648B">
      <w:r>
        <w:rPr>
          <w:rFonts w:ascii="Times New Roman" w:eastAsia="宋体" w:hAnsi="Times New Roman"/>
          <w:b/>
          <w:bCs/>
          <w:color w:val="000000"/>
          <w:sz w:val="20"/>
          <w:szCs w:val="20"/>
        </w:rPr>
        <w:t>Investments</w:t>
      </w:r>
    </w:p>
    <w:p w14:paraId="7DCFF5B3" w14:textId="77777777" w:rsidR="00C1563E" w:rsidRDefault="00C1563E"/>
    <w:p w14:paraId="7DCFF5B4" w14:textId="77777777" w:rsidR="00C1563E" w:rsidRDefault="000B648B">
      <w:pPr>
        <w:spacing w:after="120"/>
      </w:pPr>
      <w:r>
        <w:rPr>
          <w:rFonts w:ascii="Times New Roman" w:eastAsia="宋体" w:hAnsi="Times New Roman"/>
          <w:color w:val="000000"/>
          <w:sz w:val="20"/>
          <w:szCs w:val="20"/>
        </w:rPr>
        <w:t>The following table presents the carrying value of the Company’s invest</w:t>
      </w:r>
      <w:r>
        <w:rPr>
          <w:rFonts w:ascii="Times New Roman" w:eastAsia="宋体" w:hAnsi="Times New Roman"/>
          <w:color w:val="000000"/>
          <w:sz w:val="20"/>
          <w:szCs w:val="20"/>
        </w:rPr>
        <w: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874"/>
        <w:gridCol w:w="37"/>
        <w:gridCol w:w="120"/>
        <w:gridCol w:w="350"/>
        <w:gridCol w:w="36"/>
        <w:gridCol w:w="36"/>
        <w:gridCol w:w="36"/>
        <w:gridCol w:w="36"/>
        <w:gridCol w:w="121"/>
        <w:gridCol w:w="823"/>
        <w:gridCol w:w="36"/>
        <w:gridCol w:w="36"/>
        <w:gridCol w:w="36"/>
        <w:gridCol w:w="36"/>
        <w:gridCol w:w="121"/>
        <w:gridCol w:w="823"/>
        <w:gridCol w:w="36"/>
        <w:gridCol w:w="36"/>
        <w:gridCol w:w="36"/>
        <w:gridCol w:w="36"/>
        <w:gridCol w:w="121"/>
        <w:gridCol w:w="690"/>
        <w:gridCol w:w="36"/>
        <w:gridCol w:w="36"/>
        <w:gridCol w:w="36"/>
        <w:gridCol w:w="36"/>
        <w:gridCol w:w="120"/>
        <w:gridCol w:w="350"/>
        <w:gridCol w:w="36"/>
        <w:gridCol w:w="36"/>
        <w:gridCol w:w="36"/>
        <w:gridCol w:w="36"/>
        <w:gridCol w:w="121"/>
        <w:gridCol w:w="823"/>
        <w:gridCol w:w="36"/>
        <w:gridCol w:w="36"/>
        <w:gridCol w:w="36"/>
        <w:gridCol w:w="36"/>
        <w:gridCol w:w="121"/>
        <w:gridCol w:w="823"/>
        <w:gridCol w:w="36"/>
        <w:gridCol w:w="36"/>
        <w:gridCol w:w="36"/>
        <w:gridCol w:w="36"/>
        <w:gridCol w:w="121"/>
        <w:gridCol w:w="692"/>
        <w:gridCol w:w="36"/>
      </w:tblGrid>
      <w:tr w:rsidR="00C1563E" w14:paraId="7DCFF5E5" w14:textId="77777777">
        <w:trPr>
          <w:jc w:val="center"/>
        </w:trPr>
        <w:tc>
          <w:tcPr>
            <w:tcW w:w="50" w:type="pct"/>
            <w:shd w:val="clear" w:color="auto" w:fill="auto"/>
          </w:tcPr>
          <w:p w14:paraId="7DCFF5B5" w14:textId="77777777" w:rsidR="00C1563E" w:rsidRDefault="00C1563E">
            <w:pPr>
              <w:rPr>
                <w:rFonts w:ascii="宋体"/>
              </w:rPr>
            </w:pPr>
          </w:p>
        </w:tc>
        <w:tc>
          <w:tcPr>
            <w:tcW w:w="1070" w:type="pct"/>
            <w:shd w:val="clear" w:color="auto" w:fill="auto"/>
          </w:tcPr>
          <w:p w14:paraId="7DCFF5B6" w14:textId="77777777" w:rsidR="00C1563E" w:rsidRDefault="00C1563E">
            <w:pPr>
              <w:rPr>
                <w:rFonts w:ascii="宋体"/>
              </w:rPr>
            </w:pPr>
          </w:p>
        </w:tc>
        <w:tc>
          <w:tcPr>
            <w:tcW w:w="5" w:type="pct"/>
            <w:shd w:val="clear" w:color="auto" w:fill="auto"/>
          </w:tcPr>
          <w:p w14:paraId="7DCFF5B7" w14:textId="77777777" w:rsidR="00C1563E" w:rsidRDefault="00C1563E">
            <w:pPr>
              <w:rPr>
                <w:rFonts w:ascii="宋体"/>
              </w:rPr>
            </w:pPr>
          </w:p>
        </w:tc>
        <w:tc>
          <w:tcPr>
            <w:tcW w:w="50" w:type="pct"/>
            <w:shd w:val="clear" w:color="auto" w:fill="auto"/>
          </w:tcPr>
          <w:p w14:paraId="7DCFF5B8" w14:textId="77777777" w:rsidR="00C1563E" w:rsidRDefault="00C1563E">
            <w:pPr>
              <w:rPr>
                <w:rFonts w:ascii="宋体"/>
              </w:rPr>
            </w:pPr>
          </w:p>
        </w:tc>
        <w:tc>
          <w:tcPr>
            <w:tcW w:w="361" w:type="pct"/>
            <w:shd w:val="clear" w:color="auto" w:fill="auto"/>
          </w:tcPr>
          <w:p w14:paraId="7DCFF5B9" w14:textId="77777777" w:rsidR="00C1563E" w:rsidRDefault="00C1563E">
            <w:pPr>
              <w:rPr>
                <w:rFonts w:ascii="宋体"/>
              </w:rPr>
            </w:pPr>
          </w:p>
        </w:tc>
        <w:tc>
          <w:tcPr>
            <w:tcW w:w="5" w:type="pct"/>
            <w:shd w:val="clear" w:color="auto" w:fill="auto"/>
          </w:tcPr>
          <w:p w14:paraId="7DCFF5BA" w14:textId="77777777" w:rsidR="00C1563E" w:rsidRDefault="00C1563E">
            <w:pPr>
              <w:rPr>
                <w:rFonts w:ascii="宋体"/>
              </w:rPr>
            </w:pPr>
          </w:p>
        </w:tc>
        <w:tc>
          <w:tcPr>
            <w:tcW w:w="5" w:type="pct"/>
            <w:shd w:val="clear" w:color="auto" w:fill="auto"/>
          </w:tcPr>
          <w:p w14:paraId="7DCFF5BB" w14:textId="77777777" w:rsidR="00C1563E" w:rsidRDefault="00C1563E">
            <w:pPr>
              <w:rPr>
                <w:rFonts w:ascii="宋体"/>
              </w:rPr>
            </w:pPr>
          </w:p>
        </w:tc>
        <w:tc>
          <w:tcPr>
            <w:tcW w:w="19" w:type="pct"/>
            <w:shd w:val="clear" w:color="auto" w:fill="auto"/>
          </w:tcPr>
          <w:p w14:paraId="7DCFF5BC" w14:textId="77777777" w:rsidR="00C1563E" w:rsidRDefault="00C1563E">
            <w:pPr>
              <w:rPr>
                <w:rFonts w:ascii="宋体"/>
              </w:rPr>
            </w:pPr>
          </w:p>
        </w:tc>
        <w:tc>
          <w:tcPr>
            <w:tcW w:w="5" w:type="pct"/>
            <w:shd w:val="clear" w:color="auto" w:fill="auto"/>
          </w:tcPr>
          <w:p w14:paraId="7DCFF5BD" w14:textId="77777777" w:rsidR="00C1563E" w:rsidRDefault="00C1563E">
            <w:pPr>
              <w:rPr>
                <w:rFonts w:ascii="宋体"/>
              </w:rPr>
            </w:pPr>
          </w:p>
        </w:tc>
        <w:tc>
          <w:tcPr>
            <w:tcW w:w="50" w:type="pct"/>
            <w:shd w:val="clear" w:color="auto" w:fill="auto"/>
          </w:tcPr>
          <w:p w14:paraId="7DCFF5BE" w14:textId="77777777" w:rsidR="00C1563E" w:rsidRDefault="00C1563E">
            <w:pPr>
              <w:rPr>
                <w:rFonts w:ascii="宋体"/>
              </w:rPr>
            </w:pPr>
          </w:p>
        </w:tc>
        <w:tc>
          <w:tcPr>
            <w:tcW w:w="434" w:type="pct"/>
            <w:shd w:val="clear" w:color="auto" w:fill="auto"/>
          </w:tcPr>
          <w:p w14:paraId="7DCFF5BF" w14:textId="77777777" w:rsidR="00C1563E" w:rsidRDefault="00C1563E">
            <w:pPr>
              <w:rPr>
                <w:rFonts w:ascii="宋体"/>
              </w:rPr>
            </w:pPr>
          </w:p>
        </w:tc>
        <w:tc>
          <w:tcPr>
            <w:tcW w:w="5" w:type="pct"/>
            <w:shd w:val="clear" w:color="auto" w:fill="auto"/>
          </w:tcPr>
          <w:p w14:paraId="7DCFF5C0" w14:textId="77777777" w:rsidR="00C1563E" w:rsidRDefault="00C1563E">
            <w:pPr>
              <w:rPr>
                <w:rFonts w:ascii="宋体"/>
              </w:rPr>
            </w:pPr>
          </w:p>
        </w:tc>
        <w:tc>
          <w:tcPr>
            <w:tcW w:w="5" w:type="pct"/>
            <w:shd w:val="clear" w:color="auto" w:fill="auto"/>
          </w:tcPr>
          <w:p w14:paraId="7DCFF5C1" w14:textId="77777777" w:rsidR="00C1563E" w:rsidRDefault="00C1563E">
            <w:pPr>
              <w:rPr>
                <w:rFonts w:ascii="宋体"/>
              </w:rPr>
            </w:pPr>
          </w:p>
        </w:tc>
        <w:tc>
          <w:tcPr>
            <w:tcW w:w="19" w:type="pct"/>
            <w:shd w:val="clear" w:color="auto" w:fill="auto"/>
          </w:tcPr>
          <w:p w14:paraId="7DCFF5C2" w14:textId="77777777" w:rsidR="00C1563E" w:rsidRDefault="00C1563E">
            <w:pPr>
              <w:rPr>
                <w:rFonts w:ascii="宋体"/>
              </w:rPr>
            </w:pPr>
          </w:p>
        </w:tc>
        <w:tc>
          <w:tcPr>
            <w:tcW w:w="5" w:type="pct"/>
            <w:shd w:val="clear" w:color="auto" w:fill="auto"/>
          </w:tcPr>
          <w:p w14:paraId="7DCFF5C3" w14:textId="77777777" w:rsidR="00C1563E" w:rsidRDefault="00C1563E">
            <w:pPr>
              <w:rPr>
                <w:rFonts w:ascii="宋体"/>
              </w:rPr>
            </w:pPr>
          </w:p>
        </w:tc>
        <w:tc>
          <w:tcPr>
            <w:tcW w:w="50" w:type="pct"/>
            <w:shd w:val="clear" w:color="auto" w:fill="auto"/>
          </w:tcPr>
          <w:p w14:paraId="7DCFF5C4" w14:textId="77777777" w:rsidR="00C1563E" w:rsidRDefault="00C1563E">
            <w:pPr>
              <w:rPr>
                <w:rFonts w:ascii="宋体"/>
              </w:rPr>
            </w:pPr>
          </w:p>
        </w:tc>
        <w:tc>
          <w:tcPr>
            <w:tcW w:w="434" w:type="pct"/>
            <w:shd w:val="clear" w:color="auto" w:fill="auto"/>
          </w:tcPr>
          <w:p w14:paraId="7DCFF5C5" w14:textId="77777777" w:rsidR="00C1563E" w:rsidRDefault="00C1563E">
            <w:pPr>
              <w:rPr>
                <w:rFonts w:ascii="宋体"/>
              </w:rPr>
            </w:pPr>
          </w:p>
        </w:tc>
        <w:tc>
          <w:tcPr>
            <w:tcW w:w="5" w:type="pct"/>
            <w:shd w:val="clear" w:color="auto" w:fill="auto"/>
          </w:tcPr>
          <w:p w14:paraId="7DCFF5C6" w14:textId="77777777" w:rsidR="00C1563E" w:rsidRDefault="00C1563E">
            <w:pPr>
              <w:rPr>
                <w:rFonts w:ascii="宋体"/>
              </w:rPr>
            </w:pPr>
          </w:p>
        </w:tc>
        <w:tc>
          <w:tcPr>
            <w:tcW w:w="5" w:type="pct"/>
            <w:shd w:val="clear" w:color="auto" w:fill="auto"/>
          </w:tcPr>
          <w:p w14:paraId="7DCFF5C7" w14:textId="77777777" w:rsidR="00C1563E" w:rsidRDefault="00C1563E">
            <w:pPr>
              <w:rPr>
                <w:rFonts w:ascii="宋体"/>
              </w:rPr>
            </w:pPr>
          </w:p>
        </w:tc>
        <w:tc>
          <w:tcPr>
            <w:tcW w:w="19" w:type="pct"/>
            <w:shd w:val="clear" w:color="auto" w:fill="auto"/>
          </w:tcPr>
          <w:p w14:paraId="7DCFF5C8" w14:textId="77777777" w:rsidR="00C1563E" w:rsidRDefault="00C1563E">
            <w:pPr>
              <w:rPr>
                <w:rFonts w:ascii="宋体"/>
              </w:rPr>
            </w:pPr>
          </w:p>
        </w:tc>
        <w:tc>
          <w:tcPr>
            <w:tcW w:w="5" w:type="pct"/>
            <w:shd w:val="clear" w:color="auto" w:fill="auto"/>
          </w:tcPr>
          <w:p w14:paraId="7DCFF5C9" w14:textId="77777777" w:rsidR="00C1563E" w:rsidRDefault="00C1563E">
            <w:pPr>
              <w:rPr>
                <w:rFonts w:ascii="宋体"/>
              </w:rPr>
            </w:pPr>
          </w:p>
        </w:tc>
        <w:tc>
          <w:tcPr>
            <w:tcW w:w="50" w:type="pct"/>
            <w:shd w:val="clear" w:color="auto" w:fill="auto"/>
          </w:tcPr>
          <w:p w14:paraId="7DCFF5CA" w14:textId="77777777" w:rsidR="00C1563E" w:rsidRDefault="00C1563E">
            <w:pPr>
              <w:rPr>
                <w:rFonts w:ascii="宋体"/>
              </w:rPr>
            </w:pPr>
          </w:p>
        </w:tc>
        <w:tc>
          <w:tcPr>
            <w:tcW w:w="383" w:type="pct"/>
            <w:shd w:val="clear" w:color="auto" w:fill="auto"/>
          </w:tcPr>
          <w:p w14:paraId="7DCFF5CB" w14:textId="77777777" w:rsidR="00C1563E" w:rsidRDefault="00C1563E">
            <w:pPr>
              <w:rPr>
                <w:rFonts w:ascii="宋体"/>
              </w:rPr>
            </w:pPr>
          </w:p>
        </w:tc>
        <w:tc>
          <w:tcPr>
            <w:tcW w:w="5" w:type="pct"/>
            <w:shd w:val="clear" w:color="auto" w:fill="auto"/>
          </w:tcPr>
          <w:p w14:paraId="7DCFF5CC" w14:textId="77777777" w:rsidR="00C1563E" w:rsidRDefault="00C1563E">
            <w:pPr>
              <w:rPr>
                <w:rFonts w:ascii="宋体"/>
              </w:rPr>
            </w:pPr>
          </w:p>
        </w:tc>
        <w:tc>
          <w:tcPr>
            <w:tcW w:w="5" w:type="pct"/>
            <w:shd w:val="clear" w:color="auto" w:fill="auto"/>
          </w:tcPr>
          <w:p w14:paraId="7DCFF5CD" w14:textId="77777777" w:rsidR="00C1563E" w:rsidRDefault="00C1563E">
            <w:pPr>
              <w:rPr>
                <w:rFonts w:ascii="宋体"/>
              </w:rPr>
            </w:pPr>
          </w:p>
        </w:tc>
        <w:tc>
          <w:tcPr>
            <w:tcW w:w="19" w:type="pct"/>
            <w:shd w:val="clear" w:color="auto" w:fill="auto"/>
          </w:tcPr>
          <w:p w14:paraId="7DCFF5CE" w14:textId="77777777" w:rsidR="00C1563E" w:rsidRDefault="00C1563E">
            <w:pPr>
              <w:rPr>
                <w:rFonts w:ascii="宋体"/>
              </w:rPr>
            </w:pPr>
          </w:p>
        </w:tc>
        <w:tc>
          <w:tcPr>
            <w:tcW w:w="5" w:type="pct"/>
            <w:shd w:val="clear" w:color="auto" w:fill="auto"/>
          </w:tcPr>
          <w:p w14:paraId="7DCFF5CF" w14:textId="77777777" w:rsidR="00C1563E" w:rsidRDefault="00C1563E">
            <w:pPr>
              <w:rPr>
                <w:rFonts w:ascii="宋体"/>
              </w:rPr>
            </w:pPr>
          </w:p>
        </w:tc>
        <w:tc>
          <w:tcPr>
            <w:tcW w:w="50" w:type="pct"/>
            <w:shd w:val="clear" w:color="auto" w:fill="auto"/>
          </w:tcPr>
          <w:p w14:paraId="7DCFF5D0" w14:textId="77777777" w:rsidR="00C1563E" w:rsidRDefault="00C1563E">
            <w:pPr>
              <w:rPr>
                <w:rFonts w:ascii="宋体"/>
              </w:rPr>
            </w:pPr>
          </w:p>
        </w:tc>
        <w:tc>
          <w:tcPr>
            <w:tcW w:w="361" w:type="pct"/>
            <w:shd w:val="clear" w:color="auto" w:fill="auto"/>
          </w:tcPr>
          <w:p w14:paraId="7DCFF5D1" w14:textId="77777777" w:rsidR="00C1563E" w:rsidRDefault="00C1563E">
            <w:pPr>
              <w:rPr>
                <w:rFonts w:ascii="宋体"/>
              </w:rPr>
            </w:pPr>
          </w:p>
        </w:tc>
        <w:tc>
          <w:tcPr>
            <w:tcW w:w="5" w:type="pct"/>
            <w:shd w:val="clear" w:color="auto" w:fill="auto"/>
          </w:tcPr>
          <w:p w14:paraId="7DCFF5D2" w14:textId="77777777" w:rsidR="00C1563E" w:rsidRDefault="00C1563E">
            <w:pPr>
              <w:rPr>
                <w:rFonts w:ascii="宋体"/>
              </w:rPr>
            </w:pPr>
          </w:p>
        </w:tc>
        <w:tc>
          <w:tcPr>
            <w:tcW w:w="5" w:type="pct"/>
            <w:shd w:val="clear" w:color="auto" w:fill="auto"/>
          </w:tcPr>
          <w:p w14:paraId="7DCFF5D3" w14:textId="77777777" w:rsidR="00C1563E" w:rsidRDefault="00C1563E">
            <w:pPr>
              <w:rPr>
                <w:rFonts w:ascii="宋体"/>
              </w:rPr>
            </w:pPr>
          </w:p>
        </w:tc>
        <w:tc>
          <w:tcPr>
            <w:tcW w:w="19" w:type="pct"/>
            <w:shd w:val="clear" w:color="auto" w:fill="auto"/>
          </w:tcPr>
          <w:p w14:paraId="7DCFF5D4" w14:textId="77777777" w:rsidR="00C1563E" w:rsidRDefault="00C1563E">
            <w:pPr>
              <w:rPr>
                <w:rFonts w:ascii="宋体"/>
              </w:rPr>
            </w:pPr>
          </w:p>
        </w:tc>
        <w:tc>
          <w:tcPr>
            <w:tcW w:w="5" w:type="pct"/>
            <w:shd w:val="clear" w:color="auto" w:fill="auto"/>
          </w:tcPr>
          <w:p w14:paraId="7DCFF5D5" w14:textId="77777777" w:rsidR="00C1563E" w:rsidRDefault="00C1563E">
            <w:pPr>
              <w:rPr>
                <w:rFonts w:ascii="宋体"/>
              </w:rPr>
            </w:pPr>
          </w:p>
        </w:tc>
        <w:tc>
          <w:tcPr>
            <w:tcW w:w="50" w:type="pct"/>
            <w:shd w:val="clear" w:color="auto" w:fill="auto"/>
          </w:tcPr>
          <w:p w14:paraId="7DCFF5D6" w14:textId="77777777" w:rsidR="00C1563E" w:rsidRDefault="00C1563E">
            <w:pPr>
              <w:rPr>
                <w:rFonts w:ascii="宋体"/>
              </w:rPr>
            </w:pPr>
          </w:p>
        </w:tc>
        <w:tc>
          <w:tcPr>
            <w:tcW w:w="434" w:type="pct"/>
            <w:shd w:val="clear" w:color="auto" w:fill="auto"/>
          </w:tcPr>
          <w:p w14:paraId="7DCFF5D7" w14:textId="77777777" w:rsidR="00C1563E" w:rsidRDefault="00C1563E">
            <w:pPr>
              <w:rPr>
                <w:rFonts w:ascii="宋体"/>
              </w:rPr>
            </w:pPr>
          </w:p>
        </w:tc>
        <w:tc>
          <w:tcPr>
            <w:tcW w:w="5" w:type="pct"/>
            <w:shd w:val="clear" w:color="auto" w:fill="auto"/>
          </w:tcPr>
          <w:p w14:paraId="7DCFF5D8" w14:textId="77777777" w:rsidR="00C1563E" w:rsidRDefault="00C1563E">
            <w:pPr>
              <w:rPr>
                <w:rFonts w:ascii="宋体"/>
              </w:rPr>
            </w:pPr>
          </w:p>
        </w:tc>
        <w:tc>
          <w:tcPr>
            <w:tcW w:w="5" w:type="pct"/>
            <w:shd w:val="clear" w:color="auto" w:fill="auto"/>
          </w:tcPr>
          <w:p w14:paraId="7DCFF5D9" w14:textId="77777777" w:rsidR="00C1563E" w:rsidRDefault="00C1563E">
            <w:pPr>
              <w:rPr>
                <w:rFonts w:ascii="宋体"/>
              </w:rPr>
            </w:pPr>
          </w:p>
        </w:tc>
        <w:tc>
          <w:tcPr>
            <w:tcW w:w="19" w:type="pct"/>
            <w:shd w:val="clear" w:color="auto" w:fill="auto"/>
          </w:tcPr>
          <w:p w14:paraId="7DCFF5DA" w14:textId="77777777" w:rsidR="00C1563E" w:rsidRDefault="00C1563E">
            <w:pPr>
              <w:rPr>
                <w:rFonts w:ascii="宋体"/>
              </w:rPr>
            </w:pPr>
          </w:p>
        </w:tc>
        <w:tc>
          <w:tcPr>
            <w:tcW w:w="5" w:type="pct"/>
            <w:shd w:val="clear" w:color="auto" w:fill="auto"/>
          </w:tcPr>
          <w:p w14:paraId="7DCFF5DB" w14:textId="77777777" w:rsidR="00C1563E" w:rsidRDefault="00C1563E">
            <w:pPr>
              <w:rPr>
                <w:rFonts w:ascii="宋体"/>
              </w:rPr>
            </w:pPr>
          </w:p>
        </w:tc>
        <w:tc>
          <w:tcPr>
            <w:tcW w:w="50" w:type="pct"/>
            <w:shd w:val="clear" w:color="auto" w:fill="auto"/>
          </w:tcPr>
          <w:p w14:paraId="7DCFF5DC" w14:textId="77777777" w:rsidR="00C1563E" w:rsidRDefault="00C1563E">
            <w:pPr>
              <w:rPr>
                <w:rFonts w:ascii="宋体"/>
              </w:rPr>
            </w:pPr>
          </w:p>
        </w:tc>
        <w:tc>
          <w:tcPr>
            <w:tcW w:w="434" w:type="pct"/>
            <w:shd w:val="clear" w:color="auto" w:fill="auto"/>
          </w:tcPr>
          <w:p w14:paraId="7DCFF5DD" w14:textId="77777777" w:rsidR="00C1563E" w:rsidRDefault="00C1563E">
            <w:pPr>
              <w:rPr>
                <w:rFonts w:ascii="宋体"/>
              </w:rPr>
            </w:pPr>
          </w:p>
        </w:tc>
        <w:tc>
          <w:tcPr>
            <w:tcW w:w="5" w:type="pct"/>
            <w:shd w:val="clear" w:color="auto" w:fill="auto"/>
          </w:tcPr>
          <w:p w14:paraId="7DCFF5DE" w14:textId="77777777" w:rsidR="00C1563E" w:rsidRDefault="00C1563E">
            <w:pPr>
              <w:rPr>
                <w:rFonts w:ascii="宋体"/>
              </w:rPr>
            </w:pPr>
          </w:p>
        </w:tc>
        <w:tc>
          <w:tcPr>
            <w:tcW w:w="5" w:type="pct"/>
            <w:shd w:val="clear" w:color="auto" w:fill="auto"/>
          </w:tcPr>
          <w:p w14:paraId="7DCFF5DF" w14:textId="77777777" w:rsidR="00C1563E" w:rsidRDefault="00C1563E">
            <w:pPr>
              <w:rPr>
                <w:rFonts w:ascii="宋体"/>
              </w:rPr>
            </w:pPr>
          </w:p>
        </w:tc>
        <w:tc>
          <w:tcPr>
            <w:tcW w:w="19" w:type="pct"/>
            <w:shd w:val="clear" w:color="auto" w:fill="auto"/>
          </w:tcPr>
          <w:p w14:paraId="7DCFF5E0" w14:textId="77777777" w:rsidR="00C1563E" w:rsidRDefault="00C1563E">
            <w:pPr>
              <w:rPr>
                <w:rFonts w:ascii="宋体"/>
              </w:rPr>
            </w:pPr>
          </w:p>
        </w:tc>
        <w:tc>
          <w:tcPr>
            <w:tcW w:w="5" w:type="pct"/>
            <w:shd w:val="clear" w:color="auto" w:fill="auto"/>
          </w:tcPr>
          <w:p w14:paraId="7DCFF5E1" w14:textId="77777777" w:rsidR="00C1563E" w:rsidRDefault="00C1563E">
            <w:pPr>
              <w:rPr>
                <w:rFonts w:ascii="宋体"/>
              </w:rPr>
            </w:pPr>
          </w:p>
        </w:tc>
        <w:tc>
          <w:tcPr>
            <w:tcW w:w="50" w:type="pct"/>
            <w:shd w:val="clear" w:color="auto" w:fill="auto"/>
          </w:tcPr>
          <w:p w14:paraId="7DCFF5E2" w14:textId="77777777" w:rsidR="00C1563E" w:rsidRDefault="00C1563E">
            <w:pPr>
              <w:rPr>
                <w:rFonts w:ascii="宋体"/>
              </w:rPr>
            </w:pPr>
          </w:p>
        </w:tc>
        <w:tc>
          <w:tcPr>
            <w:tcW w:w="384" w:type="pct"/>
            <w:shd w:val="clear" w:color="auto" w:fill="auto"/>
          </w:tcPr>
          <w:p w14:paraId="7DCFF5E3" w14:textId="77777777" w:rsidR="00C1563E" w:rsidRDefault="00C1563E">
            <w:pPr>
              <w:rPr>
                <w:rFonts w:ascii="宋体"/>
              </w:rPr>
            </w:pPr>
          </w:p>
        </w:tc>
        <w:tc>
          <w:tcPr>
            <w:tcW w:w="5" w:type="pct"/>
            <w:shd w:val="clear" w:color="auto" w:fill="auto"/>
          </w:tcPr>
          <w:p w14:paraId="7DCFF5E4" w14:textId="77777777" w:rsidR="00C1563E" w:rsidRDefault="00C1563E">
            <w:pPr>
              <w:rPr>
                <w:rFonts w:ascii="宋体"/>
              </w:rPr>
            </w:pPr>
          </w:p>
        </w:tc>
      </w:tr>
      <w:tr w:rsidR="00C1563E" w14:paraId="7DCFF5EA" w14:textId="77777777">
        <w:trPr>
          <w:jc w:val="center"/>
        </w:trPr>
        <w:tc>
          <w:tcPr>
            <w:tcW w:w="0" w:type="auto"/>
            <w:gridSpan w:val="3"/>
            <w:shd w:val="clear" w:color="auto" w:fill="auto"/>
            <w:tcMar>
              <w:top w:w="0" w:type="dxa"/>
              <w:left w:w="20" w:type="dxa"/>
              <w:bottom w:w="0" w:type="dxa"/>
              <w:right w:w="20" w:type="dxa"/>
            </w:tcMar>
          </w:tcPr>
          <w:p w14:paraId="7DCFF5E6"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F5E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5E8"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F5E9"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5FB" w14:textId="77777777">
        <w:trPr>
          <w:jc w:val="center"/>
        </w:trPr>
        <w:tc>
          <w:tcPr>
            <w:tcW w:w="0" w:type="auto"/>
            <w:gridSpan w:val="3"/>
            <w:shd w:val="clear" w:color="auto" w:fill="auto"/>
            <w:tcMar>
              <w:top w:w="0" w:type="dxa"/>
              <w:left w:w="20" w:type="dxa"/>
              <w:bottom w:w="0" w:type="dxa"/>
              <w:right w:w="20" w:type="dxa"/>
            </w:tcMar>
          </w:tcPr>
          <w:p w14:paraId="7DCFF5E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5EC" w14:textId="77777777" w:rsidR="00C1563E" w:rsidRDefault="000B648B">
            <w:pPr>
              <w:jc w:val="center"/>
              <w:textAlignment w:val="bottom"/>
            </w:pPr>
            <w:r>
              <w:rPr>
                <w:rFonts w:ascii="Times New Roman" w:eastAsia="宋体" w:hAnsi="Times New Roman"/>
                <w:b/>
                <w:bCs/>
                <w:color w:val="000000"/>
                <w:sz w:val="19"/>
                <w:szCs w:val="19"/>
              </w:rPr>
              <w:t>Cost</w:t>
            </w:r>
          </w:p>
        </w:tc>
        <w:tc>
          <w:tcPr>
            <w:tcW w:w="0" w:type="auto"/>
            <w:gridSpan w:val="3"/>
            <w:tcBorders>
              <w:top w:val="single" w:sz="8" w:space="0" w:color="000000"/>
            </w:tcBorders>
            <w:shd w:val="clear" w:color="auto" w:fill="auto"/>
            <w:tcMar>
              <w:top w:w="0" w:type="dxa"/>
              <w:left w:w="20" w:type="dxa"/>
              <w:bottom w:w="0" w:type="dxa"/>
              <w:right w:w="20" w:type="dxa"/>
            </w:tcMar>
          </w:tcPr>
          <w:p w14:paraId="7DCFF5E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EE" w14:textId="77777777" w:rsidR="00C1563E" w:rsidRDefault="000B648B">
            <w:pPr>
              <w:jc w:val="center"/>
              <w:textAlignment w:val="bottom"/>
            </w:pPr>
            <w:r>
              <w:rPr>
                <w:rFonts w:ascii="Times New Roman" w:eastAsia="宋体" w:hAnsi="Times New Roman"/>
                <w:b/>
                <w:bCs/>
                <w:color w:val="000000"/>
                <w:sz w:val="19"/>
                <w:szCs w:val="19"/>
              </w:rPr>
              <w:t>Unrealized Gain</w:t>
            </w:r>
          </w:p>
        </w:tc>
        <w:tc>
          <w:tcPr>
            <w:tcW w:w="0" w:type="auto"/>
            <w:gridSpan w:val="3"/>
            <w:tcBorders>
              <w:top w:val="single" w:sz="8" w:space="0" w:color="000000"/>
            </w:tcBorders>
            <w:shd w:val="clear" w:color="auto" w:fill="auto"/>
            <w:tcMar>
              <w:top w:w="0" w:type="dxa"/>
              <w:left w:w="20" w:type="dxa"/>
              <w:bottom w:w="0" w:type="dxa"/>
              <w:right w:w="20" w:type="dxa"/>
            </w:tcMar>
          </w:tcPr>
          <w:p w14:paraId="7DCFF5E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0" w14:textId="77777777" w:rsidR="00C1563E" w:rsidRDefault="000B648B">
            <w:pPr>
              <w:jc w:val="center"/>
              <w:textAlignment w:val="bottom"/>
            </w:pPr>
            <w:r>
              <w:rPr>
                <w:rFonts w:ascii="Times New Roman" w:eastAsia="宋体" w:hAnsi="Times New Roman"/>
                <w:b/>
                <w:bCs/>
                <w:color w:val="000000"/>
                <w:sz w:val="19"/>
                <w:szCs w:val="19"/>
              </w:rPr>
              <w:t>Unrealized (Loss)</w:t>
            </w:r>
          </w:p>
        </w:tc>
        <w:tc>
          <w:tcPr>
            <w:tcW w:w="0" w:type="auto"/>
            <w:gridSpan w:val="3"/>
            <w:tcBorders>
              <w:top w:val="single" w:sz="8" w:space="0" w:color="000000"/>
            </w:tcBorders>
            <w:shd w:val="clear" w:color="auto" w:fill="auto"/>
            <w:tcMar>
              <w:top w:w="0" w:type="dxa"/>
              <w:left w:w="20" w:type="dxa"/>
              <w:bottom w:w="0" w:type="dxa"/>
              <w:right w:w="20" w:type="dxa"/>
            </w:tcMar>
          </w:tcPr>
          <w:p w14:paraId="7DCFF5F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2" w14:textId="77777777" w:rsidR="00C1563E" w:rsidRDefault="000B648B">
            <w:pPr>
              <w:jc w:val="center"/>
              <w:textAlignment w:val="bottom"/>
            </w:pPr>
            <w:r>
              <w:rPr>
                <w:rFonts w:ascii="Times New Roman" w:eastAsia="宋体" w:hAnsi="Times New Roman"/>
                <w:b/>
                <w:bCs/>
                <w:color w:val="000000"/>
                <w:sz w:val="19"/>
                <w:szCs w:val="19"/>
              </w:rPr>
              <w:t>Carrying Value</w:t>
            </w:r>
          </w:p>
        </w:tc>
        <w:tc>
          <w:tcPr>
            <w:tcW w:w="0" w:type="auto"/>
            <w:gridSpan w:val="3"/>
            <w:shd w:val="clear" w:color="auto" w:fill="auto"/>
            <w:tcMar>
              <w:top w:w="0" w:type="dxa"/>
              <w:left w:w="20" w:type="dxa"/>
              <w:bottom w:w="0" w:type="dxa"/>
              <w:right w:w="20" w:type="dxa"/>
            </w:tcMar>
          </w:tcPr>
          <w:p w14:paraId="7DCFF5F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4" w14:textId="77777777" w:rsidR="00C1563E" w:rsidRDefault="000B648B">
            <w:pPr>
              <w:jc w:val="center"/>
              <w:textAlignment w:val="bottom"/>
            </w:pPr>
            <w:r>
              <w:rPr>
                <w:rFonts w:ascii="Times New Roman" w:eastAsia="宋体" w:hAnsi="Times New Roman"/>
                <w:b/>
                <w:bCs/>
                <w:color w:val="000000"/>
                <w:sz w:val="19"/>
                <w:szCs w:val="19"/>
              </w:rPr>
              <w:t>Cost</w:t>
            </w:r>
          </w:p>
        </w:tc>
        <w:tc>
          <w:tcPr>
            <w:tcW w:w="0" w:type="auto"/>
            <w:gridSpan w:val="3"/>
            <w:tcBorders>
              <w:top w:val="single" w:sz="8" w:space="0" w:color="000000"/>
            </w:tcBorders>
            <w:shd w:val="clear" w:color="auto" w:fill="auto"/>
            <w:tcMar>
              <w:top w:w="0" w:type="dxa"/>
              <w:left w:w="20" w:type="dxa"/>
              <w:bottom w:w="0" w:type="dxa"/>
              <w:right w:w="20" w:type="dxa"/>
            </w:tcMar>
          </w:tcPr>
          <w:p w14:paraId="7DCFF5F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6" w14:textId="77777777" w:rsidR="00C1563E" w:rsidRDefault="000B648B">
            <w:pPr>
              <w:jc w:val="center"/>
              <w:textAlignment w:val="bottom"/>
            </w:pPr>
            <w:r>
              <w:rPr>
                <w:rFonts w:ascii="Times New Roman" w:eastAsia="宋体" w:hAnsi="Times New Roman"/>
                <w:b/>
                <w:bCs/>
                <w:color w:val="000000"/>
                <w:sz w:val="19"/>
                <w:szCs w:val="19"/>
              </w:rPr>
              <w:t>Unrealized Gain</w:t>
            </w:r>
          </w:p>
        </w:tc>
        <w:tc>
          <w:tcPr>
            <w:tcW w:w="0" w:type="auto"/>
            <w:gridSpan w:val="3"/>
            <w:tcBorders>
              <w:top w:val="single" w:sz="8" w:space="0" w:color="000000"/>
            </w:tcBorders>
            <w:shd w:val="clear" w:color="auto" w:fill="auto"/>
            <w:tcMar>
              <w:top w:w="0" w:type="dxa"/>
              <w:left w:w="20" w:type="dxa"/>
              <w:bottom w:w="0" w:type="dxa"/>
              <w:right w:w="20" w:type="dxa"/>
            </w:tcMar>
          </w:tcPr>
          <w:p w14:paraId="7DCFF5F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8" w14:textId="77777777" w:rsidR="00C1563E" w:rsidRDefault="000B648B">
            <w:pPr>
              <w:jc w:val="center"/>
              <w:textAlignment w:val="bottom"/>
            </w:pPr>
            <w:r>
              <w:rPr>
                <w:rFonts w:ascii="Times New Roman" w:eastAsia="宋体" w:hAnsi="Times New Roman"/>
                <w:b/>
                <w:bCs/>
                <w:color w:val="000000"/>
                <w:sz w:val="19"/>
                <w:szCs w:val="19"/>
              </w:rPr>
              <w:t>Unrealized (Loss)</w:t>
            </w:r>
          </w:p>
        </w:tc>
        <w:tc>
          <w:tcPr>
            <w:tcW w:w="0" w:type="auto"/>
            <w:gridSpan w:val="3"/>
            <w:tcBorders>
              <w:top w:val="single" w:sz="8" w:space="0" w:color="000000"/>
            </w:tcBorders>
            <w:shd w:val="clear" w:color="auto" w:fill="auto"/>
            <w:tcMar>
              <w:top w:w="0" w:type="dxa"/>
              <w:left w:w="20" w:type="dxa"/>
              <w:bottom w:w="0" w:type="dxa"/>
              <w:right w:w="20" w:type="dxa"/>
            </w:tcMar>
          </w:tcPr>
          <w:p w14:paraId="7DCFF5F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5FA" w14:textId="77777777" w:rsidR="00C1563E" w:rsidRDefault="000B648B">
            <w:pPr>
              <w:jc w:val="center"/>
              <w:textAlignment w:val="bottom"/>
            </w:pPr>
            <w:r>
              <w:rPr>
                <w:rFonts w:ascii="Times New Roman" w:eastAsia="宋体" w:hAnsi="Times New Roman"/>
                <w:b/>
                <w:bCs/>
                <w:color w:val="000000"/>
                <w:sz w:val="19"/>
                <w:szCs w:val="19"/>
              </w:rPr>
              <w:t>Carrying Value</w:t>
            </w:r>
          </w:p>
        </w:tc>
      </w:tr>
      <w:tr w:rsidR="00C1563E" w14:paraId="7DCFF5FE" w14:textId="77777777">
        <w:trPr>
          <w:jc w:val="center"/>
        </w:trPr>
        <w:tc>
          <w:tcPr>
            <w:tcW w:w="0" w:type="auto"/>
            <w:gridSpan w:val="3"/>
            <w:shd w:val="clear" w:color="auto" w:fill="auto"/>
            <w:tcMar>
              <w:top w:w="0" w:type="dxa"/>
              <w:left w:w="20" w:type="dxa"/>
              <w:bottom w:w="0" w:type="dxa"/>
              <w:right w:w="20" w:type="dxa"/>
            </w:tcMar>
          </w:tcPr>
          <w:p w14:paraId="7DCFF5FC" w14:textId="77777777" w:rsidR="00C1563E" w:rsidRDefault="00C1563E">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7DCFF5FD"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61F" w14:textId="77777777">
        <w:trPr>
          <w:jc w:val="center"/>
        </w:trPr>
        <w:tc>
          <w:tcPr>
            <w:tcW w:w="0" w:type="auto"/>
            <w:gridSpan w:val="3"/>
            <w:shd w:val="clear" w:color="auto" w:fill="CCEEFF"/>
            <w:tcMar>
              <w:top w:w="40" w:type="dxa"/>
              <w:left w:w="20" w:type="dxa"/>
              <w:bottom w:w="40" w:type="dxa"/>
              <w:right w:w="20" w:type="dxa"/>
            </w:tcMar>
            <w:vAlign w:val="bottom"/>
          </w:tcPr>
          <w:p w14:paraId="7DCFF5FF" w14:textId="77777777" w:rsidR="00C1563E" w:rsidRDefault="000B648B">
            <w:pPr>
              <w:textAlignment w:val="bottom"/>
            </w:pPr>
            <w:r>
              <w:rPr>
                <w:rFonts w:ascii="Times New Roman" w:eastAsia="宋体" w:hAnsi="Times New Roman"/>
                <w:color w:val="000000"/>
                <w:sz w:val="20"/>
                <w:szCs w:val="20"/>
              </w:rPr>
              <w:t>Equity and other securities</w:t>
            </w:r>
          </w:p>
        </w:tc>
        <w:tc>
          <w:tcPr>
            <w:tcW w:w="0" w:type="auto"/>
            <w:shd w:val="clear" w:color="auto" w:fill="CCEEFF"/>
            <w:tcMar>
              <w:top w:w="40" w:type="dxa"/>
              <w:left w:w="20" w:type="dxa"/>
              <w:bottom w:w="40" w:type="dxa"/>
              <w:right w:w="0" w:type="dxa"/>
            </w:tcMar>
            <w:vAlign w:val="bottom"/>
          </w:tcPr>
          <w:p w14:paraId="7DCFF60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01" w14:textId="77777777" w:rsidR="00C1563E" w:rsidRDefault="000B648B">
            <w:pPr>
              <w:jc w:val="right"/>
              <w:textAlignment w:val="bottom"/>
            </w:pPr>
            <w:r>
              <w:rPr>
                <w:rFonts w:ascii="Times New Roman" w:eastAsia="宋体" w:hAnsi="Times New Roman"/>
                <w:color w:val="000000"/>
                <w:sz w:val="20"/>
                <w:szCs w:val="20"/>
              </w:rPr>
              <w:t>907 </w:t>
            </w:r>
          </w:p>
        </w:tc>
        <w:tc>
          <w:tcPr>
            <w:tcW w:w="0" w:type="auto"/>
            <w:shd w:val="clear" w:color="auto" w:fill="CCEEFF"/>
            <w:tcMar>
              <w:top w:w="40" w:type="dxa"/>
              <w:left w:w="0" w:type="dxa"/>
              <w:bottom w:w="40" w:type="dxa"/>
              <w:right w:w="20" w:type="dxa"/>
            </w:tcMar>
            <w:vAlign w:val="bottom"/>
          </w:tcPr>
          <w:p w14:paraId="7DCFF60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0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0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05" w14:textId="77777777" w:rsidR="00C1563E" w:rsidRDefault="000B648B">
            <w:pPr>
              <w:jc w:val="right"/>
              <w:textAlignment w:val="bottom"/>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bottom"/>
          </w:tcPr>
          <w:p w14:paraId="7DCFF60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0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0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09" w14:textId="77777777" w:rsidR="00C1563E" w:rsidRDefault="000B648B">
            <w:pPr>
              <w:jc w:val="right"/>
              <w:textAlignment w:val="bottom"/>
            </w:pPr>
            <w:r>
              <w:rPr>
                <w:rFonts w:ascii="Times New Roman" w:eastAsia="宋体" w:hAnsi="Times New Roman"/>
                <w:color w:val="000000"/>
                <w:sz w:val="20"/>
                <w:szCs w:val="20"/>
              </w:rPr>
              <w:t>(145)</w:t>
            </w:r>
          </w:p>
        </w:tc>
        <w:tc>
          <w:tcPr>
            <w:tcW w:w="0" w:type="auto"/>
            <w:shd w:val="clear" w:color="auto" w:fill="CCEEFF"/>
            <w:tcMar>
              <w:top w:w="40" w:type="dxa"/>
              <w:left w:w="0" w:type="dxa"/>
              <w:bottom w:w="40" w:type="dxa"/>
              <w:right w:w="20" w:type="dxa"/>
            </w:tcMar>
            <w:vAlign w:val="bottom"/>
          </w:tcPr>
          <w:p w14:paraId="7DCFF60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0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0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0D" w14:textId="77777777" w:rsidR="00C1563E" w:rsidRDefault="000B648B">
            <w:pPr>
              <w:jc w:val="right"/>
              <w:textAlignment w:val="bottom"/>
            </w:pPr>
            <w:r>
              <w:rPr>
                <w:rFonts w:ascii="Times New Roman" w:eastAsia="宋体" w:hAnsi="Times New Roman"/>
                <w:color w:val="000000"/>
                <w:sz w:val="20"/>
                <w:szCs w:val="20"/>
              </w:rPr>
              <w:t>1,439 </w:t>
            </w:r>
          </w:p>
        </w:tc>
        <w:tc>
          <w:tcPr>
            <w:tcW w:w="0" w:type="auto"/>
            <w:shd w:val="clear" w:color="auto" w:fill="CCEEFF"/>
            <w:tcMar>
              <w:top w:w="40" w:type="dxa"/>
              <w:left w:w="0" w:type="dxa"/>
              <w:bottom w:w="40" w:type="dxa"/>
              <w:right w:w="20" w:type="dxa"/>
            </w:tcMar>
            <w:vAlign w:val="bottom"/>
          </w:tcPr>
          <w:p w14:paraId="7DCFF60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0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1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11" w14:textId="77777777" w:rsidR="00C1563E" w:rsidRDefault="000B648B">
            <w:pPr>
              <w:jc w:val="right"/>
              <w:textAlignment w:val="bottom"/>
            </w:pPr>
            <w:r>
              <w:rPr>
                <w:rFonts w:ascii="Times New Roman" w:eastAsia="宋体" w:hAnsi="Times New Roman"/>
                <w:color w:val="000000"/>
                <w:sz w:val="20"/>
                <w:szCs w:val="20"/>
              </w:rPr>
              <w:t>783 </w:t>
            </w:r>
          </w:p>
        </w:tc>
        <w:tc>
          <w:tcPr>
            <w:tcW w:w="0" w:type="auto"/>
            <w:shd w:val="clear" w:color="auto" w:fill="CCEEFF"/>
            <w:tcMar>
              <w:top w:w="40" w:type="dxa"/>
              <w:left w:w="0" w:type="dxa"/>
              <w:bottom w:w="40" w:type="dxa"/>
              <w:right w:w="20" w:type="dxa"/>
            </w:tcMar>
            <w:vAlign w:val="bottom"/>
          </w:tcPr>
          <w:p w14:paraId="7DCFF61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1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1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15" w14:textId="77777777" w:rsidR="00C1563E" w:rsidRDefault="000B648B">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7DCFF6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1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1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19" w14:textId="77777777" w:rsidR="00C1563E" w:rsidRDefault="000B648B">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7DCFF6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1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61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61D" w14:textId="77777777" w:rsidR="00C1563E" w:rsidRDefault="000B648B">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7DCFF61E" w14:textId="77777777" w:rsidR="00C1563E" w:rsidRDefault="00C1563E">
            <w:pPr>
              <w:jc w:val="right"/>
              <w:rPr>
                <w:rFonts w:ascii="宋体"/>
              </w:rPr>
            </w:pPr>
          </w:p>
        </w:tc>
      </w:tr>
      <w:tr w:rsidR="00C1563E" w14:paraId="7DCFF638" w14:textId="77777777">
        <w:trPr>
          <w:jc w:val="center"/>
        </w:trPr>
        <w:tc>
          <w:tcPr>
            <w:tcW w:w="0" w:type="auto"/>
            <w:gridSpan w:val="3"/>
            <w:shd w:val="clear" w:color="auto" w:fill="FFFFFF"/>
            <w:tcMar>
              <w:top w:w="40" w:type="dxa"/>
              <w:left w:w="20" w:type="dxa"/>
              <w:bottom w:w="40" w:type="dxa"/>
              <w:right w:w="20" w:type="dxa"/>
            </w:tcMar>
            <w:vAlign w:val="bottom"/>
          </w:tcPr>
          <w:p w14:paraId="7DCFF620" w14:textId="77777777" w:rsidR="00C1563E" w:rsidRDefault="000B648B">
            <w:pPr>
              <w:textAlignment w:val="bottom"/>
            </w:pPr>
            <w:r>
              <w:rPr>
                <w:rFonts w:ascii="Times New Roman" w:eastAsia="宋体" w:hAnsi="Times New Roman"/>
                <w:color w:val="000000"/>
                <w:sz w:val="20"/>
                <w:szCs w:val="20"/>
              </w:rPr>
              <w:t>Fixed income debt securities</w:t>
            </w:r>
          </w:p>
        </w:tc>
        <w:tc>
          <w:tcPr>
            <w:tcW w:w="0" w:type="auto"/>
            <w:gridSpan w:val="2"/>
            <w:shd w:val="clear" w:color="auto" w:fill="FFFFFF"/>
            <w:tcMar>
              <w:top w:w="40" w:type="dxa"/>
              <w:left w:w="20" w:type="dxa"/>
              <w:bottom w:w="40" w:type="dxa"/>
              <w:right w:w="0" w:type="dxa"/>
            </w:tcMar>
            <w:vAlign w:val="bottom"/>
          </w:tcPr>
          <w:p w14:paraId="7DCFF621" w14:textId="77777777" w:rsidR="00C1563E" w:rsidRDefault="000B648B">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7DCFF62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2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24"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DCFF62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2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2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62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2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2A" w14:textId="77777777" w:rsidR="00C1563E" w:rsidRDefault="000B648B">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7DCFF62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2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2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62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2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3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6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3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63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3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63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637" w14:textId="77777777" w:rsidR="00C1563E" w:rsidRDefault="00C1563E">
            <w:pPr>
              <w:jc w:val="right"/>
              <w:rPr>
                <w:rFonts w:ascii="宋体"/>
              </w:rPr>
            </w:pPr>
          </w:p>
        </w:tc>
      </w:tr>
      <w:tr w:rsidR="00C1563E" w14:paraId="7DCFF64D" w14:textId="77777777">
        <w:trPr>
          <w:jc w:val="center"/>
        </w:trPr>
        <w:tc>
          <w:tcPr>
            <w:tcW w:w="0" w:type="auto"/>
            <w:gridSpan w:val="3"/>
            <w:shd w:val="clear" w:color="auto" w:fill="CCEEFF"/>
            <w:tcMar>
              <w:top w:w="40" w:type="dxa"/>
              <w:left w:w="140" w:type="dxa"/>
              <w:bottom w:w="40" w:type="dxa"/>
              <w:right w:w="20" w:type="dxa"/>
            </w:tcMar>
            <w:vAlign w:val="bottom"/>
          </w:tcPr>
          <w:p w14:paraId="7DCFF639" w14:textId="77777777" w:rsidR="00C1563E" w:rsidRDefault="000B648B">
            <w:pPr>
              <w:textAlignment w:val="bottom"/>
            </w:pPr>
            <w:r>
              <w:rPr>
                <w:rFonts w:ascii="Times New Roman" w:eastAsia="宋体" w:hAnsi="Times New Roman"/>
                <w:color w:val="000000"/>
                <w:sz w:val="20"/>
                <w:szCs w:val="20"/>
              </w:rPr>
              <w:t>Total securities</w:t>
            </w:r>
          </w:p>
        </w:tc>
        <w:tc>
          <w:tcPr>
            <w:tcW w:w="0" w:type="auto"/>
            <w:gridSpan w:val="3"/>
            <w:shd w:val="clear" w:color="auto" w:fill="CCEEFF"/>
            <w:tcMar>
              <w:top w:w="0" w:type="dxa"/>
              <w:left w:w="20" w:type="dxa"/>
              <w:bottom w:w="0" w:type="dxa"/>
              <w:right w:w="20" w:type="dxa"/>
            </w:tcMar>
          </w:tcPr>
          <w:p w14:paraId="7DCFF63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3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3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3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3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3F"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64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641" w14:textId="77777777" w:rsidR="00C1563E" w:rsidRDefault="000B648B">
            <w:pPr>
              <w:jc w:val="right"/>
              <w:textAlignment w:val="bottom"/>
            </w:pPr>
            <w:r>
              <w:rPr>
                <w:rFonts w:ascii="Times New Roman" w:eastAsia="宋体" w:hAnsi="Times New Roman"/>
                <w:color w:val="000000"/>
                <w:sz w:val="20"/>
                <w:szCs w:val="20"/>
              </w:rPr>
              <w:t>1,624 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6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4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4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64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64B" w14:textId="77777777" w:rsidR="00C1563E" w:rsidRDefault="000B648B">
            <w:pPr>
              <w:jc w:val="right"/>
              <w:textAlignment w:val="bottom"/>
            </w:pPr>
            <w:r>
              <w:rPr>
                <w:rFonts w:ascii="Times New Roman" w:eastAsia="宋体" w:hAnsi="Times New Roman"/>
                <w:color w:val="000000"/>
                <w:sz w:val="20"/>
                <w:szCs w:val="20"/>
              </w:rPr>
              <w:t>864 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64C" w14:textId="77777777" w:rsidR="00C1563E" w:rsidRDefault="00C1563E">
            <w:pPr>
              <w:jc w:val="right"/>
              <w:rPr>
                <w:rFonts w:ascii="宋体"/>
              </w:rPr>
            </w:pPr>
          </w:p>
        </w:tc>
      </w:tr>
    </w:tbl>
    <w:p w14:paraId="7DCFF64E" w14:textId="77777777" w:rsidR="00C1563E" w:rsidRDefault="00C1563E"/>
    <w:p w14:paraId="7DCFF64F" w14:textId="77777777" w:rsidR="00C1563E" w:rsidRDefault="000B648B">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xml:space="preserve">— The Company has strategic investments in publicly-traded and privately-held companies. For the fiscal year ended January 29, 2021, the equity and other securities without readily determinable fair values of $990 million increased by $200 million, due to </w:t>
      </w:r>
      <w:r>
        <w:rPr>
          <w:rFonts w:ascii="Times New Roman" w:eastAsia="宋体" w:hAnsi="Times New Roman"/>
          <w:color w:val="000000"/>
          <w:sz w:val="20"/>
          <w:szCs w:val="20"/>
        </w:rPr>
        <w:t xml:space="preserve">upward adjustments for observable price changes, offset by $74 million of downward adjustments primarily attributable to impairments. </w:t>
      </w:r>
      <w:r>
        <w:rPr>
          <w:rFonts w:ascii="Times New Roman" w:eastAsia="宋体" w:hAnsi="Times New Roman"/>
          <w:color w:val="212529"/>
          <w:sz w:val="20"/>
          <w:szCs w:val="20"/>
        </w:rPr>
        <w:t>For the fiscal year ended January 31, 2020, the equity and other securities without readily determinable fair values incre</w:t>
      </w:r>
      <w:r>
        <w:rPr>
          <w:rFonts w:ascii="Times New Roman" w:eastAsia="宋体" w:hAnsi="Times New Roman"/>
          <w:color w:val="212529"/>
          <w:sz w:val="20"/>
          <w:szCs w:val="20"/>
        </w:rPr>
        <w:t xml:space="preserve">ased by $110 million due to upward adjustments for observable price changes, offset by $15 million of downward adjustments that were primarily attributable to impairments. </w:t>
      </w:r>
      <w:r>
        <w:rPr>
          <w:rFonts w:ascii="Times New Roman" w:eastAsia="宋体" w:hAnsi="Times New Roman"/>
          <w:color w:val="000000"/>
          <w:sz w:val="20"/>
          <w:szCs w:val="20"/>
        </w:rPr>
        <w:t>The remainder of equity and other securities consisted of publicly-traded investment</w:t>
      </w:r>
      <w:r>
        <w:rPr>
          <w:rFonts w:ascii="Times New Roman" w:eastAsia="宋体" w:hAnsi="Times New Roman"/>
          <w:color w:val="000000"/>
          <w:sz w:val="20"/>
          <w:szCs w:val="20"/>
        </w:rPr>
        <w:t xml:space="preserve">s that are measured at fair value on a recurring basis for both the fiscal years ended January 29, 2021 and </w:t>
      </w:r>
      <w:r>
        <w:rPr>
          <w:rFonts w:ascii="Times New Roman" w:eastAsia="宋体" w:hAnsi="Times New Roman"/>
          <w:color w:val="212529"/>
          <w:sz w:val="20"/>
          <w:szCs w:val="20"/>
        </w:rPr>
        <w:t>January 31, 2020</w:t>
      </w:r>
      <w:r>
        <w:rPr>
          <w:rFonts w:ascii="Times New Roman" w:eastAsia="宋体" w:hAnsi="Times New Roman"/>
          <w:color w:val="000000"/>
          <w:sz w:val="20"/>
          <w:szCs w:val="20"/>
        </w:rPr>
        <w:t xml:space="preserve">. </w:t>
      </w:r>
    </w:p>
    <w:p w14:paraId="7DCFF650" w14:textId="77777777" w:rsidR="00C1563E" w:rsidRDefault="00C1563E"/>
    <w:p w14:paraId="7DCFF651" w14:textId="77777777" w:rsidR="00C1563E" w:rsidRDefault="000B648B">
      <w:r>
        <w:rPr>
          <w:rFonts w:ascii="Times New Roman" w:eastAsia="宋体" w:hAnsi="Times New Roman"/>
          <w:color w:val="000000"/>
          <w:sz w:val="20"/>
          <w:szCs w:val="20"/>
        </w:rPr>
        <w:t xml:space="preserve">In September 2020, one of the Company’s strategic investments, which previously did not have a readily determinable fair value, </w:t>
      </w:r>
      <w:r>
        <w:rPr>
          <w:rFonts w:ascii="Times New Roman" w:eastAsia="宋体" w:hAnsi="Times New Roman"/>
          <w:color w:val="000000"/>
          <w:sz w:val="20"/>
          <w:szCs w:val="20"/>
        </w:rPr>
        <w:t xml:space="preserve">completed its initial public offering which resulted in the investment having a readily determinable fair value and in the recognition of an unrealized net gain of $396 million during the </w:t>
      </w:r>
      <w:r>
        <w:rPr>
          <w:rFonts w:ascii="Times New Roman" w:eastAsia="宋体" w:hAnsi="Times New Roman"/>
          <w:color w:val="212529"/>
          <w:sz w:val="20"/>
          <w:szCs w:val="20"/>
        </w:rPr>
        <w:t>fiscal year ended</w:t>
      </w:r>
      <w:r>
        <w:rPr>
          <w:rFonts w:ascii="Times New Roman" w:eastAsia="宋体" w:hAnsi="Times New Roman"/>
          <w:color w:val="000000"/>
          <w:sz w:val="20"/>
          <w:szCs w:val="20"/>
        </w:rPr>
        <w:t xml:space="preserve"> January 29, 2021, which is reflected in the table </w:t>
      </w:r>
      <w:r>
        <w:rPr>
          <w:rFonts w:ascii="Times New Roman" w:eastAsia="宋体" w:hAnsi="Times New Roman"/>
          <w:color w:val="000000"/>
          <w:sz w:val="20"/>
          <w:szCs w:val="20"/>
        </w:rPr>
        <w:t xml:space="preserve">above. The unrealized net gain was reflected in Interest and other, net on the Consolidated Statements of Income (Loss) and in Other, net as a non-cash adjustment within cash flows from operating activities on the Consolidated Statements of Cash Flows. As </w:t>
      </w:r>
      <w:r>
        <w:rPr>
          <w:rFonts w:ascii="Times New Roman" w:eastAsia="宋体" w:hAnsi="Times New Roman"/>
          <w:color w:val="000000"/>
          <w:sz w:val="20"/>
          <w:szCs w:val="20"/>
        </w:rPr>
        <w:t>of January 29, 2021, the carrying value of this investment was $428 million.</w:t>
      </w:r>
    </w:p>
    <w:p w14:paraId="7DCFF652" w14:textId="77777777" w:rsidR="00C1563E" w:rsidRDefault="00C1563E"/>
    <w:p w14:paraId="7DCFF653" w14:textId="77777777" w:rsidR="00C1563E" w:rsidRDefault="000B648B">
      <w:r>
        <w:rPr>
          <w:rFonts w:ascii="Times New Roman" w:eastAsia="宋体" w:hAnsi="Times New Roman"/>
          <w:i/>
          <w:iCs/>
          <w:color w:val="000000"/>
          <w:sz w:val="20"/>
          <w:szCs w:val="20"/>
        </w:rPr>
        <w:t xml:space="preserve">Fixed income debt securities </w:t>
      </w:r>
      <w:r>
        <w:rPr>
          <w:rFonts w:ascii="Times New Roman" w:eastAsia="宋体" w:hAnsi="Times New Roman"/>
          <w:color w:val="000000"/>
          <w:sz w:val="20"/>
          <w:szCs w:val="20"/>
        </w:rPr>
        <w:t>— The Company has fixed income debt securities carried at amortized cost. The debt securities are held as collateral for borrowings. The Company inte</w:t>
      </w:r>
      <w:r>
        <w:rPr>
          <w:rFonts w:ascii="Times New Roman" w:eastAsia="宋体" w:hAnsi="Times New Roman"/>
          <w:color w:val="000000"/>
          <w:sz w:val="20"/>
          <w:szCs w:val="20"/>
        </w:rPr>
        <w:t>nds to hold the investments to maturity. Unrealized gains represent foreign currency impacts.</w:t>
      </w:r>
    </w:p>
    <w:p w14:paraId="7DCFF654" w14:textId="77777777" w:rsidR="00C1563E" w:rsidRDefault="00C1563E">
      <w:pPr>
        <w:jc w:val="center"/>
      </w:pPr>
    </w:p>
    <w:p w14:paraId="7DCFF655" w14:textId="77777777" w:rsidR="00C1563E" w:rsidRDefault="000B648B">
      <w:pPr>
        <w:jc w:val="center"/>
      </w:pPr>
      <w:r>
        <w:rPr>
          <w:rFonts w:ascii="Times New Roman" w:eastAsia="宋体" w:hAnsi="Times New Roman"/>
          <w:color w:val="000000"/>
          <w:sz w:val="20"/>
          <w:szCs w:val="20"/>
        </w:rPr>
        <w:t>97</w:t>
      </w:r>
    </w:p>
    <w:p w14:paraId="7DCFF656" w14:textId="77777777" w:rsidR="00C1563E" w:rsidRDefault="00C1563E">
      <w:pPr>
        <w:jc w:val="center"/>
      </w:pPr>
    </w:p>
    <w:p w14:paraId="7DCFF657" w14:textId="77777777" w:rsidR="00C1563E" w:rsidRDefault="000B648B">
      <w:r>
        <w:pict w14:anchorId="7DD025CB">
          <v:rect id="_x0000_i1121" style="width:415.3pt;height:1.5pt" o:hralign="center" o:hrstd="t" o:hr="t" fillcolor="#a0a0a0" stroked="f"/>
        </w:pict>
      </w:r>
    </w:p>
    <w:p w14:paraId="7DCFF658" w14:textId="77777777" w:rsidR="00C1563E" w:rsidRDefault="000B648B">
      <w:hyperlink r:id="rId280" w:anchor="i418e32e4a35149ffbf7d3a25d66881b8_10"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7DCFF659" w14:textId="77777777" w:rsidR="00C1563E" w:rsidRDefault="000B648B">
      <w:r>
        <w:rPr>
          <w:rFonts w:ascii="Times New Roman" w:eastAsia="宋体" w:hAnsi="Times New Roman"/>
          <w:b/>
          <w:bCs/>
          <w:color w:val="000000"/>
          <w:sz w:val="20"/>
          <w:szCs w:val="20"/>
        </w:rPr>
        <w:t>NOTE 4 — FINANCIAL SERVICES</w:t>
      </w:r>
    </w:p>
    <w:p w14:paraId="7DCFF65A" w14:textId="77777777" w:rsidR="00C1563E" w:rsidRDefault="00C1563E"/>
    <w:p w14:paraId="7DCFF65B" w14:textId="77777777" w:rsidR="00C1563E" w:rsidRDefault="000B648B">
      <w:r>
        <w:rPr>
          <w:rFonts w:ascii="Times New Roman" w:eastAsia="宋体" w:hAnsi="Times New Roman"/>
          <w:color w:val="000000"/>
          <w:sz w:val="20"/>
          <w:szCs w:val="20"/>
        </w:rPr>
        <w:t>The Company offers or arranges various financing options and services, and alternative payment structures for its customers in North America, Europe, Australia, and New Zealand through DFS. The Company also arr</w:t>
      </w:r>
      <w:r>
        <w:rPr>
          <w:rFonts w:ascii="Times New Roman" w:eastAsia="宋体" w:hAnsi="Times New Roman"/>
          <w:color w:val="000000"/>
          <w:sz w:val="20"/>
          <w:szCs w:val="20"/>
        </w:rPr>
        <w:t>anges financing for some of its customers in various countries where DFS does not currently operate as a captive enterprise. The key activities of DFS include originating, collecting, and servicing customer financing arrangements primarily related to the p</w:t>
      </w:r>
      <w:r>
        <w:rPr>
          <w:rFonts w:ascii="Times New Roman" w:eastAsia="宋体" w:hAnsi="Times New Roman"/>
          <w:color w:val="000000"/>
          <w:sz w:val="20"/>
          <w:szCs w:val="20"/>
        </w:rPr>
        <w:t>urchase or use of Dell Technologies products and services. In some cases, DFS also offers financing for the purchase of third-party technology products that complement the Dell Technologies portfolio of products and services. New financing originations wer</w:t>
      </w:r>
      <w:r>
        <w:rPr>
          <w:rFonts w:ascii="Times New Roman" w:eastAsia="宋体" w:hAnsi="Times New Roman"/>
          <w:color w:val="000000"/>
          <w:sz w:val="20"/>
          <w:szCs w:val="20"/>
        </w:rPr>
        <w:t>e $8.9 billion, $8.5 billion, and $7.3 billion for the fiscal years ended January 29, 2021, January 31, 2020, and February 1, 2019, respectively.</w:t>
      </w:r>
    </w:p>
    <w:p w14:paraId="7DCFF65C" w14:textId="77777777" w:rsidR="00C1563E" w:rsidRDefault="00C1563E"/>
    <w:p w14:paraId="7DCFF65D" w14:textId="77777777" w:rsidR="00C1563E" w:rsidRDefault="000B648B">
      <w:r>
        <w:rPr>
          <w:rFonts w:ascii="Times New Roman" w:eastAsia="宋体" w:hAnsi="Times New Roman"/>
          <w:color w:val="000000"/>
          <w:sz w:val="20"/>
          <w:szCs w:val="20"/>
        </w:rPr>
        <w:t>The Company’s lease and loan arrangements with customers are aggregated into the following categories:</w:t>
      </w:r>
    </w:p>
    <w:p w14:paraId="7DCFF65E" w14:textId="77777777" w:rsidR="00C1563E" w:rsidRDefault="00C1563E"/>
    <w:p w14:paraId="7DCFF65F" w14:textId="77777777" w:rsidR="00C1563E" w:rsidRDefault="000B648B">
      <w:r>
        <w:rPr>
          <w:rFonts w:ascii="Times New Roman" w:eastAsia="宋体" w:hAnsi="Times New Roman"/>
          <w:i/>
          <w:iCs/>
          <w:color w:val="000000"/>
          <w:sz w:val="20"/>
          <w:szCs w:val="20"/>
        </w:rPr>
        <w:t>Revol</w:t>
      </w:r>
      <w:r>
        <w:rPr>
          <w:rFonts w:ascii="Times New Roman" w:eastAsia="宋体" w:hAnsi="Times New Roman"/>
          <w:i/>
          <w:iCs/>
          <w:color w:val="000000"/>
          <w:sz w:val="20"/>
          <w:szCs w:val="20"/>
        </w:rPr>
        <w:t>ving loans</w:t>
      </w:r>
      <w:r>
        <w:rPr>
          <w:rFonts w:ascii="Times New Roman" w:eastAsia="宋体" w:hAnsi="Times New Roman"/>
          <w:color w:val="000000"/>
          <w:sz w:val="20"/>
          <w:szCs w:val="20"/>
        </w:rPr>
        <w:t xml:space="preserve"> — Revolving loans offered under private label credit financing programs provide qualified customers with a revolving credit line for the purchase of products and services offered by Dell Technologies. These private label credit financing program</w:t>
      </w:r>
      <w:r>
        <w:rPr>
          <w:rFonts w:ascii="Times New Roman" w:eastAsia="宋体" w:hAnsi="Times New Roman"/>
          <w:color w:val="000000"/>
          <w:sz w:val="20"/>
          <w:szCs w:val="20"/>
        </w:rPr>
        <w:t xml:space="preserve">s are referred to as Dell Preferred Account (“DPA”) and Dell Business Credit (“DBC”). The DPA product is primarily offered to individual consumer customers, and the DBC product is primarily offered to small and medium-sized commercial customers. Revolving </w:t>
      </w:r>
      <w:r>
        <w:rPr>
          <w:rFonts w:ascii="Times New Roman" w:eastAsia="宋体" w:hAnsi="Times New Roman"/>
          <w:color w:val="000000"/>
          <w:sz w:val="20"/>
          <w:szCs w:val="20"/>
        </w:rPr>
        <w:t>loans in the United States bear interest at a variable annual percentage rate that is tied to the prime rate. Based on historical payment patterns, revolving loan transactions are typically repaid within twelve months on average. Due to the short-term natu</w:t>
      </w:r>
      <w:r>
        <w:rPr>
          <w:rFonts w:ascii="Times New Roman" w:eastAsia="宋体" w:hAnsi="Times New Roman"/>
          <w:color w:val="000000"/>
          <w:sz w:val="20"/>
          <w:szCs w:val="20"/>
        </w:rPr>
        <w:t>re of the revolving loan portfolio, the carrying value of the portfolio approximates fair value.</w:t>
      </w:r>
    </w:p>
    <w:p w14:paraId="7DCFF660" w14:textId="77777777" w:rsidR="00C1563E" w:rsidRDefault="00C1563E"/>
    <w:p w14:paraId="7DCFF661" w14:textId="77777777" w:rsidR="00C1563E" w:rsidRDefault="000B648B">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The Company enters into financing arrangements with customers who seek lease financing for equipment. Pursuant to the current le</w:t>
      </w:r>
      <w:r>
        <w:rPr>
          <w:rFonts w:ascii="Times New Roman" w:eastAsia="宋体" w:hAnsi="Times New Roman"/>
          <w:color w:val="000000"/>
          <w:sz w:val="20"/>
          <w:szCs w:val="20"/>
        </w:rPr>
        <w:t>ase accounting standard effective February 2, 2019, new DFS leases are classified as sales-type leases, direct financing leases, or operating leases. When the terms of the DFS lease transfer control of the underlying asset to the lessee, the contract is ty</w:t>
      </w:r>
      <w:r>
        <w:rPr>
          <w:rFonts w:ascii="Times New Roman" w:eastAsia="宋体" w:hAnsi="Times New Roman"/>
          <w:color w:val="000000"/>
          <w:sz w:val="20"/>
          <w:szCs w:val="20"/>
        </w:rPr>
        <w:t>pically classified as a sales-type lease. Direct financing leases are immaterial. All other new DFS leases are classified as operating leases. Leases that commenced prior to the effective date of the current lease accounting standard continue to be account</w:t>
      </w:r>
      <w:r>
        <w:rPr>
          <w:rFonts w:ascii="Times New Roman" w:eastAsia="宋体" w:hAnsi="Times New Roman"/>
          <w:color w:val="000000"/>
          <w:sz w:val="20"/>
          <w:szCs w:val="20"/>
        </w:rPr>
        <w:t xml:space="preserve">ed for under previous lease accounting guidance. Leases with business customers have fixed terms of generally two to four years. </w:t>
      </w:r>
    </w:p>
    <w:p w14:paraId="7DCFF662" w14:textId="77777777" w:rsidR="00C1563E" w:rsidRDefault="00C1563E"/>
    <w:p w14:paraId="7DCFF663" w14:textId="77777777" w:rsidR="00C1563E" w:rsidRDefault="000B648B">
      <w:r>
        <w:rPr>
          <w:rFonts w:ascii="Times New Roman" w:eastAsia="宋体" w:hAnsi="Times New Roman"/>
          <w:color w:val="000000"/>
          <w:sz w:val="20"/>
          <w:szCs w:val="20"/>
        </w:rPr>
        <w:t>The Company also offers fixed-term loans to qualified small businesses, large commercial accounts, governmental organizations</w:t>
      </w:r>
      <w:r>
        <w:rPr>
          <w:rFonts w:ascii="Times New Roman" w:eastAsia="宋体" w:hAnsi="Times New Roman"/>
          <w:color w:val="000000"/>
          <w:sz w:val="20"/>
          <w:szCs w:val="20"/>
        </w:rPr>
        <w:t>, educational entities, and certain individual consumer customers. These loans are repaid in equal payments including interest and have defined terms of generally three to five years. The fair value of the fixed-term loan portfolio is determined using mark</w:t>
      </w:r>
      <w:r>
        <w:rPr>
          <w:rFonts w:ascii="Times New Roman" w:eastAsia="宋体" w:hAnsi="Times New Roman"/>
          <w:color w:val="000000"/>
          <w:sz w:val="20"/>
          <w:szCs w:val="20"/>
        </w:rPr>
        <w:t xml:space="preserve">et observable inputs.  The carrying value of these loans approximates fair value.  </w:t>
      </w:r>
    </w:p>
    <w:p w14:paraId="7DCFF664" w14:textId="77777777" w:rsidR="00C1563E" w:rsidRDefault="00C1563E"/>
    <w:p w14:paraId="7DCFF665" w14:textId="77777777" w:rsidR="00C1563E" w:rsidRDefault="00C1563E">
      <w:pPr>
        <w:jc w:val="center"/>
      </w:pPr>
    </w:p>
    <w:p w14:paraId="7DCFF666" w14:textId="77777777" w:rsidR="00C1563E" w:rsidRDefault="000B648B">
      <w:pPr>
        <w:jc w:val="center"/>
      </w:pPr>
      <w:r>
        <w:rPr>
          <w:rFonts w:ascii="Times New Roman" w:eastAsia="宋体" w:hAnsi="Times New Roman"/>
          <w:color w:val="000000"/>
          <w:sz w:val="20"/>
          <w:szCs w:val="20"/>
        </w:rPr>
        <w:t>98</w:t>
      </w:r>
    </w:p>
    <w:p w14:paraId="7DCFF667" w14:textId="77777777" w:rsidR="00C1563E" w:rsidRDefault="00C1563E">
      <w:pPr>
        <w:jc w:val="center"/>
      </w:pPr>
    </w:p>
    <w:p w14:paraId="7DCFF668" w14:textId="77777777" w:rsidR="00C1563E" w:rsidRDefault="000B648B">
      <w:r>
        <w:pict w14:anchorId="7DD025CC">
          <v:rect id="_x0000_i1122" style="width:415.3pt;height:1.5pt" o:hralign="center" o:hrstd="t" o:hr="t" fillcolor="#a0a0a0" stroked="f"/>
        </w:pict>
      </w:r>
    </w:p>
    <w:p w14:paraId="7DCFF669" w14:textId="77777777" w:rsidR="00C1563E" w:rsidRDefault="000B648B">
      <w:hyperlink r:id="rId281" w:anchor="i418e32e4a35149ffbf7d3a25d66881b8_10" w:history="1">
        <w:r>
          <w:rPr>
            <w:rStyle w:val="a5"/>
            <w:rFonts w:ascii="Times New Roman" w:eastAsia="宋体" w:hAnsi="Times New Roman"/>
            <w:sz w:val="20"/>
            <w:szCs w:val="20"/>
          </w:rPr>
          <w:t>Table of Contents</w:t>
        </w:r>
      </w:hyperlink>
    </w:p>
    <w:p w14:paraId="7DCFF66A" w14:textId="77777777" w:rsidR="00C1563E" w:rsidRDefault="000B648B">
      <w:r>
        <w:rPr>
          <w:rFonts w:ascii="Times New Roman" w:eastAsia="宋体" w:hAnsi="Times New Roman"/>
          <w:b/>
          <w:bCs/>
          <w:color w:val="000000"/>
          <w:sz w:val="20"/>
          <w:szCs w:val="20"/>
        </w:rPr>
        <w:t>Financing Receivables</w:t>
      </w:r>
    </w:p>
    <w:p w14:paraId="7DCFF66B" w14:textId="77777777" w:rsidR="00C1563E" w:rsidRDefault="00C1563E"/>
    <w:p w14:paraId="7DCFF66C" w14:textId="77777777" w:rsidR="00C1563E" w:rsidRDefault="000B648B">
      <w:pPr>
        <w:spacing w:after="120"/>
      </w:pPr>
      <w:r>
        <w:rPr>
          <w:rFonts w:ascii="Times New Roman" w:eastAsia="宋体" w:hAnsi="Times New Roman"/>
          <w:color w:val="000000"/>
          <w:sz w:val="20"/>
          <w:szCs w:val="20"/>
        </w:rPr>
        <w:t xml:space="preserve">The following table presents the components of the </w:t>
      </w:r>
      <w:r>
        <w:rPr>
          <w:rFonts w:ascii="Times New Roman" w:eastAsia="宋体" w:hAnsi="Times New Roman"/>
          <w:color w:val="000000"/>
          <w:sz w:val="20"/>
          <w:szCs w:val="20"/>
        </w:rPr>
        <w:t>Company’s financing 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251"/>
        <w:gridCol w:w="37"/>
        <w:gridCol w:w="121"/>
        <w:gridCol w:w="803"/>
        <w:gridCol w:w="36"/>
        <w:gridCol w:w="36"/>
        <w:gridCol w:w="36"/>
        <w:gridCol w:w="36"/>
        <w:gridCol w:w="121"/>
        <w:gridCol w:w="893"/>
        <w:gridCol w:w="36"/>
        <w:gridCol w:w="36"/>
        <w:gridCol w:w="36"/>
        <w:gridCol w:w="36"/>
        <w:gridCol w:w="120"/>
        <w:gridCol w:w="600"/>
        <w:gridCol w:w="36"/>
        <w:gridCol w:w="36"/>
        <w:gridCol w:w="36"/>
        <w:gridCol w:w="36"/>
        <w:gridCol w:w="121"/>
        <w:gridCol w:w="803"/>
        <w:gridCol w:w="36"/>
        <w:gridCol w:w="36"/>
        <w:gridCol w:w="36"/>
        <w:gridCol w:w="36"/>
        <w:gridCol w:w="121"/>
        <w:gridCol w:w="893"/>
        <w:gridCol w:w="36"/>
        <w:gridCol w:w="36"/>
        <w:gridCol w:w="36"/>
        <w:gridCol w:w="36"/>
        <w:gridCol w:w="120"/>
        <w:gridCol w:w="538"/>
        <w:gridCol w:w="36"/>
      </w:tblGrid>
      <w:tr w:rsidR="00C1563E" w14:paraId="7DCFF691" w14:textId="77777777">
        <w:tc>
          <w:tcPr>
            <w:tcW w:w="50" w:type="pct"/>
            <w:shd w:val="clear" w:color="auto" w:fill="auto"/>
          </w:tcPr>
          <w:p w14:paraId="7DCFF66D" w14:textId="77777777" w:rsidR="00C1563E" w:rsidRDefault="00C1563E">
            <w:pPr>
              <w:rPr>
                <w:rFonts w:ascii="宋体"/>
              </w:rPr>
            </w:pPr>
          </w:p>
        </w:tc>
        <w:tc>
          <w:tcPr>
            <w:tcW w:w="1597" w:type="pct"/>
            <w:shd w:val="clear" w:color="auto" w:fill="auto"/>
          </w:tcPr>
          <w:p w14:paraId="7DCFF66E" w14:textId="77777777" w:rsidR="00C1563E" w:rsidRDefault="00C1563E">
            <w:pPr>
              <w:rPr>
                <w:rFonts w:ascii="宋体"/>
              </w:rPr>
            </w:pPr>
          </w:p>
        </w:tc>
        <w:tc>
          <w:tcPr>
            <w:tcW w:w="5" w:type="pct"/>
            <w:shd w:val="clear" w:color="auto" w:fill="auto"/>
          </w:tcPr>
          <w:p w14:paraId="7DCFF66F" w14:textId="77777777" w:rsidR="00C1563E" w:rsidRDefault="00C1563E">
            <w:pPr>
              <w:rPr>
                <w:rFonts w:ascii="宋体"/>
              </w:rPr>
            </w:pPr>
          </w:p>
        </w:tc>
        <w:tc>
          <w:tcPr>
            <w:tcW w:w="50" w:type="pct"/>
            <w:shd w:val="clear" w:color="auto" w:fill="auto"/>
          </w:tcPr>
          <w:p w14:paraId="7DCFF670" w14:textId="77777777" w:rsidR="00C1563E" w:rsidRDefault="00C1563E">
            <w:pPr>
              <w:rPr>
                <w:rFonts w:ascii="宋体"/>
              </w:rPr>
            </w:pPr>
          </w:p>
        </w:tc>
        <w:tc>
          <w:tcPr>
            <w:tcW w:w="478" w:type="pct"/>
            <w:shd w:val="clear" w:color="auto" w:fill="auto"/>
          </w:tcPr>
          <w:p w14:paraId="7DCFF671" w14:textId="77777777" w:rsidR="00C1563E" w:rsidRDefault="00C1563E">
            <w:pPr>
              <w:rPr>
                <w:rFonts w:ascii="宋体"/>
              </w:rPr>
            </w:pPr>
          </w:p>
        </w:tc>
        <w:tc>
          <w:tcPr>
            <w:tcW w:w="5" w:type="pct"/>
            <w:shd w:val="clear" w:color="auto" w:fill="auto"/>
          </w:tcPr>
          <w:p w14:paraId="7DCFF672" w14:textId="77777777" w:rsidR="00C1563E" w:rsidRDefault="00C1563E">
            <w:pPr>
              <w:rPr>
                <w:rFonts w:ascii="宋体"/>
              </w:rPr>
            </w:pPr>
          </w:p>
        </w:tc>
        <w:tc>
          <w:tcPr>
            <w:tcW w:w="5" w:type="pct"/>
            <w:shd w:val="clear" w:color="auto" w:fill="auto"/>
          </w:tcPr>
          <w:p w14:paraId="7DCFF673" w14:textId="77777777" w:rsidR="00C1563E" w:rsidRDefault="00C1563E">
            <w:pPr>
              <w:rPr>
                <w:rFonts w:ascii="宋体"/>
              </w:rPr>
            </w:pPr>
          </w:p>
        </w:tc>
        <w:tc>
          <w:tcPr>
            <w:tcW w:w="19" w:type="pct"/>
            <w:shd w:val="clear" w:color="auto" w:fill="auto"/>
          </w:tcPr>
          <w:p w14:paraId="7DCFF674" w14:textId="77777777" w:rsidR="00C1563E" w:rsidRDefault="00C1563E">
            <w:pPr>
              <w:rPr>
                <w:rFonts w:ascii="宋体"/>
              </w:rPr>
            </w:pPr>
          </w:p>
        </w:tc>
        <w:tc>
          <w:tcPr>
            <w:tcW w:w="5" w:type="pct"/>
            <w:shd w:val="clear" w:color="auto" w:fill="auto"/>
          </w:tcPr>
          <w:p w14:paraId="7DCFF675" w14:textId="77777777" w:rsidR="00C1563E" w:rsidRDefault="00C1563E">
            <w:pPr>
              <w:rPr>
                <w:rFonts w:ascii="宋体"/>
              </w:rPr>
            </w:pPr>
          </w:p>
        </w:tc>
        <w:tc>
          <w:tcPr>
            <w:tcW w:w="50" w:type="pct"/>
            <w:shd w:val="clear" w:color="auto" w:fill="auto"/>
          </w:tcPr>
          <w:p w14:paraId="7DCFF676" w14:textId="77777777" w:rsidR="00C1563E" w:rsidRDefault="00C1563E">
            <w:pPr>
              <w:rPr>
                <w:rFonts w:ascii="宋体"/>
              </w:rPr>
            </w:pPr>
          </w:p>
        </w:tc>
        <w:tc>
          <w:tcPr>
            <w:tcW w:w="478" w:type="pct"/>
            <w:shd w:val="clear" w:color="auto" w:fill="auto"/>
          </w:tcPr>
          <w:p w14:paraId="7DCFF677" w14:textId="77777777" w:rsidR="00C1563E" w:rsidRDefault="00C1563E">
            <w:pPr>
              <w:rPr>
                <w:rFonts w:ascii="宋体"/>
              </w:rPr>
            </w:pPr>
          </w:p>
        </w:tc>
        <w:tc>
          <w:tcPr>
            <w:tcW w:w="5" w:type="pct"/>
            <w:shd w:val="clear" w:color="auto" w:fill="auto"/>
          </w:tcPr>
          <w:p w14:paraId="7DCFF678" w14:textId="77777777" w:rsidR="00C1563E" w:rsidRDefault="00C1563E">
            <w:pPr>
              <w:rPr>
                <w:rFonts w:ascii="宋体"/>
              </w:rPr>
            </w:pPr>
          </w:p>
        </w:tc>
        <w:tc>
          <w:tcPr>
            <w:tcW w:w="5" w:type="pct"/>
            <w:shd w:val="clear" w:color="auto" w:fill="auto"/>
          </w:tcPr>
          <w:p w14:paraId="7DCFF679" w14:textId="77777777" w:rsidR="00C1563E" w:rsidRDefault="00C1563E">
            <w:pPr>
              <w:rPr>
                <w:rFonts w:ascii="宋体"/>
              </w:rPr>
            </w:pPr>
          </w:p>
        </w:tc>
        <w:tc>
          <w:tcPr>
            <w:tcW w:w="19" w:type="pct"/>
            <w:shd w:val="clear" w:color="auto" w:fill="auto"/>
          </w:tcPr>
          <w:p w14:paraId="7DCFF67A" w14:textId="77777777" w:rsidR="00C1563E" w:rsidRDefault="00C1563E">
            <w:pPr>
              <w:rPr>
                <w:rFonts w:ascii="宋体"/>
              </w:rPr>
            </w:pPr>
          </w:p>
        </w:tc>
        <w:tc>
          <w:tcPr>
            <w:tcW w:w="5" w:type="pct"/>
            <w:shd w:val="clear" w:color="auto" w:fill="auto"/>
          </w:tcPr>
          <w:p w14:paraId="7DCFF67B" w14:textId="77777777" w:rsidR="00C1563E" w:rsidRDefault="00C1563E">
            <w:pPr>
              <w:rPr>
                <w:rFonts w:ascii="宋体"/>
              </w:rPr>
            </w:pPr>
          </w:p>
        </w:tc>
        <w:tc>
          <w:tcPr>
            <w:tcW w:w="50" w:type="pct"/>
            <w:shd w:val="clear" w:color="auto" w:fill="auto"/>
          </w:tcPr>
          <w:p w14:paraId="7DCFF67C" w14:textId="77777777" w:rsidR="00C1563E" w:rsidRDefault="00C1563E">
            <w:pPr>
              <w:rPr>
                <w:rFonts w:ascii="宋体"/>
              </w:rPr>
            </w:pPr>
          </w:p>
        </w:tc>
        <w:tc>
          <w:tcPr>
            <w:tcW w:w="478" w:type="pct"/>
            <w:shd w:val="clear" w:color="auto" w:fill="auto"/>
          </w:tcPr>
          <w:p w14:paraId="7DCFF67D" w14:textId="77777777" w:rsidR="00C1563E" w:rsidRDefault="00C1563E">
            <w:pPr>
              <w:rPr>
                <w:rFonts w:ascii="宋体"/>
              </w:rPr>
            </w:pPr>
          </w:p>
        </w:tc>
        <w:tc>
          <w:tcPr>
            <w:tcW w:w="5" w:type="pct"/>
            <w:shd w:val="clear" w:color="auto" w:fill="auto"/>
          </w:tcPr>
          <w:p w14:paraId="7DCFF67E" w14:textId="77777777" w:rsidR="00C1563E" w:rsidRDefault="00C1563E">
            <w:pPr>
              <w:rPr>
                <w:rFonts w:ascii="宋体"/>
              </w:rPr>
            </w:pPr>
          </w:p>
        </w:tc>
        <w:tc>
          <w:tcPr>
            <w:tcW w:w="5" w:type="pct"/>
            <w:shd w:val="clear" w:color="auto" w:fill="auto"/>
          </w:tcPr>
          <w:p w14:paraId="7DCFF67F" w14:textId="77777777" w:rsidR="00C1563E" w:rsidRDefault="00C1563E">
            <w:pPr>
              <w:rPr>
                <w:rFonts w:ascii="宋体"/>
              </w:rPr>
            </w:pPr>
          </w:p>
        </w:tc>
        <w:tc>
          <w:tcPr>
            <w:tcW w:w="19" w:type="pct"/>
            <w:shd w:val="clear" w:color="auto" w:fill="auto"/>
          </w:tcPr>
          <w:p w14:paraId="7DCFF680" w14:textId="77777777" w:rsidR="00C1563E" w:rsidRDefault="00C1563E">
            <w:pPr>
              <w:rPr>
                <w:rFonts w:ascii="宋体"/>
              </w:rPr>
            </w:pPr>
          </w:p>
        </w:tc>
        <w:tc>
          <w:tcPr>
            <w:tcW w:w="5" w:type="pct"/>
            <w:shd w:val="clear" w:color="auto" w:fill="auto"/>
          </w:tcPr>
          <w:p w14:paraId="7DCFF681" w14:textId="77777777" w:rsidR="00C1563E" w:rsidRDefault="00C1563E">
            <w:pPr>
              <w:rPr>
                <w:rFonts w:ascii="宋体"/>
              </w:rPr>
            </w:pPr>
          </w:p>
        </w:tc>
        <w:tc>
          <w:tcPr>
            <w:tcW w:w="50" w:type="pct"/>
            <w:shd w:val="clear" w:color="auto" w:fill="auto"/>
          </w:tcPr>
          <w:p w14:paraId="7DCFF682" w14:textId="77777777" w:rsidR="00C1563E" w:rsidRDefault="00C1563E">
            <w:pPr>
              <w:rPr>
                <w:rFonts w:ascii="宋体"/>
              </w:rPr>
            </w:pPr>
          </w:p>
        </w:tc>
        <w:tc>
          <w:tcPr>
            <w:tcW w:w="478" w:type="pct"/>
            <w:shd w:val="clear" w:color="auto" w:fill="auto"/>
          </w:tcPr>
          <w:p w14:paraId="7DCFF683" w14:textId="77777777" w:rsidR="00C1563E" w:rsidRDefault="00C1563E">
            <w:pPr>
              <w:rPr>
                <w:rFonts w:ascii="宋体"/>
              </w:rPr>
            </w:pPr>
          </w:p>
        </w:tc>
        <w:tc>
          <w:tcPr>
            <w:tcW w:w="5" w:type="pct"/>
            <w:shd w:val="clear" w:color="auto" w:fill="auto"/>
          </w:tcPr>
          <w:p w14:paraId="7DCFF684" w14:textId="77777777" w:rsidR="00C1563E" w:rsidRDefault="00C1563E">
            <w:pPr>
              <w:rPr>
                <w:rFonts w:ascii="宋体"/>
              </w:rPr>
            </w:pPr>
          </w:p>
        </w:tc>
        <w:tc>
          <w:tcPr>
            <w:tcW w:w="5" w:type="pct"/>
            <w:shd w:val="clear" w:color="auto" w:fill="auto"/>
          </w:tcPr>
          <w:p w14:paraId="7DCFF685" w14:textId="77777777" w:rsidR="00C1563E" w:rsidRDefault="00C1563E">
            <w:pPr>
              <w:rPr>
                <w:rFonts w:ascii="宋体"/>
              </w:rPr>
            </w:pPr>
          </w:p>
        </w:tc>
        <w:tc>
          <w:tcPr>
            <w:tcW w:w="19" w:type="pct"/>
            <w:shd w:val="clear" w:color="auto" w:fill="auto"/>
          </w:tcPr>
          <w:p w14:paraId="7DCFF686" w14:textId="77777777" w:rsidR="00C1563E" w:rsidRDefault="00C1563E">
            <w:pPr>
              <w:rPr>
                <w:rFonts w:ascii="宋体"/>
              </w:rPr>
            </w:pPr>
          </w:p>
        </w:tc>
        <w:tc>
          <w:tcPr>
            <w:tcW w:w="5" w:type="pct"/>
            <w:shd w:val="clear" w:color="auto" w:fill="auto"/>
          </w:tcPr>
          <w:p w14:paraId="7DCFF687" w14:textId="77777777" w:rsidR="00C1563E" w:rsidRDefault="00C1563E">
            <w:pPr>
              <w:rPr>
                <w:rFonts w:ascii="宋体"/>
              </w:rPr>
            </w:pPr>
          </w:p>
        </w:tc>
        <w:tc>
          <w:tcPr>
            <w:tcW w:w="50" w:type="pct"/>
            <w:shd w:val="clear" w:color="auto" w:fill="auto"/>
          </w:tcPr>
          <w:p w14:paraId="7DCFF688" w14:textId="77777777" w:rsidR="00C1563E" w:rsidRDefault="00C1563E">
            <w:pPr>
              <w:rPr>
                <w:rFonts w:ascii="宋体"/>
              </w:rPr>
            </w:pPr>
          </w:p>
        </w:tc>
        <w:tc>
          <w:tcPr>
            <w:tcW w:w="478" w:type="pct"/>
            <w:shd w:val="clear" w:color="auto" w:fill="auto"/>
          </w:tcPr>
          <w:p w14:paraId="7DCFF689" w14:textId="77777777" w:rsidR="00C1563E" w:rsidRDefault="00C1563E">
            <w:pPr>
              <w:rPr>
                <w:rFonts w:ascii="宋体"/>
              </w:rPr>
            </w:pPr>
          </w:p>
        </w:tc>
        <w:tc>
          <w:tcPr>
            <w:tcW w:w="5" w:type="pct"/>
            <w:shd w:val="clear" w:color="auto" w:fill="auto"/>
          </w:tcPr>
          <w:p w14:paraId="7DCFF68A" w14:textId="77777777" w:rsidR="00C1563E" w:rsidRDefault="00C1563E">
            <w:pPr>
              <w:rPr>
                <w:rFonts w:ascii="宋体"/>
              </w:rPr>
            </w:pPr>
          </w:p>
        </w:tc>
        <w:tc>
          <w:tcPr>
            <w:tcW w:w="5" w:type="pct"/>
            <w:shd w:val="clear" w:color="auto" w:fill="auto"/>
          </w:tcPr>
          <w:p w14:paraId="7DCFF68B" w14:textId="77777777" w:rsidR="00C1563E" w:rsidRDefault="00C1563E">
            <w:pPr>
              <w:rPr>
                <w:rFonts w:ascii="宋体"/>
              </w:rPr>
            </w:pPr>
          </w:p>
        </w:tc>
        <w:tc>
          <w:tcPr>
            <w:tcW w:w="19" w:type="pct"/>
            <w:shd w:val="clear" w:color="auto" w:fill="auto"/>
          </w:tcPr>
          <w:p w14:paraId="7DCFF68C" w14:textId="77777777" w:rsidR="00C1563E" w:rsidRDefault="00C1563E">
            <w:pPr>
              <w:rPr>
                <w:rFonts w:ascii="宋体"/>
              </w:rPr>
            </w:pPr>
          </w:p>
        </w:tc>
        <w:tc>
          <w:tcPr>
            <w:tcW w:w="5" w:type="pct"/>
            <w:shd w:val="clear" w:color="auto" w:fill="auto"/>
          </w:tcPr>
          <w:p w14:paraId="7DCFF68D" w14:textId="77777777" w:rsidR="00C1563E" w:rsidRDefault="00C1563E">
            <w:pPr>
              <w:rPr>
                <w:rFonts w:ascii="宋体"/>
              </w:rPr>
            </w:pPr>
          </w:p>
        </w:tc>
        <w:tc>
          <w:tcPr>
            <w:tcW w:w="50" w:type="pct"/>
            <w:shd w:val="clear" w:color="auto" w:fill="auto"/>
          </w:tcPr>
          <w:p w14:paraId="7DCFF68E" w14:textId="77777777" w:rsidR="00C1563E" w:rsidRDefault="00C1563E">
            <w:pPr>
              <w:rPr>
                <w:rFonts w:ascii="宋体"/>
              </w:rPr>
            </w:pPr>
          </w:p>
        </w:tc>
        <w:tc>
          <w:tcPr>
            <w:tcW w:w="479" w:type="pct"/>
            <w:shd w:val="clear" w:color="auto" w:fill="auto"/>
          </w:tcPr>
          <w:p w14:paraId="7DCFF68F" w14:textId="77777777" w:rsidR="00C1563E" w:rsidRDefault="00C1563E">
            <w:pPr>
              <w:rPr>
                <w:rFonts w:ascii="宋体"/>
              </w:rPr>
            </w:pPr>
          </w:p>
        </w:tc>
        <w:tc>
          <w:tcPr>
            <w:tcW w:w="5" w:type="pct"/>
            <w:shd w:val="clear" w:color="auto" w:fill="auto"/>
          </w:tcPr>
          <w:p w14:paraId="7DCFF690" w14:textId="77777777" w:rsidR="00C1563E" w:rsidRDefault="00C1563E">
            <w:pPr>
              <w:rPr>
                <w:rFonts w:ascii="宋体"/>
              </w:rPr>
            </w:pPr>
          </w:p>
        </w:tc>
      </w:tr>
      <w:tr w:rsidR="00C1563E" w14:paraId="7DCFF696" w14:textId="77777777">
        <w:tc>
          <w:tcPr>
            <w:tcW w:w="0" w:type="auto"/>
            <w:gridSpan w:val="3"/>
            <w:shd w:val="clear" w:color="auto" w:fill="auto"/>
            <w:tcMar>
              <w:top w:w="40" w:type="dxa"/>
              <w:left w:w="20" w:type="dxa"/>
              <w:bottom w:w="40" w:type="dxa"/>
              <w:right w:w="20" w:type="dxa"/>
            </w:tcMar>
            <w:vAlign w:val="bottom"/>
          </w:tcPr>
          <w:p w14:paraId="7DCFF692"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DCFF693"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694"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CFF695"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6A3" w14:textId="77777777">
        <w:tc>
          <w:tcPr>
            <w:tcW w:w="0" w:type="auto"/>
            <w:gridSpan w:val="3"/>
            <w:shd w:val="clear" w:color="auto" w:fill="auto"/>
            <w:tcMar>
              <w:top w:w="0" w:type="dxa"/>
              <w:left w:w="20" w:type="dxa"/>
              <w:bottom w:w="0" w:type="dxa"/>
              <w:right w:w="20" w:type="dxa"/>
            </w:tcMar>
          </w:tcPr>
          <w:p w14:paraId="7DCFF69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698" w14:textId="77777777" w:rsidR="00C1563E" w:rsidRDefault="000B648B">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DCFF69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69A" w14:textId="77777777" w:rsidR="00C1563E" w:rsidRDefault="000B648B">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DCFF69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69C" w14:textId="77777777" w:rsidR="00C1563E" w:rsidRDefault="000B648B">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DCFF69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69E" w14:textId="77777777" w:rsidR="00C1563E" w:rsidRDefault="000B648B">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tcPr>
          <w:p w14:paraId="7DCFF69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6A0" w14:textId="77777777" w:rsidR="00C1563E" w:rsidRDefault="000B648B">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tcPr>
          <w:p w14:paraId="7DCFF6A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6A2"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6A6" w14:textId="77777777">
        <w:tc>
          <w:tcPr>
            <w:tcW w:w="0" w:type="auto"/>
            <w:gridSpan w:val="3"/>
            <w:shd w:val="clear" w:color="auto" w:fill="auto"/>
            <w:tcMar>
              <w:top w:w="40" w:type="dxa"/>
              <w:left w:w="20" w:type="dxa"/>
              <w:bottom w:w="40" w:type="dxa"/>
              <w:right w:w="20" w:type="dxa"/>
            </w:tcMar>
            <w:vAlign w:val="bottom"/>
          </w:tcPr>
          <w:p w14:paraId="7DCFF6A4"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DCFF6A5"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6B3" w14:textId="77777777">
        <w:tc>
          <w:tcPr>
            <w:tcW w:w="0" w:type="auto"/>
            <w:gridSpan w:val="3"/>
            <w:shd w:val="clear" w:color="auto" w:fill="CCEEFF"/>
            <w:tcMar>
              <w:top w:w="40" w:type="dxa"/>
              <w:left w:w="20" w:type="dxa"/>
              <w:bottom w:w="40" w:type="dxa"/>
              <w:right w:w="20" w:type="dxa"/>
            </w:tcMar>
            <w:vAlign w:val="bottom"/>
          </w:tcPr>
          <w:p w14:paraId="7DCFF6A7" w14:textId="77777777" w:rsidR="00C1563E" w:rsidRDefault="000B648B">
            <w:pPr>
              <w:textAlignment w:val="bottom"/>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bottom"/>
          </w:tcPr>
          <w:p w14:paraId="7DCFF6A8"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F6A9"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6AA"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CFF6A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A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A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A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A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B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B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6B2" w14:textId="77777777" w:rsidR="00C1563E" w:rsidRDefault="00C1563E">
            <w:pPr>
              <w:rPr>
                <w:rFonts w:ascii="宋体"/>
              </w:rPr>
            </w:pPr>
          </w:p>
        </w:tc>
      </w:tr>
      <w:tr w:rsidR="00C1563E" w14:paraId="7DCFF6CC" w14:textId="77777777">
        <w:tc>
          <w:tcPr>
            <w:tcW w:w="0" w:type="auto"/>
            <w:gridSpan w:val="3"/>
            <w:shd w:val="clear" w:color="auto" w:fill="FFFFFF"/>
            <w:tcMar>
              <w:top w:w="40" w:type="dxa"/>
              <w:left w:w="20" w:type="dxa"/>
              <w:bottom w:w="40" w:type="dxa"/>
              <w:right w:w="20" w:type="dxa"/>
            </w:tcMar>
            <w:vAlign w:val="bottom"/>
          </w:tcPr>
          <w:p w14:paraId="7DCFF6B4" w14:textId="77777777" w:rsidR="00C1563E" w:rsidRDefault="000B648B">
            <w:pPr>
              <w:textAlignment w:val="bottom"/>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bottom"/>
          </w:tcPr>
          <w:p w14:paraId="7DCFF6B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B6" w14:textId="77777777" w:rsidR="00C1563E" w:rsidRDefault="000B648B">
            <w:pPr>
              <w:jc w:val="right"/>
              <w:textAlignment w:val="bottom"/>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bottom"/>
          </w:tcPr>
          <w:p w14:paraId="7DCFF6B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B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6B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BA" w14:textId="77777777" w:rsidR="00C1563E" w:rsidRDefault="000B648B">
            <w:pPr>
              <w:jc w:val="right"/>
              <w:textAlignment w:val="bottom"/>
            </w:pPr>
            <w:r>
              <w:rPr>
                <w:rFonts w:ascii="Times New Roman" w:eastAsia="宋体" w:hAnsi="Times New Roman"/>
                <w:color w:val="000000"/>
                <w:sz w:val="20"/>
                <w:szCs w:val="20"/>
              </w:rPr>
              <w:t>9,595 </w:t>
            </w:r>
          </w:p>
        </w:tc>
        <w:tc>
          <w:tcPr>
            <w:tcW w:w="0" w:type="auto"/>
            <w:shd w:val="clear" w:color="auto" w:fill="FFFFFF"/>
            <w:tcMar>
              <w:top w:w="40" w:type="dxa"/>
              <w:left w:w="0" w:type="dxa"/>
              <w:bottom w:w="40" w:type="dxa"/>
              <w:right w:w="20" w:type="dxa"/>
            </w:tcMar>
            <w:vAlign w:val="bottom"/>
          </w:tcPr>
          <w:p w14:paraId="7DCFF6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B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6B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BE" w14:textId="77777777" w:rsidR="00C1563E" w:rsidRDefault="000B648B">
            <w:pPr>
              <w:jc w:val="right"/>
              <w:textAlignment w:val="bottom"/>
            </w:pPr>
            <w:r>
              <w:rPr>
                <w:rFonts w:ascii="Times New Roman" w:eastAsia="宋体" w:hAnsi="Times New Roman"/>
                <w:color w:val="000000"/>
                <w:sz w:val="20"/>
                <w:szCs w:val="20"/>
              </w:rPr>
              <w:t>10,391 </w:t>
            </w:r>
          </w:p>
        </w:tc>
        <w:tc>
          <w:tcPr>
            <w:tcW w:w="0" w:type="auto"/>
            <w:shd w:val="clear" w:color="auto" w:fill="FFFFFF"/>
            <w:tcMar>
              <w:top w:w="40" w:type="dxa"/>
              <w:left w:w="0" w:type="dxa"/>
              <w:bottom w:w="40" w:type="dxa"/>
              <w:right w:w="20" w:type="dxa"/>
            </w:tcMar>
            <w:vAlign w:val="bottom"/>
          </w:tcPr>
          <w:p w14:paraId="7DCFF6B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C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6C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C2" w14:textId="77777777" w:rsidR="00C1563E" w:rsidRDefault="000B648B">
            <w:pPr>
              <w:jc w:val="right"/>
              <w:textAlignment w:val="bottom"/>
            </w:pPr>
            <w:r>
              <w:rPr>
                <w:rFonts w:ascii="Times New Roman" w:eastAsia="宋体" w:hAnsi="Times New Roman"/>
                <w:color w:val="000000"/>
                <w:sz w:val="20"/>
                <w:szCs w:val="20"/>
              </w:rPr>
              <w:t>824 </w:t>
            </w:r>
          </w:p>
        </w:tc>
        <w:tc>
          <w:tcPr>
            <w:tcW w:w="0" w:type="auto"/>
            <w:shd w:val="clear" w:color="auto" w:fill="FFFFFF"/>
            <w:tcMar>
              <w:top w:w="40" w:type="dxa"/>
              <w:left w:w="0" w:type="dxa"/>
              <w:bottom w:w="40" w:type="dxa"/>
              <w:right w:w="20" w:type="dxa"/>
            </w:tcMar>
            <w:vAlign w:val="bottom"/>
          </w:tcPr>
          <w:p w14:paraId="7DCFF6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C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6C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C6" w14:textId="77777777" w:rsidR="00C1563E" w:rsidRDefault="000B648B">
            <w:pPr>
              <w:jc w:val="right"/>
              <w:textAlignment w:val="bottom"/>
            </w:pPr>
            <w:r>
              <w:rPr>
                <w:rFonts w:ascii="Times New Roman" w:eastAsia="宋体" w:hAnsi="Times New Roman"/>
                <w:color w:val="000000"/>
                <w:sz w:val="20"/>
                <w:szCs w:val="20"/>
              </w:rPr>
              <w:t>8,486 </w:t>
            </w:r>
          </w:p>
        </w:tc>
        <w:tc>
          <w:tcPr>
            <w:tcW w:w="0" w:type="auto"/>
            <w:shd w:val="clear" w:color="auto" w:fill="FFFFFF"/>
            <w:tcMar>
              <w:top w:w="40" w:type="dxa"/>
              <w:left w:w="0" w:type="dxa"/>
              <w:bottom w:w="40" w:type="dxa"/>
              <w:right w:w="20" w:type="dxa"/>
            </w:tcMar>
            <w:vAlign w:val="bottom"/>
          </w:tcPr>
          <w:p w14:paraId="7DCFF6C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C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6C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6CA" w14:textId="77777777" w:rsidR="00C1563E" w:rsidRDefault="000B648B">
            <w:pPr>
              <w:jc w:val="right"/>
              <w:textAlignment w:val="bottom"/>
            </w:pPr>
            <w:r>
              <w:rPr>
                <w:rFonts w:ascii="Times New Roman" w:eastAsia="宋体" w:hAnsi="Times New Roman"/>
                <w:color w:val="000000"/>
                <w:sz w:val="20"/>
                <w:szCs w:val="20"/>
              </w:rPr>
              <w:t>9,310 </w:t>
            </w:r>
          </w:p>
        </w:tc>
        <w:tc>
          <w:tcPr>
            <w:tcW w:w="0" w:type="auto"/>
            <w:shd w:val="clear" w:color="auto" w:fill="FFFFFF"/>
            <w:tcMar>
              <w:top w:w="40" w:type="dxa"/>
              <w:left w:w="0" w:type="dxa"/>
              <w:bottom w:w="40" w:type="dxa"/>
              <w:right w:w="20" w:type="dxa"/>
            </w:tcMar>
            <w:vAlign w:val="bottom"/>
          </w:tcPr>
          <w:p w14:paraId="7DCFF6CB" w14:textId="77777777" w:rsidR="00C1563E" w:rsidRDefault="00C1563E">
            <w:pPr>
              <w:jc w:val="right"/>
              <w:rPr>
                <w:rFonts w:ascii="宋体"/>
              </w:rPr>
            </w:pPr>
          </w:p>
        </w:tc>
      </w:tr>
      <w:tr w:rsidR="00C1563E" w14:paraId="7DCFF6DF" w14:textId="77777777">
        <w:tc>
          <w:tcPr>
            <w:tcW w:w="0" w:type="auto"/>
            <w:gridSpan w:val="3"/>
            <w:shd w:val="clear" w:color="auto" w:fill="CCEEFF"/>
            <w:tcMar>
              <w:top w:w="40" w:type="dxa"/>
              <w:left w:w="245" w:type="dxa"/>
              <w:bottom w:w="40" w:type="dxa"/>
              <w:right w:w="20" w:type="dxa"/>
            </w:tcMar>
            <w:vAlign w:val="bottom"/>
          </w:tcPr>
          <w:p w14:paraId="7DCFF6CD" w14:textId="77777777" w:rsidR="00C1563E" w:rsidRDefault="000B648B">
            <w:pPr>
              <w:textAlignment w:val="bottom"/>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bottom"/>
          </w:tcPr>
          <w:p w14:paraId="7DCFF6CE" w14:textId="77777777" w:rsidR="00C1563E" w:rsidRDefault="000B648B">
            <w:pPr>
              <w:jc w:val="right"/>
              <w:textAlignment w:val="bottom"/>
            </w:pPr>
            <w:r>
              <w:rPr>
                <w:rFonts w:ascii="Times New Roman" w:eastAsia="宋体" w:hAnsi="Times New Roman"/>
                <w:color w:val="000000"/>
                <w:sz w:val="20"/>
                <w:szCs w:val="20"/>
              </w:rPr>
              <w:t>(148)</w:t>
            </w:r>
          </w:p>
        </w:tc>
        <w:tc>
          <w:tcPr>
            <w:tcW w:w="0" w:type="auto"/>
            <w:shd w:val="clear" w:color="auto" w:fill="CCEEFF"/>
            <w:tcMar>
              <w:top w:w="40" w:type="dxa"/>
              <w:left w:w="0" w:type="dxa"/>
              <w:bottom w:w="40" w:type="dxa"/>
              <w:right w:w="20" w:type="dxa"/>
            </w:tcMar>
            <w:vAlign w:val="bottom"/>
          </w:tcPr>
          <w:p w14:paraId="7DCFF6C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D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D1" w14:textId="77777777" w:rsidR="00C1563E" w:rsidRDefault="000B648B">
            <w:pPr>
              <w:jc w:val="right"/>
              <w:textAlignment w:val="bottom"/>
            </w:pPr>
            <w:r>
              <w:rPr>
                <w:rFonts w:ascii="Times New Roman" w:eastAsia="宋体" w:hAnsi="Times New Roman"/>
                <w:color w:val="000000"/>
                <w:sz w:val="20"/>
                <w:szCs w:val="20"/>
              </w:rPr>
              <w:t>(173)</w:t>
            </w:r>
          </w:p>
        </w:tc>
        <w:tc>
          <w:tcPr>
            <w:tcW w:w="0" w:type="auto"/>
            <w:shd w:val="clear" w:color="auto" w:fill="CCEEFF"/>
            <w:tcMar>
              <w:top w:w="40" w:type="dxa"/>
              <w:left w:w="0" w:type="dxa"/>
              <w:bottom w:w="40" w:type="dxa"/>
              <w:right w:w="20" w:type="dxa"/>
            </w:tcMar>
            <w:vAlign w:val="bottom"/>
          </w:tcPr>
          <w:p w14:paraId="7DCFF6D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D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D4" w14:textId="77777777" w:rsidR="00C1563E" w:rsidRDefault="000B648B">
            <w:pPr>
              <w:jc w:val="right"/>
              <w:textAlignment w:val="bottom"/>
            </w:pPr>
            <w:r>
              <w:rPr>
                <w:rFonts w:ascii="Times New Roman" w:eastAsia="宋体" w:hAnsi="Times New Roman"/>
                <w:color w:val="000000"/>
                <w:sz w:val="20"/>
                <w:szCs w:val="20"/>
              </w:rPr>
              <w:t>(321)</w:t>
            </w:r>
          </w:p>
        </w:tc>
        <w:tc>
          <w:tcPr>
            <w:tcW w:w="0" w:type="auto"/>
            <w:shd w:val="clear" w:color="auto" w:fill="CCEEFF"/>
            <w:tcMar>
              <w:top w:w="40" w:type="dxa"/>
              <w:left w:w="0" w:type="dxa"/>
              <w:bottom w:w="40" w:type="dxa"/>
              <w:right w:w="20" w:type="dxa"/>
            </w:tcMar>
            <w:vAlign w:val="bottom"/>
          </w:tcPr>
          <w:p w14:paraId="7DCFF6D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D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D7" w14:textId="77777777" w:rsidR="00C1563E" w:rsidRDefault="000B648B">
            <w:pPr>
              <w:jc w:val="right"/>
              <w:textAlignment w:val="bottom"/>
            </w:pPr>
            <w:r>
              <w:rPr>
                <w:rFonts w:ascii="Times New Roman" w:eastAsia="宋体" w:hAnsi="Times New Roman"/>
                <w:color w:val="000000"/>
                <w:sz w:val="20"/>
                <w:szCs w:val="20"/>
              </w:rPr>
              <w:t>(70)</w:t>
            </w:r>
          </w:p>
        </w:tc>
        <w:tc>
          <w:tcPr>
            <w:tcW w:w="0" w:type="auto"/>
            <w:shd w:val="clear" w:color="auto" w:fill="CCEEFF"/>
            <w:tcMar>
              <w:top w:w="40" w:type="dxa"/>
              <w:left w:w="0" w:type="dxa"/>
              <w:bottom w:w="40" w:type="dxa"/>
              <w:right w:w="20" w:type="dxa"/>
            </w:tcMar>
            <w:vAlign w:val="bottom"/>
          </w:tcPr>
          <w:p w14:paraId="7DCFF6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D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DA" w14:textId="77777777" w:rsidR="00C1563E" w:rsidRDefault="000B648B">
            <w:pPr>
              <w:jc w:val="right"/>
              <w:textAlignment w:val="bottom"/>
            </w:pPr>
            <w:r>
              <w:rPr>
                <w:rFonts w:ascii="Times New Roman" w:eastAsia="宋体" w:hAnsi="Times New Roman"/>
                <w:color w:val="000000"/>
                <w:sz w:val="20"/>
                <w:szCs w:val="20"/>
              </w:rPr>
              <w:t>(79)</w:t>
            </w:r>
          </w:p>
        </w:tc>
        <w:tc>
          <w:tcPr>
            <w:tcW w:w="0" w:type="auto"/>
            <w:shd w:val="clear" w:color="auto" w:fill="CCEEFF"/>
            <w:tcMar>
              <w:top w:w="40" w:type="dxa"/>
              <w:left w:w="0" w:type="dxa"/>
              <w:bottom w:w="40" w:type="dxa"/>
              <w:right w:w="20" w:type="dxa"/>
            </w:tcMar>
            <w:vAlign w:val="bottom"/>
          </w:tcPr>
          <w:p w14:paraId="7DCFF6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D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DD" w14:textId="77777777" w:rsidR="00C1563E" w:rsidRDefault="000B648B">
            <w:pPr>
              <w:jc w:val="right"/>
              <w:textAlignment w:val="bottom"/>
            </w:pPr>
            <w:r>
              <w:rPr>
                <w:rFonts w:ascii="Times New Roman" w:eastAsia="宋体" w:hAnsi="Times New Roman"/>
                <w:color w:val="000000"/>
                <w:sz w:val="20"/>
                <w:szCs w:val="20"/>
              </w:rPr>
              <w:t>(149)</w:t>
            </w:r>
          </w:p>
        </w:tc>
        <w:tc>
          <w:tcPr>
            <w:tcW w:w="0" w:type="auto"/>
            <w:shd w:val="clear" w:color="auto" w:fill="CCEEFF"/>
            <w:tcMar>
              <w:top w:w="40" w:type="dxa"/>
              <w:left w:w="0" w:type="dxa"/>
              <w:bottom w:w="40" w:type="dxa"/>
              <w:right w:w="20" w:type="dxa"/>
            </w:tcMar>
            <w:vAlign w:val="bottom"/>
          </w:tcPr>
          <w:p w14:paraId="7DCFF6DE" w14:textId="77777777" w:rsidR="00C1563E" w:rsidRDefault="00C1563E">
            <w:pPr>
              <w:jc w:val="right"/>
              <w:rPr>
                <w:rFonts w:ascii="宋体"/>
              </w:rPr>
            </w:pPr>
          </w:p>
        </w:tc>
      </w:tr>
      <w:tr w:rsidR="00C1563E" w14:paraId="7DCFF6F2" w14:textId="77777777">
        <w:tc>
          <w:tcPr>
            <w:tcW w:w="0" w:type="auto"/>
            <w:gridSpan w:val="3"/>
            <w:shd w:val="clear" w:color="auto" w:fill="FFFFFF"/>
            <w:tcMar>
              <w:top w:w="40" w:type="dxa"/>
              <w:left w:w="155" w:type="dxa"/>
              <w:bottom w:w="40" w:type="dxa"/>
              <w:right w:w="20" w:type="dxa"/>
            </w:tcMar>
            <w:vAlign w:val="bottom"/>
          </w:tcPr>
          <w:p w14:paraId="7DCFF6E0" w14:textId="77777777" w:rsidR="00C1563E" w:rsidRDefault="000B648B">
            <w:pPr>
              <w:textAlignment w:val="bottom"/>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E1" w14:textId="77777777" w:rsidR="00C1563E" w:rsidRDefault="000B648B">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E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E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E4" w14:textId="77777777" w:rsidR="00C1563E" w:rsidRDefault="000B648B">
            <w:pPr>
              <w:jc w:val="right"/>
              <w:textAlignment w:val="bottom"/>
            </w:pPr>
            <w:r>
              <w:rPr>
                <w:rFonts w:ascii="Times New Roman" w:eastAsia="宋体" w:hAnsi="Times New Roman"/>
                <w:color w:val="000000"/>
                <w:sz w:val="20"/>
                <w:szCs w:val="20"/>
              </w:rPr>
              <w:t>9,422 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E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E6"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E7" w14:textId="77777777" w:rsidR="00C1563E" w:rsidRDefault="000B648B">
            <w:pPr>
              <w:jc w:val="right"/>
              <w:textAlignment w:val="bottom"/>
            </w:pPr>
            <w:r>
              <w:rPr>
                <w:rFonts w:ascii="Times New Roman" w:eastAsia="宋体" w:hAnsi="Times New Roman"/>
                <w:color w:val="000000"/>
                <w:sz w:val="20"/>
                <w:szCs w:val="20"/>
              </w:rPr>
              <w:t>10,070 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E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E9"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EA" w14:textId="77777777" w:rsidR="00C1563E" w:rsidRDefault="000B648B">
            <w:pPr>
              <w:jc w:val="right"/>
              <w:textAlignment w:val="bottom"/>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E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EC"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ED" w14:textId="77777777" w:rsidR="00C1563E" w:rsidRDefault="000B648B">
            <w:pPr>
              <w:jc w:val="right"/>
              <w:textAlignment w:val="bottom"/>
            </w:pPr>
            <w:r>
              <w:rPr>
                <w:rFonts w:ascii="Times New Roman" w:eastAsia="宋体" w:hAnsi="Times New Roman"/>
                <w:color w:val="000000"/>
                <w:sz w:val="20"/>
                <w:szCs w:val="20"/>
              </w:rPr>
              <w:t>8,407 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E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6EF"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6F0" w14:textId="77777777" w:rsidR="00C1563E" w:rsidRDefault="000B648B">
            <w:pPr>
              <w:jc w:val="right"/>
              <w:textAlignment w:val="bottom"/>
            </w:pPr>
            <w:r>
              <w:rPr>
                <w:rFonts w:ascii="Times New Roman" w:eastAsia="宋体" w:hAnsi="Times New Roman"/>
                <w:color w:val="000000"/>
                <w:sz w:val="20"/>
                <w:szCs w:val="20"/>
              </w:rPr>
              <w:t>9,161 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6F1" w14:textId="77777777" w:rsidR="00C1563E" w:rsidRDefault="00C1563E">
            <w:pPr>
              <w:jc w:val="right"/>
              <w:rPr>
                <w:rFonts w:ascii="宋体"/>
              </w:rPr>
            </w:pPr>
          </w:p>
        </w:tc>
      </w:tr>
      <w:tr w:rsidR="00C1563E" w14:paraId="7DCFF705" w14:textId="77777777">
        <w:tc>
          <w:tcPr>
            <w:tcW w:w="0" w:type="auto"/>
            <w:gridSpan w:val="3"/>
            <w:shd w:val="clear" w:color="auto" w:fill="CCEEFF"/>
            <w:tcMar>
              <w:top w:w="40" w:type="dxa"/>
              <w:left w:w="20" w:type="dxa"/>
              <w:bottom w:w="40" w:type="dxa"/>
              <w:right w:w="20" w:type="dxa"/>
            </w:tcMar>
            <w:vAlign w:val="bottom"/>
          </w:tcPr>
          <w:p w14:paraId="7DCFF6F3" w14:textId="77777777" w:rsidR="00C1563E" w:rsidRDefault="000B648B">
            <w:pPr>
              <w:textAlignment w:val="bottom"/>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bottom"/>
          </w:tcPr>
          <w:p w14:paraId="7DCFF6F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6F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F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F7" w14:textId="77777777" w:rsidR="00C1563E" w:rsidRDefault="000B648B">
            <w:pPr>
              <w:jc w:val="right"/>
              <w:textAlignment w:val="bottom"/>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bottom"/>
          </w:tcPr>
          <w:p w14:paraId="7DCFF6F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F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FA" w14:textId="77777777" w:rsidR="00C1563E" w:rsidRDefault="000B648B">
            <w:pPr>
              <w:jc w:val="right"/>
              <w:textAlignment w:val="bottom"/>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bottom"/>
          </w:tcPr>
          <w:p w14:paraId="7DCFF6F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F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6F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6F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6F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00"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bottom"/>
          </w:tcPr>
          <w:p w14:paraId="7DCFF70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0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03"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bottom"/>
          </w:tcPr>
          <w:p w14:paraId="7DCFF704" w14:textId="77777777" w:rsidR="00C1563E" w:rsidRDefault="00C1563E">
            <w:pPr>
              <w:jc w:val="right"/>
              <w:rPr>
                <w:rFonts w:ascii="宋体"/>
              </w:rPr>
            </w:pPr>
          </w:p>
        </w:tc>
      </w:tr>
      <w:tr w:rsidR="00C1563E" w14:paraId="7DCFF71E" w14:textId="77777777">
        <w:tc>
          <w:tcPr>
            <w:tcW w:w="0" w:type="auto"/>
            <w:gridSpan w:val="3"/>
            <w:shd w:val="clear" w:color="auto" w:fill="FFFFFF"/>
            <w:tcMar>
              <w:top w:w="40" w:type="dxa"/>
              <w:left w:w="155" w:type="dxa"/>
              <w:bottom w:w="40" w:type="dxa"/>
              <w:right w:w="20" w:type="dxa"/>
            </w:tcMar>
            <w:vAlign w:val="bottom"/>
          </w:tcPr>
          <w:p w14:paraId="7DCFF706" w14:textId="77777777" w:rsidR="00C1563E" w:rsidRDefault="000B648B">
            <w:pPr>
              <w:textAlignment w:val="bottom"/>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F70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08" w14:textId="77777777" w:rsidR="00C1563E" w:rsidRDefault="000B648B">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0A"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70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0C" w14:textId="77777777" w:rsidR="00C1563E" w:rsidRDefault="000B648B">
            <w:pPr>
              <w:jc w:val="right"/>
              <w:textAlignment w:val="bottom"/>
            </w:pPr>
            <w:r>
              <w:rPr>
                <w:rFonts w:ascii="Times New Roman" w:eastAsia="宋体" w:hAnsi="Times New Roman"/>
                <w:color w:val="000000"/>
                <w:sz w:val="20"/>
                <w:szCs w:val="20"/>
              </w:rPr>
              <w:t>9,846 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0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0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70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10" w14:textId="77777777" w:rsidR="00C1563E" w:rsidRDefault="000B648B">
            <w:pPr>
              <w:jc w:val="right"/>
              <w:textAlignment w:val="bottom"/>
            </w:pPr>
            <w:r>
              <w:rPr>
                <w:rFonts w:ascii="Times New Roman" w:eastAsia="宋体" w:hAnsi="Times New Roman"/>
                <w:color w:val="000000"/>
                <w:sz w:val="20"/>
                <w:szCs w:val="20"/>
              </w:rPr>
              <w:t>10,494 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1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1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71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14" w14:textId="77777777" w:rsidR="00C1563E" w:rsidRDefault="000B648B">
            <w:pPr>
              <w:jc w:val="right"/>
              <w:textAlignment w:val="bottom"/>
            </w:pPr>
            <w:r>
              <w:rPr>
                <w:rFonts w:ascii="Times New Roman" w:eastAsia="宋体" w:hAnsi="Times New Roman"/>
                <w:color w:val="000000"/>
                <w:sz w:val="20"/>
                <w:szCs w:val="20"/>
              </w:rPr>
              <w:t>754 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1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1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71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18" w14:textId="77777777" w:rsidR="00C1563E" w:rsidRDefault="000B648B">
            <w:pPr>
              <w:jc w:val="right"/>
              <w:textAlignment w:val="bottom"/>
            </w:pPr>
            <w:r>
              <w:rPr>
                <w:rFonts w:ascii="Times New Roman" w:eastAsia="宋体" w:hAnsi="Times New Roman"/>
                <w:color w:val="000000"/>
                <w:sz w:val="20"/>
                <w:szCs w:val="20"/>
              </w:rPr>
              <w:t>8,989 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1A"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71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71C" w14:textId="77777777" w:rsidR="00C1563E" w:rsidRDefault="000B648B">
            <w:pPr>
              <w:jc w:val="right"/>
              <w:textAlignment w:val="bottom"/>
            </w:pPr>
            <w:r>
              <w:rPr>
                <w:rFonts w:ascii="Times New Roman" w:eastAsia="宋体" w:hAnsi="Times New Roman"/>
                <w:color w:val="000000"/>
                <w:sz w:val="20"/>
                <w:szCs w:val="20"/>
              </w:rPr>
              <w:t>9,743 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1D" w14:textId="77777777" w:rsidR="00C1563E" w:rsidRDefault="00C1563E">
            <w:pPr>
              <w:jc w:val="right"/>
              <w:rPr>
                <w:rFonts w:ascii="宋体"/>
              </w:rPr>
            </w:pPr>
          </w:p>
        </w:tc>
      </w:tr>
      <w:tr w:rsidR="00C1563E" w14:paraId="7DCFF737" w14:textId="77777777">
        <w:tc>
          <w:tcPr>
            <w:tcW w:w="0" w:type="auto"/>
            <w:gridSpan w:val="3"/>
            <w:shd w:val="clear" w:color="auto" w:fill="CCEEFF"/>
            <w:tcMar>
              <w:top w:w="40" w:type="dxa"/>
              <w:left w:w="245" w:type="dxa"/>
              <w:bottom w:w="40" w:type="dxa"/>
              <w:right w:w="20" w:type="dxa"/>
            </w:tcMar>
            <w:vAlign w:val="bottom"/>
          </w:tcPr>
          <w:p w14:paraId="7DCFF71F" w14:textId="77777777" w:rsidR="00C1563E" w:rsidRDefault="000B648B">
            <w:pPr>
              <w:textAlignment w:val="bottom"/>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bottom"/>
          </w:tcPr>
          <w:p w14:paraId="7DCFF72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21" w14:textId="77777777" w:rsidR="00C1563E" w:rsidRDefault="000B648B">
            <w:pPr>
              <w:jc w:val="right"/>
              <w:textAlignment w:val="bottom"/>
            </w:pPr>
            <w:r>
              <w:rPr>
                <w:rFonts w:ascii="Times New Roman" w:eastAsia="宋体" w:hAnsi="Times New Roman"/>
                <w:color w:val="000000"/>
                <w:sz w:val="20"/>
                <w:szCs w:val="20"/>
              </w:rPr>
              <w:t>648 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2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23"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72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25" w14:textId="77777777" w:rsidR="00C1563E" w:rsidRDefault="000B648B">
            <w:pPr>
              <w:jc w:val="right"/>
              <w:textAlignment w:val="bottom"/>
            </w:pPr>
            <w:r>
              <w:rPr>
                <w:rFonts w:ascii="Times New Roman" w:eastAsia="宋体" w:hAnsi="Times New Roman"/>
                <w:color w:val="000000"/>
                <w:sz w:val="20"/>
                <w:szCs w:val="20"/>
              </w:rPr>
              <w:t>4,507 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2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27"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72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29" w14:textId="77777777" w:rsidR="00C1563E" w:rsidRDefault="000B648B">
            <w:pPr>
              <w:jc w:val="right"/>
              <w:textAlignment w:val="bottom"/>
            </w:pPr>
            <w:r>
              <w:rPr>
                <w:rFonts w:ascii="Times New Roman" w:eastAsia="宋体" w:hAnsi="Times New Roman"/>
                <w:color w:val="000000"/>
                <w:sz w:val="20"/>
                <w:szCs w:val="20"/>
              </w:rPr>
              <w:t>5,155 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2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2B"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72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2D" w14:textId="77777777" w:rsidR="00C1563E" w:rsidRDefault="000B648B">
            <w:pPr>
              <w:jc w:val="right"/>
              <w:textAlignment w:val="bottom"/>
            </w:pPr>
            <w:r>
              <w:rPr>
                <w:rFonts w:ascii="Times New Roman" w:eastAsia="宋体" w:hAnsi="Times New Roman"/>
                <w:color w:val="000000"/>
                <w:sz w:val="20"/>
                <w:szCs w:val="20"/>
              </w:rPr>
              <w:t>754 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2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2F"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73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31" w14:textId="77777777" w:rsidR="00C1563E" w:rsidRDefault="000B648B">
            <w:pPr>
              <w:jc w:val="right"/>
              <w:textAlignment w:val="bottom"/>
            </w:pPr>
            <w:r>
              <w:rPr>
                <w:rFonts w:ascii="Times New Roman" w:eastAsia="宋体" w:hAnsi="Times New Roman"/>
                <w:color w:val="000000"/>
                <w:sz w:val="20"/>
                <w:szCs w:val="20"/>
              </w:rPr>
              <w:t>4,141 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3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33"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73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735" w14:textId="77777777" w:rsidR="00C1563E" w:rsidRDefault="000B648B">
            <w:pPr>
              <w:jc w:val="right"/>
              <w:textAlignment w:val="bottom"/>
            </w:pPr>
            <w:r>
              <w:rPr>
                <w:rFonts w:ascii="Times New Roman" w:eastAsia="宋体" w:hAnsi="Times New Roman"/>
                <w:color w:val="000000"/>
                <w:sz w:val="20"/>
                <w:szCs w:val="20"/>
              </w:rPr>
              <w:t>4,895 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736" w14:textId="77777777" w:rsidR="00C1563E" w:rsidRDefault="00C1563E">
            <w:pPr>
              <w:jc w:val="right"/>
              <w:rPr>
                <w:rFonts w:ascii="宋体"/>
              </w:rPr>
            </w:pPr>
          </w:p>
        </w:tc>
      </w:tr>
      <w:tr w:rsidR="00C1563E" w14:paraId="7DCFF750" w14:textId="77777777">
        <w:tc>
          <w:tcPr>
            <w:tcW w:w="0" w:type="auto"/>
            <w:gridSpan w:val="3"/>
            <w:shd w:val="clear" w:color="auto" w:fill="FFFFFF"/>
            <w:tcMar>
              <w:top w:w="40" w:type="dxa"/>
              <w:left w:w="245" w:type="dxa"/>
              <w:bottom w:w="40" w:type="dxa"/>
              <w:right w:w="20" w:type="dxa"/>
            </w:tcMar>
            <w:vAlign w:val="bottom"/>
          </w:tcPr>
          <w:p w14:paraId="7DCFF738" w14:textId="77777777" w:rsidR="00C1563E" w:rsidRDefault="000B648B">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7DCFF73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3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7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3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3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3E" w14:textId="77777777" w:rsidR="00C1563E" w:rsidRDefault="000B648B">
            <w:pPr>
              <w:jc w:val="right"/>
              <w:textAlignment w:val="bottom"/>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bottom"/>
          </w:tcPr>
          <w:p w14:paraId="7DCFF73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4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4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42" w14:textId="77777777" w:rsidR="00C1563E" w:rsidRDefault="000B648B">
            <w:pPr>
              <w:jc w:val="right"/>
              <w:textAlignment w:val="bottom"/>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bottom"/>
          </w:tcPr>
          <w:p w14:paraId="7DCFF74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4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4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4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74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4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4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4A" w14:textId="77777777" w:rsidR="00C1563E" w:rsidRDefault="000B648B">
            <w:pPr>
              <w:jc w:val="right"/>
              <w:textAlignment w:val="bottom"/>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bottom"/>
          </w:tcPr>
          <w:p w14:paraId="7DCFF7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4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4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4E" w14:textId="77777777" w:rsidR="00C1563E" w:rsidRDefault="000B648B">
            <w:pPr>
              <w:jc w:val="right"/>
              <w:textAlignment w:val="bottom"/>
            </w:pPr>
            <w:r>
              <w:rPr>
                <w:rFonts w:ascii="Times New Roman" w:eastAsia="宋体" w:hAnsi="Times New Roman"/>
                <w:color w:val="000000"/>
                <w:sz w:val="20"/>
                <w:szCs w:val="20"/>
              </w:rPr>
              <w:t>4,848 </w:t>
            </w:r>
          </w:p>
        </w:tc>
        <w:tc>
          <w:tcPr>
            <w:tcW w:w="0" w:type="auto"/>
            <w:shd w:val="clear" w:color="auto" w:fill="FFFFFF"/>
            <w:tcMar>
              <w:top w:w="40" w:type="dxa"/>
              <w:left w:w="0" w:type="dxa"/>
              <w:bottom w:w="40" w:type="dxa"/>
              <w:right w:w="20" w:type="dxa"/>
            </w:tcMar>
            <w:vAlign w:val="bottom"/>
          </w:tcPr>
          <w:p w14:paraId="7DCFF74F" w14:textId="77777777" w:rsidR="00C1563E" w:rsidRDefault="00C1563E">
            <w:pPr>
              <w:jc w:val="right"/>
              <w:rPr>
                <w:rFonts w:ascii="宋体"/>
              </w:rPr>
            </w:pPr>
          </w:p>
        </w:tc>
      </w:tr>
    </w:tbl>
    <w:p w14:paraId="7DCFF751" w14:textId="77777777" w:rsidR="00C1563E" w:rsidRDefault="000B648B">
      <w:r>
        <w:rPr>
          <w:rFonts w:ascii="Times New Roman" w:eastAsia="宋体" w:hAnsi="Times New Roman"/>
          <w:color w:val="000000"/>
          <w:sz w:val="20"/>
          <w:szCs w:val="20"/>
        </w:rPr>
        <w:t>____________________</w:t>
      </w:r>
    </w:p>
    <w:p w14:paraId="7DCFF752" w14:textId="77777777" w:rsidR="00C1563E" w:rsidRDefault="000B648B">
      <w:pPr>
        <w:ind w:hanging="360"/>
      </w:pPr>
      <w:r>
        <w:rPr>
          <w:rFonts w:ascii="Times New Roman" w:eastAsia="宋体" w:hAnsi="Times New Roman"/>
          <w:color w:val="000000"/>
          <w:sz w:val="20"/>
          <w:szCs w:val="20"/>
        </w:rPr>
        <w:t>(a)    Customer receivables, gross includes amounts due from customers under revolving loans, fixed-term loans, fixed-term sales-type or direct financing leases, and accrued interest.</w:t>
      </w:r>
    </w:p>
    <w:p w14:paraId="7DCFF753" w14:textId="77777777" w:rsidR="00C1563E" w:rsidRDefault="00C1563E">
      <w:pPr>
        <w:ind w:hanging="360"/>
      </w:pPr>
    </w:p>
    <w:p w14:paraId="7DCFF754" w14:textId="77777777" w:rsidR="00C1563E" w:rsidRDefault="000B648B">
      <w:r>
        <w:rPr>
          <w:rFonts w:ascii="Times New Roman" w:eastAsia="宋体" w:hAnsi="Times New Roman"/>
          <w:color w:val="000000"/>
          <w:sz w:val="20"/>
          <w:szCs w:val="20"/>
        </w:rPr>
        <w:t>The allowance for losses as of January 29, 2021 includes the adoption of the new CECL standard, which was adopted as of February 1, 2020 using the modified retrospective method. Prior period amounts have not been recast. The provision recognized on the Con</w:t>
      </w:r>
      <w:r>
        <w:rPr>
          <w:rFonts w:ascii="Times New Roman" w:eastAsia="宋体" w:hAnsi="Times New Roman"/>
          <w:color w:val="000000"/>
          <w:sz w:val="20"/>
          <w:szCs w:val="20"/>
        </w:rPr>
        <w:t xml:space="preserve">solidated Statements of Income (Loss) for the </w:t>
      </w:r>
      <w:r>
        <w:rPr>
          <w:rFonts w:ascii="Times New Roman" w:eastAsia="宋体" w:hAnsi="Times New Roman"/>
          <w:color w:val="212529"/>
          <w:sz w:val="20"/>
          <w:szCs w:val="20"/>
        </w:rPr>
        <w:t>fiscal year ended</w:t>
      </w:r>
      <w:r>
        <w:rPr>
          <w:rFonts w:ascii="Times New Roman" w:eastAsia="宋体" w:hAnsi="Times New Roman"/>
          <w:color w:val="000000"/>
          <w:sz w:val="20"/>
          <w:szCs w:val="20"/>
        </w:rPr>
        <w:t xml:space="preserve"> January 29, 2021 is based on an assessment of the impact of current and expected future economic conditions, inclusive of the effect of the COVID-19 pandemic on credit losses. The duration and</w:t>
      </w:r>
      <w:r>
        <w:rPr>
          <w:rFonts w:ascii="Times New Roman" w:eastAsia="宋体" w:hAnsi="Times New Roman"/>
          <w:color w:val="000000"/>
          <w:sz w:val="20"/>
          <w:szCs w:val="20"/>
        </w:rPr>
        <w:t xml:space="preserve"> severity of COVID-19 and continued market volatility is highly uncertain and, as such, the impact on expected losses is subject to significant judgment and may cause variability in the Company’s allowance for credit losses in future periods. See Note 2 of</w:t>
      </w:r>
      <w:r>
        <w:rPr>
          <w:rFonts w:ascii="Times New Roman" w:eastAsia="宋体" w:hAnsi="Times New Roman"/>
          <w:color w:val="000000"/>
          <w:sz w:val="20"/>
          <w:szCs w:val="20"/>
        </w:rPr>
        <w:t xml:space="preserve"> the Notes to the Consolidated Financial Statements for additional information about the new CECL standard.</w:t>
      </w:r>
    </w:p>
    <w:p w14:paraId="7DCFF755" w14:textId="77777777" w:rsidR="00C1563E" w:rsidRDefault="00C1563E">
      <w:pPr>
        <w:ind w:hanging="360"/>
      </w:pPr>
    </w:p>
    <w:p w14:paraId="7DCFF756" w14:textId="77777777" w:rsidR="00C1563E" w:rsidRDefault="00C1563E">
      <w:pPr>
        <w:ind w:hanging="360"/>
      </w:pPr>
    </w:p>
    <w:p w14:paraId="7DCFF757" w14:textId="77777777" w:rsidR="00C1563E" w:rsidRDefault="00C1563E">
      <w:pPr>
        <w:jc w:val="center"/>
      </w:pPr>
    </w:p>
    <w:p w14:paraId="7DCFF758" w14:textId="77777777" w:rsidR="00C1563E" w:rsidRDefault="000B648B">
      <w:pPr>
        <w:jc w:val="center"/>
      </w:pPr>
      <w:r>
        <w:rPr>
          <w:rFonts w:ascii="Times New Roman" w:eastAsia="宋体" w:hAnsi="Times New Roman"/>
          <w:color w:val="000000"/>
          <w:sz w:val="20"/>
          <w:szCs w:val="20"/>
        </w:rPr>
        <w:t>99</w:t>
      </w:r>
    </w:p>
    <w:p w14:paraId="7DCFF759" w14:textId="77777777" w:rsidR="00C1563E" w:rsidRDefault="00C1563E">
      <w:pPr>
        <w:jc w:val="center"/>
      </w:pPr>
    </w:p>
    <w:p w14:paraId="7DCFF75A" w14:textId="77777777" w:rsidR="00C1563E" w:rsidRDefault="000B648B">
      <w:r>
        <w:pict w14:anchorId="7DD025CD">
          <v:rect id="_x0000_i1123" style="width:415.3pt;height:1.5pt" o:hralign="center" o:hrstd="t" o:hr="t" fillcolor="#a0a0a0" stroked="f"/>
        </w:pict>
      </w:r>
    </w:p>
    <w:p w14:paraId="7DCFF75B" w14:textId="77777777" w:rsidR="00C1563E" w:rsidRDefault="000B648B">
      <w:hyperlink r:id="rId282" w:anchor="i418e32e4a35149ffbf7d3a25d66881b8_10" w:history="1">
        <w:r>
          <w:rPr>
            <w:rStyle w:val="a5"/>
            <w:rFonts w:ascii="Times New Roman" w:eastAsia="宋体" w:hAnsi="Times New Roman"/>
            <w:sz w:val="20"/>
            <w:szCs w:val="20"/>
          </w:rPr>
          <w:t>Table of Contents</w:t>
        </w:r>
      </w:hyperlink>
    </w:p>
    <w:p w14:paraId="7DCFF75C" w14:textId="77777777" w:rsidR="00C1563E" w:rsidRDefault="000B648B">
      <w:pPr>
        <w:spacing w:after="120"/>
        <w:ind w:hanging="360"/>
      </w:pPr>
      <w:r>
        <w:rPr>
          <w:rFonts w:ascii="Times New Roman" w:eastAsia="宋体" w:hAnsi="Times New Roman"/>
          <w:color w:val="000000"/>
          <w:sz w:val="20"/>
          <w:szCs w:val="20"/>
        </w:rPr>
        <w:t>The following table presents the changes in allowance for financing receivable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447"/>
        <w:gridCol w:w="37"/>
        <w:gridCol w:w="121"/>
        <w:gridCol w:w="1376"/>
        <w:gridCol w:w="36"/>
        <w:gridCol w:w="36"/>
        <w:gridCol w:w="36"/>
        <w:gridCol w:w="36"/>
        <w:gridCol w:w="121"/>
        <w:gridCol w:w="1376"/>
        <w:gridCol w:w="36"/>
        <w:gridCol w:w="36"/>
        <w:gridCol w:w="36"/>
        <w:gridCol w:w="36"/>
        <w:gridCol w:w="120"/>
        <w:gridCol w:w="1376"/>
        <w:gridCol w:w="36"/>
      </w:tblGrid>
      <w:tr w:rsidR="00C1563E" w14:paraId="7DCFF76F" w14:textId="77777777">
        <w:tc>
          <w:tcPr>
            <w:tcW w:w="50" w:type="pct"/>
            <w:shd w:val="clear" w:color="auto" w:fill="auto"/>
          </w:tcPr>
          <w:p w14:paraId="7DCFF75D" w14:textId="77777777" w:rsidR="00C1563E" w:rsidRDefault="00C1563E">
            <w:pPr>
              <w:rPr>
                <w:rFonts w:ascii="宋体"/>
              </w:rPr>
            </w:pPr>
          </w:p>
        </w:tc>
        <w:tc>
          <w:tcPr>
            <w:tcW w:w="2123" w:type="pct"/>
            <w:shd w:val="clear" w:color="auto" w:fill="auto"/>
          </w:tcPr>
          <w:p w14:paraId="7DCFF75E" w14:textId="77777777" w:rsidR="00C1563E" w:rsidRDefault="00C1563E">
            <w:pPr>
              <w:rPr>
                <w:rFonts w:ascii="宋体"/>
              </w:rPr>
            </w:pPr>
          </w:p>
        </w:tc>
        <w:tc>
          <w:tcPr>
            <w:tcW w:w="5" w:type="pct"/>
            <w:shd w:val="clear" w:color="auto" w:fill="auto"/>
          </w:tcPr>
          <w:p w14:paraId="7DCFF75F" w14:textId="77777777" w:rsidR="00C1563E" w:rsidRDefault="00C1563E">
            <w:pPr>
              <w:rPr>
                <w:rFonts w:ascii="宋体"/>
              </w:rPr>
            </w:pPr>
          </w:p>
        </w:tc>
        <w:tc>
          <w:tcPr>
            <w:tcW w:w="50" w:type="pct"/>
            <w:shd w:val="clear" w:color="auto" w:fill="auto"/>
          </w:tcPr>
          <w:p w14:paraId="7DCFF760" w14:textId="77777777" w:rsidR="00C1563E" w:rsidRDefault="00C1563E">
            <w:pPr>
              <w:rPr>
                <w:rFonts w:ascii="宋体"/>
              </w:rPr>
            </w:pPr>
          </w:p>
        </w:tc>
        <w:tc>
          <w:tcPr>
            <w:tcW w:w="866" w:type="pct"/>
            <w:shd w:val="clear" w:color="auto" w:fill="auto"/>
          </w:tcPr>
          <w:p w14:paraId="7DCFF761" w14:textId="77777777" w:rsidR="00C1563E" w:rsidRDefault="00C1563E">
            <w:pPr>
              <w:rPr>
                <w:rFonts w:ascii="宋体"/>
              </w:rPr>
            </w:pPr>
          </w:p>
        </w:tc>
        <w:tc>
          <w:tcPr>
            <w:tcW w:w="5" w:type="pct"/>
            <w:shd w:val="clear" w:color="auto" w:fill="auto"/>
          </w:tcPr>
          <w:p w14:paraId="7DCFF762" w14:textId="77777777" w:rsidR="00C1563E" w:rsidRDefault="00C1563E">
            <w:pPr>
              <w:rPr>
                <w:rFonts w:ascii="宋体"/>
              </w:rPr>
            </w:pPr>
          </w:p>
        </w:tc>
        <w:tc>
          <w:tcPr>
            <w:tcW w:w="5" w:type="pct"/>
            <w:shd w:val="clear" w:color="auto" w:fill="auto"/>
          </w:tcPr>
          <w:p w14:paraId="7DCFF763" w14:textId="77777777" w:rsidR="00C1563E" w:rsidRDefault="00C1563E">
            <w:pPr>
              <w:rPr>
                <w:rFonts w:ascii="宋体"/>
              </w:rPr>
            </w:pPr>
          </w:p>
        </w:tc>
        <w:tc>
          <w:tcPr>
            <w:tcW w:w="19" w:type="pct"/>
            <w:shd w:val="clear" w:color="auto" w:fill="auto"/>
          </w:tcPr>
          <w:p w14:paraId="7DCFF764" w14:textId="77777777" w:rsidR="00C1563E" w:rsidRDefault="00C1563E">
            <w:pPr>
              <w:rPr>
                <w:rFonts w:ascii="宋体"/>
              </w:rPr>
            </w:pPr>
          </w:p>
        </w:tc>
        <w:tc>
          <w:tcPr>
            <w:tcW w:w="5" w:type="pct"/>
            <w:shd w:val="clear" w:color="auto" w:fill="auto"/>
          </w:tcPr>
          <w:p w14:paraId="7DCFF765" w14:textId="77777777" w:rsidR="00C1563E" w:rsidRDefault="00C1563E">
            <w:pPr>
              <w:rPr>
                <w:rFonts w:ascii="宋体"/>
              </w:rPr>
            </w:pPr>
          </w:p>
        </w:tc>
        <w:tc>
          <w:tcPr>
            <w:tcW w:w="50" w:type="pct"/>
            <w:shd w:val="clear" w:color="auto" w:fill="auto"/>
          </w:tcPr>
          <w:p w14:paraId="7DCFF766" w14:textId="77777777" w:rsidR="00C1563E" w:rsidRDefault="00C1563E">
            <w:pPr>
              <w:rPr>
                <w:rFonts w:ascii="宋体"/>
              </w:rPr>
            </w:pPr>
          </w:p>
        </w:tc>
        <w:tc>
          <w:tcPr>
            <w:tcW w:w="866" w:type="pct"/>
            <w:shd w:val="clear" w:color="auto" w:fill="auto"/>
          </w:tcPr>
          <w:p w14:paraId="7DCFF767" w14:textId="77777777" w:rsidR="00C1563E" w:rsidRDefault="00C1563E">
            <w:pPr>
              <w:rPr>
                <w:rFonts w:ascii="宋体"/>
              </w:rPr>
            </w:pPr>
          </w:p>
        </w:tc>
        <w:tc>
          <w:tcPr>
            <w:tcW w:w="5" w:type="pct"/>
            <w:shd w:val="clear" w:color="auto" w:fill="auto"/>
          </w:tcPr>
          <w:p w14:paraId="7DCFF768" w14:textId="77777777" w:rsidR="00C1563E" w:rsidRDefault="00C1563E">
            <w:pPr>
              <w:rPr>
                <w:rFonts w:ascii="宋体"/>
              </w:rPr>
            </w:pPr>
          </w:p>
        </w:tc>
        <w:tc>
          <w:tcPr>
            <w:tcW w:w="5" w:type="pct"/>
            <w:shd w:val="clear" w:color="auto" w:fill="auto"/>
          </w:tcPr>
          <w:p w14:paraId="7DCFF769" w14:textId="77777777" w:rsidR="00C1563E" w:rsidRDefault="00C1563E">
            <w:pPr>
              <w:rPr>
                <w:rFonts w:ascii="宋体"/>
              </w:rPr>
            </w:pPr>
          </w:p>
        </w:tc>
        <w:tc>
          <w:tcPr>
            <w:tcW w:w="19" w:type="pct"/>
            <w:shd w:val="clear" w:color="auto" w:fill="auto"/>
          </w:tcPr>
          <w:p w14:paraId="7DCFF76A" w14:textId="77777777" w:rsidR="00C1563E" w:rsidRDefault="00C1563E">
            <w:pPr>
              <w:rPr>
                <w:rFonts w:ascii="宋体"/>
              </w:rPr>
            </w:pPr>
          </w:p>
        </w:tc>
        <w:tc>
          <w:tcPr>
            <w:tcW w:w="5" w:type="pct"/>
            <w:shd w:val="clear" w:color="auto" w:fill="auto"/>
          </w:tcPr>
          <w:p w14:paraId="7DCFF76B" w14:textId="77777777" w:rsidR="00C1563E" w:rsidRDefault="00C1563E">
            <w:pPr>
              <w:rPr>
                <w:rFonts w:ascii="宋体"/>
              </w:rPr>
            </w:pPr>
          </w:p>
        </w:tc>
        <w:tc>
          <w:tcPr>
            <w:tcW w:w="50" w:type="pct"/>
            <w:shd w:val="clear" w:color="auto" w:fill="auto"/>
          </w:tcPr>
          <w:p w14:paraId="7DCFF76C" w14:textId="77777777" w:rsidR="00C1563E" w:rsidRDefault="00C1563E">
            <w:pPr>
              <w:rPr>
                <w:rFonts w:ascii="宋体"/>
              </w:rPr>
            </w:pPr>
          </w:p>
        </w:tc>
        <w:tc>
          <w:tcPr>
            <w:tcW w:w="866" w:type="pct"/>
            <w:shd w:val="clear" w:color="auto" w:fill="auto"/>
          </w:tcPr>
          <w:p w14:paraId="7DCFF76D" w14:textId="77777777" w:rsidR="00C1563E" w:rsidRDefault="00C1563E">
            <w:pPr>
              <w:rPr>
                <w:rFonts w:ascii="宋体"/>
              </w:rPr>
            </w:pPr>
          </w:p>
        </w:tc>
        <w:tc>
          <w:tcPr>
            <w:tcW w:w="5" w:type="pct"/>
            <w:shd w:val="clear" w:color="auto" w:fill="auto"/>
          </w:tcPr>
          <w:p w14:paraId="7DCFF76E" w14:textId="77777777" w:rsidR="00C1563E" w:rsidRDefault="00C1563E">
            <w:pPr>
              <w:rPr>
                <w:rFonts w:ascii="宋体"/>
              </w:rPr>
            </w:pPr>
          </w:p>
        </w:tc>
      </w:tr>
      <w:tr w:rsidR="00C1563E" w14:paraId="7DCFF776" w14:textId="77777777">
        <w:tc>
          <w:tcPr>
            <w:tcW w:w="0" w:type="auto"/>
            <w:gridSpan w:val="3"/>
            <w:shd w:val="clear" w:color="auto" w:fill="auto"/>
            <w:tcMar>
              <w:top w:w="0" w:type="dxa"/>
              <w:left w:w="20" w:type="dxa"/>
              <w:bottom w:w="0" w:type="dxa"/>
              <w:right w:w="20" w:type="dxa"/>
            </w:tcMar>
          </w:tcPr>
          <w:p w14:paraId="7DCFF77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center"/>
          </w:tcPr>
          <w:p w14:paraId="7DCFF771" w14:textId="77777777" w:rsidR="00C1563E" w:rsidRDefault="000B648B">
            <w:pPr>
              <w:jc w:val="center"/>
              <w:textAlignment w:val="center"/>
            </w:pPr>
            <w:r>
              <w:rPr>
                <w:rFonts w:ascii="Times New Roman" w:eastAsia="宋体" w:hAnsi="Times New Roman"/>
                <w:b/>
                <w:bCs/>
                <w:color w:val="000000"/>
                <w:sz w:val="20"/>
                <w:szCs w:val="20"/>
              </w:rPr>
              <w:t>Revolving</w:t>
            </w:r>
          </w:p>
        </w:tc>
        <w:tc>
          <w:tcPr>
            <w:tcW w:w="0" w:type="auto"/>
            <w:gridSpan w:val="3"/>
            <w:shd w:val="clear" w:color="auto" w:fill="auto"/>
            <w:tcMar>
              <w:top w:w="0" w:type="dxa"/>
              <w:left w:w="20" w:type="dxa"/>
              <w:bottom w:w="0" w:type="dxa"/>
              <w:right w:w="20" w:type="dxa"/>
            </w:tcMar>
          </w:tcPr>
          <w:p w14:paraId="7DCFF772"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7DCFF773" w14:textId="77777777" w:rsidR="00C1563E" w:rsidRDefault="000B648B">
            <w:pPr>
              <w:jc w:val="center"/>
              <w:textAlignment w:val="center"/>
            </w:pPr>
            <w:r>
              <w:rPr>
                <w:rFonts w:ascii="Times New Roman" w:eastAsia="宋体" w:hAnsi="Times New Roman"/>
                <w:b/>
                <w:bCs/>
                <w:color w:val="000000"/>
                <w:sz w:val="20"/>
                <w:szCs w:val="20"/>
              </w:rPr>
              <w:t>Fixed-term</w:t>
            </w:r>
          </w:p>
        </w:tc>
        <w:tc>
          <w:tcPr>
            <w:tcW w:w="0" w:type="auto"/>
            <w:gridSpan w:val="3"/>
            <w:shd w:val="clear" w:color="auto" w:fill="auto"/>
            <w:tcMar>
              <w:top w:w="0" w:type="dxa"/>
              <w:left w:w="20" w:type="dxa"/>
              <w:bottom w:w="0" w:type="dxa"/>
              <w:right w:w="20" w:type="dxa"/>
            </w:tcMar>
          </w:tcPr>
          <w:p w14:paraId="7DCFF774"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7DCFF775" w14:textId="77777777" w:rsidR="00C1563E" w:rsidRDefault="000B648B">
            <w:pPr>
              <w:jc w:val="center"/>
              <w:textAlignment w:val="center"/>
            </w:pPr>
            <w:r>
              <w:rPr>
                <w:rFonts w:ascii="Times New Roman" w:eastAsia="宋体" w:hAnsi="Times New Roman"/>
                <w:b/>
                <w:bCs/>
                <w:color w:val="000000"/>
                <w:sz w:val="20"/>
                <w:szCs w:val="20"/>
              </w:rPr>
              <w:t>Total</w:t>
            </w:r>
          </w:p>
        </w:tc>
      </w:tr>
      <w:tr w:rsidR="00C1563E" w14:paraId="7DCFF779" w14:textId="77777777">
        <w:tc>
          <w:tcPr>
            <w:tcW w:w="0" w:type="auto"/>
            <w:gridSpan w:val="3"/>
            <w:shd w:val="clear" w:color="auto" w:fill="auto"/>
            <w:tcMar>
              <w:top w:w="0" w:type="dxa"/>
              <w:left w:w="20" w:type="dxa"/>
              <w:bottom w:w="0" w:type="dxa"/>
              <w:right w:w="20" w:type="dxa"/>
            </w:tcMar>
          </w:tcPr>
          <w:p w14:paraId="7DCFF777"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DCFF778" w14:textId="77777777" w:rsidR="00C1563E" w:rsidRDefault="000B648B">
            <w:pPr>
              <w:jc w:val="center"/>
              <w:textAlignment w:val="center"/>
            </w:pPr>
            <w:r>
              <w:rPr>
                <w:rFonts w:ascii="Times New Roman" w:eastAsia="宋体" w:hAnsi="Times New Roman"/>
                <w:color w:val="000000"/>
                <w:sz w:val="20"/>
                <w:szCs w:val="20"/>
              </w:rPr>
              <w:t>(in millions)</w:t>
            </w:r>
          </w:p>
        </w:tc>
      </w:tr>
      <w:tr w:rsidR="00C1563E" w14:paraId="7DCFF780" w14:textId="77777777">
        <w:tc>
          <w:tcPr>
            <w:tcW w:w="0" w:type="auto"/>
            <w:gridSpan w:val="3"/>
            <w:shd w:val="clear" w:color="auto" w:fill="CCEEFF"/>
            <w:tcMar>
              <w:top w:w="40" w:type="dxa"/>
              <w:left w:w="20" w:type="dxa"/>
              <w:bottom w:w="40" w:type="dxa"/>
              <w:right w:w="20" w:type="dxa"/>
            </w:tcMar>
            <w:vAlign w:val="bottom"/>
          </w:tcPr>
          <w:p w14:paraId="7DCFF77A" w14:textId="77777777" w:rsidR="00C1563E" w:rsidRDefault="000B648B">
            <w:pPr>
              <w:textAlignment w:val="bottom"/>
            </w:pPr>
            <w:r>
              <w:rPr>
                <w:rFonts w:ascii="Times New Roman" w:eastAsia="宋体" w:hAnsi="Times New Roman"/>
                <w:i/>
                <w:iCs/>
                <w:color w:val="000000"/>
                <w:sz w:val="20"/>
                <w:szCs w:val="20"/>
              </w:rPr>
              <w:t xml:space="preserve">Allowance for financing receivable </w:t>
            </w:r>
            <w:r>
              <w:rPr>
                <w:rFonts w:ascii="Times New Roman" w:eastAsia="宋体" w:hAnsi="Times New Roman"/>
                <w:i/>
                <w:iCs/>
                <w:color w:val="000000"/>
                <w:sz w:val="20"/>
                <w:szCs w:val="20"/>
              </w:rPr>
              <w:t>losses:</w:t>
            </w:r>
          </w:p>
        </w:tc>
        <w:tc>
          <w:tcPr>
            <w:tcW w:w="0" w:type="auto"/>
            <w:gridSpan w:val="3"/>
            <w:shd w:val="clear" w:color="auto" w:fill="CCEEFF"/>
            <w:tcMar>
              <w:top w:w="0" w:type="dxa"/>
              <w:left w:w="20" w:type="dxa"/>
              <w:bottom w:w="0" w:type="dxa"/>
              <w:right w:w="20" w:type="dxa"/>
            </w:tcMar>
          </w:tcPr>
          <w:p w14:paraId="7DCFF77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77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77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77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77F" w14:textId="77777777" w:rsidR="00C1563E" w:rsidRDefault="00C1563E">
            <w:pPr>
              <w:rPr>
                <w:rFonts w:ascii="宋体"/>
              </w:rPr>
            </w:pPr>
          </w:p>
        </w:tc>
      </w:tr>
      <w:tr w:rsidR="00C1563E" w14:paraId="7DCFF78D" w14:textId="77777777">
        <w:tc>
          <w:tcPr>
            <w:tcW w:w="0" w:type="auto"/>
            <w:gridSpan w:val="3"/>
            <w:shd w:val="clear" w:color="auto" w:fill="FFFFFF"/>
            <w:tcMar>
              <w:top w:w="40" w:type="dxa"/>
              <w:left w:w="20" w:type="dxa"/>
              <w:bottom w:w="40" w:type="dxa"/>
              <w:right w:w="20" w:type="dxa"/>
            </w:tcMar>
            <w:vAlign w:val="bottom"/>
          </w:tcPr>
          <w:p w14:paraId="7DCFF781" w14:textId="77777777" w:rsidR="00C1563E" w:rsidRDefault="000B648B">
            <w:pPr>
              <w:textAlignment w:val="bottom"/>
            </w:pPr>
            <w:r>
              <w:rPr>
                <w:rFonts w:ascii="Times New Roman" w:eastAsia="宋体" w:hAnsi="Times New Roman"/>
                <w:i/>
                <w:iCs/>
                <w:color w:val="000000"/>
                <w:sz w:val="20"/>
                <w:szCs w:val="20"/>
              </w:rPr>
              <w:t>Balances as of February 2, 2018</w:t>
            </w:r>
          </w:p>
        </w:tc>
        <w:tc>
          <w:tcPr>
            <w:tcW w:w="0" w:type="auto"/>
            <w:shd w:val="clear" w:color="auto" w:fill="FFFFFF"/>
            <w:tcMar>
              <w:top w:w="40" w:type="dxa"/>
              <w:left w:w="20" w:type="dxa"/>
              <w:bottom w:w="40" w:type="dxa"/>
              <w:right w:w="0" w:type="dxa"/>
            </w:tcMar>
            <w:vAlign w:val="bottom"/>
          </w:tcPr>
          <w:p w14:paraId="7DCFF78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83" w14:textId="77777777" w:rsidR="00C1563E" w:rsidRDefault="000B648B">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7DCFF7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8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8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87" w14:textId="77777777" w:rsidR="00C1563E" w:rsidRDefault="000B648B">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7DCFF78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8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78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78B" w14:textId="77777777" w:rsidR="00C1563E" w:rsidRDefault="000B648B">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7DCFF78C" w14:textId="77777777" w:rsidR="00C1563E" w:rsidRDefault="00C1563E">
            <w:pPr>
              <w:jc w:val="right"/>
              <w:rPr>
                <w:rFonts w:ascii="宋体"/>
              </w:rPr>
            </w:pPr>
          </w:p>
        </w:tc>
      </w:tr>
      <w:tr w:rsidR="00C1563E" w14:paraId="7DCFF797" w14:textId="77777777">
        <w:tc>
          <w:tcPr>
            <w:tcW w:w="0" w:type="auto"/>
            <w:gridSpan w:val="3"/>
            <w:shd w:val="clear" w:color="auto" w:fill="CCEEFF"/>
            <w:tcMar>
              <w:top w:w="40" w:type="dxa"/>
              <w:left w:w="140" w:type="dxa"/>
              <w:bottom w:w="40" w:type="dxa"/>
              <w:right w:w="20" w:type="dxa"/>
            </w:tcMar>
            <w:vAlign w:val="bottom"/>
          </w:tcPr>
          <w:p w14:paraId="7DCFF78E" w14:textId="77777777" w:rsidR="00C1563E" w:rsidRDefault="000B648B">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7DCFF78F" w14:textId="77777777" w:rsidR="00C1563E" w:rsidRDefault="000B648B">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7DCFF79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9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92" w14:textId="77777777" w:rsidR="00C1563E" w:rsidRDefault="000B648B">
            <w:pPr>
              <w:jc w:val="right"/>
              <w:textAlignment w:val="bottom"/>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bottom"/>
          </w:tcPr>
          <w:p w14:paraId="7DCFF79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9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95" w14:textId="77777777" w:rsidR="00C1563E" w:rsidRDefault="000B648B">
            <w:pPr>
              <w:jc w:val="right"/>
              <w:textAlignment w:val="bottom"/>
            </w:pPr>
            <w:r>
              <w:rPr>
                <w:rFonts w:ascii="Times New Roman" w:eastAsia="宋体" w:hAnsi="Times New Roman"/>
                <w:color w:val="000000"/>
                <w:sz w:val="20"/>
                <w:szCs w:val="20"/>
              </w:rPr>
              <w:t>(104)</w:t>
            </w:r>
          </w:p>
        </w:tc>
        <w:tc>
          <w:tcPr>
            <w:tcW w:w="0" w:type="auto"/>
            <w:shd w:val="clear" w:color="auto" w:fill="CCEEFF"/>
            <w:tcMar>
              <w:top w:w="40" w:type="dxa"/>
              <w:left w:w="0" w:type="dxa"/>
              <w:bottom w:w="40" w:type="dxa"/>
              <w:right w:w="20" w:type="dxa"/>
            </w:tcMar>
            <w:vAlign w:val="bottom"/>
          </w:tcPr>
          <w:p w14:paraId="7DCFF796" w14:textId="77777777" w:rsidR="00C1563E" w:rsidRDefault="00C1563E">
            <w:pPr>
              <w:jc w:val="right"/>
              <w:rPr>
                <w:rFonts w:ascii="宋体"/>
              </w:rPr>
            </w:pPr>
          </w:p>
        </w:tc>
      </w:tr>
      <w:tr w:rsidR="00C1563E" w14:paraId="7DCFF7A1" w14:textId="77777777">
        <w:tc>
          <w:tcPr>
            <w:tcW w:w="0" w:type="auto"/>
            <w:gridSpan w:val="3"/>
            <w:shd w:val="clear" w:color="auto" w:fill="FFFFFF"/>
            <w:tcMar>
              <w:top w:w="40" w:type="dxa"/>
              <w:left w:w="140" w:type="dxa"/>
              <w:bottom w:w="40" w:type="dxa"/>
              <w:right w:w="20" w:type="dxa"/>
            </w:tcMar>
            <w:vAlign w:val="bottom"/>
          </w:tcPr>
          <w:p w14:paraId="7DCFF798" w14:textId="77777777" w:rsidR="00C1563E" w:rsidRDefault="000B648B">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7DCFF799" w14:textId="77777777" w:rsidR="00C1563E" w:rsidRDefault="000B648B">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7DCFF79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9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9C" w14:textId="77777777" w:rsidR="00C1563E" w:rsidRDefault="000B648B">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7DCFF79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9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9F" w14:textId="77777777" w:rsidR="00C1563E" w:rsidRDefault="000B648B">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DCFF7A0" w14:textId="77777777" w:rsidR="00C1563E" w:rsidRDefault="00C1563E">
            <w:pPr>
              <w:jc w:val="right"/>
              <w:rPr>
                <w:rFonts w:ascii="宋体"/>
              </w:rPr>
            </w:pPr>
          </w:p>
        </w:tc>
      </w:tr>
      <w:tr w:rsidR="00C1563E" w14:paraId="7DCFF7AB" w14:textId="77777777">
        <w:tc>
          <w:tcPr>
            <w:tcW w:w="0" w:type="auto"/>
            <w:gridSpan w:val="3"/>
            <w:shd w:val="clear" w:color="auto" w:fill="CCEEFF"/>
            <w:tcMar>
              <w:top w:w="40" w:type="dxa"/>
              <w:left w:w="20" w:type="dxa"/>
              <w:bottom w:w="40" w:type="dxa"/>
              <w:right w:w="20" w:type="dxa"/>
            </w:tcMar>
            <w:vAlign w:val="bottom"/>
          </w:tcPr>
          <w:p w14:paraId="7DCFF7A2" w14:textId="77777777" w:rsidR="00C1563E" w:rsidRDefault="000B648B">
            <w:pPr>
              <w:textAlignment w:val="bottom"/>
            </w:pPr>
            <w:r>
              <w:rPr>
                <w:rFonts w:ascii="Times New Roman" w:eastAsia="宋体" w:hAnsi="Times New Roman"/>
                <w:i/>
                <w:iCs/>
                <w:color w:val="000000"/>
                <w:sz w:val="20"/>
                <w:szCs w:val="20"/>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7A3" w14:textId="77777777" w:rsidR="00C1563E" w:rsidRDefault="000B648B">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7A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A5"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7A6" w14:textId="77777777" w:rsidR="00C1563E" w:rsidRDefault="000B648B">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7A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A8"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7A9" w14:textId="77777777" w:rsidR="00C1563E" w:rsidRDefault="000B648B">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7AA" w14:textId="77777777" w:rsidR="00C1563E" w:rsidRDefault="00C1563E">
            <w:pPr>
              <w:jc w:val="right"/>
              <w:rPr>
                <w:rFonts w:ascii="宋体"/>
              </w:rPr>
            </w:pPr>
          </w:p>
        </w:tc>
      </w:tr>
      <w:tr w:rsidR="00C1563E" w14:paraId="7DCFF7B5" w14:textId="77777777">
        <w:tc>
          <w:tcPr>
            <w:tcW w:w="0" w:type="auto"/>
            <w:gridSpan w:val="3"/>
            <w:shd w:val="clear" w:color="auto" w:fill="FFFFFF"/>
            <w:tcMar>
              <w:top w:w="40" w:type="dxa"/>
              <w:left w:w="140" w:type="dxa"/>
              <w:bottom w:w="40" w:type="dxa"/>
              <w:right w:w="20" w:type="dxa"/>
            </w:tcMar>
            <w:vAlign w:val="bottom"/>
          </w:tcPr>
          <w:p w14:paraId="7DCFF7AC" w14:textId="77777777" w:rsidR="00C1563E" w:rsidRDefault="000B648B">
            <w:pPr>
              <w:textAlignment w:val="bottom"/>
            </w:pPr>
            <w:r>
              <w:rPr>
                <w:rFonts w:ascii="Times New Roman" w:eastAsia="宋体" w:hAnsi="Times New Roman"/>
                <w:color w:val="000000"/>
                <w:sz w:val="20"/>
                <w:szCs w:val="20"/>
              </w:rPr>
              <w:t>Charge-offs, net of recoveries</w:t>
            </w:r>
          </w:p>
        </w:tc>
        <w:tc>
          <w:tcPr>
            <w:tcW w:w="0" w:type="auto"/>
            <w:gridSpan w:val="2"/>
            <w:shd w:val="clear" w:color="auto" w:fill="FFFFFF"/>
            <w:tcMar>
              <w:top w:w="40" w:type="dxa"/>
              <w:left w:w="20" w:type="dxa"/>
              <w:bottom w:w="40" w:type="dxa"/>
              <w:right w:w="0" w:type="dxa"/>
            </w:tcMar>
            <w:vAlign w:val="bottom"/>
          </w:tcPr>
          <w:p w14:paraId="7DCFF7AD" w14:textId="77777777" w:rsidR="00C1563E" w:rsidRDefault="000B648B">
            <w:pPr>
              <w:jc w:val="right"/>
              <w:textAlignment w:val="bottom"/>
            </w:pPr>
            <w:r>
              <w:rPr>
                <w:rFonts w:ascii="Times New Roman" w:eastAsia="宋体" w:hAnsi="Times New Roman"/>
                <w:color w:val="000000"/>
                <w:sz w:val="20"/>
                <w:szCs w:val="20"/>
              </w:rPr>
              <w:t>(71)</w:t>
            </w:r>
          </w:p>
        </w:tc>
        <w:tc>
          <w:tcPr>
            <w:tcW w:w="0" w:type="auto"/>
            <w:shd w:val="clear" w:color="auto" w:fill="FFFFFF"/>
            <w:tcMar>
              <w:top w:w="40" w:type="dxa"/>
              <w:left w:w="0" w:type="dxa"/>
              <w:bottom w:w="40" w:type="dxa"/>
              <w:right w:w="20" w:type="dxa"/>
            </w:tcMar>
            <w:vAlign w:val="bottom"/>
          </w:tcPr>
          <w:p w14:paraId="7DCFF7A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A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B0" w14:textId="77777777" w:rsidR="00C1563E" w:rsidRDefault="000B648B">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7DCFF7B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B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B3" w14:textId="77777777" w:rsidR="00C1563E" w:rsidRDefault="000B648B">
            <w:pPr>
              <w:jc w:val="right"/>
              <w:textAlignment w:val="bottom"/>
            </w:pPr>
            <w:r>
              <w:rPr>
                <w:rFonts w:ascii="Times New Roman" w:eastAsia="宋体" w:hAnsi="Times New Roman"/>
                <w:color w:val="000000"/>
                <w:sz w:val="20"/>
                <w:szCs w:val="20"/>
              </w:rPr>
              <w:t>(94)</w:t>
            </w:r>
          </w:p>
        </w:tc>
        <w:tc>
          <w:tcPr>
            <w:tcW w:w="0" w:type="auto"/>
            <w:shd w:val="clear" w:color="auto" w:fill="FFFFFF"/>
            <w:tcMar>
              <w:top w:w="40" w:type="dxa"/>
              <w:left w:w="0" w:type="dxa"/>
              <w:bottom w:w="40" w:type="dxa"/>
              <w:right w:w="20" w:type="dxa"/>
            </w:tcMar>
            <w:vAlign w:val="bottom"/>
          </w:tcPr>
          <w:p w14:paraId="7DCFF7B4" w14:textId="77777777" w:rsidR="00C1563E" w:rsidRDefault="00C1563E">
            <w:pPr>
              <w:jc w:val="right"/>
              <w:rPr>
                <w:rFonts w:ascii="宋体"/>
              </w:rPr>
            </w:pPr>
          </w:p>
        </w:tc>
      </w:tr>
      <w:tr w:rsidR="00C1563E" w14:paraId="7DCFF7BF" w14:textId="77777777">
        <w:tc>
          <w:tcPr>
            <w:tcW w:w="0" w:type="auto"/>
            <w:gridSpan w:val="3"/>
            <w:shd w:val="clear" w:color="auto" w:fill="CCEEFF"/>
            <w:tcMar>
              <w:top w:w="40" w:type="dxa"/>
              <w:left w:w="140" w:type="dxa"/>
              <w:bottom w:w="40" w:type="dxa"/>
              <w:right w:w="20" w:type="dxa"/>
            </w:tcMar>
            <w:vAlign w:val="bottom"/>
          </w:tcPr>
          <w:p w14:paraId="7DCFF7B6" w14:textId="77777777" w:rsidR="00C1563E" w:rsidRDefault="000B648B">
            <w:pPr>
              <w:textAlignment w:val="bottom"/>
            </w:pPr>
            <w:r>
              <w:rPr>
                <w:rFonts w:ascii="Times New Roman" w:eastAsia="宋体" w:hAnsi="Times New Roman"/>
                <w:color w:val="000000"/>
                <w:sz w:val="20"/>
                <w:szCs w:val="20"/>
              </w:rPr>
              <w:t xml:space="preserve">Provision charged to </w:t>
            </w:r>
            <w:r>
              <w:rPr>
                <w:rFonts w:ascii="Times New Roman" w:eastAsia="宋体" w:hAnsi="Times New Roman"/>
                <w:color w:val="000000"/>
                <w:sz w:val="20"/>
                <w:szCs w:val="20"/>
              </w:rPr>
              <w:t>income statement</w:t>
            </w:r>
          </w:p>
        </w:tc>
        <w:tc>
          <w:tcPr>
            <w:tcW w:w="0" w:type="auto"/>
            <w:gridSpan w:val="2"/>
            <w:shd w:val="clear" w:color="auto" w:fill="CCEEFF"/>
            <w:tcMar>
              <w:top w:w="40" w:type="dxa"/>
              <w:left w:w="20" w:type="dxa"/>
              <w:bottom w:w="40" w:type="dxa"/>
              <w:right w:w="0" w:type="dxa"/>
            </w:tcMar>
            <w:vAlign w:val="bottom"/>
          </w:tcPr>
          <w:p w14:paraId="7DCFF7B7" w14:textId="77777777" w:rsidR="00C1563E" w:rsidRDefault="000B648B">
            <w:pPr>
              <w:jc w:val="right"/>
              <w:textAlignment w:val="bottom"/>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vAlign w:val="bottom"/>
          </w:tcPr>
          <w:p w14:paraId="7DCFF7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B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BA" w14:textId="77777777" w:rsidR="00C1563E" w:rsidRDefault="000B648B">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7DCFF7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B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BD" w14:textId="77777777" w:rsidR="00C1563E" w:rsidRDefault="000B648B">
            <w:pPr>
              <w:jc w:val="right"/>
              <w:textAlignment w:val="bottom"/>
            </w:pPr>
            <w:r>
              <w:rPr>
                <w:rFonts w:ascii="Times New Roman" w:eastAsia="宋体" w:hAnsi="Times New Roman"/>
                <w:color w:val="000000"/>
                <w:sz w:val="20"/>
                <w:szCs w:val="20"/>
              </w:rPr>
              <w:t>107 </w:t>
            </w:r>
          </w:p>
        </w:tc>
        <w:tc>
          <w:tcPr>
            <w:tcW w:w="0" w:type="auto"/>
            <w:shd w:val="clear" w:color="auto" w:fill="CCEEFF"/>
            <w:tcMar>
              <w:top w:w="40" w:type="dxa"/>
              <w:left w:w="0" w:type="dxa"/>
              <w:bottom w:w="40" w:type="dxa"/>
              <w:right w:w="20" w:type="dxa"/>
            </w:tcMar>
            <w:vAlign w:val="bottom"/>
          </w:tcPr>
          <w:p w14:paraId="7DCFF7BE" w14:textId="77777777" w:rsidR="00C1563E" w:rsidRDefault="00C1563E">
            <w:pPr>
              <w:jc w:val="right"/>
              <w:rPr>
                <w:rFonts w:ascii="宋体"/>
              </w:rPr>
            </w:pPr>
          </w:p>
        </w:tc>
      </w:tr>
      <w:tr w:rsidR="00C1563E" w14:paraId="7DCFF7C9" w14:textId="77777777">
        <w:tc>
          <w:tcPr>
            <w:tcW w:w="0" w:type="auto"/>
            <w:gridSpan w:val="3"/>
            <w:shd w:val="clear" w:color="auto" w:fill="FFFFFF"/>
            <w:tcMar>
              <w:top w:w="40" w:type="dxa"/>
              <w:left w:w="20" w:type="dxa"/>
              <w:bottom w:w="40" w:type="dxa"/>
              <w:right w:w="20" w:type="dxa"/>
            </w:tcMar>
            <w:vAlign w:val="bottom"/>
          </w:tcPr>
          <w:p w14:paraId="7DCFF7C0" w14:textId="77777777" w:rsidR="00C1563E" w:rsidRDefault="000B648B">
            <w:pPr>
              <w:textAlignment w:val="bottom"/>
            </w:pPr>
            <w:r>
              <w:rPr>
                <w:rFonts w:ascii="Times New Roman" w:eastAsia="宋体" w:hAnsi="Times New Roman"/>
                <w:i/>
                <w:iCs/>
                <w:color w:val="000000"/>
                <w:sz w:val="20"/>
                <w:szCs w:val="20"/>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7C1" w14:textId="77777777" w:rsidR="00C1563E" w:rsidRDefault="000B648B">
            <w:pPr>
              <w:jc w:val="right"/>
              <w:textAlignment w:val="bottom"/>
            </w:pPr>
            <w:r>
              <w:rPr>
                <w:rFonts w:ascii="Times New Roman" w:eastAsia="宋体" w:hAnsi="Times New Roman"/>
                <w:color w:val="000000"/>
                <w:sz w:val="20"/>
                <w:szCs w:val="20"/>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C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C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7C4" w14:textId="77777777" w:rsidR="00C1563E" w:rsidRDefault="000B648B">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C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C6"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7C7" w14:textId="77777777" w:rsidR="00C1563E" w:rsidRDefault="000B648B">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7C8" w14:textId="77777777" w:rsidR="00C1563E" w:rsidRDefault="00C1563E">
            <w:pPr>
              <w:jc w:val="right"/>
              <w:rPr>
                <w:rFonts w:ascii="宋体"/>
              </w:rPr>
            </w:pPr>
          </w:p>
        </w:tc>
      </w:tr>
      <w:tr w:rsidR="00C1563E" w14:paraId="7DCFF7D3" w14:textId="77777777">
        <w:tc>
          <w:tcPr>
            <w:tcW w:w="0" w:type="auto"/>
            <w:gridSpan w:val="3"/>
            <w:shd w:val="clear" w:color="auto" w:fill="CCEEFF"/>
            <w:tcMar>
              <w:top w:w="40" w:type="dxa"/>
              <w:left w:w="20" w:type="dxa"/>
              <w:bottom w:w="40" w:type="dxa"/>
              <w:right w:w="20" w:type="dxa"/>
            </w:tcMar>
            <w:vAlign w:val="bottom"/>
          </w:tcPr>
          <w:p w14:paraId="7DCFF7CA" w14:textId="77777777" w:rsidR="00C1563E" w:rsidRDefault="000B648B">
            <w:pPr>
              <w:textAlignment w:val="bottom"/>
            </w:pPr>
            <w:r>
              <w:rPr>
                <w:rFonts w:ascii="Times New Roman" w:eastAsia="宋体" w:hAnsi="Times New Roman"/>
                <w:color w:val="000000"/>
                <w:sz w:val="20"/>
                <w:szCs w:val="20"/>
              </w:rPr>
              <w:t>Adjustment for adoption of accounting standard (Note 2)</w:t>
            </w:r>
          </w:p>
        </w:tc>
        <w:tc>
          <w:tcPr>
            <w:tcW w:w="0" w:type="auto"/>
            <w:gridSpan w:val="2"/>
            <w:shd w:val="clear" w:color="auto" w:fill="CCEEFF"/>
            <w:tcMar>
              <w:top w:w="40" w:type="dxa"/>
              <w:left w:w="20" w:type="dxa"/>
              <w:bottom w:w="40" w:type="dxa"/>
              <w:right w:w="0" w:type="dxa"/>
            </w:tcMar>
            <w:vAlign w:val="bottom"/>
          </w:tcPr>
          <w:p w14:paraId="7DCFF7CB" w14:textId="77777777" w:rsidR="00C1563E" w:rsidRDefault="000B648B">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7DCFF7C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C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CE" w14:textId="77777777" w:rsidR="00C1563E" w:rsidRDefault="000B648B">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7DCFF7C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D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D1" w14:textId="77777777" w:rsidR="00C1563E" w:rsidRDefault="000B648B">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7DCFF7D2" w14:textId="77777777" w:rsidR="00C1563E" w:rsidRDefault="00C1563E">
            <w:pPr>
              <w:jc w:val="right"/>
              <w:rPr>
                <w:rFonts w:ascii="宋体"/>
              </w:rPr>
            </w:pPr>
          </w:p>
        </w:tc>
      </w:tr>
      <w:tr w:rsidR="00C1563E" w14:paraId="7DCFF7DD" w14:textId="77777777">
        <w:tc>
          <w:tcPr>
            <w:tcW w:w="0" w:type="auto"/>
            <w:gridSpan w:val="3"/>
            <w:shd w:val="clear" w:color="auto" w:fill="FFFFFF"/>
            <w:tcMar>
              <w:top w:w="40" w:type="dxa"/>
              <w:left w:w="140" w:type="dxa"/>
              <w:bottom w:w="40" w:type="dxa"/>
              <w:right w:w="20" w:type="dxa"/>
            </w:tcMar>
            <w:vAlign w:val="bottom"/>
          </w:tcPr>
          <w:p w14:paraId="7DCFF7D4" w14:textId="77777777" w:rsidR="00C1563E" w:rsidRDefault="000B648B">
            <w:pPr>
              <w:textAlignment w:val="bottom"/>
            </w:pPr>
            <w:r>
              <w:rPr>
                <w:rFonts w:ascii="Times New Roman" w:eastAsia="宋体" w:hAnsi="Times New Roman"/>
                <w:color w:val="000000"/>
                <w:sz w:val="20"/>
                <w:szCs w:val="20"/>
              </w:rPr>
              <w:t>Charge-offs, net of recoveries</w:t>
            </w:r>
          </w:p>
        </w:tc>
        <w:tc>
          <w:tcPr>
            <w:tcW w:w="0" w:type="auto"/>
            <w:gridSpan w:val="2"/>
            <w:shd w:val="clear" w:color="auto" w:fill="FFFFFF"/>
            <w:tcMar>
              <w:top w:w="40" w:type="dxa"/>
              <w:left w:w="20" w:type="dxa"/>
              <w:bottom w:w="40" w:type="dxa"/>
              <w:right w:w="0" w:type="dxa"/>
            </w:tcMar>
            <w:vAlign w:val="bottom"/>
          </w:tcPr>
          <w:p w14:paraId="7DCFF7D5" w14:textId="77777777" w:rsidR="00C1563E" w:rsidRDefault="000B648B">
            <w:pPr>
              <w:jc w:val="right"/>
              <w:textAlignment w:val="bottom"/>
            </w:pPr>
            <w:r>
              <w:rPr>
                <w:rFonts w:ascii="Times New Roman" w:eastAsia="宋体" w:hAnsi="Times New Roman"/>
                <w:color w:val="000000"/>
                <w:sz w:val="20"/>
                <w:szCs w:val="20"/>
              </w:rPr>
              <w:t>(62)</w:t>
            </w:r>
          </w:p>
        </w:tc>
        <w:tc>
          <w:tcPr>
            <w:tcW w:w="0" w:type="auto"/>
            <w:shd w:val="clear" w:color="auto" w:fill="FFFFFF"/>
            <w:tcMar>
              <w:top w:w="40" w:type="dxa"/>
              <w:left w:w="0" w:type="dxa"/>
              <w:bottom w:w="40" w:type="dxa"/>
              <w:right w:w="20" w:type="dxa"/>
            </w:tcMar>
            <w:vAlign w:val="bottom"/>
          </w:tcPr>
          <w:p w14:paraId="7DCFF7D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D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D8" w14:textId="77777777" w:rsidR="00C1563E" w:rsidRDefault="000B648B">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DCFF7D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D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7DB" w14:textId="77777777" w:rsidR="00C1563E" w:rsidRDefault="000B648B">
            <w:pPr>
              <w:jc w:val="right"/>
              <w:textAlignment w:val="bottom"/>
            </w:pPr>
            <w:r>
              <w:rPr>
                <w:rFonts w:ascii="Times New Roman" w:eastAsia="宋体" w:hAnsi="Times New Roman"/>
                <w:color w:val="000000"/>
                <w:sz w:val="20"/>
                <w:szCs w:val="20"/>
              </w:rPr>
              <w:t>(91)</w:t>
            </w:r>
          </w:p>
        </w:tc>
        <w:tc>
          <w:tcPr>
            <w:tcW w:w="0" w:type="auto"/>
            <w:shd w:val="clear" w:color="auto" w:fill="FFFFFF"/>
            <w:tcMar>
              <w:top w:w="40" w:type="dxa"/>
              <w:left w:w="0" w:type="dxa"/>
              <w:bottom w:w="40" w:type="dxa"/>
              <w:right w:w="20" w:type="dxa"/>
            </w:tcMar>
            <w:vAlign w:val="bottom"/>
          </w:tcPr>
          <w:p w14:paraId="7DCFF7DC" w14:textId="77777777" w:rsidR="00C1563E" w:rsidRDefault="00C1563E">
            <w:pPr>
              <w:jc w:val="right"/>
              <w:rPr>
                <w:rFonts w:ascii="宋体"/>
              </w:rPr>
            </w:pPr>
          </w:p>
        </w:tc>
      </w:tr>
      <w:tr w:rsidR="00C1563E" w14:paraId="7DCFF7E7" w14:textId="77777777">
        <w:tc>
          <w:tcPr>
            <w:tcW w:w="0" w:type="auto"/>
            <w:gridSpan w:val="3"/>
            <w:shd w:val="clear" w:color="auto" w:fill="CCEEFF"/>
            <w:tcMar>
              <w:top w:w="40" w:type="dxa"/>
              <w:left w:w="140" w:type="dxa"/>
              <w:bottom w:w="40" w:type="dxa"/>
              <w:right w:w="20" w:type="dxa"/>
            </w:tcMar>
            <w:vAlign w:val="bottom"/>
          </w:tcPr>
          <w:p w14:paraId="7DCFF7DE" w14:textId="77777777" w:rsidR="00C1563E" w:rsidRDefault="000B648B">
            <w:pPr>
              <w:textAlignment w:val="bottom"/>
            </w:pPr>
            <w:r>
              <w:rPr>
                <w:rFonts w:ascii="Times New Roman" w:eastAsia="宋体" w:hAnsi="Times New Roman"/>
                <w:color w:val="000000"/>
                <w:sz w:val="20"/>
                <w:szCs w:val="20"/>
              </w:rPr>
              <w:t xml:space="preserve">Provision charged to income </w:t>
            </w:r>
            <w:r>
              <w:rPr>
                <w:rFonts w:ascii="Times New Roman" w:eastAsia="宋体" w:hAnsi="Times New Roman"/>
                <w:color w:val="000000"/>
                <w:sz w:val="20"/>
                <w:szCs w:val="20"/>
              </w:rPr>
              <w:t>statement</w:t>
            </w:r>
          </w:p>
        </w:tc>
        <w:tc>
          <w:tcPr>
            <w:tcW w:w="0" w:type="auto"/>
            <w:gridSpan w:val="2"/>
            <w:shd w:val="clear" w:color="auto" w:fill="CCEEFF"/>
            <w:tcMar>
              <w:top w:w="40" w:type="dxa"/>
              <w:left w:w="20" w:type="dxa"/>
              <w:bottom w:w="40" w:type="dxa"/>
              <w:right w:w="0" w:type="dxa"/>
            </w:tcMar>
            <w:vAlign w:val="bottom"/>
          </w:tcPr>
          <w:p w14:paraId="7DCFF7DF" w14:textId="77777777" w:rsidR="00C1563E" w:rsidRDefault="000B648B">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DCFF7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E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E2" w14:textId="77777777" w:rsidR="00C1563E" w:rsidRDefault="000B648B">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7DCFF7E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7E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7E5" w14:textId="77777777" w:rsidR="00C1563E" w:rsidRDefault="000B648B">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7DCFF7E6" w14:textId="77777777" w:rsidR="00C1563E" w:rsidRDefault="00C1563E">
            <w:pPr>
              <w:jc w:val="right"/>
              <w:rPr>
                <w:rFonts w:ascii="宋体"/>
              </w:rPr>
            </w:pPr>
          </w:p>
        </w:tc>
      </w:tr>
      <w:tr w:rsidR="00C1563E" w14:paraId="7DCFF7F4" w14:textId="77777777">
        <w:tc>
          <w:tcPr>
            <w:tcW w:w="0" w:type="auto"/>
            <w:gridSpan w:val="3"/>
            <w:shd w:val="clear" w:color="auto" w:fill="FFFFFF"/>
            <w:tcMar>
              <w:top w:w="40" w:type="dxa"/>
              <w:left w:w="20" w:type="dxa"/>
              <w:bottom w:w="40" w:type="dxa"/>
              <w:right w:w="20" w:type="dxa"/>
            </w:tcMar>
            <w:vAlign w:val="bottom"/>
          </w:tcPr>
          <w:p w14:paraId="7DCFF7E8" w14:textId="77777777" w:rsidR="00C1563E" w:rsidRDefault="000B648B">
            <w:pPr>
              <w:textAlignment w:val="bottom"/>
            </w:pPr>
            <w:r>
              <w:rPr>
                <w:rFonts w:ascii="Times New Roman" w:eastAsia="宋体" w:hAnsi="Times New Roman"/>
                <w:i/>
                <w:iCs/>
                <w:color w:val="000000"/>
                <w:sz w:val="20"/>
                <w:szCs w:val="20"/>
              </w:rPr>
              <w:t>Balances as of January 29,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7E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7EA" w14:textId="77777777" w:rsidR="00C1563E" w:rsidRDefault="000B648B">
            <w:pPr>
              <w:jc w:val="right"/>
              <w:textAlignment w:val="bottom"/>
            </w:pPr>
            <w:r>
              <w:rPr>
                <w:rFonts w:ascii="Times New Roman" w:eastAsia="宋体" w:hAnsi="Times New Roman"/>
                <w:color w:val="000000"/>
                <w:sz w:val="20"/>
                <w:szCs w:val="20"/>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7E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E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7E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7EE" w14:textId="77777777" w:rsidR="00C1563E" w:rsidRDefault="000B648B">
            <w:pPr>
              <w:jc w:val="right"/>
              <w:textAlignment w:val="bottom"/>
            </w:pPr>
            <w:r>
              <w:rPr>
                <w:rFonts w:ascii="Times New Roman" w:eastAsia="宋体" w:hAnsi="Times New Roman"/>
                <w:color w:val="000000"/>
                <w:sz w:val="20"/>
                <w:szCs w:val="20"/>
              </w:rPr>
              <w:t>173 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7E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7F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7F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7F2" w14:textId="77777777" w:rsidR="00C1563E" w:rsidRDefault="000B648B">
            <w:pPr>
              <w:jc w:val="right"/>
              <w:textAlignment w:val="bottom"/>
            </w:pPr>
            <w:r>
              <w:rPr>
                <w:rFonts w:ascii="Times New Roman" w:eastAsia="宋体" w:hAnsi="Times New Roman"/>
                <w:color w:val="000000"/>
                <w:sz w:val="20"/>
                <w:szCs w:val="20"/>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7F3" w14:textId="77777777" w:rsidR="00C1563E" w:rsidRDefault="00C1563E">
            <w:pPr>
              <w:jc w:val="right"/>
              <w:rPr>
                <w:rFonts w:ascii="宋体"/>
              </w:rPr>
            </w:pPr>
          </w:p>
        </w:tc>
      </w:tr>
    </w:tbl>
    <w:p w14:paraId="7DCFF7F5" w14:textId="77777777" w:rsidR="00C1563E" w:rsidRDefault="00C1563E"/>
    <w:p w14:paraId="7DCFF7F6" w14:textId="77777777" w:rsidR="00C1563E" w:rsidRDefault="000B648B">
      <w:r>
        <w:rPr>
          <w:rFonts w:ascii="Times New Roman" w:eastAsia="宋体" w:hAnsi="Times New Roman"/>
          <w:i/>
          <w:iCs/>
          <w:color w:val="000000"/>
          <w:sz w:val="20"/>
          <w:szCs w:val="20"/>
          <w:u w:val="single"/>
        </w:rPr>
        <w:t>Aging</w:t>
      </w:r>
    </w:p>
    <w:p w14:paraId="7DCFF7F7" w14:textId="77777777" w:rsidR="00C1563E" w:rsidRDefault="00C1563E"/>
    <w:p w14:paraId="7DCFF7F8" w14:textId="77777777" w:rsidR="00C1563E" w:rsidRDefault="000B648B">
      <w:pPr>
        <w:spacing w:after="120"/>
      </w:pPr>
      <w:r>
        <w:rPr>
          <w:rFonts w:ascii="Times New Roman" w:eastAsia="宋体" w:hAnsi="Times New Roman"/>
          <w:color w:val="000000"/>
          <w:sz w:val="20"/>
          <w:szCs w:val="20"/>
        </w:rPr>
        <w:t>The following table presents the aging of the Company’s customer financing receivables, gross, including accrued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042"/>
        <w:gridCol w:w="38"/>
        <w:gridCol w:w="121"/>
        <w:gridCol w:w="646"/>
        <w:gridCol w:w="36"/>
        <w:gridCol w:w="36"/>
        <w:gridCol w:w="36"/>
        <w:gridCol w:w="36"/>
        <w:gridCol w:w="120"/>
        <w:gridCol w:w="454"/>
        <w:gridCol w:w="36"/>
        <w:gridCol w:w="36"/>
        <w:gridCol w:w="36"/>
        <w:gridCol w:w="36"/>
        <w:gridCol w:w="120"/>
        <w:gridCol w:w="454"/>
        <w:gridCol w:w="36"/>
        <w:gridCol w:w="36"/>
        <w:gridCol w:w="36"/>
        <w:gridCol w:w="36"/>
        <w:gridCol w:w="120"/>
        <w:gridCol w:w="600"/>
        <w:gridCol w:w="36"/>
        <w:gridCol w:w="36"/>
        <w:gridCol w:w="36"/>
        <w:gridCol w:w="36"/>
        <w:gridCol w:w="121"/>
        <w:gridCol w:w="646"/>
        <w:gridCol w:w="36"/>
        <w:gridCol w:w="36"/>
        <w:gridCol w:w="36"/>
        <w:gridCol w:w="36"/>
        <w:gridCol w:w="120"/>
        <w:gridCol w:w="455"/>
        <w:gridCol w:w="36"/>
        <w:gridCol w:w="36"/>
        <w:gridCol w:w="36"/>
        <w:gridCol w:w="36"/>
        <w:gridCol w:w="120"/>
        <w:gridCol w:w="456"/>
        <w:gridCol w:w="36"/>
        <w:gridCol w:w="36"/>
        <w:gridCol w:w="36"/>
        <w:gridCol w:w="36"/>
        <w:gridCol w:w="120"/>
        <w:gridCol w:w="500"/>
        <w:gridCol w:w="36"/>
      </w:tblGrid>
      <w:tr w:rsidR="00C1563E" w14:paraId="7DCFF829" w14:textId="77777777">
        <w:tc>
          <w:tcPr>
            <w:tcW w:w="50" w:type="pct"/>
            <w:shd w:val="clear" w:color="auto" w:fill="auto"/>
          </w:tcPr>
          <w:p w14:paraId="7DCFF7F9" w14:textId="77777777" w:rsidR="00C1563E" w:rsidRDefault="00C1563E">
            <w:pPr>
              <w:rPr>
                <w:rFonts w:ascii="宋体"/>
              </w:rPr>
            </w:pPr>
          </w:p>
        </w:tc>
        <w:tc>
          <w:tcPr>
            <w:tcW w:w="1392" w:type="pct"/>
            <w:shd w:val="clear" w:color="auto" w:fill="auto"/>
          </w:tcPr>
          <w:p w14:paraId="7DCFF7FA" w14:textId="77777777" w:rsidR="00C1563E" w:rsidRDefault="00C1563E">
            <w:pPr>
              <w:rPr>
                <w:rFonts w:ascii="宋体"/>
              </w:rPr>
            </w:pPr>
          </w:p>
        </w:tc>
        <w:tc>
          <w:tcPr>
            <w:tcW w:w="5" w:type="pct"/>
            <w:shd w:val="clear" w:color="auto" w:fill="auto"/>
          </w:tcPr>
          <w:p w14:paraId="7DCFF7FB" w14:textId="77777777" w:rsidR="00C1563E" w:rsidRDefault="00C1563E">
            <w:pPr>
              <w:rPr>
                <w:rFonts w:ascii="宋体"/>
              </w:rPr>
            </w:pPr>
          </w:p>
        </w:tc>
        <w:tc>
          <w:tcPr>
            <w:tcW w:w="50" w:type="pct"/>
            <w:shd w:val="clear" w:color="auto" w:fill="auto"/>
          </w:tcPr>
          <w:p w14:paraId="7DCFF7FC" w14:textId="77777777" w:rsidR="00C1563E" w:rsidRDefault="00C1563E">
            <w:pPr>
              <w:rPr>
                <w:rFonts w:ascii="宋体"/>
              </w:rPr>
            </w:pPr>
          </w:p>
        </w:tc>
        <w:tc>
          <w:tcPr>
            <w:tcW w:w="376" w:type="pct"/>
            <w:shd w:val="clear" w:color="auto" w:fill="auto"/>
          </w:tcPr>
          <w:p w14:paraId="7DCFF7FD" w14:textId="77777777" w:rsidR="00C1563E" w:rsidRDefault="00C1563E">
            <w:pPr>
              <w:rPr>
                <w:rFonts w:ascii="宋体"/>
              </w:rPr>
            </w:pPr>
          </w:p>
        </w:tc>
        <w:tc>
          <w:tcPr>
            <w:tcW w:w="5" w:type="pct"/>
            <w:shd w:val="clear" w:color="auto" w:fill="auto"/>
          </w:tcPr>
          <w:p w14:paraId="7DCFF7FE" w14:textId="77777777" w:rsidR="00C1563E" w:rsidRDefault="00C1563E">
            <w:pPr>
              <w:rPr>
                <w:rFonts w:ascii="宋体"/>
              </w:rPr>
            </w:pPr>
          </w:p>
        </w:tc>
        <w:tc>
          <w:tcPr>
            <w:tcW w:w="5" w:type="pct"/>
            <w:shd w:val="clear" w:color="auto" w:fill="auto"/>
          </w:tcPr>
          <w:p w14:paraId="7DCFF7FF" w14:textId="77777777" w:rsidR="00C1563E" w:rsidRDefault="00C1563E">
            <w:pPr>
              <w:rPr>
                <w:rFonts w:ascii="宋体"/>
              </w:rPr>
            </w:pPr>
          </w:p>
        </w:tc>
        <w:tc>
          <w:tcPr>
            <w:tcW w:w="19" w:type="pct"/>
            <w:shd w:val="clear" w:color="auto" w:fill="auto"/>
          </w:tcPr>
          <w:p w14:paraId="7DCFF800" w14:textId="77777777" w:rsidR="00C1563E" w:rsidRDefault="00C1563E">
            <w:pPr>
              <w:rPr>
                <w:rFonts w:ascii="宋体"/>
              </w:rPr>
            </w:pPr>
          </w:p>
        </w:tc>
        <w:tc>
          <w:tcPr>
            <w:tcW w:w="5" w:type="pct"/>
            <w:shd w:val="clear" w:color="auto" w:fill="auto"/>
          </w:tcPr>
          <w:p w14:paraId="7DCFF801" w14:textId="77777777" w:rsidR="00C1563E" w:rsidRDefault="00C1563E">
            <w:pPr>
              <w:rPr>
                <w:rFonts w:ascii="宋体"/>
              </w:rPr>
            </w:pPr>
          </w:p>
        </w:tc>
        <w:tc>
          <w:tcPr>
            <w:tcW w:w="50" w:type="pct"/>
            <w:shd w:val="clear" w:color="auto" w:fill="auto"/>
          </w:tcPr>
          <w:p w14:paraId="7DCFF802" w14:textId="77777777" w:rsidR="00C1563E" w:rsidRDefault="00C1563E">
            <w:pPr>
              <w:rPr>
                <w:rFonts w:ascii="宋体"/>
              </w:rPr>
            </w:pPr>
          </w:p>
        </w:tc>
        <w:tc>
          <w:tcPr>
            <w:tcW w:w="376" w:type="pct"/>
            <w:shd w:val="clear" w:color="auto" w:fill="auto"/>
          </w:tcPr>
          <w:p w14:paraId="7DCFF803" w14:textId="77777777" w:rsidR="00C1563E" w:rsidRDefault="00C1563E">
            <w:pPr>
              <w:rPr>
                <w:rFonts w:ascii="宋体"/>
              </w:rPr>
            </w:pPr>
          </w:p>
        </w:tc>
        <w:tc>
          <w:tcPr>
            <w:tcW w:w="5" w:type="pct"/>
            <w:shd w:val="clear" w:color="auto" w:fill="auto"/>
          </w:tcPr>
          <w:p w14:paraId="7DCFF804" w14:textId="77777777" w:rsidR="00C1563E" w:rsidRDefault="00C1563E">
            <w:pPr>
              <w:rPr>
                <w:rFonts w:ascii="宋体"/>
              </w:rPr>
            </w:pPr>
          </w:p>
        </w:tc>
        <w:tc>
          <w:tcPr>
            <w:tcW w:w="5" w:type="pct"/>
            <w:shd w:val="clear" w:color="auto" w:fill="auto"/>
          </w:tcPr>
          <w:p w14:paraId="7DCFF805" w14:textId="77777777" w:rsidR="00C1563E" w:rsidRDefault="00C1563E">
            <w:pPr>
              <w:rPr>
                <w:rFonts w:ascii="宋体"/>
              </w:rPr>
            </w:pPr>
          </w:p>
        </w:tc>
        <w:tc>
          <w:tcPr>
            <w:tcW w:w="19" w:type="pct"/>
            <w:shd w:val="clear" w:color="auto" w:fill="auto"/>
          </w:tcPr>
          <w:p w14:paraId="7DCFF806" w14:textId="77777777" w:rsidR="00C1563E" w:rsidRDefault="00C1563E">
            <w:pPr>
              <w:rPr>
                <w:rFonts w:ascii="宋体"/>
              </w:rPr>
            </w:pPr>
          </w:p>
        </w:tc>
        <w:tc>
          <w:tcPr>
            <w:tcW w:w="5" w:type="pct"/>
            <w:shd w:val="clear" w:color="auto" w:fill="auto"/>
          </w:tcPr>
          <w:p w14:paraId="7DCFF807" w14:textId="77777777" w:rsidR="00C1563E" w:rsidRDefault="00C1563E">
            <w:pPr>
              <w:rPr>
                <w:rFonts w:ascii="宋体"/>
              </w:rPr>
            </w:pPr>
          </w:p>
        </w:tc>
        <w:tc>
          <w:tcPr>
            <w:tcW w:w="50" w:type="pct"/>
            <w:shd w:val="clear" w:color="auto" w:fill="auto"/>
          </w:tcPr>
          <w:p w14:paraId="7DCFF808" w14:textId="77777777" w:rsidR="00C1563E" w:rsidRDefault="00C1563E">
            <w:pPr>
              <w:rPr>
                <w:rFonts w:ascii="宋体"/>
              </w:rPr>
            </w:pPr>
          </w:p>
        </w:tc>
        <w:tc>
          <w:tcPr>
            <w:tcW w:w="376" w:type="pct"/>
            <w:shd w:val="clear" w:color="auto" w:fill="auto"/>
          </w:tcPr>
          <w:p w14:paraId="7DCFF809" w14:textId="77777777" w:rsidR="00C1563E" w:rsidRDefault="00C1563E">
            <w:pPr>
              <w:rPr>
                <w:rFonts w:ascii="宋体"/>
              </w:rPr>
            </w:pPr>
          </w:p>
        </w:tc>
        <w:tc>
          <w:tcPr>
            <w:tcW w:w="5" w:type="pct"/>
            <w:shd w:val="clear" w:color="auto" w:fill="auto"/>
          </w:tcPr>
          <w:p w14:paraId="7DCFF80A" w14:textId="77777777" w:rsidR="00C1563E" w:rsidRDefault="00C1563E">
            <w:pPr>
              <w:rPr>
                <w:rFonts w:ascii="宋体"/>
              </w:rPr>
            </w:pPr>
          </w:p>
        </w:tc>
        <w:tc>
          <w:tcPr>
            <w:tcW w:w="5" w:type="pct"/>
            <w:shd w:val="clear" w:color="auto" w:fill="auto"/>
          </w:tcPr>
          <w:p w14:paraId="7DCFF80B" w14:textId="77777777" w:rsidR="00C1563E" w:rsidRDefault="00C1563E">
            <w:pPr>
              <w:rPr>
                <w:rFonts w:ascii="宋体"/>
              </w:rPr>
            </w:pPr>
          </w:p>
        </w:tc>
        <w:tc>
          <w:tcPr>
            <w:tcW w:w="19" w:type="pct"/>
            <w:shd w:val="clear" w:color="auto" w:fill="auto"/>
          </w:tcPr>
          <w:p w14:paraId="7DCFF80C" w14:textId="77777777" w:rsidR="00C1563E" w:rsidRDefault="00C1563E">
            <w:pPr>
              <w:rPr>
                <w:rFonts w:ascii="宋体"/>
              </w:rPr>
            </w:pPr>
          </w:p>
        </w:tc>
        <w:tc>
          <w:tcPr>
            <w:tcW w:w="5" w:type="pct"/>
            <w:shd w:val="clear" w:color="auto" w:fill="auto"/>
          </w:tcPr>
          <w:p w14:paraId="7DCFF80D" w14:textId="77777777" w:rsidR="00C1563E" w:rsidRDefault="00C1563E">
            <w:pPr>
              <w:rPr>
                <w:rFonts w:ascii="宋体"/>
              </w:rPr>
            </w:pPr>
          </w:p>
        </w:tc>
        <w:tc>
          <w:tcPr>
            <w:tcW w:w="50" w:type="pct"/>
            <w:shd w:val="clear" w:color="auto" w:fill="auto"/>
          </w:tcPr>
          <w:p w14:paraId="7DCFF80E" w14:textId="77777777" w:rsidR="00C1563E" w:rsidRDefault="00C1563E">
            <w:pPr>
              <w:rPr>
                <w:rFonts w:ascii="宋体"/>
              </w:rPr>
            </w:pPr>
          </w:p>
        </w:tc>
        <w:tc>
          <w:tcPr>
            <w:tcW w:w="325" w:type="pct"/>
            <w:shd w:val="clear" w:color="auto" w:fill="auto"/>
          </w:tcPr>
          <w:p w14:paraId="7DCFF80F" w14:textId="77777777" w:rsidR="00C1563E" w:rsidRDefault="00C1563E">
            <w:pPr>
              <w:rPr>
                <w:rFonts w:ascii="宋体"/>
              </w:rPr>
            </w:pPr>
          </w:p>
        </w:tc>
        <w:tc>
          <w:tcPr>
            <w:tcW w:w="5" w:type="pct"/>
            <w:shd w:val="clear" w:color="auto" w:fill="auto"/>
          </w:tcPr>
          <w:p w14:paraId="7DCFF810" w14:textId="77777777" w:rsidR="00C1563E" w:rsidRDefault="00C1563E">
            <w:pPr>
              <w:rPr>
                <w:rFonts w:ascii="宋体"/>
              </w:rPr>
            </w:pPr>
          </w:p>
        </w:tc>
        <w:tc>
          <w:tcPr>
            <w:tcW w:w="5" w:type="pct"/>
            <w:shd w:val="clear" w:color="auto" w:fill="auto"/>
          </w:tcPr>
          <w:p w14:paraId="7DCFF811" w14:textId="77777777" w:rsidR="00C1563E" w:rsidRDefault="00C1563E">
            <w:pPr>
              <w:rPr>
                <w:rFonts w:ascii="宋体"/>
              </w:rPr>
            </w:pPr>
          </w:p>
        </w:tc>
        <w:tc>
          <w:tcPr>
            <w:tcW w:w="19" w:type="pct"/>
            <w:shd w:val="clear" w:color="auto" w:fill="auto"/>
          </w:tcPr>
          <w:p w14:paraId="7DCFF812" w14:textId="77777777" w:rsidR="00C1563E" w:rsidRDefault="00C1563E">
            <w:pPr>
              <w:rPr>
                <w:rFonts w:ascii="宋体"/>
              </w:rPr>
            </w:pPr>
          </w:p>
        </w:tc>
        <w:tc>
          <w:tcPr>
            <w:tcW w:w="5" w:type="pct"/>
            <w:shd w:val="clear" w:color="auto" w:fill="auto"/>
          </w:tcPr>
          <w:p w14:paraId="7DCFF813" w14:textId="77777777" w:rsidR="00C1563E" w:rsidRDefault="00C1563E">
            <w:pPr>
              <w:rPr>
                <w:rFonts w:ascii="宋体"/>
              </w:rPr>
            </w:pPr>
          </w:p>
        </w:tc>
        <w:tc>
          <w:tcPr>
            <w:tcW w:w="50" w:type="pct"/>
            <w:shd w:val="clear" w:color="auto" w:fill="auto"/>
          </w:tcPr>
          <w:p w14:paraId="7DCFF814" w14:textId="77777777" w:rsidR="00C1563E" w:rsidRDefault="00C1563E">
            <w:pPr>
              <w:rPr>
                <w:rFonts w:ascii="宋体"/>
              </w:rPr>
            </w:pPr>
          </w:p>
        </w:tc>
        <w:tc>
          <w:tcPr>
            <w:tcW w:w="376" w:type="pct"/>
            <w:shd w:val="clear" w:color="auto" w:fill="auto"/>
          </w:tcPr>
          <w:p w14:paraId="7DCFF815" w14:textId="77777777" w:rsidR="00C1563E" w:rsidRDefault="00C1563E">
            <w:pPr>
              <w:rPr>
                <w:rFonts w:ascii="宋体"/>
              </w:rPr>
            </w:pPr>
          </w:p>
        </w:tc>
        <w:tc>
          <w:tcPr>
            <w:tcW w:w="5" w:type="pct"/>
            <w:shd w:val="clear" w:color="auto" w:fill="auto"/>
          </w:tcPr>
          <w:p w14:paraId="7DCFF816" w14:textId="77777777" w:rsidR="00C1563E" w:rsidRDefault="00C1563E">
            <w:pPr>
              <w:rPr>
                <w:rFonts w:ascii="宋体"/>
              </w:rPr>
            </w:pPr>
          </w:p>
        </w:tc>
        <w:tc>
          <w:tcPr>
            <w:tcW w:w="5" w:type="pct"/>
            <w:shd w:val="clear" w:color="auto" w:fill="auto"/>
          </w:tcPr>
          <w:p w14:paraId="7DCFF817" w14:textId="77777777" w:rsidR="00C1563E" w:rsidRDefault="00C1563E">
            <w:pPr>
              <w:rPr>
                <w:rFonts w:ascii="宋体"/>
              </w:rPr>
            </w:pPr>
          </w:p>
        </w:tc>
        <w:tc>
          <w:tcPr>
            <w:tcW w:w="19" w:type="pct"/>
            <w:shd w:val="clear" w:color="auto" w:fill="auto"/>
          </w:tcPr>
          <w:p w14:paraId="7DCFF818" w14:textId="77777777" w:rsidR="00C1563E" w:rsidRDefault="00C1563E">
            <w:pPr>
              <w:rPr>
                <w:rFonts w:ascii="宋体"/>
              </w:rPr>
            </w:pPr>
          </w:p>
        </w:tc>
        <w:tc>
          <w:tcPr>
            <w:tcW w:w="5" w:type="pct"/>
            <w:shd w:val="clear" w:color="auto" w:fill="auto"/>
          </w:tcPr>
          <w:p w14:paraId="7DCFF819" w14:textId="77777777" w:rsidR="00C1563E" w:rsidRDefault="00C1563E">
            <w:pPr>
              <w:rPr>
                <w:rFonts w:ascii="宋体"/>
              </w:rPr>
            </w:pPr>
          </w:p>
        </w:tc>
        <w:tc>
          <w:tcPr>
            <w:tcW w:w="50" w:type="pct"/>
            <w:shd w:val="clear" w:color="auto" w:fill="auto"/>
          </w:tcPr>
          <w:p w14:paraId="7DCFF81A" w14:textId="77777777" w:rsidR="00C1563E" w:rsidRDefault="00C1563E">
            <w:pPr>
              <w:rPr>
                <w:rFonts w:ascii="宋体"/>
              </w:rPr>
            </w:pPr>
          </w:p>
        </w:tc>
        <w:tc>
          <w:tcPr>
            <w:tcW w:w="376" w:type="pct"/>
            <w:shd w:val="clear" w:color="auto" w:fill="auto"/>
          </w:tcPr>
          <w:p w14:paraId="7DCFF81B" w14:textId="77777777" w:rsidR="00C1563E" w:rsidRDefault="00C1563E">
            <w:pPr>
              <w:rPr>
                <w:rFonts w:ascii="宋体"/>
              </w:rPr>
            </w:pPr>
          </w:p>
        </w:tc>
        <w:tc>
          <w:tcPr>
            <w:tcW w:w="5" w:type="pct"/>
            <w:shd w:val="clear" w:color="auto" w:fill="auto"/>
          </w:tcPr>
          <w:p w14:paraId="7DCFF81C" w14:textId="77777777" w:rsidR="00C1563E" w:rsidRDefault="00C1563E">
            <w:pPr>
              <w:rPr>
                <w:rFonts w:ascii="宋体"/>
              </w:rPr>
            </w:pPr>
          </w:p>
        </w:tc>
        <w:tc>
          <w:tcPr>
            <w:tcW w:w="5" w:type="pct"/>
            <w:shd w:val="clear" w:color="auto" w:fill="auto"/>
          </w:tcPr>
          <w:p w14:paraId="7DCFF81D" w14:textId="77777777" w:rsidR="00C1563E" w:rsidRDefault="00C1563E">
            <w:pPr>
              <w:rPr>
                <w:rFonts w:ascii="宋体"/>
              </w:rPr>
            </w:pPr>
          </w:p>
        </w:tc>
        <w:tc>
          <w:tcPr>
            <w:tcW w:w="19" w:type="pct"/>
            <w:shd w:val="clear" w:color="auto" w:fill="auto"/>
          </w:tcPr>
          <w:p w14:paraId="7DCFF81E" w14:textId="77777777" w:rsidR="00C1563E" w:rsidRDefault="00C1563E">
            <w:pPr>
              <w:rPr>
                <w:rFonts w:ascii="宋体"/>
              </w:rPr>
            </w:pPr>
          </w:p>
        </w:tc>
        <w:tc>
          <w:tcPr>
            <w:tcW w:w="5" w:type="pct"/>
            <w:shd w:val="clear" w:color="auto" w:fill="auto"/>
          </w:tcPr>
          <w:p w14:paraId="7DCFF81F" w14:textId="77777777" w:rsidR="00C1563E" w:rsidRDefault="00C1563E">
            <w:pPr>
              <w:rPr>
                <w:rFonts w:ascii="宋体"/>
              </w:rPr>
            </w:pPr>
          </w:p>
        </w:tc>
        <w:tc>
          <w:tcPr>
            <w:tcW w:w="50" w:type="pct"/>
            <w:shd w:val="clear" w:color="auto" w:fill="auto"/>
          </w:tcPr>
          <w:p w14:paraId="7DCFF820" w14:textId="77777777" w:rsidR="00C1563E" w:rsidRDefault="00C1563E">
            <w:pPr>
              <w:rPr>
                <w:rFonts w:ascii="宋体"/>
              </w:rPr>
            </w:pPr>
          </w:p>
        </w:tc>
        <w:tc>
          <w:tcPr>
            <w:tcW w:w="376" w:type="pct"/>
            <w:shd w:val="clear" w:color="auto" w:fill="auto"/>
          </w:tcPr>
          <w:p w14:paraId="7DCFF821" w14:textId="77777777" w:rsidR="00C1563E" w:rsidRDefault="00C1563E">
            <w:pPr>
              <w:rPr>
                <w:rFonts w:ascii="宋体"/>
              </w:rPr>
            </w:pPr>
          </w:p>
        </w:tc>
        <w:tc>
          <w:tcPr>
            <w:tcW w:w="5" w:type="pct"/>
            <w:shd w:val="clear" w:color="auto" w:fill="auto"/>
          </w:tcPr>
          <w:p w14:paraId="7DCFF822" w14:textId="77777777" w:rsidR="00C1563E" w:rsidRDefault="00C1563E">
            <w:pPr>
              <w:rPr>
                <w:rFonts w:ascii="宋体"/>
              </w:rPr>
            </w:pPr>
          </w:p>
        </w:tc>
        <w:tc>
          <w:tcPr>
            <w:tcW w:w="5" w:type="pct"/>
            <w:shd w:val="clear" w:color="auto" w:fill="auto"/>
          </w:tcPr>
          <w:p w14:paraId="7DCFF823" w14:textId="77777777" w:rsidR="00C1563E" w:rsidRDefault="00C1563E">
            <w:pPr>
              <w:rPr>
                <w:rFonts w:ascii="宋体"/>
              </w:rPr>
            </w:pPr>
          </w:p>
        </w:tc>
        <w:tc>
          <w:tcPr>
            <w:tcW w:w="19" w:type="pct"/>
            <w:shd w:val="clear" w:color="auto" w:fill="auto"/>
          </w:tcPr>
          <w:p w14:paraId="7DCFF824" w14:textId="77777777" w:rsidR="00C1563E" w:rsidRDefault="00C1563E">
            <w:pPr>
              <w:rPr>
                <w:rFonts w:ascii="宋体"/>
              </w:rPr>
            </w:pPr>
          </w:p>
        </w:tc>
        <w:tc>
          <w:tcPr>
            <w:tcW w:w="5" w:type="pct"/>
            <w:shd w:val="clear" w:color="auto" w:fill="auto"/>
          </w:tcPr>
          <w:p w14:paraId="7DCFF825" w14:textId="77777777" w:rsidR="00C1563E" w:rsidRDefault="00C1563E">
            <w:pPr>
              <w:rPr>
                <w:rFonts w:ascii="宋体"/>
              </w:rPr>
            </w:pPr>
          </w:p>
        </w:tc>
        <w:tc>
          <w:tcPr>
            <w:tcW w:w="50" w:type="pct"/>
            <w:shd w:val="clear" w:color="auto" w:fill="auto"/>
          </w:tcPr>
          <w:p w14:paraId="7DCFF826" w14:textId="77777777" w:rsidR="00C1563E" w:rsidRDefault="00C1563E">
            <w:pPr>
              <w:rPr>
                <w:rFonts w:ascii="宋体"/>
              </w:rPr>
            </w:pPr>
          </w:p>
        </w:tc>
        <w:tc>
          <w:tcPr>
            <w:tcW w:w="325" w:type="pct"/>
            <w:shd w:val="clear" w:color="auto" w:fill="auto"/>
          </w:tcPr>
          <w:p w14:paraId="7DCFF827" w14:textId="77777777" w:rsidR="00C1563E" w:rsidRDefault="00C1563E">
            <w:pPr>
              <w:rPr>
                <w:rFonts w:ascii="宋体"/>
              </w:rPr>
            </w:pPr>
          </w:p>
        </w:tc>
        <w:tc>
          <w:tcPr>
            <w:tcW w:w="5" w:type="pct"/>
            <w:shd w:val="clear" w:color="auto" w:fill="auto"/>
          </w:tcPr>
          <w:p w14:paraId="7DCFF828" w14:textId="77777777" w:rsidR="00C1563E" w:rsidRDefault="00C1563E">
            <w:pPr>
              <w:rPr>
                <w:rFonts w:ascii="宋体"/>
              </w:rPr>
            </w:pPr>
          </w:p>
        </w:tc>
      </w:tr>
      <w:tr w:rsidR="00C1563E" w14:paraId="7DCFF82E" w14:textId="77777777">
        <w:tc>
          <w:tcPr>
            <w:tcW w:w="0" w:type="auto"/>
            <w:gridSpan w:val="3"/>
            <w:shd w:val="clear" w:color="auto" w:fill="auto"/>
            <w:tcMar>
              <w:top w:w="0" w:type="dxa"/>
              <w:left w:w="20" w:type="dxa"/>
              <w:bottom w:w="0" w:type="dxa"/>
              <w:right w:w="20" w:type="dxa"/>
            </w:tcMar>
          </w:tcPr>
          <w:p w14:paraId="7DCFF82A"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F82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82C"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bottom"/>
          </w:tcPr>
          <w:p w14:paraId="7DCFF82D"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841" w14:textId="77777777">
        <w:tc>
          <w:tcPr>
            <w:tcW w:w="0" w:type="auto"/>
            <w:gridSpan w:val="3"/>
            <w:shd w:val="clear" w:color="auto" w:fill="auto"/>
            <w:tcMar>
              <w:top w:w="0" w:type="dxa"/>
              <w:left w:w="20" w:type="dxa"/>
              <w:bottom w:w="0" w:type="dxa"/>
              <w:right w:w="20" w:type="dxa"/>
            </w:tcMar>
          </w:tcPr>
          <w:p w14:paraId="7DCFF82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830" w14:textId="77777777" w:rsidR="00C1563E" w:rsidRDefault="000B648B">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tcPr>
          <w:p w14:paraId="7DCFF83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2" w14:textId="77777777" w:rsidR="00C1563E" w:rsidRDefault="000B648B">
            <w:pPr>
              <w:jc w:val="center"/>
              <w:textAlignment w:val="bottom"/>
            </w:pPr>
            <w:r>
              <w:rPr>
                <w:rFonts w:ascii="Times New Roman" w:eastAsia="宋体" w:hAnsi="Times New Roman"/>
                <w:b/>
                <w:bCs/>
                <w:color w:val="000000"/>
                <w:sz w:val="20"/>
                <w:szCs w:val="20"/>
              </w:rPr>
              <w:t>Past Due</w:t>
            </w:r>
          </w:p>
          <w:p w14:paraId="7DCFF833" w14:textId="77777777" w:rsidR="00C1563E" w:rsidRDefault="000B648B">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tcPr>
          <w:p w14:paraId="7DCFF83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5" w14:textId="77777777" w:rsidR="00C1563E" w:rsidRDefault="000B648B">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tcPr>
          <w:p w14:paraId="7DCFF83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7" w14:textId="77777777" w:rsidR="00C1563E" w:rsidRDefault="000B648B">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DCFF83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9" w14:textId="77777777" w:rsidR="00C1563E" w:rsidRDefault="000B648B">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tcPr>
          <w:p w14:paraId="7DCFF83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B" w14:textId="77777777" w:rsidR="00C1563E" w:rsidRDefault="000B648B">
            <w:pPr>
              <w:jc w:val="center"/>
              <w:textAlignment w:val="bottom"/>
            </w:pPr>
            <w:r>
              <w:rPr>
                <w:rFonts w:ascii="Times New Roman" w:eastAsia="宋体" w:hAnsi="Times New Roman"/>
                <w:b/>
                <w:bCs/>
                <w:color w:val="000000"/>
                <w:sz w:val="20"/>
                <w:szCs w:val="20"/>
              </w:rPr>
              <w:t>Past Due</w:t>
            </w:r>
          </w:p>
          <w:p w14:paraId="7DCFF83C" w14:textId="77777777" w:rsidR="00C1563E" w:rsidRDefault="000B648B">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tcPr>
          <w:p w14:paraId="7DCFF83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3E" w14:textId="77777777" w:rsidR="00C1563E" w:rsidRDefault="000B648B">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tcPr>
          <w:p w14:paraId="7DCFF83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840"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844" w14:textId="77777777">
        <w:tc>
          <w:tcPr>
            <w:tcW w:w="0" w:type="auto"/>
            <w:gridSpan w:val="3"/>
            <w:shd w:val="clear" w:color="auto" w:fill="auto"/>
            <w:tcMar>
              <w:top w:w="0" w:type="dxa"/>
              <w:left w:w="20" w:type="dxa"/>
              <w:bottom w:w="0" w:type="dxa"/>
              <w:right w:w="20" w:type="dxa"/>
            </w:tcMar>
          </w:tcPr>
          <w:p w14:paraId="7DCFF842" w14:textId="77777777" w:rsidR="00C1563E" w:rsidRDefault="00C1563E">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7DCFF843" w14:textId="77777777" w:rsidR="00C1563E" w:rsidRDefault="000B648B">
            <w:pPr>
              <w:jc w:val="center"/>
              <w:textAlignment w:val="bottom"/>
            </w:pPr>
            <w:r>
              <w:rPr>
                <w:rFonts w:ascii="Times New Roman" w:eastAsia="宋体" w:hAnsi="Times New Roman"/>
                <w:color w:val="000000"/>
                <w:sz w:val="20"/>
                <w:szCs w:val="20"/>
              </w:rPr>
              <w:t>(in millions)</w:t>
            </w:r>
          </w:p>
        </w:tc>
      </w:tr>
      <w:tr w:rsidR="000B648B" w14:paraId="7DCFF865" w14:textId="77777777">
        <w:tc>
          <w:tcPr>
            <w:tcW w:w="0" w:type="auto"/>
            <w:gridSpan w:val="3"/>
            <w:shd w:val="clear" w:color="auto" w:fill="CCEEFF"/>
            <w:tcMar>
              <w:top w:w="40" w:type="dxa"/>
              <w:left w:w="20" w:type="dxa"/>
              <w:bottom w:w="40" w:type="dxa"/>
              <w:right w:w="20" w:type="dxa"/>
            </w:tcMar>
            <w:vAlign w:val="bottom"/>
          </w:tcPr>
          <w:p w14:paraId="7DCFF845" w14:textId="77777777" w:rsidR="00C1563E" w:rsidRDefault="000B648B">
            <w:pPr>
              <w:textAlignment w:val="bottom"/>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bottom"/>
          </w:tcPr>
          <w:p w14:paraId="7DCFF84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47" w14:textId="77777777" w:rsidR="00C1563E" w:rsidRDefault="000B648B">
            <w:pPr>
              <w:jc w:val="right"/>
              <w:textAlignment w:val="bottom"/>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bottom"/>
          </w:tcPr>
          <w:p w14:paraId="7DCFF8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4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4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4B" w14:textId="77777777" w:rsidR="00C1563E" w:rsidRDefault="000B648B">
            <w:pPr>
              <w:jc w:val="right"/>
              <w:textAlignment w:val="bottom"/>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bottom"/>
          </w:tcPr>
          <w:p w14:paraId="7DCFF84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4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4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4F" w14:textId="77777777" w:rsidR="00C1563E" w:rsidRDefault="000B648B">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DCFF85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5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5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53" w14:textId="77777777" w:rsidR="00C1563E" w:rsidRDefault="000B648B">
            <w:pPr>
              <w:jc w:val="right"/>
              <w:textAlignment w:val="bottom"/>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bottom"/>
          </w:tcPr>
          <w:p w14:paraId="7DCFF85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5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5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57" w14:textId="77777777" w:rsidR="00C1563E" w:rsidRDefault="000B648B">
            <w:pPr>
              <w:jc w:val="right"/>
              <w:textAlignment w:val="bottom"/>
            </w:pPr>
            <w:r>
              <w:rPr>
                <w:rFonts w:ascii="Times New Roman" w:eastAsia="宋体" w:hAnsi="Times New Roman"/>
                <w:color w:val="000000"/>
                <w:sz w:val="20"/>
                <w:szCs w:val="20"/>
              </w:rPr>
              <w:t>550 </w:t>
            </w:r>
          </w:p>
        </w:tc>
        <w:tc>
          <w:tcPr>
            <w:tcW w:w="0" w:type="auto"/>
            <w:shd w:val="clear" w:color="auto" w:fill="CCEEFF"/>
            <w:tcMar>
              <w:top w:w="40" w:type="dxa"/>
              <w:left w:w="0" w:type="dxa"/>
              <w:bottom w:w="40" w:type="dxa"/>
              <w:right w:w="20" w:type="dxa"/>
            </w:tcMar>
            <w:vAlign w:val="bottom"/>
          </w:tcPr>
          <w:p w14:paraId="7DCFF85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5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5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5B" w14:textId="77777777" w:rsidR="00C1563E" w:rsidRDefault="000B648B">
            <w:pPr>
              <w:jc w:val="right"/>
              <w:textAlignment w:val="bottom"/>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bottom"/>
          </w:tcPr>
          <w:p w14:paraId="7DCFF85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5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5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5F"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7DCFF8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6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86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863" w14:textId="77777777" w:rsidR="00C1563E" w:rsidRDefault="000B648B">
            <w:pPr>
              <w:jc w:val="right"/>
              <w:textAlignment w:val="bottom"/>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bottom"/>
          </w:tcPr>
          <w:p w14:paraId="7DCFF864" w14:textId="77777777" w:rsidR="00C1563E" w:rsidRDefault="00C1563E">
            <w:pPr>
              <w:jc w:val="right"/>
              <w:rPr>
                <w:rFonts w:ascii="宋体"/>
              </w:rPr>
            </w:pPr>
          </w:p>
        </w:tc>
      </w:tr>
      <w:tr w:rsidR="00C1563E" w14:paraId="7DCFF87E" w14:textId="77777777">
        <w:tc>
          <w:tcPr>
            <w:tcW w:w="0" w:type="auto"/>
            <w:gridSpan w:val="3"/>
            <w:shd w:val="clear" w:color="auto" w:fill="FFFFFF"/>
            <w:tcMar>
              <w:top w:w="40" w:type="dxa"/>
              <w:left w:w="20" w:type="dxa"/>
              <w:bottom w:w="40" w:type="dxa"/>
              <w:right w:w="20" w:type="dxa"/>
            </w:tcMar>
            <w:vAlign w:val="bottom"/>
          </w:tcPr>
          <w:p w14:paraId="7DCFF866" w14:textId="77777777" w:rsidR="00C1563E" w:rsidRDefault="000B648B">
            <w:pPr>
              <w:textAlignment w:val="bottom"/>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bottom"/>
          </w:tcPr>
          <w:p w14:paraId="7DCFF867" w14:textId="77777777" w:rsidR="00C1563E" w:rsidRDefault="000B648B">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7DCFF86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6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6A" w14:textId="77777777" w:rsidR="00C1563E" w:rsidRDefault="000B648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DCFF86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6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6D" w14:textId="77777777" w:rsidR="00C1563E" w:rsidRDefault="000B648B">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DCFF86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6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70" w14:textId="77777777" w:rsidR="00C1563E" w:rsidRDefault="000B648B">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7DCFF87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7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73" w14:textId="77777777" w:rsidR="00C1563E" w:rsidRDefault="000B648B">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7DCFF87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7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76"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DCFF87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7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79" w14:textId="77777777" w:rsidR="00C1563E" w:rsidRDefault="000B648B">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DCFF87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7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87C" w14:textId="77777777" w:rsidR="00C1563E" w:rsidRDefault="000B648B">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7DCFF87D" w14:textId="77777777" w:rsidR="00C1563E" w:rsidRDefault="00C1563E">
            <w:pPr>
              <w:jc w:val="right"/>
              <w:rPr>
                <w:rFonts w:ascii="宋体"/>
              </w:rPr>
            </w:pPr>
          </w:p>
        </w:tc>
      </w:tr>
      <w:tr w:rsidR="00C1563E" w14:paraId="7DCFF897" w14:textId="77777777">
        <w:tc>
          <w:tcPr>
            <w:tcW w:w="0" w:type="auto"/>
            <w:gridSpan w:val="3"/>
            <w:shd w:val="clear" w:color="auto" w:fill="CCEEFF"/>
            <w:tcMar>
              <w:top w:w="40" w:type="dxa"/>
              <w:left w:w="20" w:type="dxa"/>
              <w:bottom w:w="40" w:type="dxa"/>
              <w:right w:w="20" w:type="dxa"/>
            </w:tcMar>
            <w:vAlign w:val="bottom"/>
          </w:tcPr>
          <w:p w14:paraId="7DCFF87F" w14:textId="77777777" w:rsidR="00C1563E" w:rsidRDefault="000B648B">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7DCFF880" w14:textId="77777777" w:rsidR="00C1563E" w:rsidRDefault="000B648B">
            <w:pPr>
              <w:jc w:val="right"/>
              <w:textAlignment w:val="bottom"/>
            </w:pPr>
            <w:r>
              <w:rPr>
                <w:rFonts w:ascii="Times New Roman" w:eastAsia="宋体" w:hAnsi="Times New Roman"/>
                <w:color w:val="000000"/>
                <w:sz w:val="20"/>
                <w:szCs w:val="20"/>
              </w:rPr>
              <w:t>9,192 </w:t>
            </w:r>
          </w:p>
        </w:tc>
        <w:tc>
          <w:tcPr>
            <w:tcW w:w="0" w:type="auto"/>
            <w:shd w:val="clear" w:color="auto" w:fill="CCEEFF"/>
            <w:tcMar>
              <w:top w:w="40" w:type="dxa"/>
              <w:left w:w="0" w:type="dxa"/>
              <w:bottom w:w="40" w:type="dxa"/>
              <w:right w:w="20" w:type="dxa"/>
            </w:tcMar>
            <w:vAlign w:val="bottom"/>
          </w:tcPr>
          <w:p w14:paraId="7DCFF88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8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83" w14:textId="77777777" w:rsidR="00C1563E" w:rsidRDefault="000B648B">
            <w:pPr>
              <w:jc w:val="right"/>
              <w:textAlignment w:val="bottom"/>
            </w:pPr>
            <w:r>
              <w:rPr>
                <w:rFonts w:ascii="Times New Roman" w:eastAsia="宋体" w:hAnsi="Times New Roman"/>
                <w:color w:val="000000"/>
                <w:sz w:val="20"/>
                <w:szCs w:val="20"/>
              </w:rPr>
              <w:t>316 </w:t>
            </w:r>
          </w:p>
        </w:tc>
        <w:tc>
          <w:tcPr>
            <w:tcW w:w="0" w:type="auto"/>
            <w:shd w:val="clear" w:color="auto" w:fill="CCEEFF"/>
            <w:tcMar>
              <w:top w:w="40" w:type="dxa"/>
              <w:left w:w="0" w:type="dxa"/>
              <w:bottom w:w="40" w:type="dxa"/>
              <w:right w:w="20" w:type="dxa"/>
            </w:tcMar>
            <w:vAlign w:val="bottom"/>
          </w:tcPr>
          <w:p w14:paraId="7DCFF88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8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86" w14:textId="77777777" w:rsidR="00C1563E" w:rsidRDefault="000B648B">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7DCFF88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8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89" w14:textId="77777777" w:rsidR="00C1563E" w:rsidRDefault="000B648B">
            <w:pPr>
              <w:jc w:val="right"/>
              <w:textAlignment w:val="bottom"/>
            </w:pPr>
            <w:r>
              <w:rPr>
                <w:rFonts w:ascii="Times New Roman" w:eastAsia="宋体" w:hAnsi="Times New Roman"/>
                <w:color w:val="000000"/>
                <w:sz w:val="20"/>
                <w:szCs w:val="20"/>
              </w:rPr>
              <w:t>9,595 </w:t>
            </w:r>
          </w:p>
        </w:tc>
        <w:tc>
          <w:tcPr>
            <w:tcW w:w="0" w:type="auto"/>
            <w:shd w:val="clear" w:color="auto" w:fill="CCEEFF"/>
            <w:tcMar>
              <w:top w:w="40" w:type="dxa"/>
              <w:left w:w="0" w:type="dxa"/>
              <w:bottom w:w="40" w:type="dxa"/>
              <w:right w:w="20" w:type="dxa"/>
            </w:tcMar>
            <w:vAlign w:val="bottom"/>
          </w:tcPr>
          <w:p w14:paraId="7DCFF88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8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8C" w14:textId="77777777" w:rsidR="00C1563E" w:rsidRDefault="000B648B">
            <w:pPr>
              <w:jc w:val="right"/>
              <w:textAlignment w:val="bottom"/>
            </w:pPr>
            <w:r>
              <w:rPr>
                <w:rFonts w:ascii="Times New Roman" w:eastAsia="宋体" w:hAnsi="Times New Roman"/>
                <w:color w:val="000000"/>
                <w:sz w:val="20"/>
                <w:szCs w:val="20"/>
              </w:rPr>
              <w:t>8,005 </w:t>
            </w:r>
          </w:p>
        </w:tc>
        <w:tc>
          <w:tcPr>
            <w:tcW w:w="0" w:type="auto"/>
            <w:shd w:val="clear" w:color="auto" w:fill="CCEEFF"/>
            <w:tcMar>
              <w:top w:w="40" w:type="dxa"/>
              <w:left w:w="0" w:type="dxa"/>
              <w:bottom w:w="40" w:type="dxa"/>
              <w:right w:w="20" w:type="dxa"/>
            </w:tcMar>
            <w:vAlign w:val="bottom"/>
          </w:tcPr>
          <w:p w14:paraId="7DCFF88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8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8F" w14:textId="77777777" w:rsidR="00C1563E" w:rsidRDefault="000B648B">
            <w:pPr>
              <w:jc w:val="right"/>
              <w:textAlignment w:val="bottom"/>
            </w:pPr>
            <w:r>
              <w:rPr>
                <w:rFonts w:ascii="Times New Roman" w:eastAsia="宋体" w:hAnsi="Times New Roman"/>
                <w:color w:val="000000"/>
                <w:sz w:val="20"/>
                <w:szCs w:val="20"/>
              </w:rPr>
              <w:t>373 </w:t>
            </w:r>
          </w:p>
        </w:tc>
        <w:tc>
          <w:tcPr>
            <w:tcW w:w="0" w:type="auto"/>
            <w:shd w:val="clear" w:color="auto" w:fill="CCEEFF"/>
            <w:tcMar>
              <w:top w:w="40" w:type="dxa"/>
              <w:left w:w="0" w:type="dxa"/>
              <w:bottom w:w="40" w:type="dxa"/>
              <w:right w:w="20" w:type="dxa"/>
            </w:tcMar>
            <w:vAlign w:val="bottom"/>
          </w:tcPr>
          <w:p w14:paraId="7DCFF89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9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92" w14:textId="77777777" w:rsidR="00C1563E" w:rsidRDefault="000B648B">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7DCFF89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89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895" w14:textId="77777777" w:rsidR="00C1563E" w:rsidRDefault="000B648B">
            <w:pPr>
              <w:jc w:val="right"/>
              <w:textAlignment w:val="bottom"/>
            </w:pPr>
            <w:r>
              <w:rPr>
                <w:rFonts w:ascii="Times New Roman" w:eastAsia="宋体" w:hAnsi="Times New Roman"/>
                <w:color w:val="000000"/>
                <w:sz w:val="20"/>
                <w:szCs w:val="20"/>
              </w:rPr>
              <w:t>8,486 </w:t>
            </w:r>
          </w:p>
        </w:tc>
        <w:tc>
          <w:tcPr>
            <w:tcW w:w="0" w:type="auto"/>
            <w:shd w:val="clear" w:color="auto" w:fill="CCEEFF"/>
            <w:tcMar>
              <w:top w:w="40" w:type="dxa"/>
              <w:left w:w="0" w:type="dxa"/>
              <w:bottom w:w="40" w:type="dxa"/>
              <w:right w:w="20" w:type="dxa"/>
            </w:tcMar>
            <w:vAlign w:val="bottom"/>
          </w:tcPr>
          <w:p w14:paraId="7DCFF896" w14:textId="77777777" w:rsidR="00C1563E" w:rsidRDefault="00C1563E">
            <w:pPr>
              <w:jc w:val="right"/>
              <w:rPr>
                <w:rFonts w:ascii="宋体"/>
              </w:rPr>
            </w:pPr>
          </w:p>
        </w:tc>
      </w:tr>
      <w:tr w:rsidR="00C1563E" w14:paraId="7DCFF8B8" w14:textId="77777777">
        <w:tc>
          <w:tcPr>
            <w:tcW w:w="0" w:type="auto"/>
            <w:gridSpan w:val="3"/>
            <w:shd w:val="clear" w:color="auto" w:fill="FFFFFF"/>
            <w:tcMar>
              <w:top w:w="40" w:type="dxa"/>
              <w:left w:w="155" w:type="dxa"/>
              <w:bottom w:w="40" w:type="dxa"/>
              <w:right w:w="20" w:type="dxa"/>
            </w:tcMar>
            <w:vAlign w:val="bottom"/>
          </w:tcPr>
          <w:p w14:paraId="7DCFF898" w14:textId="77777777" w:rsidR="00C1563E" w:rsidRDefault="000B648B">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9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9A" w14:textId="77777777" w:rsidR="00C1563E" w:rsidRDefault="000B648B">
            <w:pPr>
              <w:jc w:val="right"/>
              <w:textAlignment w:val="bottom"/>
            </w:pPr>
            <w:r>
              <w:rPr>
                <w:rFonts w:ascii="Times New Roman" w:eastAsia="宋体" w:hAnsi="Times New Roman"/>
                <w:color w:val="000000"/>
                <w:sz w:val="20"/>
                <w:szCs w:val="20"/>
              </w:rPr>
              <w:t>9,927 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9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9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9E" w14:textId="77777777" w:rsidR="00C1563E" w:rsidRDefault="000B648B">
            <w:pPr>
              <w:jc w:val="right"/>
              <w:textAlignment w:val="bottom"/>
            </w:pPr>
            <w:r>
              <w:rPr>
                <w:rFonts w:ascii="Times New Roman" w:eastAsia="宋体" w:hAnsi="Times New Roman"/>
                <w:color w:val="000000"/>
                <w:sz w:val="20"/>
                <w:szCs w:val="20"/>
              </w:rPr>
              <w:t>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9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A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A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A2" w14:textId="77777777" w:rsidR="00C1563E" w:rsidRDefault="000B648B">
            <w:pPr>
              <w:jc w:val="right"/>
              <w:textAlignment w:val="bottom"/>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A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A4" w14:textId="77777777" w:rsidR="00C1563E" w:rsidRDefault="00C1563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DCFF8A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DCFF8A6" w14:textId="77777777" w:rsidR="00C1563E" w:rsidRDefault="000B648B">
            <w:pPr>
              <w:jc w:val="right"/>
              <w:textAlignment w:val="bottom"/>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DCFF8A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A8"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A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AA" w14:textId="77777777" w:rsidR="00C1563E" w:rsidRDefault="000B648B">
            <w:pPr>
              <w:jc w:val="right"/>
              <w:textAlignment w:val="bottom"/>
            </w:pPr>
            <w:r>
              <w:rPr>
                <w:rFonts w:ascii="Times New Roman" w:eastAsia="宋体" w:hAnsi="Times New Roman"/>
                <w:color w:val="000000"/>
                <w:sz w:val="20"/>
                <w:szCs w:val="20"/>
              </w:rPr>
              <w:t>8,739 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A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A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A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AE" w14:textId="77777777" w:rsidR="00C1563E" w:rsidRDefault="000B648B">
            <w:pPr>
              <w:jc w:val="right"/>
              <w:textAlignment w:val="bottom"/>
            </w:pPr>
            <w:r>
              <w:rPr>
                <w:rFonts w:ascii="Times New Roman" w:eastAsia="宋体" w:hAnsi="Times New Roman"/>
                <w:color w:val="000000"/>
                <w:sz w:val="20"/>
                <w:szCs w:val="20"/>
              </w:rPr>
              <w:t>439 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B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B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B2" w14:textId="77777777" w:rsidR="00C1563E" w:rsidRDefault="000B648B">
            <w:pPr>
              <w:jc w:val="right"/>
              <w:textAlignment w:val="bottom"/>
            </w:pPr>
            <w:r>
              <w:rPr>
                <w:rFonts w:ascii="Times New Roman" w:eastAsia="宋体" w:hAnsi="Times New Roman"/>
                <w:color w:val="000000"/>
                <w:sz w:val="20"/>
                <w:szCs w:val="20"/>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B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8B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8B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8B6" w14:textId="77777777" w:rsidR="00C1563E" w:rsidRDefault="000B648B">
            <w:pPr>
              <w:jc w:val="right"/>
              <w:textAlignment w:val="bottom"/>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8B7" w14:textId="77777777" w:rsidR="00C1563E" w:rsidRDefault="00C1563E">
            <w:pPr>
              <w:jc w:val="right"/>
              <w:rPr>
                <w:rFonts w:ascii="宋体"/>
              </w:rPr>
            </w:pPr>
          </w:p>
        </w:tc>
      </w:tr>
    </w:tbl>
    <w:p w14:paraId="7DCFF8B9" w14:textId="77777777" w:rsidR="00C1563E" w:rsidRDefault="00C1563E"/>
    <w:p w14:paraId="7DCFF8BA" w14:textId="77777777" w:rsidR="00C1563E" w:rsidRDefault="000B648B">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accompany those transactions. Aging is also impacted by the </w:t>
      </w:r>
      <w:r>
        <w:rPr>
          <w:rFonts w:ascii="Times New Roman" w:eastAsia="宋体" w:hAnsi="Times New Roman"/>
          <w:color w:val="000000"/>
          <w:sz w:val="20"/>
          <w:szCs w:val="20"/>
        </w:rPr>
        <w:t>timing of the Dell Technologies fiscal period end date relative to calendar month-end customer payment due dates.  As a result of these factors, fluctuations in aging from period to period do not necessarily indicate a material change in the collectibility</w:t>
      </w:r>
      <w:r>
        <w:rPr>
          <w:rFonts w:ascii="Times New Roman" w:eastAsia="宋体" w:hAnsi="Times New Roman"/>
          <w:color w:val="000000"/>
          <w:sz w:val="20"/>
          <w:szCs w:val="20"/>
        </w:rPr>
        <w:t xml:space="preserve"> of the portfolio.</w:t>
      </w:r>
    </w:p>
    <w:p w14:paraId="7DCFF8BB" w14:textId="77777777" w:rsidR="00C1563E" w:rsidRDefault="00C1563E"/>
    <w:p w14:paraId="7DCFF8BC" w14:textId="77777777" w:rsidR="00C1563E" w:rsidRDefault="000B648B">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concern about collectibility of a specific customer receivable. Thes</w:t>
      </w:r>
      <w:r>
        <w:rPr>
          <w:rFonts w:ascii="Times New Roman" w:eastAsia="宋体" w:hAnsi="Times New Roman"/>
          <w:color w:val="000000"/>
          <w:sz w:val="20"/>
          <w:szCs w:val="20"/>
        </w:rPr>
        <w:t>e receivables identified as doubtful for collectibility may be classified as current for aging purposes. Aged revolving portfolio customer receivables identified as delinquent are charged off.</w:t>
      </w:r>
    </w:p>
    <w:p w14:paraId="7DCFF8BD" w14:textId="77777777" w:rsidR="00C1563E" w:rsidRDefault="00C1563E">
      <w:pPr>
        <w:jc w:val="center"/>
      </w:pPr>
    </w:p>
    <w:p w14:paraId="7DCFF8BE" w14:textId="77777777" w:rsidR="00C1563E" w:rsidRDefault="000B648B">
      <w:pPr>
        <w:jc w:val="center"/>
      </w:pPr>
      <w:r>
        <w:rPr>
          <w:rFonts w:ascii="Times New Roman" w:eastAsia="宋体" w:hAnsi="Times New Roman"/>
          <w:color w:val="000000"/>
          <w:sz w:val="20"/>
          <w:szCs w:val="20"/>
        </w:rPr>
        <w:t>100</w:t>
      </w:r>
    </w:p>
    <w:p w14:paraId="7DCFF8BF" w14:textId="77777777" w:rsidR="00C1563E" w:rsidRDefault="00C1563E">
      <w:pPr>
        <w:jc w:val="center"/>
      </w:pPr>
    </w:p>
    <w:p w14:paraId="7DCFF8C0" w14:textId="77777777" w:rsidR="00C1563E" w:rsidRDefault="000B648B">
      <w:r>
        <w:pict w14:anchorId="7DD025CE">
          <v:rect id="_x0000_i1124" style="width:415.3pt;height:1.5pt" o:hralign="center" o:hrstd="t" o:hr="t" fillcolor="#a0a0a0" stroked="f"/>
        </w:pict>
      </w:r>
    </w:p>
    <w:p w14:paraId="7DCFF8C1" w14:textId="77777777" w:rsidR="00C1563E" w:rsidRDefault="000B648B">
      <w:hyperlink r:id="rId283" w:anchor="i418e32e4a35149ffbf7d3a25d66881b8_10" w:history="1">
        <w:r>
          <w:rPr>
            <w:rStyle w:val="a5"/>
            <w:rFonts w:ascii="Times New Roman" w:eastAsia="宋体" w:hAnsi="Times New Roman"/>
            <w:sz w:val="20"/>
            <w:szCs w:val="20"/>
          </w:rPr>
          <w:t>Table of Contents</w:t>
        </w:r>
      </w:hyperlink>
    </w:p>
    <w:p w14:paraId="7DCFF8C2" w14:textId="77777777" w:rsidR="00C1563E" w:rsidRDefault="000B648B">
      <w:r>
        <w:rPr>
          <w:rFonts w:ascii="Times New Roman" w:eastAsia="宋体" w:hAnsi="Times New Roman"/>
          <w:i/>
          <w:iCs/>
          <w:color w:val="000000"/>
          <w:sz w:val="20"/>
          <w:szCs w:val="20"/>
          <w:u w:val="single"/>
        </w:rPr>
        <w:t>Credit Quality</w:t>
      </w:r>
    </w:p>
    <w:p w14:paraId="7DCFF8C3" w14:textId="77777777" w:rsidR="00C1563E" w:rsidRDefault="00C1563E"/>
    <w:p w14:paraId="7DCFF8C4" w14:textId="77777777" w:rsidR="00C1563E" w:rsidRDefault="000B648B">
      <w:pPr>
        <w:spacing w:after="120"/>
      </w:pPr>
      <w:r>
        <w:rPr>
          <w:rFonts w:ascii="Times New Roman" w:eastAsia="宋体" w:hAnsi="Times New Roman"/>
          <w:color w:val="000000"/>
          <w:sz w:val="20"/>
          <w:szCs w:val="20"/>
        </w:rPr>
        <w:t>The following tables present customer receivables, gross, including accrued interest, by credit quality indicator segregate</w:t>
      </w:r>
      <w:r>
        <w:rPr>
          <w:rFonts w:ascii="Times New Roman" w:eastAsia="宋体" w:hAnsi="Times New Roman"/>
          <w:color w:val="000000"/>
          <w:sz w:val="20"/>
          <w:szCs w:val="20"/>
        </w:rPr>
        <w:t>d by class, as of the dates indicated. The categories shown in the tables below segregate customer receivables based on the relative degrees of credit risk. The credit quality indicators for DPA revolving accounts are measured primarily as of each quarter-</w:t>
      </w:r>
      <w:r>
        <w:rPr>
          <w:rFonts w:ascii="Times New Roman" w:eastAsia="宋体" w:hAnsi="Times New Roman"/>
          <w:color w:val="000000"/>
          <w:sz w:val="20"/>
          <w:szCs w:val="20"/>
        </w:rPr>
        <w:t xml:space="preserve">end date, while all other indicators are generally updated on a periodic basis. The table presented as of January 31, 2020 was not recast to reflect the impact of the new CECL standard. </w:t>
      </w:r>
    </w:p>
    <w:tbl>
      <w:tblPr>
        <w:tblW w:w="5000" w:type="pct"/>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C1563E" w14:paraId="7DCFF8FB" w14:textId="77777777">
        <w:tc>
          <w:tcPr>
            <w:tcW w:w="50" w:type="pct"/>
            <w:shd w:val="clear" w:color="auto" w:fill="auto"/>
          </w:tcPr>
          <w:p w14:paraId="7DCFF8C5" w14:textId="77777777" w:rsidR="00C1563E" w:rsidRDefault="00C1563E">
            <w:pPr>
              <w:rPr>
                <w:rFonts w:ascii="宋体"/>
              </w:rPr>
            </w:pPr>
          </w:p>
        </w:tc>
        <w:tc>
          <w:tcPr>
            <w:tcW w:w="602" w:type="pct"/>
            <w:shd w:val="clear" w:color="auto" w:fill="auto"/>
          </w:tcPr>
          <w:p w14:paraId="7DCFF8C6" w14:textId="77777777" w:rsidR="00C1563E" w:rsidRDefault="00C1563E">
            <w:pPr>
              <w:rPr>
                <w:rFonts w:ascii="宋体"/>
              </w:rPr>
            </w:pPr>
          </w:p>
        </w:tc>
        <w:tc>
          <w:tcPr>
            <w:tcW w:w="5" w:type="pct"/>
            <w:shd w:val="clear" w:color="auto" w:fill="auto"/>
          </w:tcPr>
          <w:p w14:paraId="7DCFF8C7" w14:textId="77777777" w:rsidR="00C1563E" w:rsidRDefault="00C1563E">
            <w:pPr>
              <w:rPr>
                <w:rFonts w:ascii="宋体"/>
              </w:rPr>
            </w:pPr>
          </w:p>
        </w:tc>
        <w:tc>
          <w:tcPr>
            <w:tcW w:w="50" w:type="pct"/>
            <w:shd w:val="clear" w:color="auto" w:fill="auto"/>
          </w:tcPr>
          <w:p w14:paraId="7DCFF8C8" w14:textId="77777777" w:rsidR="00C1563E" w:rsidRDefault="00C1563E">
            <w:pPr>
              <w:rPr>
                <w:rFonts w:ascii="宋体"/>
              </w:rPr>
            </w:pPr>
          </w:p>
        </w:tc>
        <w:tc>
          <w:tcPr>
            <w:tcW w:w="354" w:type="pct"/>
            <w:shd w:val="clear" w:color="auto" w:fill="auto"/>
          </w:tcPr>
          <w:p w14:paraId="7DCFF8C9" w14:textId="77777777" w:rsidR="00C1563E" w:rsidRDefault="00C1563E">
            <w:pPr>
              <w:rPr>
                <w:rFonts w:ascii="宋体"/>
              </w:rPr>
            </w:pPr>
          </w:p>
        </w:tc>
        <w:tc>
          <w:tcPr>
            <w:tcW w:w="5" w:type="pct"/>
            <w:shd w:val="clear" w:color="auto" w:fill="auto"/>
          </w:tcPr>
          <w:p w14:paraId="7DCFF8CA" w14:textId="77777777" w:rsidR="00C1563E" w:rsidRDefault="00C1563E">
            <w:pPr>
              <w:rPr>
                <w:rFonts w:ascii="宋体"/>
              </w:rPr>
            </w:pPr>
          </w:p>
        </w:tc>
        <w:tc>
          <w:tcPr>
            <w:tcW w:w="5" w:type="pct"/>
            <w:shd w:val="clear" w:color="auto" w:fill="auto"/>
          </w:tcPr>
          <w:p w14:paraId="7DCFF8CB" w14:textId="77777777" w:rsidR="00C1563E" w:rsidRDefault="00C1563E">
            <w:pPr>
              <w:rPr>
                <w:rFonts w:ascii="宋体"/>
              </w:rPr>
            </w:pPr>
          </w:p>
        </w:tc>
        <w:tc>
          <w:tcPr>
            <w:tcW w:w="19" w:type="pct"/>
            <w:shd w:val="clear" w:color="auto" w:fill="auto"/>
          </w:tcPr>
          <w:p w14:paraId="7DCFF8CC" w14:textId="77777777" w:rsidR="00C1563E" w:rsidRDefault="00C1563E">
            <w:pPr>
              <w:rPr>
                <w:rFonts w:ascii="宋体"/>
              </w:rPr>
            </w:pPr>
          </w:p>
        </w:tc>
        <w:tc>
          <w:tcPr>
            <w:tcW w:w="5" w:type="pct"/>
            <w:shd w:val="clear" w:color="auto" w:fill="auto"/>
          </w:tcPr>
          <w:p w14:paraId="7DCFF8CD" w14:textId="77777777" w:rsidR="00C1563E" w:rsidRDefault="00C1563E">
            <w:pPr>
              <w:rPr>
                <w:rFonts w:ascii="宋体"/>
              </w:rPr>
            </w:pPr>
          </w:p>
        </w:tc>
        <w:tc>
          <w:tcPr>
            <w:tcW w:w="50" w:type="pct"/>
            <w:shd w:val="clear" w:color="auto" w:fill="auto"/>
          </w:tcPr>
          <w:p w14:paraId="7DCFF8CE" w14:textId="77777777" w:rsidR="00C1563E" w:rsidRDefault="00C1563E">
            <w:pPr>
              <w:rPr>
                <w:rFonts w:ascii="宋体"/>
              </w:rPr>
            </w:pPr>
          </w:p>
        </w:tc>
        <w:tc>
          <w:tcPr>
            <w:tcW w:w="354" w:type="pct"/>
            <w:shd w:val="clear" w:color="auto" w:fill="auto"/>
          </w:tcPr>
          <w:p w14:paraId="7DCFF8CF" w14:textId="77777777" w:rsidR="00C1563E" w:rsidRDefault="00C1563E">
            <w:pPr>
              <w:rPr>
                <w:rFonts w:ascii="宋体"/>
              </w:rPr>
            </w:pPr>
          </w:p>
        </w:tc>
        <w:tc>
          <w:tcPr>
            <w:tcW w:w="5" w:type="pct"/>
            <w:shd w:val="clear" w:color="auto" w:fill="auto"/>
          </w:tcPr>
          <w:p w14:paraId="7DCFF8D0" w14:textId="77777777" w:rsidR="00C1563E" w:rsidRDefault="00C1563E">
            <w:pPr>
              <w:rPr>
                <w:rFonts w:ascii="宋体"/>
              </w:rPr>
            </w:pPr>
          </w:p>
        </w:tc>
        <w:tc>
          <w:tcPr>
            <w:tcW w:w="5" w:type="pct"/>
            <w:shd w:val="clear" w:color="auto" w:fill="auto"/>
          </w:tcPr>
          <w:p w14:paraId="7DCFF8D1" w14:textId="77777777" w:rsidR="00C1563E" w:rsidRDefault="00C1563E">
            <w:pPr>
              <w:rPr>
                <w:rFonts w:ascii="宋体"/>
              </w:rPr>
            </w:pPr>
          </w:p>
        </w:tc>
        <w:tc>
          <w:tcPr>
            <w:tcW w:w="19" w:type="pct"/>
            <w:shd w:val="clear" w:color="auto" w:fill="auto"/>
          </w:tcPr>
          <w:p w14:paraId="7DCFF8D2" w14:textId="77777777" w:rsidR="00C1563E" w:rsidRDefault="00C1563E">
            <w:pPr>
              <w:rPr>
                <w:rFonts w:ascii="宋体"/>
              </w:rPr>
            </w:pPr>
          </w:p>
        </w:tc>
        <w:tc>
          <w:tcPr>
            <w:tcW w:w="5" w:type="pct"/>
            <w:shd w:val="clear" w:color="auto" w:fill="auto"/>
          </w:tcPr>
          <w:p w14:paraId="7DCFF8D3" w14:textId="77777777" w:rsidR="00C1563E" w:rsidRDefault="00C1563E">
            <w:pPr>
              <w:rPr>
                <w:rFonts w:ascii="宋体"/>
              </w:rPr>
            </w:pPr>
          </w:p>
        </w:tc>
        <w:tc>
          <w:tcPr>
            <w:tcW w:w="50" w:type="pct"/>
            <w:shd w:val="clear" w:color="auto" w:fill="auto"/>
          </w:tcPr>
          <w:p w14:paraId="7DCFF8D4" w14:textId="77777777" w:rsidR="00C1563E" w:rsidRDefault="00C1563E">
            <w:pPr>
              <w:rPr>
                <w:rFonts w:ascii="宋体"/>
              </w:rPr>
            </w:pPr>
          </w:p>
        </w:tc>
        <w:tc>
          <w:tcPr>
            <w:tcW w:w="354" w:type="pct"/>
            <w:shd w:val="clear" w:color="auto" w:fill="auto"/>
          </w:tcPr>
          <w:p w14:paraId="7DCFF8D5" w14:textId="77777777" w:rsidR="00C1563E" w:rsidRDefault="00C1563E">
            <w:pPr>
              <w:rPr>
                <w:rFonts w:ascii="宋体"/>
              </w:rPr>
            </w:pPr>
          </w:p>
        </w:tc>
        <w:tc>
          <w:tcPr>
            <w:tcW w:w="5" w:type="pct"/>
            <w:shd w:val="clear" w:color="auto" w:fill="auto"/>
          </w:tcPr>
          <w:p w14:paraId="7DCFF8D6" w14:textId="77777777" w:rsidR="00C1563E" w:rsidRDefault="00C1563E">
            <w:pPr>
              <w:rPr>
                <w:rFonts w:ascii="宋体"/>
              </w:rPr>
            </w:pPr>
          </w:p>
        </w:tc>
        <w:tc>
          <w:tcPr>
            <w:tcW w:w="5" w:type="pct"/>
            <w:shd w:val="clear" w:color="auto" w:fill="auto"/>
          </w:tcPr>
          <w:p w14:paraId="7DCFF8D7" w14:textId="77777777" w:rsidR="00C1563E" w:rsidRDefault="00C1563E">
            <w:pPr>
              <w:rPr>
                <w:rFonts w:ascii="宋体"/>
              </w:rPr>
            </w:pPr>
          </w:p>
        </w:tc>
        <w:tc>
          <w:tcPr>
            <w:tcW w:w="19" w:type="pct"/>
            <w:shd w:val="clear" w:color="auto" w:fill="auto"/>
          </w:tcPr>
          <w:p w14:paraId="7DCFF8D8" w14:textId="77777777" w:rsidR="00C1563E" w:rsidRDefault="00C1563E">
            <w:pPr>
              <w:rPr>
                <w:rFonts w:ascii="宋体"/>
              </w:rPr>
            </w:pPr>
          </w:p>
        </w:tc>
        <w:tc>
          <w:tcPr>
            <w:tcW w:w="5" w:type="pct"/>
            <w:shd w:val="clear" w:color="auto" w:fill="auto"/>
          </w:tcPr>
          <w:p w14:paraId="7DCFF8D9" w14:textId="77777777" w:rsidR="00C1563E" w:rsidRDefault="00C1563E">
            <w:pPr>
              <w:rPr>
                <w:rFonts w:ascii="宋体"/>
              </w:rPr>
            </w:pPr>
          </w:p>
        </w:tc>
        <w:tc>
          <w:tcPr>
            <w:tcW w:w="50" w:type="pct"/>
            <w:shd w:val="clear" w:color="auto" w:fill="auto"/>
          </w:tcPr>
          <w:p w14:paraId="7DCFF8DA" w14:textId="77777777" w:rsidR="00C1563E" w:rsidRDefault="00C1563E">
            <w:pPr>
              <w:rPr>
                <w:rFonts w:ascii="宋体"/>
              </w:rPr>
            </w:pPr>
          </w:p>
        </w:tc>
        <w:tc>
          <w:tcPr>
            <w:tcW w:w="354" w:type="pct"/>
            <w:shd w:val="clear" w:color="auto" w:fill="auto"/>
          </w:tcPr>
          <w:p w14:paraId="7DCFF8DB" w14:textId="77777777" w:rsidR="00C1563E" w:rsidRDefault="00C1563E">
            <w:pPr>
              <w:rPr>
                <w:rFonts w:ascii="宋体"/>
              </w:rPr>
            </w:pPr>
          </w:p>
        </w:tc>
        <w:tc>
          <w:tcPr>
            <w:tcW w:w="5" w:type="pct"/>
            <w:shd w:val="clear" w:color="auto" w:fill="auto"/>
          </w:tcPr>
          <w:p w14:paraId="7DCFF8DC" w14:textId="77777777" w:rsidR="00C1563E" w:rsidRDefault="00C1563E">
            <w:pPr>
              <w:rPr>
                <w:rFonts w:ascii="宋体"/>
              </w:rPr>
            </w:pPr>
          </w:p>
        </w:tc>
        <w:tc>
          <w:tcPr>
            <w:tcW w:w="5" w:type="pct"/>
            <w:shd w:val="clear" w:color="auto" w:fill="auto"/>
          </w:tcPr>
          <w:p w14:paraId="7DCFF8DD" w14:textId="77777777" w:rsidR="00C1563E" w:rsidRDefault="00C1563E">
            <w:pPr>
              <w:rPr>
                <w:rFonts w:ascii="宋体"/>
              </w:rPr>
            </w:pPr>
          </w:p>
        </w:tc>
        <w:tc>
          <w:tcPr>
            <w:tcW w:w="19" w:type="pct"/>
            <w:shd w:val="clear" w:color="auto" w:fill="auto"/>
          </w:tcPr>
          <w:p w14:paraId="7DCFF8DE" w14:textId="77777777" w:rsidR="00C1563E" w:rsidRDefault="00C1563E">
            <w:pPr>
              <w:rPr>
                <w:rFonts w:ascii="宋体"/>
              </w:rPr>
            </w:pPr>
          </w:p>
        </w:tc>
        <w:tc>
          <w:tcPr>
            <w:tcW w:w="5" w:type="pct"/>
            <w:shd w:val="clear" w:color="auto" w:fill="auto"/>
          </w:tcPr>
          <w:p w14:paraId="7DCFF8DF" w14:textId="77777777" w:rsidR="00C1563E" w:rsidRDefault="00C1563E">
            <w:pPr>
              <w:rPr>
                <w:rFonts w:ascii="宋体"/>
              </w:rPr>
            </w:pPr>
          </w:p>
        </w:tc>
        <w:tc>
          <w:tcPr>
            <w:tcW w:w="50" w:type="pct"/>
            <w:shd w:val="clear" w:color="auto" w:fill="auto"/>
          </w:tcPr>
          <w:p w14:paraId="7DCFF8E0" w14:textId="77777777" w:rsidR="00C1563E" w:rsidRDefault="00C1563E">
            <w:pPr>
              <w:rPr>
                <w:rFonts w:ascii="宋体"/>
              </w:rPr>
            </w:pPr>
          </w:p>
        </w:tc>
        <w:tc>
          <w:tcPr>
            <w:tcW w:w="354" w:type="pct"/>
            <w:shd w:val="clear" w:color="auto" w:fill="auto"/>
          </w:tcPr>
          <w:p w14:paraId="7DCFF8E1" w14:textId="77777777" w:rsidR="00C1563E" w:rsidRDefault="00C1563E">
            <w:pPr>
              <w:rPr>
                <w:rFonts w:ascii="宋体"/>
              </w:rPr>
            </w:pPr>
          </w:p>
        </w:tc>
        <w:tc>
          <w:tcPr>
            <w:tcW w:w="5" w:type="pct"/>
            <w:shd w:val="clear" w:color="auto" w:fill="auto"/>
          </w:tcPr>
          <w:p w14:paraId="7DCFF8E2" w14:textId="77777777" w:rsidR="00C1563E" w:rsidRDefault="00C1563E">
            <w:pPr>
              <w:rPr>
                <w:rFonts w:ascii="宋体"/>
              </w:rPr>
            </w:pPr>
          </w:p>
        </w:tc>
        <w:tc>
          <w:tcPr>
            <w:tcW w:w="5" w:type="pct"/>
            <w:shd w:val="clear" w:color="auto" w:fill="auto"/>
          </w:tcPr>
          <w:p w14:paraId="7DCFF8E3" w14:textId="77777777" w:rsidR="00C1563E" w:rsidRDefault="00C1563E">
            <w:pPr>
              <w:rPr>
                <w:rFonts w:ascii="宋体"/>
              </w:rPr>
            </w:pPr>
          </w:p>
        </w:tc>
        <w:tc>
          <w:tcPr>
            <w:tcW w:w="19" w:type="pct"/>
            <w:shd w:val="clear" w:color="auto" w:fill="auto"/>
          </w:tcPr>
          <w:p w14:paraId="7DCFF8E4" w14:textId="77777777" w:rsidR="00C1563E" w:rsidRDefault="00C1563E">
            <w:pPr>
              <w:rPr>
                <w:rFonts w:ascii="宋体"/>
              </w:rPr>
            </w:pPr>
          </w:p>
        </w:tc>
        <w:tc>
          <w:tcPr>
            <w:tcW w:w="5" w:type="pct"/>
            <w:shd w:val="clear" w:color="auto" w:fill="auto"/>
          </w:tcPr>
          <w:p w14:paraId="7DCFF8E5" w14:textId="77777777" w:rsidR="00C1563E" w:rsidRDefault="00C1563E">
            <w:pPr>
              <w:rPr>
                <w:rFonts w:ascii="宋体"/>
              </w:rPr>
            </w:pPr>
          </w:p>
        </w:tc>
        <w:tc>
          <w:tcPr>
            <w:tcW w:w="50" w:type="pct"/>
            <w:shd w:val="clear" w:color="auto" w:fill="auto"/>
          </w:tcPr>
          <w:p w14:paraId="7DCFF8E6" w14:textId="77777777" w:rsidR="00C1563E" w:rsidRDefault="00C1563E">
            <w:pPr>
              <w:rPr>
                <w:rFonts w:ascii="宋体"/>
              </w:rPr>
            </w:pPr>
          </w:p>
        </w:tc>
        <w:tc>
          <w:tcPr>
            <w:tcW w:w="354" w:type="pct"/>
            <w:shd w:val="clear" w:color="auto" w:fill="auto"/>
          </w:tcPr>
          <w:p w14:paraId="7DCFF8E7" w14:textId="77777777" w:rsidR="00C1563E" w:rsidRDefault="00C1563E">
            <w:pPr>
              <w:rPr>
                <w:rFonts w:ascii="宋体"/>
              </w:rPr>
            </w:pPr>
          </w:p>
        </w:tc>
        <w:tc>
          <w:tcPr>
            <w:tcW w:w="5" w:type="pct"/>
            <w:shd w:val="clear" w:color="auto" w:fill="auto"/>
          </w:tcPr>
          <w:p w14:paraId="7DCFF8E8" w14:textId="77777777" w:rsidR="00C1563E" w:rsidRDefault="00C1563E">
            <w:pPr>
              <w:rPr>
                <w:rFonts w:ascii="宋体"/>
              </w:rPr>
            </w:pPr>
          </w:p>
        </w:tc>
        <w:tc>
          <w:tcPr>
            <w:tcW w:w="5" w:type="pct"/>
            <w:shd w:val="clear" w:color="auto" w:fill="auto"/>
          </w:tcPr>
          <w:p w14:paraId="7DCFF8E9" w14:textId="77777777" w:rsidR="00C1563E" w:rsidRDefault="00C1563E">
            <w:pPr>
              <w:rPr>
                <w:rFonts w:ascii="宋体"/>
              </w:rPr>
            </w:pPr>
          </w:p>
        </w:tc>
        <w:tc>
          <w:tcPr>
            <w:tcW w:w="19" w:type="pct"/>
            <w:shd w:val="clear" w:color="auto" w:fill="auto"/>
          </w:tcPr>
          <w:p w14:paraId="7DCFF8EA" w14:textId="77777777" w:rsidR="00C1563E" w:rsidRDefault="00C1563E">
            <w:pPr>
              <w:rPr>
                <w:rFonts w:ascii="宋体"/>
              </w:rPr>
            </w:pPr>
          </w:p>
        </w:tc>
        <w:tc>
          <w:tcPr>
            <w:tcW w:w="5" w:type="pct"/>
            <w:shd w:val="clear" w:color="auto" w:fill="auto"/>
          </w:tcPr>
          <w:p w14:paraId="7DCFF8EB" w14:textId="77777777" w:rsidR="00C1563E" w:rsidRDefault="00C1563E">
            <w:pPr>
              <w:rPr>
                <w:rFonts w:ascii="宋体"/>
              </w:rPr>
            </w:pPr>
          </w:p>
        </w:tc>
        <w:tc>
          <w:tcPr>
            <w:tcW w:w="50" w:type="pct"/>
            <w:shd w:val="clear" w:color="auto" w:fill="auto"/>
          </w:tcPr>
          <w:p w14:paraId="7DCFF8EC" w14:textId="77777777" w:rsidR="00C1563E" w:rsidRDefault="00C1563E">
            <w:pPr>
              <w:rPr>
                <w:rFonts w:ascii="宋体"/>
              </w:rPr>
            </w:pPr>
          </w:p>
        </w:tc>
        <w:tc>
          <w:tcPr>
            <w:tcW w:w="551" w:type="pct"/>
            <w:shd w:val="clear" w:color="auto" w:fill="auto"/>
          </w:tcPr>
          <w:p w14:paraId="7DCFF8ED" w14:textId="77777777" w:rsidR="00C1563E" w:rsidRDefault="00C1563E">
            <w:pPr>
              <w:rPr>
                <w:rFonts w:ascii="宋体"/>
              </w:rPr>
            </w:pPr>
          </w:p>
        </w:tc>
        <w:tc>
          <w:tcPr>
            <w:tcW w:w="5" w:type="pct"/>
            <w:shd w:val="clear" w:color="auto" w:fill="auto"/>
          </w:tcPr>
          <w:p w14:paraId="7DCFF8EE" w14:textId="77777777" w:rsidR="00C1563E" w:rsidRDefault="00C1563E">
            <w:pPr>
              <w:rPr>
                <w:rFonts w:ascii="宋体"/>
              </w:rPr>
            </w:pPr>
          </w:p>
        </w:tc>
        <w:tc>
          <w:tcPr>
            <w:tcW w:w="5" w:type="pct"/>
            <w:shd w:val="clear" w:color="auto" w:fill="auto"/>
          </w:tcPr>
          <w:p w14:paraId="7DCFF8EF" w14:textId="77777777" w:rsidR="00C1563E" w:rsidRDefault="00C1563E">
            <w:pPr>
              <w:rPr>
                <w:rFonts w:ascii="宋体"/>
              </w:rPr>
            </w:pPr>
          </w:p>
        </w:tc>
        <w:tc>
          <w:tcPr>
            <w:tcW w:w="19" w:type="pct"/>
            <w:shd w:val="clear" w:color="auto" w:fill="auto"/>
          </w:tcPr>
          <w:p w14:paraId="7DCFF8F0" w14:textId="77777777" w:rsidR="00C1563E" w:rsidRDefault="00C1563E">
            <w:pPr>
              <w:rPr>
                <w:rFonts w:ascii="宋体"/>
              </w:rPr>
            </w:pPr>
          </w:p>
        </w:tc>
        <w:tc>
          <w:tcPr>
            <w:tcW w:w="5" w:type="pct"/>
            <w:shd w:val="clear" w:color="auto" w:fill="auto"/>
          </w:tcPr>
          <w:p w14:paraId="7DCFF8F1" w14:textId="77777777" w:rsidR="00C1563E" w:rsidRDefault="00C1563E">
            <w:pPr>
              <w:rPr>
                <w:rFonts w:ascii="宋体"/>
              </w:rPr>
            </w:pPr>
          </w:p>
        </w:tc>
        <w:tc>
          <w:tcPr>
            <w:tcW w:w="50" w:type="pct"/>
            <w:shd w:val="clear" w:color="auto" w:fill="auto"/>
          </w:tcPr>
          <w:p w14:paraId="7DCFF8F2" w14:textId="77777777" w:rsidR="00C1563E" w:rsidRDefault="00C1563E">
            <w:pPr>
              <w:rPr>
                <w:rFonts w:ascii="宋体"/>
              </w:rPr>
            </w:pPr>
          </w:p>
        </w:tc>
        <w:tc>
          <w:tcPr>
            <w:tcW w:w="551" w:type="pct"/>
            <w:shd w:val="clear" w:color="auto" w:fill="auto"/>
          </w:tcPr>
          <w:p w14:paraId="7DCFF8F3" w14:textId="77777777" w:rsidR="00C1563E" w:rsidRDefault="00C1563E">
            <w:pPr>
              <w:rPr>
                <w:rFonts w:ascii="宋体"/>
              </w:rPr>
            </w:pPr>
          </w:p>
        </w:tc>
        <w:tc>
          <w:tcPr>
            <w:tcW w:w="5" w:type="pct"/>
            <w:shd w:val="clear" w:color="auto" w:fill="auto"/>
          </w:tcPr>
          <w:p w14:paraId="7DCFF8F4" w14:textId="77777777" w:rsidR="00C1563E" w:rsidRDefault="00C1563E">
            <w:pPr>
              <w:rPr>
                <w:rFonts w:ascii="宋体"/>
              </w:rPr>
            </w:pPr>
          </w:p>
        </w:tc>
        <w:tc>
          <w:tcPr>
            <w:tcW w:w="5" w:type="pct"/>
            <w:shd w:val="clear" w:color="auto" w:fill="auto"/>
          </w:tcPr>
          <w:p w14:paraId="7DCFF8F5" w14:textId="77777777" w:rsidR="00C1563E" w:rsidRDefault="00C1563E">
            <w:pPr>
              <w:rPr>
                <w:rFonts w:ascii="宋体"/>
              </w:rPr>
            </w:pPr>
          </w:p>
        </w:tc>
        <w:tc>
          <w:tcPr>
            <w:tcW w:w="19" w:type="pct"/>
            <w:shd w:val="clear" w:color="auto" w:fill="auto"/>
          </w:tcPr>
          <w:p w14:paraId="7DCFF8F6" w14:textId="77777777" w:rsidR="00C1563E" w:rsidRDefault="00C1563E">
            <w:pPr>
              <w:rPr>
                <w:rFonts w:ascii="宋体"/>
              </w:rPr>
            </w:pPr>
          </w:p>
        </w:tc>
        <w:tc>
          <w:tcPr>
            <w:tcW w:w="5" w:type="pct"/>
            <w:shd w:val="clear" w:color="auto" w:fill="auto"/>
          </w:tcPr>
          <w:p w14:paraId="7DCFF8F7" w14:textId="77777777" w:rsidR="00C1563E" w:rsidRDefault="00C1563E">
            <w:pPr>
              <w:rPr>
                <w:rFonts w:ascii="宋体"/>
              </w:rPr>
            </w:pPr>
          </w:p>
        </w:tc>
        <w:tc>
          <w:tcPr>
            <w:tcW w:w="50" w:type="pct"/>
            <w:shd w:val="clear" w:color="auto" w:fill="auto"/>
          </w:tcPr>
          <w:p w14:paraId="7DCFF8F8" w14:textId="77777777" w:rsidR="00C1563E" w:rsidRDefault="00C1563E">
            <w:pPr>
              <w:rPr>
                <w:rFonts w:ascii="宋体"/>
              </w:rPr>
            </w:pPr>
          </w:p>
        </w:tc>
        <w:tc>
          <w:tcPr>
            <w:tcW w:w="384" w:type="pct"/>
            <w:shd w:val="clear" w:color="auto" w:fill="auto"/>
          </w:tcPr>
          <w:p w14:paraId="7DCFF8F9" w14:textId="77777777" w:rsidR="00C1563E" w:rsidRDefault="00C1563E">
            <w:pPr>
              <w:rPr>
                <w:rFonts w:ascii="宋体"/>
              </w:rPr>
            </w:pPr>
          </w:p>
        </w:tc>
        <w:tc>
          <w:tcPr>
            <w:tcW w:w="5" w:type="pct"/>
            <w:shd w:val="clear" w:color="auto" w:fill="auto"/>
          </w:tcPr>
          <w:p w14:paraId="7DCFF8FA" w14:textId="77777777" w:rsidR="00C1563E" w:rsidRDefault="00C1563E">
            <w:pPr>
              <w:rPr>
                <w:rFonts w:ascii="宋体"/>
              </w:rPr>
            </w:pPr>
          </w:p>
        </w:tc>
      </w:tr>
      <w:tr w:rsidR="00C1563E" w14:paraId="7DCFF8FE" w14:textId="77777777">
        <w:tc>
          <w:tcPr>
            <w:tcW w:w="0" w:type="auto"/>
            <w:gridSpan w:val="3"/>
            <w:shd w:val="clear" w:color="auto" w:fill="auto"/>
            <w:tcMar>
              <w:top w:w="0" w:type="dxa"/>
              <w:left w:w="20" w:type="dxa"/>
              <w:bottom w:w="0" w:type="dxa"/>
              <w:right w:w="20" w:type="dxa"/>
            </w:tcMar>
          </w:tcPr>
          <w:p w14:paraId="7DCFF8FC" w14:textId="77777777" w:rsidR="00C1563E" w:rsidRDefault="00C1563E">
            <w:pPr>
              <w:rPr>
                <w:rFonts w:ascii="宋体"/>
              </w:rPr>
            </w:pPr>
          </w:p>
        </w:tc>
        <w:tc>
          <w:tcPr>
            <w:tcW w:w="0" w:type="auto"/>
            <w:gridSpan w:val="51"/>
            <w:shd w:val="clear" w:color="auto" w:fill="auto"/>
            <w:tcMar>
              <w:top w:w="40" w:type="dxa"/>
              <w:left w:w="20" w:type="dxa"/>
              <w:bottom w:w="40" w:type="dxa"/>
              <w:right w:w="20" w:type="dxa"/>
            </w:tcMar>
            <w:vAlign w:val="bottom"/>
          </w:tcPr>
          <w:p w14:paraId="7DCFF8FD"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CFF907" w14:textId="77777777">
        <w:tc>
          <w:tcPr>
            <w:tcW w:w="0" w:type="auto"/>
            <w:gridSpan w:val="3"/>
            <w:shd w:val="clear" w:color="auto" w:fill="auto"/>
            <w:tcMar>
              <w:top w:w="0" w:type="dxa"/>
              <w:left w:w="20" w:type="dxa"/>
              <w:bottom w:w="0" w:type="dxa"/>
              <w:right w:w="20" w:type="dxa"/>
            </w:tcMar>
          </w:tcPr>
          <w:p w14:paraId="7DCFF8FF" w14:textId="77777777" w:rsidR="00C1563E" w:rsidRDefault="00C1563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DCFF900" w14:textId="77777777" w:rsidR="00C1563E" w:rsidRDefault="000B648B">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tcPr>
          <w:p w14:paraId="7DCFF901"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902"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903"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904"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905"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906" w14:textId="77777777" w:rsidR="00C1563E" w:rsidRDefault="00C1563E">
            <w:pPr>
              <w:rPr>
                <w:rFonts w:ascii="宋体"/>
              </w:rPr>
            </w:pPr>
          </w:p>
        </w:tc>
      </w:tr>
      <w:tr w:rsidR="00C1563E" w14:paraId="7DCFF910" w14:textId="77777777">
        <w:tc>
          <w:tcPr>
            <w:tcW w:w="0" w:type="auto"/>
            <w:gridSpan w:val="3"/>
            <w:shd w:val="clear" w:color="auto" w:fill="auto"/>
            <w:tcMar>
              <w:top w:w="0" w:type="dxa"/>
              <w:left w:w="20" w:type="dxa"/>
              <w:bottom w:w="0" w:type="dxa"/>
              <w:right w:w="20" w:type="dxa"/>
            </w:tcMar>
          </w:tcPr>
          <w:p w14:paraId="7DCFF908" w14:textId="77777777" w:rsidR="00C1563E" w:rsidRDefault="00C1563E">
            <w:pPr>
              <w:rPr>
                <w:rFonts w:ascii="宋体"/>
              </w:rPr>
            </w:pPr>
          </w:p>
        </w:tc>
        <w:tc>
          <w:tcPr>
            <w:tcW w:w="0" w:type="auto"/>
            <w:gridSpan w:val="33"/>
            <w:shd w:val="clear" w:color="auto" w:fill="auto"/>
            <w:tcMar>
              <w:top w:w="40" w:type="dxa"/>
              <w:left w:w="20" w:type="dxa"/>
              <w:bottom w:w="40" w:type="dxa"/>
              <w:right w:w="20" w:type="dxa"/>
            </w:tcMar>
            <w:vAlign w:val="bottom"/>
          </w:tcPr>
          <w:p w14:paraId="7DCFF909" w14:textId="77777777" w:rsidR="00C1563E" w:rsidRDefault="000B648B">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tcPr>
          <w:p w14:paraId="7DCFF90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90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90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90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90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90F" w14:textId="77777777" w:rsidR="00C1563E" w:rsidRDefault="00C1563E">
            <w:pPr>
              <w:rPr>
                <w:rFonts w:ascii="宋体"/>
              </w:rPr>
            </w:pPr>
          </w:p>
        </w:tc>
      </w:tr>
      <w:tr w:rsidR="00C1563E" w14:paraId="7DCFF923" w14:textId="77777777">
        <w:tc>
          <w:tcPr>
            <w:tcW w:w="0" w:type="auto"/>
            <w:gridSpan w:val="3"/>
            <w:shd w:val="clear" w:color="auto" w:fill="auto"/>
            <w:tcMar>
              <w:top w:w="0" w:type="dxa"/>
              <w:left w:w="20" w:type="dxa"/>
              <w:bottom w:w="0" w:type="dxa"/>
              <w:right w:w="20" w:type="dxa"/>
            </w:tcMar>
          </w:tcPr>
          <w:p w14:paraId="7DCFF911"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912" w14:textId="77777777" w:rsidR="00C1563E" w:rsidRDefault="000B648B">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DCFF91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14" w14:textId="77777777" w:rsidR="00C1563E" w:rsidRDefault="000B648B">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DCFF91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16" w14:textId="77777777" w:rsidR="00C1563E" w:rsidRDefault="000B648B">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7DCFF91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18" w14:textId="77777777" w:rsidR="00C1563E" w:rsidRDefault="000B648B">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7DCFF91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1A" w14:textId="77777777" w:rsidR="00C1563E" w:rsidRDefault="000B648B">
            <w:pPr>
              <w:jc w:val="center"/>
              <w:textAlignment w:val="bottom"/>
            </w:pPr>
            <w:r>
              <w:rPr>
                <w:rFonts w:ascii="Times New Roman" w:eastAsia="宋体" w:hAnsi="Times New Roman"/>
                <w:b/>
                <w:bCs/>
                <w:color w:val="000000"/>
                <w:sz w:val="20"/>
                <w:szCs w:val="20"/>
              </w:rPr>
              <w:t>2017</w:t>
            </w:r>
          </w:p>
        </w:tc>
        <w:tc>
          <w:tcPr>
            <w:tcW w:w="0" w:type="auto"/>
            <w:gridSpan w:val="3"/>
            <w:tcBorders>
              <w:top w:val="single" w:sz="8" w:space="0" w:color="000000"/>
            </w:tcBorders>
            <w:shd w:val="clear" w:color="auto" w:fill="auto"/>
            <w:tcMar>
              <w:top w:w="0" w:type="dxa"/>
              <w:left w:w="20" w:type="dxa"/>
              <w:bottom w:w="0" w:type="dxa"/>
              <w:right w:w="20" w:type="dxa"/>
            </w:tcMar>
          </w:tcPr>
          <w:p w14:paraId="7DCFF91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1C" w14:textId="77777777" w:rsidR="00C1563E" w:rsidRDefault="000B648B">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tcPr>
          <w:p w14:paraId="7DCFF91D"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91E" w14:textId="77777777" w:rsidR="00C1563E" w:rsidRDefault="000B648B">
            <w:pPr>
              <w:jc w:val="center"/>
              <w:textAlignment w:val="bottom"/>
            </w:pPr>
            <w:r>
              <w:rPr>
                <w:rFonts w:ascii="Times New Roman" w:eastAsia="宋体" w:hAnsi="Times New Roman"/>
                <w:b/>
                <w:bCs/>
                <w:color w:val="000000"/>
                <w:sz w:val="20"/>
                <w:szCs w:val="20"/>
              </w:rPr>
              <w:t>Revolving — DPA (a)</w:t>
            </w:r>
          </w:p>
        </w:tc>
        <w:tc>
          <w:tcPr>
            <w:tcW w:w="0" w:type="auto"/>
            <w:gridSpan w:val="3"/>
            <w:shd w:val="clear" w:color="auto" w:fill="auto"/>
            <w:tcMar>
              <w:top w:w="0" w:type="dxa"/>
              <w:left w:w="20" w:type="dxa"/>
              <w:bottom w:w="0" w:type="dxa"/>
              <w:right w:w="20" w:type="dxa"/>
            </w:tcMar>
          </w:tcPr>
          <w:p w14:paraId="7DCFF91F"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920" w14:textId="77777777" w:rsidR="00C1563E" w:rsidRDefault="000B648B">
            <w:pPr>
              <w:jc w:val="center"/>
              <w:textAlignment w:val="bottom"/>
            </w:pPr>
            <w:r>
              <w:rPr>
                <w:rFonts w:ascii="Times New Roman" w:eastAsia="宋体" w:hAnsi="Times New Roman"/>
                <w:b/>
                <w:bCs/>
                <w:color w:val="000000"/>
                <w:sz w:val="20"/>
                <w:szCs w:val="20"/>
              </w:rPr>
              <w:t>Revolving — DBC (a)</w:t>
            </w:r>
          </w:p>
        </w:tc>
        <w:tc>
          <w:tcPr>
            <w:tcW w:w="0" w:type="auto"/>
            <w:gridSpan w:val="3"/>
            <w:shd w:val="clear" w:color="auto" w:fill="auto"/>
            <w:tcMar>
              <w:top w:w="0" w:type="dxa"/>
              <w:left w:w="20" w:type="dxa"/>
              <w:bottom w:w="0" w:type="dxa"/>
              <w:right w:w="20" w:type="dxa"/>
            </w:tcMar>
          </w:tcPr>
          <w:p w14:paraId="7DCFF921"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922"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926" w14:textId="77777777">
        <w:tc>
          <w:tcPr>
            <w:tcW w:w="0" w:type="auto"/>
            <w:gridSpan w:val="3"/>
            <w:shd w:val="clear" w:color="auto" w:fill="auto"/>
            <w:tcMar>
              <w:top w:w="0" w:type="dxa"/>
              <w:left w:w="20" w:type="dxa"/>
              <w:bottom w:w="0" w:type="dxa"/>
              <w:right w:w="20" w:type="dxa"/>
            </w:tcMar>
          </w:tcPr>
          <w:p w14:paraId="7DCFF924" w14:textId="77777777" w:rsidR="00C1563E" w:rsidRDefault="00C1563E">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7DCFF925" w14:textId="77777777" w:rsidR="00C1563E" w:rsidRDefault="000B648B">
            <w:pPr>
              <w:jc w:val="center"/>
              <w:textAlignment w:val="center"/>
            </w:pPr>
            <w:r>
              <w:rPr>
                <w:rFonts w:ascii="Times New Roman" w:eastAsia="宋体" w:hAnsi="Times New Roman"/>
                <w:color w:val="000000"/>
                <w:sz w:val="20"/>
                <w:szCs w:val="20"/>
              </w:rPr>
              <w:t>(in millions)</w:t>
            </w:r>
          </w:p>
        </w:tc>
      </w:tr>
      <w:tr w:rsidR="000B648B" w14:paraId="7DCFF94B" w14:textId="77777777">
        <w:tc>
          <w:tcPr>
            <w:tcW w:w="0" w:type="auto"/>
            <w:gridSpan w:val="3"/>
            <w:shd w:val="clear" w:color="auto" w:fill="CCEEFF"/>
            <w:tcMar>
              <w:top w:w="40" w:type="dxa"/>
              <w:left w:w="20" w:type="dxa"/>
              <w:bottom w:w="40" w:type="dxa"/>
              <w:right w:w="20" w:type="dxa"/>
            </w:tcMar>
            <w:vAlign w:val="center"/>
          </w:tcPr>
          <w:p w14:paraId="7DCFF927" w14:textId="77777777" w:rsidR="00C1563E" w:rsidRDefault="000B648B">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DCFF928"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29" w14:textId="77777777" w:rsidR="00C1563E" w:rsidRDefault="000B648B">
            <w:pPr>
              <w:jc w:val="right"/>
              <w:textAlignment w:val="center"/>
            </w:pPr>
            <w:r>
              <w:rPr>
                <w:rFonts w:ascii="Times New Roman" w:eastAsia="宋体" w:hAnsi="Times New Roman"/>
                <w:color w:val="000000"/>
                <w:sz w:val="20"/>
                <w:szCs w:val="20"/>
              </w:rPr>
              <w:t>3,125 </w:t>
            </w:r>
          </w:p>
        </w:tc>
        <w:tc>
          <w:tcPr>
            <w:tcW w:w="0" w:type="auto"/>
            <w:shd w:val="clear" w:color="auto" w:fill="CCEEFF"/>
            <w:tcMar>
              <w:top w:w="40" w:type="dxa"/>
              <w:left w:w="0" w:type="dxa"/>
              <w:bottom w:w="40" w:type="dxa"/>
              <w:right w:w="20" w:type="dxa"/>
            </w:tcMar>
            <w:vAlign w:val="center"/>
          </w:tcPr>
          <w:p w14:paraId="7DCFF92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2B"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2C"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2D" w14:textId="77777777" w:rsidR="00C1563E" w:rsidRDefault="000B648B">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left w:w="0" w:type="dxa"/>
              <w:bottom w:w="40" w:type="dxa"/>
              <w:right w:w="20" w:type="dxa"/>
            </w:tcMar>
            <w:vAlign w:val="center"/>
          </w:tcPr>
          <w:p w14:paraId="7DCFF92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2F"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30"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31" w14:textId="77777777" w:rsidR="00C1563E" w:rsidRDefault="000B648B">
            <w:pPr>
              <w:jc w:val="right"/>
              <w:textAlignment w:val="center"/>
            </w:pPr>
            <w:r>
              <w:rPr>
                <w:rFonts w:ascii="Times New Roman" w:eastAsia="宋体" w:hAnsi="Times New Roman"/>
                <w:color w:val="000000"/>
                <w:sz w:val="20"/>
                <w:szCs w:val="20"/>
              </w:rPr>
              <w:t>661 </w:t>
            </w:r>
          </w:p>
        </w:tc>
        <w:tc>
          <w:tcPr>
            <w:tcW w:w="0" w:type="auto"/>
            <w:shd w:val="clear" w:color="auto" w:fill="CCEEFF"/>
            <w:tcMar>
              <w:top w:w="40" w:type="dxa"/>
              <w:left w:w="0" w:type="dxa"/>
              <w:bottom w:w="40" w:type="dxa"/>
              <w:right w:w="20" w:type="dxa"/>
            </w:tcMar>
            <w:vAlign w:val="center"/>
          </w:tcPr>
          <w:p w14:paraId="7DCFF93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33"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34"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35" w14:textId="77777777" w:rsidR="00C1563E" w:rsidRDefault="000B648B">
            <w:pPr>
              <w:jc w:val="right"/>
              <w:textAlignment w:val="center"/>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center"/>
          </w:tcPr>
          <w:p w14:paraId="7DCFF9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37"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38"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39" w14:textId="77777777" w:rsidR="00C1563E" w:rsidRDefault="000B648B">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7DCFF93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3B"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3C"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3D"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CFF93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3F"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40"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41" w14:textId="77777777" w:rsidR="00C1563E" w:rsidRDefault="000B648B">
            <w:pPr>
              <w:jc w:val="right"/>
              <w:textAlignment w:val="center"/>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center"/>
          </w:tcPr>
          <w:p w14:paraId="7DCFF9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43"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44"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45" w14:textId="77777777" w:rsidR="00C1563E" w:rsidRDefault="000B648B">
            <w:pPr>
              <w:jc w:val="right"/>
              <w:textAlignment w:val="center"/>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center"/>
          </w:tcPr>
          <w:p w14:paraId="7DCFF9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47"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48"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49" w14:textId="77777777" w:rsidR="00C1563E" w:rsidRDefault="000B648B">
            <w:pPr>
              <w:jc w:val="right"/>
              <w:textAlignment w:val="center"/>
            </w:pPr>
            <w:r>
              <w:rPr>
                <w:rFonts w:ascii="Times New Roman" w:eastAsia="宋体" w:hAnsi="Times New Roman"/>
                <w:color w:val="000000"/>
                <w:sz w:val="20"/>
                <w:szCs w:val="20"/>
              </w:rPr>
              <w:t>5,999 </w:t>
            </w:r>
          </w:p>
        </w:tc>
        <w:tc>
          <w:tcPr>
            <w:tcW w:w="0" w:type="auto"/>
            <w:shd w:val="clear" w:color="auto" w:fill="CCEEFF"/>
            <w:tcMar>
              <w:top w:w="40" w:type="dxa"/>
              <w:left w:w="0" w:type="dxa"/>
              <w:bottom w:w="40" w:type="dxa"/>
              <w:right w:w="20" w:type="dxa"/>
            </w:tcMar>
            <w:vAlign w:val="center"/>
          </w:tcPr>
          <w:p w14:paraId="7DCFF94A" w14:textId="77777777" w:rsidR="00C1563E" w:rsidRDefault="00C1563E">
            <w:pPr>
              <w:jc w:val="right"/>
              <w:rPr>
                <w:rFonts w:ascii="宋体"/>
              </w:rPr>
            </w:pPr>
          </w:p>
        </w:tc>
      </w:tr>
      <w:tr w:rsidR="00C1563E" w14:paraId="7DCFF967" w14:textId="77777777">
        <w:tc>
          <w:tcPr>
            <w:tcW w:w="0" w:type="auto"/>
            <w:gridSpan w:val="3"/>
            <w:shd w:val="clear" w:color="auto" w:fill="FFFFFF"/>
            <w:tcMar>
              <w:top w:w="40" w:type="dxa"/>
              <w:left w:w="20" w:type="dxa"/>
              <w:bottom w:w="40" w:type="dxa"/>
              <w:right w:w="20" w:type="dxa"/>
            </w:tcMar>
            <w:vAlign w:val="center"/>
          </w:tcPr>
          <w:p w14:paraId="7DCFF94C" w14:textId="77777777" w:rsidR="00C1563E" w:rsidRDefault="000B648B">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DCFF94D" w14:textId="77777777" w:rsidR="00C1563E" w:rsidRDefault="000B648B">
            <w:pPr>
              <w:jc w:val="right"/>
              <w:textAlignment w:val="center"/>
            </w:pPr>
            <w:r>
              <w:rPr>
                <w:rFonts w:ascii="Times New Roman" w:eastAsia="宋体" w:hAnsi="Times New Roman"/>
                <w:color w:val="000000"/>
                <w:sz w:val="20"/>
                <w:szCs w:val="20"/>
              </w:rPr>
              <w:t>1,121 </w:t>
            </w:r>
          </w:p>
        </w:tc>
        <w:tc>
          <w:tcPr>
            <w:tcW w:w="0" w:type="auto"/>
            <w:shd w:val="clear" w:color="auto" w:fill="FFFFFF"/>
            <w:tcMar>
              <w:top w:w="40" w:type="dxa"/>
              <w:left w:w="0" w:type="dxa"/>
              <w:bottom w:w="40" w:type="dxa"/>
              <w:right w:w="20" w:type="dxa"/>
            </w:tcMar>
            <w:vAlign w:val="center"/>
          </w:tcPr>
          <w:p w14:paraId="7DCFF94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4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0" w14:textId="77777777" w:rsidR="00C1563E" w:rsidRDefault="000B648B">
            <w:pPr>
              <w:jc w:val="right"/>
              <w:textAlignment w:val="center"/>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center"/>
          </w:tcPr>
          <w:p w14:paraId="7DCFF95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5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3" w14:textId="77777777" w:rsidR="00C1563E" w:rsidRDefault="000B648B">
            <w:pPr>
              <w:jc w:val="right"/>
              <w:textAlignment w:val="center"/>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center"/>
          </w:tcPr>
          <w:p w14:paraId="7DCFF9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6" w14:textId="77777777" w:rsidR="00C1563E" w:rsidRDefault="000B648B">
            <w:pPr>
              <w:jc w:val="right"/>
              <w:textAlignment w:val="center"/>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center"/>
          </w:tcPr>
          <w:p w14:paraId="7DCFF9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9" w14:textId="77777777" w:rsidR="00C1563E" w:rsidRDefault="000B648B">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DCFF95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5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C"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DCFF95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5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5F" w14:textId="77777777" w:rsidR="00C1563E" w:rsidRDefault="000B648B">
            <w:pPr>
              <w:jc w:val="right"/>
              <w:textAlignment w:val="center"/>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center"/>
          </w:tcPr>
          <w:p w14:paraId="7DCFF96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6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62" w14:textId="77777777" w:rsidR="00C1563E" w:rsidRDefault="000B648B">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7DCFF9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6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65" w14:textId="77777777" w:rsidR="00C1563E" w:rsidRDefault="000B648B">
            <w:pPr>
              <w:jc w:val="right"/>
              <w:textAlignment w:val="center"/>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center"/>
          </w:tcPr>
          <w:p w14:paraId="7DCFF966" w14:textId="77777777" w:rsidR="00C1563E" w:rsidRDefault="00C1563E">
            <w:pPr>
              <w:jc w:val="right"/>
              <w:rPr>
                <w:rFonts w:ascii="宋体"/>
              </w:rPr>
            </w:pPr>
          </w:p>
        </w:tc>
      </w:tr>
      <w:tr w:rsidR="00C1563E" w14:paraId="7DCFF983" w14:textId="77777777">
        <w:tc>
          <w:tcPr>
            <w:tcW w:w="0" w:type="auto"/>
            <w:gridSpan w:val="3"/>
            <w:shd w:val="clear" w:color="auto" w:fill="CCEEFF"/>
            <w:tcMar>
              <w:top w:w="40" w:type="dxa"/>
              <w:left w:w="20" w:type="dxa"/>
              <w:bottom w:w="40" w:type="dxa"/>
              <w:right w:w="20" w:type="dxa"/>
            </w:tcMar>
            <w:vAlign w:val="center"/>
          </w:tcPr>
          <w:p w14:paraId="7DCFF968" w14:textId="77777777" w:rsidR="00C1563E" w:rsidRDefault="000B648B">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DCFF969" w14:textId="77777777" w:rsidR="00C1563E" w:rsidRDefault="000B648B">
            <w:pPr>
              <w:jc w:val="right"/>
              <w:textAlignment w:val="center"/>
            </w:pPr>
            <w:r>
              <w:rPr>
                <w:rFonts w:ascii="Times New Roman" w:eastAsia="宋体" w:hAnsi="Times New Roman"/>
                <w:color w:val="000000"/>
                <w:sz w:val="20"/>
                <w:szCs w:val="20"/>
              </w:rPr>
              <w:t>865 </w:t>
            </w:r>
          </w:p>
        </w:tc>
        <w:tc>
          <w:tcPr>
            <w:tcW w:w="0" w:type="auto"/>
            <w:shd w:val="clear" w:color="auto" w:fill="CCEEFF"/>
            <w:tcMar>
              <w:top w:w="40" w:type="dxa"/>
              <w:left w:w="0" w:type="dxa"/>
              <w:bottom w:w="40" w:type="dxa"/>
              <w:right w:w="20" w:type="dxa"/>
            </w:tcMar>
            <w:vAlign w:val="center"/>
          </w:tcPr>
          <w:p w14:paraId="7DCFF96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6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6C" w14:textId="77777777" w:rsidR="00C1563E" w:rsidRDefault="000B648B">
            <w:pPr>
              <w:jc w:val="right"/>
              <w:textAlignment w:val="center"/>
            </w:pPr>
            <w:r>
              <w:rPr>
                <w:rFonts w:ascii="Times New Roman" w:eastAsia="宋体" w:hAnsi="Times New Roman"/>
                <w:color w:val="000000"/>
                <w:sz w:val="20"/>
                <w:szCs w:val="20"/>
              </w:rPr>
              <w:t>499 </w:t>
            </w:r>
          </w:p>
        </w:tc>
        <w:tc>
          <w:tcPr>
            <w:tcW w:w="0" w:type="auto"/>
            <w:shd w:val="clear" w:color="auto" w:fill="CCEEFF"/>
            <w:tcMar>
              <w:top w:w="40" w:type="dxa"/>
              <w:left w:w="0" w:type="dxa"/>
              <w:bottom w:w="40" w:type="dxa"/>
              <w:right w:w="20" w:type="dxa"/>
            </w:tcMar>
            <w:vAlign w:val="center"/>
          </w:tcPr>
          <w:p w14:paraId="7DCFF9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6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6F" w14:textId="77777777" w:rsidR="00C1563E" w:rsidRDefault="000B648B">
            <w:pPr>
              <w:jc w:val="right"/>
              <w:textAlignment w:val="center"/>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center"/>
          </w:tcPr>
          <w:p w14:paraId="7DCFF9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7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72" w14:textId="77777777" w:rsidR="00C1563E" w:rsidRDefault="000B648B">
            <w:pPr>
              <w:jc w:val="right"/>
              <w:textAlignment w:val="center"/>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center"/>
          </w:tcPr>
          <w:p w14:paraId="7DCFF97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7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75" w14:textId="77777777" w:rsidR="00C1563E" w:rsidRDefault="000B648B">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DCFF97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7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78"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CFF97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7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7B" w14:textId="77777777" w:rsidR="00C1563E" w:rsidRDefault="000B648B">
            <w:pPr>
              <w:jc w:val="right"/>
              <w:textAlignment w:val="center"/>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center"/>
          </w:tcPr>
          <w:p w14:paraId="7DCFF97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7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7E" w14:textId="77777777" w:rsidR="00C1563E" w:rsidRDefault="000B648B">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7DCFF97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8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81" w14:textId="77777777" w:rsidR="00C1563E" w:rsidRDefault="000B648B">
            <w:pPr>
              <w:jc w:val="right"/>
              <w:textAlignment w:val="center"/>
            </w:pPr>
            <w:r>
              <w:rPr>
                <w:rFonts w:ascii="Times New Roman" w:eastAsia="宋体" w:hAnsi="Times New Roman"/>
                <w:color w:val="000000"/>
                <w:sz w:val="20"/>
                <w:szCs w:val="20"/>
              </w:rPr>
              <w:t>1,991 </w:t>
            </w:r>
          </w:p>
        </w:tc>
        <w:tc>
          <w:tcPr>
            <w:tcW w:w="0" w:type="auto"/>
            <w:shd w:val="clear" w:color="auto" w:fill="CCEEFF"/>
            <w:tcMar>
              <w:top w:w="40" w:type="dxa"/>
              <w:left w:w="0" w:type="dxa"/>
              <w:bottom w:w="40" w:type="dxa"/>
              <w:right w:w="20" w:type="dxa"/>
            </w:tcMar>
            <w:vAlign w:val="center"/>
          </w:tcPr>
          <w:p w14:paraId="7DCFF982" w14:textId="77777777" w:rsidR="00C1563E" w:rsidRDefault="00C1563E">
            <w:pPr>
              <w:jc w:val="right"/>
              <w:rPr>
                <w:rFonts w:ascii="宋体"/>
              </w:rPr>
            </w:pPr>
          </w:p>
        </w:tc>
      </w:tr>
      <w:tr w:rsidR="000B648B" w14:paraId="7DCFF9A8" w14:textId="77777777">
        <w:tc>
          <w:tcPr>
            <w:tcW w:w="0" w:type="auto"/>
            <w:gridSpan w:val="3"/>
            <w:shd w:val="clear" w:color="auto" w:fill="FFFFFF"/>
            <w:tcMar>
              <w:top w:w="40" w:type="dxa"/>
              <w:left w:w="155" w:type="dxa"/>
              <w:bottom w:w="40" w:type="dxa"/>
              <w:right w:w="20" w:type="dxa"/>
            </w:tcMar>
            <w:vAlign w:val="center"/>
          </w:tcPr>
          <w:p w14:paraId="7DCFF984" w14:textId="77777777" w:rsidR="00C1563E" w:rsidRDefault="000B648B">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85"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86" w14:textId="77777777" w:rsidR="00C1563E" w:rsidRDefault="000B648B">
            <w:pPr>
              <w:jc w:val="right"/>
              <w:textAlignment w:val="center"/>
            </w:pPr>
            <w:r>
              <w:rPr>
                <w:rFonts w:ascii="Times New Roman" w:eastAsia="宋体" w:hAnsi="Times New Roman"/>
                <w:color w:val="000000"/>
                <w:sz w:val="20"/>
                <w:szCs w:val="20"/>
              </w:rPr>
              <w:t>5,111 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88"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89"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8A" w14:textId="77777777" w:rsidR="00C1563E" w:rsidRDefault="000B648B">
            <w:pPr>
              <w:jc w:val="right"/>
              <w:textAlignment w:val="center"/>
            </w:pPr>
            <w:r>
              <w:rPr>
                <w:rFonts w:ascii="Times New Roman" w:eastAsia="宋体" w:hAnsi="Times New Roman"/>
                <w:color w:val="000000"/>
                <w:sz w:val="20"/>
                <w:szCs w:val="20"/>
              </w:rPr>
              <w:t>2,972 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8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8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8D"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8E" w14:textId="77777777" w:rsidR="00C1563E" w:rsidRDefault="000B648B">
            <w:pPr>
              <w:jc w:val="right"/>
              <w:textAlignment w:val="center"/>
            </w:pPr>
            <w:r>
              <w:rPr>
                <w:rFonts w:ascii="Times New Roman" w:eastAsia="宋体" w:hAnsi="Times New Roman"/>
                <w:color w:val="000000"/>
                <w:sz w:val="20"/>
                <w:szCs w:val="20"/>
              </w:rPr>
              <w:t>1,191 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9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91"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92" w14:textId="77777777" w:rsidR="00C1563E" w:rsidRDefault="000B648B">
            <w:pPr>
              <w:jc w:val="right"/>
              <w:textAlignment w:val="center"/>
            </w:pPr>
            <w:r>
              <w:rPr>
                <w:rFonts w:ascii="Times New Roman" w:eastAsia="宋体" w:hAnsi="Times New Roman"/>
                <w:color w:val="000000"/>
                <w:sz w:val="20"/>
                <w:szCs w:val="20"/>
              </w:rPr>
              <w:t>277 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9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9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95"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96" w14:textId="77777777" w:rsidR="00C1563E" w:rsidRDefault="000B648B">
            <w:pPr>
              <w:jc w:val="right"/>
              <w:textAlignment w:val="center"/>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9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98"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99"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9A" w14:textId="77777777" w:rsidR="00C1563E" w:rsidRDefault="000B648B">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9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9D"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9E" w14:textId="77777777" w:rsidR="00C1563E" w:rsidRDefault="000B648B">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9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A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A1"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A2" w14:textId="77777777" w:rsidR="00C1563E" w:rsidRDefault="000B648B">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A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A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9A5"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9A6" w14:textId="77777777" w:rsidR="00C1563E" w:rsidRDefault="000B648B">
            <w:pPr>
              <w:jc w:val="right"/>
              <w:textAlignment w:val="center"/>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9A7" w14:textId="77777777" w:rsidR="00C1563E" w:rsidRDefault="00C1563E">
            <w:pPr>
              <w:jc w:val="right"/>
              <w:rPr>
                <w:rFonts w:ascii="宋体"/>
              </w:rPr>
            </w:pPr>
          </w:p>
        </w:tc>
      </w:tr>
    </w:tbl>
    <w:p w14:paraId="7DCFF9A9" w14:textId="77777777" w:rsidR="00C1563E" w:rsidRDefault="000B648B">
      <w:r>
        <w:rPr>
          <w:rFonts w:ascii="Times New Roman" w:eastAsia="宋体" w:hAnsi="Times New Roman"/>
          <w:color w:val="000000"/>
          <w:sz w:val="20"/>
          <w:szCs w:val="20"/>
        </w:rPr>
        <w:t>____________________</w:t>
      </w:r>
    </w:p>
    <w:p w14:paraId="7DCFF9AA" w14:textId="77777777" w:rsidR="00C1563E" w:rsidRDefault="000B648B">
      <w:pPr>
        <w:ind w:hanging="360"/>
      </w:pPr>
      <w:r>
        <w:rPr>
          <w:rFonts w:ascii="Times New Roman" w:eastAsia="宋体" w:hAnsi="Times New Roman"/>
          <w:color w:val="000000"/>
          <w:sz w:val="20"/>
          <w:szCs w:val="20"/>
        </w:rPr>
        <w:t>(a)    The revolving portfolio is exempt from the requirement to disclose the amortized cost basis by year of origina</w:t>
      </w:r>
      <w:r>
        <w:rPr>
          <w:rFonts w:ascii="Times New Roman" w:eastAsia="宋体" w:hAnsi="Times New Roman"/>
          <w:color w:val="000000"/>
          <w:sz w:val="20"/>
          <w:szCs w:val="20"/>
        </w:rPr>
        <w:t xml:space="preserve">tion since determining the appropriate origination year can be complex due to the nature of the revolving portfolio. </w:t>
      </w:r>
    </w:p>
    <w:p w14:paraId="7DCFF9AB" w14:textId="77777777" w:rsidR="00C1563E" w:rsidRDefault="00C1563E"/>
    <w:tbl>
      <w:tblPr>
        <w:tblW w:w="5000" w:type="pct"/>
        <w:tblCellMar>
          <w:top w:w="15" w:type="dxa"/>
          <w:left w:w="15" w:type="dxa"/>
          <w:bottom w:w="15" w:type="dxa"/>
          <w:right w:w="15" w:type="dxa"/>
        </w:tblCellMar>
        <w:tblLook w:val="04A0" w:firstRow="1" w:lastRow="0" w:firstColumn="1" w:lastColumn="0" w:noHBand="0" w:noVBand="1"/>
      </w:tblPr>
      <w:tblGrid>
        <w:gridCol w:w="37"/>
        <w:gridCol w:w="1504"/>
        <w:gridCol w:w="36"/>
        <w:gridCol w:w="121"/>
        <w:gridCol w:w="1452"/>
        <w:gridCol w:w="36"/>
        <w:gridCol w:w="36"/>
        <w:gridCol w:w="36"/>
        <w:gridCol w:w="36"/>
        <w:gridCol w:w="121"/>
        <w:gridCol w:w="1452"/>
        <w:gridCol w:w="36"/>
        <w:gridCol w:w="36"/>
        <w:gridCol w:w="36"/>
        <w:gridCol w:w="36"/>
        <w:gridCol w:w="121"/>
        <w:gridCol w:w="1452"/>
        <w:gridCol w:w="36"/>
        <w:gridCol w:w="36"/>
        <w:gridCol w:w="36"/>
        <w:gridCol w:w="36"/>
        <w:gridCol w:w="120"/>
        <w:gridCol w:w="1452"/>
        <w:gridCol w:w="36"/>
      </w:tblGrid>
      <w:tr w:rsidR="00C1563E" w14:paraId="7DCFF9C4" w14:textId="77777777">
        <w:tc>
          <w:tcPr>
            <w:tcW w:w="50" w:type="pct"/>
            <w:shd w:val="clear" w:color="auto" w:fill="auto"/>
          </w:tcPr>
          <w:p w14:paraId="7DCFF9AC" w14:textId="77777777" w:rsidR="00C1563E" w:rsidRDefault="00C1563E">
            <w:pPr>
              <w:rPr>
                <w:rFonts w:ascii="宋体"/>
              </w:rPr>
            </w:pPr>
          </w:p>
        </w:tc>
        <w:tc>
          <w:tcPr>
            <w:tcW w:w="968" w:type="pct"/>
            <w:shd w:val="clear" w:color="auto" w:fill="auto"/>
          </w:tcPr>
          <w:p w14:paraId="7DCFF9AD" w14:textId="77777777" w:rsidR="00C1563E" w:rsidRDefault="00C1563E">
            <w:pPr>
              <w:rPr>
                <w:rFonts w:ascii="宋体"/>
              </w:rPr>
            </w:pPr>
          </w:p>
        </w:tc>
        <w:tc>
          <w:tcPr>
            <w:tcW w:w="5" w:type="pct"/>
            <w:shd w:val="clear" w:color="auto" w:fill="auto"/>
          </w:tcPr>
          <w:p w14:paraId="7DCFF9AE" w14:textId="77777777" w:rsidR="00C1563E" w:rsidRDefault="00C1563E">
            <w:pPr>
              <w:rPr>
                <w:rFonts w:ascii="宋体"/>
              </w:rPr>
            </w:pPr>
          </w:p>
        </w:tc>
        <w:tc>
          <w:tcPr>
            <w:tcW w:w="50" w:type="pct"/>
            <w:shd w:val="clear" w:color="auto" w:fill="auto"/>
          </w:tcPr>
          <w:p w14:paraId="7DCFF9AF" w14:textId="77777777" w:rsidR="00C1563E" w:rsidRDefault="00C1563E">
            <w:pPr>
              <w:rPr>
                <w:rFonts w:ascii="宋体"/>
              </w:rPr>
            </w:pPr>
          </w:p>
        </w:tc>
        <w:tc>
          <w:tcPr>
            <w:tcW w:w="917" w:type="pct"/>
            <w:shd w:val="clear" w:color="auto" w:fill="auto"/>
          </w:tcPr>
          <w:p w14:paraId="7DCFF9B0" w14:textId="77777777" w:rsidR="00C1563E" w:rsidRDefault="00C1563E">
            <w:pPr>
              <w:rPr>
                <w:rFonts w:ascii="宋体"/>
              </w:rPr>
            </w:pPr>
          </w:p>
        </w:tc>
        <w:tc>
          <w:tcPr>
            <w:tcW w:w="5" w:type="pct"/>
            <w:shd w:val="clear" w:color="auto" w:fill="auto"/>
          </w:tcPr>
          <w:p w14:paraId="7DCFF9B1" w14:textId="77777777" w:rsidR="00C1563E" w:rsidRDefault="00C1563E">
            <w:pPr>
              <w:rPr>
                <w:rFonts w:ascii="宋体"/>
              </w:rPr>
            </w:pPr>
          </w:p>
        </w:tc>
        <w:tc>
          <w:tcPr>
            <w:tcW w:w="5" w:type="pct"/>
            <w:shd w:val="clear" w:color="auto" w:fill="auto"/>
          </w:tcPr>
          <w:p w14:paraId="7DCFF9B2" w14:textId="77777777" w:rsidR="00C1563E" w:rsidRDefault="00C1563E">
            <w:pPr>
              <w:rPr>
                <w:rFonts w:ascii="宋体"/>
              </w:rPr>
            </w:pPr>
          </w:p>
        </w:tc>
        <w:tc>
          <w:tcPr>
            <w:tcW w:w="19" w:type="pct"/>
            <w:shd w:val="clear" w:color="auto" w:fill="auto"/>
          </w:tcPr>
          <w:p w14:paraId="7DCFF9B3" w14:textId="77777777" w:rsidR="00C1563E" w:rsidRDefault="00C1563E">
            <w:pPr>
              <w:rPr>
                <w:rFonts w:ascii="宋体"/>
              </w:rPr>
            </w:pPr>
          </w:p>
        </w:tc>
        <w:tc>
          <w:tcPr>
            <w:tcW w:w="5" w:type="pct"/>
            <w:shd w:val="clear" w:color="auto" w:fill="auto"/>
          </w:tcPr>
          <w:p w14:paraId="7DCFF9B4" w14:textId="77777777" w:rsidR="00C1563E" w:rsidRDefault="00C1563E">
            <w:pPr>
              <w:rPr>
                <w:rFonts w:ascii="宋体"/>
              </w:rPr>
            </w:pPr>
          </w:p>
        </w:tc>
        <w:tc>
          <w:tcPr>
            <w:tcW w:w="50" w:type="pct"/>
            <w:shd w:val="clear" w:color="auto" w:fill="auto"/>
          </w:tcPr>
          <w:p w14:paraId="7DCFF9B5" w14:textId="77777777" w:rsidR="00C1563E" w:rsidRDefault="00C1563E">
            <w:pPr>
              <w:rPr>
                <w:rFonts w:ascii="宋体"/>
              </w:rPr>
            </w:pPr>
          </w:p>
        </w:tc>
        <w:tc>
          <w:tcPr>
            <w:tcW w:w="917" w:type="pct"/>
            <w:shd w:val="clear" w:color="auto" w:fill="auto"/>
          </w:tcPr>
          <w:p w14:paraId="7DCFF9B6" w14:textId="77777777" w:rsidR="00C1563E" w:rsidRDefault="00C1563E">
            <w:pPr>
              <w:rPr>
                <w:rFonts w:ascii="宋体"/>
              </w:rPr>
            </w:pPr>
          </w:p>
        </w:tc>
        <w:tc>
          <w:tcPr>
            <w:tcW w:w="5" w:type="pct"/>
            <w:shd w:val="clear" w:color="auto" w:fill="auto"/>
          </w:tcPr>
          <w:p w14:paraId="7DCFF9B7" w14:textId="77777777" w:rsidR="00C1563E" w:rsidRDefault="00C1563E">
            <w:pPr>
              <w:rPr>
                <w:rFonts w:ascii="宋体"/>
              </w:rPr>
            </w:pPr>
          </w:p>
        </w:tc>
        <w:tc>
          <w:tcPr>
            <w:tcW w:w="5" w:type="pct"/>
            <w:shd w:val="clear" w:color="auto" w:fill="auto"/>
          </w:tcPr>
          <w:p w14:paraId="7DCFF9B8" w14:textId="77777777" w:rsidR="00C1563E" w:rsidRDefault="00C1563E">
            <w:pPr>
              <w:rPr>
                <w:rFonts w:ascii="宋体"/>
              </w:rPr>
            </w:pPr>
          </w:p>
        </w:tc>
        <w:tc>
          <w:tcPr>
            <w:tcW w:w="19" w:type="pct"/>
            <w:shd w:val="clear" w:color="auto" w:fill="auto"/>
          </w:tcPr>
          <w:p w14:paraId="7DCFF9B9" w14:textId="77777777" w:rsidR="00C1563E" w:rsidRDefault="00C1563E">
            <w:pPr>
              <w:rPr>
                <w:rFonts w:ascii="宋体"/>
              </w:rPr>
            </w:pPr>
          </w:p>
        </w:tc>
        <w:tc>
          <w:tcPr>
            <w:tcW w:w="5" w:type="pct"/>
            <w:shd w:val="clear" w:color="auto" w:fill="auto"/>
          </w:tcPr>
          <w:p w14:paraId="7DCFF9BA" w14:textId="77777777" w:rsidR="00C1563E" w:rsidRDefault="00C1563E">
            <w:pPr>
              <w:rPr>
                <w:rFonts w:ascii="宋体"/>
              </w:rPr>
            </w:pPr>
          </w:p>
        </w:tc>
        <w:tc>
          <w:tcPr>
            <w:tcW w:w="50" w:type="pct"/>
            <w:shd w:val="clear" w:color="auto" w:fill="auto"/>
          </w:tcPr>
          <w:p w14:paraId="7DCFF9BB" w14:textId="77777777" w:rsidR="00C1563E" w:rsidRDefault="00C1563E">
            <w:pPr>
              <w:rPr>
                <w:rFonts w:ascii="宋体"/>
              </w:rPr>
            </w:pPr>
          </w:p>
        </w:tc>
        <w:tc>
          <w:tcPr>
            <w:tcW w:w="917" w:type="pct"/>
            <w:shd w:val="clear" w:color="auto" w:fill="auto"/>
          </w:tcPr>
          <w:p w14:paraId="7DCFF9BC" w14:textId="77777777" w:rsidR="00C1563E" w:rsidRDefault="00C1563E">
            <w:pPr>
              <w:rPr>
                <w:rFonts w:ascii="宋体"/>
              </w:rPr>
            </w:pPr>
          </w:p>
        </w:tc>
        <w:tc>
          <w:tcPr>
            <w:tcW w:w="5" w:type="pct"/>
            <w:shd w:val="clear" w:color="auto" w:fill="auto"/>
          </w:tcPr>
          <w:p w14:paraId="7DCFF9BD" w14:textId="77777777" w:rsidR="00C1563E" w:rsidRDefault="00C1563E">
            <w:pPr>
              <w:rPr>
                <w:rFonts w:ascii="宋体"/>
              </w:rPr>
            </w:pPr>
          </w:p>
        </w:tc>
        <w:tc>
          <w:tcPr>
            <w:tcW w:w="5" w:type="pct"/>
            <w:shd w:val="clear" w:color="auto" w:fill="auto"/>
          </w:tcPr>
          <w:p w14:paraId="7DCFF9BE" w14:textId="77777777" w:rsidR="00C1563E" w:rsidRDefault="00C1563E">
            <w:pPr>
              <w:rPr>
                <w:rFonts w:ascii="宋体"/>
              </w:rPr>
            </w:pPr>
          </w:p>
        </w:tc>
        <w:tc>
          <w:tcPr>
            <w:tcW w:w="19" w:type="pct"/>
            <w:shd w:val="clear" w:color="auto" w:fill="auto"/>
          </w:tcPr>
          <w:p w14:paraId="7DCFF9BF" w14:textId="77777777" w:rsidR="00C1563E" w:rsidRDefault="00C1563E">
            <w:pPr>
              <w:rPr>
                <w:rFonts w:ascii="宋体"/>
              </w:rPr>
            </w:pPr>
          </w:p>
        </w:tc>
        <w:tc>
          <w:tcPr>
            <w:tcW w:w="5" w:type="pct"/>
            <w:shd w:val="clear" w:color="auto" w:fill="auto"/>
          </w:tcPr>
          <w:p w14:paraId="7DCFF9C0" w14:textId="77777777" w:rsidR="00C1563E" w:rsidRDefault="00C1563E">
            <w:pPr>
              <w:rPr>
                <w:rFonts w:ascii="宋体"/>
              </w:rPr>
            </w:pPr>
          </w:p>
        </w:tc>
        <w:tc>
          <w:tcPr>
            <w:tcW w:w="50" w:type="pct"/>
            <w:shd w:val="clear" w:color="auto" w:fill="auto"/>
          </w:tcPr>
          <w:p w14:paraId="7DCFF9C1" w14:textId="77777777" w:rsidR="00C1563E" w:rsidRDefault="00C1563E">
            <w:pPr>
              <w:rPr>
                <w:rFonts w:ascii="宋体"/>
              </w:rPr>
            </w:pPr>
          </w:p>
        </w:tc>
        <w:tc>
          <w:tcPr>
            <w:tcW w:w="917" w:type="pct"/>
            <w:shd w:val="clear" w:color="auto" w:fill="auto"/>
          </w:tcPr>
          <w:p w14:paraId="7DCFF9C2" w14:textId="77777777" w:rsidR="00C1563E" w:rsidRDefault="00C1563E">
            <w:pPr>
              <w:rPr>
                <w:rFonts w:ascii="宋体"/>
              </w:rPr>
            </w:pPr>
          </w:p>
        </w:tc>
        <w:tc>
          <w:tcPr>
            <w:tcW w:w="5" w:type="pct"/>
            <w:shd w:val="clear" w:color="auto" w:fill="auto"/>
          </w:tcPr>
          <w:p w14:paraId="7DCFF9C3" w14:textId="77777777" w:rsidR="00C1563E" w:rsidRDefault="00C1563E">
            <w:pPr>
              <w:rPr>
                <w:rFonts w:ascii="宋体"/>
              </w:rPr>
            </w:pPr>
          </w:p>
        </w:tc>
      </w:tr>
      <w:tr w:rsidR="00C1563E" w14:paraId="7DCFF9C7" w14:textId="77777777">
        <w:tc>
          <w:tcPr>
            <w:tcW w:w="0" w:type="auto"/>
            <w:gridSpan w:val="3"/>
            <w:shd w:val="clear" w:color="auto" w:fill="auto"/>
            <w:tcMar>
              <w:top w:w="0" w:type="dxa"/>
              <w:left w:w="20" w:type="dxa"/>
              <w:bottom w:w="0" w:type="dxa"/>
              <w:right w:w="20" w:type="dxa"/>
            </w:tcMar>
          </w:tcPr>
          <w:p w14:paraId="7DCFF9C5" w14:textId="77777777" w:rsidR="00C1563E" w:rsidRDefault="00C1563E">
            <w:pPr>
              <w:rPr>
                <w:rFonts w:ascii="宋体"/>
              </w:rPr>
            </w:pPr>
          </w:p>
        </w:tc>
        <w:tc>
          <w:tcPr>
            <w:tcW w:w="0" w:type="auto"/>
            <w:gridSpan w:val="21"/>
            <w:shd w:val="clear" w:color="auto" w:fill="auto"/>
            <w:tcMar>
              <w:top w:w="40" w:type="dxa"/>
              <w:left w:w="20" w:type="dxa"/>
              <w:bottom w:w="40" w:type="dxa"/>
              <w:right w:w="20" w:type="dxa"/>
            </w:tcMar>
            <w:vAlign w:val="center"/>
          </w:tcPr>
          <w:p w14:paraId="7DCFF9C6" w14:textId="77777777" w:rsidR="00C1563E" w:rsidRDefault="000B648B">
            <w:pPr>
              <w:jc w:val="center"/>
              <w:textAlignment w:val="center"/>
            </w:pPr>
            <w:r>
              <w:rPr>
                <w:rFonts w:ascii="Times New Roman" w:eastAsia="宋体" w:hAnsi="Times New Roman"/>
                <w:b/>
                <w:bCs/>
                <w:color w:val="000000"/>
                <w:sz w:val="20"/>
                <w:szCs w:val="20"/>
              </w:rPr>
              <w:t>January 31, 2020</w:t>
            </w:r>
          </w:p>
        </w:tc>
      </w:tr>
      <w:tr w:rsidR="00C1563E" w14:paraId="7DCFF9D0" w14:textId="77777777">
        <w:tc>
          <w:tcPr>
            <w:tcW w:w="0" w:type="auto"/>
            <w:gridSpan w:val="3"/>
            <w:shd w:val="clear" w:color="auto" w:fill="auto"/>
            <w:tcMar>
              <w:top w:w="0" w:type="dxa"/>
              <w:left w:w="20" w:type="dxa"/>
              <w:bottom w:w="0" w:type="dxa"/>
              <w:right w:w="20" w:type="dxa"/>
            </w:tcMar>
          </w:tcPr>
          <w:p w14:paraId="7DCFF9C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9C9" w14:textId="77777777" w:rsidR="00C1563E" w:rsidRDefault="000B648B">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tcPr>
          <w:p w14:paraId="7DCFF9C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CB" w14:textId="77777777" w:rsidR="00C1563E" w:rsidRDefault="000B648B">
            <w:pPr>
              <w:jc w:val="center"/>
              <w:textAlignment w:val="bottom"/>
            </w:pPr>
            <w:r>
              <w:rPr>
                <w:rFonts w:ascii="Times New Roman" w:eastAsia="宋体" w:hAnsi="Times New Roman"/>
                <w:b/>
                <w:bCs/>
                <w:color w:val="000000"/>
                <w:sz w:val="20"/>
                <w:szCs w:val="20"/>
              </w:rPr>
              <w:t>Revolving — DPA</w:t>
            </w:r>
          </w:p>
        </w:tc>
        <w:tc>
          <w:tcPr>
            <w:tcW w:w="0" w:type="auto"/>
            <w:gridSpan w:val="3"/>
            <w:tcBorders>
              <w:top w:val="single" w:sz="8" w:space="0" w:color="000000"/>
            </w:tcBorders>
            <w:shd w:val="clear" w:color="auto" w:fill="auto"/>
            <w:tcMar>
              <w:top w:w="0" w:type="dxa"/>
              <w:left w:w="20" w:type="dxa"/>
              <w:bottom w:w="0" w:type="dxa"/>
              <w:right w:w="20" w:type="dxa"/>
            </w:tcMar>
          </w:tcPr>
          <w:p w14:paraId="7DCFF9C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CD" w14:textId="77777777" w:rsidR="00C1563E" w:rsidRDefault="000B648B">
            <w:pPr>
              <w:jc w:val="center"/>
              <w:textAlignment w:val="bottom"/>
            </w:pPr>
            <w:r>
              <w:rPr>
                <w:rFonts w:ascii="Times New Roman" w:eastAsia="宋体" w:hAnsi="Times New Roman"/>
                <w:b/>
                <w:bCs/>
                <w:color w:val="000000"/>
                <w:sz w:val="20"/>
                <w:szCs w:val="20"/>
              </w:rPr>
              <w:t>Revolving — DBC</w:t>
            </w:r>
          </w:p>
        </w:tc>
        <w:tc>
          <w:tcPr>
            <w:tcW w:w="0" w:type="auto"/>
            <w:gridSpan w:val="3"/>
            <w:tcBorders>
              <w:top w:val="single" w:sz="8" w:space="0" w:color="000000"/>
            </w:tcBorders>
            <w:shd w:val="clear" w:color="auto" w:fill="auto"/>
            <w:tcMar>
              <w:top w:w="0" w:type="dxa"/>
              <w:left w:w="20" w:type="dxa"/>
              <w:bottom w:w="0" w:type="dxa"/>
              <w:right w:w="20" w:type="dxa"/>
            </w:tcMar>
          </w:tcPr>
          <w:p w14:paraId="7DCFF9C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9CF"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9D3" w14:textId="77777777">
        <w:tc>
          <w:tcPr>
            <w:tcW w:w="0" w:type="auto"/>
            <w:gridSpan w:val="3"/>
            <w:shd w:val="clear" w:color="auto" w:fill="auto"/>
            <w:tcMar>
              <w:top w:w="0" w:type="dxa"/>
              <w:left w:w="20" w:type="dxa"/>
              <w:bottom w:w="0" w:type="dxa"/>
              <w:right w:w="20" w:type="dxa"/>
            </w:tcMar>
          </w:tcPr>
          <w:p w14:paraId="7DCFF9D1" w14:textId="77777777" w:rsidR="00C1563E" w:rsidRDefault="00C1563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DCFF9D2" w14:textId="77777777" w:rsidR="00C1563E" w:rsidRDefault="000B648B">
            <w:pPr>
              <w:jc w:val="center"/>
              <w:textAlignment w:val="center"/>
            </w:pPr>
            <w:r>
              <w:rPr>
                <w:rFonts w:ascii="Times New Roman" w:eastAsia="宋体" w:hAnsi="Times New Roman"/>
                <w:color w:val="000000"/>
                <w:sz w:val="20"/>
                <w:szCs w:val="20"/>
              </w:rPr>
              <w:t>(in millions)</w:t>
            </w:r>
          </w:p>
        </w:tc>
      </w:tr>
      <w:tr w:rsidR="00C1563E" w14:paraId="7DCFF9E4" w14:textId="77777777">
        <w:tc>
          <w:tcPr>
            <w:tcW w:w="0" w:type="auto"/>
            <w:gridSpan w:val="3"/>
            <w:shd w:val="clear" w:color="auto" w:fill="CCEEFF"/>
            <w:tcMar>
              <w:top w:w="40" w:type="dxa"/>
              <w:left w:w="20" w:type="dxa"/>
              <w:bottom w:w="40" w:type="dxa"/>
              <w:right w:w="20" w:type="dxa"/>
            </w:tcMar>
            <w:vAlign w:val="center"/>
          </w:tcPr>
          <w:p w14:paraId="7DCFF9D4" w14:textId="77777777" w:rsidR="00C1563E" w:rsidRDefault="000B648B">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DCFF9D5"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D6" w14:textId="77777777" w:rsidR="00C1563E" w:rsidRDefault="000B648B">
            <w:pPr>
              <w:jc w:val="right"/>
              <w:textAlignment w:val="center"/>
            </w:pPr>
            <w:r>
              <w:rPr>
                <w:rFonts w:ascii="Times New Roman" w:eastAsia="宋体" w:hAnsi="Times New Roman"/>
                <w:color w:val="000000"/>
                <w:sz w:val="20"/>
                <w:szCs w:val="20"/>
              </w:rPr>
              <w:t>5,042 </w:t>
            </w:r>
          </w:p>
        </w:tc>
        <w:tc>
          <w:tcPr>
            <w:tcW w:w="0" w:type="auto"/>
            <w:shd w:val="clear" w:color="auto" w:fill="CCEEFF"/>
            <w:tcMar>
              <w:top w:w="40" w:type="dxa"/>
              <w:left w:w="0" w:type="dxa"/>
              <w:bottom w:w="40" w:type="dxa"/>
              <w:right w:w="20" w:type="dxa"/>
            </w:tcMar>
            <w:vAlign w:val="center"/>
          </w:tcPr>
          <w:p w14:paraId="7DCFF9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D8"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D9"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DA" w14:textId="77777777" w:rsidR="00C1563E" w:rsidRDefault="000B648B">
            <w:pPr>
              <w:jc w:val="right"/>
              <w:textAlignment w:val="center"/>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center"/>
          </w:tcPr>
          <w:p w14:paraId="7DCFF9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DC"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DD"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DE" w14:textId="77777777" w:rsidR="00C1563E" w:rsidRDefault="000B648B">
            <w:pPr>
              <w:jc w:val="right"/>
              <w:textAlignment w:val="center"/>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center"/>
          </w:tcPr>
          <w:p w14:paraId="7DCFF9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E0" w14:textId="77777777" w:rsidR="00C1563E" w:rsidRDefault="00C1563E">
            <w:pPr>
              <w:rPr>
                <w:rFonts w:ascii="宋体"/>
              </w:rPr>
            </w:pPr>
          </w:p>
        </w:tc>
        <w:tc>
          <w:tcPr>
            <w:tcW w:w="0" w:type="auto"/>
            <w:shd w:val="clear" w:color="auto" w:fill="CCEEFF"/>
            <w:tcMar>
              <w:top w:w="40" w:type="dxa"/>
              <w:left w:w="20" w:type="dxa"/>
              <w:bottom w:w="40" w:type="dxa"/>
              <w:right w:w="0" w:type="dxa"/>
            </w:tcMar>
            <w:vAlign w:val="center"/>
          </w:tcPr>
          <w:p w14:paraId="7DCFF9E1"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DCFF9E2" w14:textId="77777777" w:rsidR="00C1563E" w:rsidRDefault="000B648B">
            <w:pPr>
              <w:jc w:val="right"/>
              <w:textAlignment w:val="center"/>
            </w:pPr>
            <w:r>
              <w:rPr>
                <w:rFonts w:ascii="Times New Roman" w:eastAsia="宋体" w:hAnsi="Times New Roman"/>
                <w:color w:val="000000"/>
                <w:sz w:val="20"/>
                <w:szCs w:val="20"/>
              </w:rPr>
              <w:t>5,234 </w:t>
            </w:r>
          </w:p>
        </w:tc>
        <w:tc>
          <w:tcPr>
            <w:tcW w:w="0" w:type="auto"/>
            <w:shd w:val="clear" w:color="auto" w:fill="CCEEFF"/>
            <w:tcMar>
              <w:top w:w="40" w:type="dxa"/>
              <w:left w:w="0" w:type="dxa"/>
              <w:bottom w:w="40" w:type="dxa"/>
              <w:right w:w="20" w:type="dxa"/>
            </w:tcMar>
            <w:vAlign w:val="center"/>
          </w:tcPr>
          <w:p w14:paraId="7DCFF9E3" w14:textId="77777777" w:rsidR="00C1563E" w:rsidRDefault="00C1563E">
            <w:pPr>
              <w:jc w:val="right"/>
              <w:rPr>
                <w:rFonts w:ascii="宋体"/>
              </w:rPr>
            </w:pPr>
          </w:p>
        </w:tc>
      </w:tr>
      <w:tr w:rsidR="00C1563E" w14:paraId="7DCFF9F1" w14:textId="77777777">
        <w:tc>
          <w:tcPr>
            <w:tcW w:w="0" w:type="auto"/>
            <w:gridSpan w:val="3"/>
            <w:shd w:val="clear" w:color="auto" w:fill="FFFFFF"/>
            <w:tcMar>
              <w:top w:w="40" w:type="dxa"/>
              <w:left w:w="20" w:type="dxa"/>
              <w:bottom w:w="40" w:type="dxa"/>
              <w:right w:w="20" w:type="dxa"/>
            </w:tcMar>
            <w:vAlign w:val="center"/>
          </w:tcPr>
          <w:p w14:paraId="7DCFF9E5" w14:textId="77777777" w:rsidR="00C1563E" w:rsidRDefault="000B648B">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DCFF9E6" w14:textId="77777777" w:rsidR="00C1563E" w:rsidRDefault="000B648B">
            <w:pPr>
              <w:jc w:val="right"/>
              <w:textAlignment w:val="center"/>
            </w:pPr>
            <w:r>
              <w:rPr>
                <w:rFonts w:ascii="Times New Roman" w:eastAsia="宋体" w:hAnsi="Times New Roman"/>
                <w:color w:val="000000"/>
                <w:sz w:val="20"/>
                <w:szCs w:val="20"/>
              </w:rPr>
              <w:t>2,036 </w:t>
            </w:r>
          </w:p>
        </w:tc>
        <w:tc>
          <w:tcPr>
            <w:tcW w:w="0" w:type="auto"/>
            <w:shd w:val="clear" w:color="auto" w:fill="FFFFFF"/>
            <w:tcMar>
              <w:top w:w="40" w:type="dxa"/>
              <w:left w:w="0" w:type="dxa"/>
              <w:bottom w:w="40" w:type="dxa"/>
              <w:right w:w="20" w:type="dxa"/>
            </w:tcMar>
            <w:vAlign w:val="center"/>
          </w:tcPr>
          <w:p w14:paraId="7DCFF9E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E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E9" w14:textId="77777777" w:rsidR="00C1563E" w:rsidRDefault="000B648B">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center"/>
          </w:tcPr>
          <w:p w14:paraId="7DCFF9E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E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EC" w14:textId="77777777" w:rsidR="00C1563E" w:rsidRDefault="000B648B">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center"/>
          </w:tcPr>
          <w:p w14:paraId="7DCFF9E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9E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CFF9EF" w14:textId="77777777" w:rsidR="00C1563E" w:rsidRDefault="000B648B">
            <w:pPr>
              <w:jc w:val="right"/>
              <w:textAlignment w:val="center"/>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center"/>
          </w:tcPr>
          <w:p w14:paraId="7DCFF9F0" w14:textId="77777777" w:rsidR="00C1563E" w:rsidRDefault="00C1563E">
            <w:pPr>
              <w:jc w:val="right"/>
              <w:rPr>
                <w:rFonts w:ascii="宋体"/>
              </w:rPr>
            </w:pPr>
          </w:p>
        </w:tc>
      </w:tr>
      <w:tr w:rsidR="00C1563E" w14:paraId="7DCFF9FE" w14:textId="77777777">
        <w:tc>
          <w:tcPr>
            <w:tcW w:w="0" w:type="auto"/>
            <w:gridSpan w:val="3"/>
            <w:shd w:val="clear" w:color="auto" w:fill="CCEEFF"/>
            <w:tcMar>
              <w:top w:w="40" w:type="dxa"/>
              <w:left w:w="20" w:type="dxa"/>
              <w:bottom w:w="40" w:type="dxa"/>
              <w:right w:w="20" w:type="dxa"/>
            </w:tcMar>
            <w:vAlign w:val="center"/>
          </w:tcPr>
          <w:p w14:paraId="7DCFF9F2" w14:textId="77777777" w:rsidR="00C1563E" w:rsidRDefault="000B648B">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DCFF9F3" w14:textId="77777777" w:rsidR="00C1563E" w:rsidRDefault="000B648B">
            <w:pPr>
              <w:jc w:val="right"/>
              <w:textAlignment w:val="center"/>
            </w:pPr>
            <w:r>
              <w:rPr>
                <w:rFonts w:ascii="Times New Roman" w:eastAsia="宋体" w:hAnsi="Times New Roman"/>
                <w:color w:val="000000"/>
                <w:sz w:val="20"/>
                <w:szCs w:val="20"/>
              </w:rPr>
              <w:t>1,408 </w:t>
            </w:r>
          </w:p>
        </w:tc>
        <w:tc>
          <w:tcPr>
            <w:tcW w:w="0" w:type="auto"/>
            <w:shd w:val="clear" w:color="auto" w:fill="CCEEFF"/>
            <w:tcMar>
              <w:top w:w="40" w:type="dxa"/>
              <w:left w:w="0" w:type="dxa"/>
              <w:bottom w:w="40" w:type="dxa"/>
              <w:right w:w="20" w:type="dxa"/>
            </w:tcMar>
            <w:vAlign w:val="center"/>
          </w:tcPr>
          <w:p w14:paraId="7DCFF9F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F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F6" w14:textId="77777777" w:rsidR="00C1563E" w:rsidRDefault="000B648B">
            <w:pPr>
              <w:jc w:val="right"/>
              <w:textAlignment w:val="center"/>
            </w:pPr>
            <w:r>
              <w:rPr>
                <w:rFonts w:ascii="Times New Roman" w:eastAsia="宋体" w:hAnsi="Times New Roman"/>
                <w:color w:val="000000"/>
                <w:sz w:val="20"/>
                <w:szCs w:val="20"/>
              </w:rPr>
              <w:t>309 </w:t>
            </w:r>
          </w:p>
        </w:tc>
        <w:tc>
          <w:tcPr>
            <w:tcW w:w="0" w:type="auto"/>
            <w:shd w:val="clear" w:color="auto" w:fill="CCEEFF"/>
            <w:tcMar>
              <w:top w:w="40" w:type="dxa"/>
              <w:left w:w="0" w:type="dxa"/>
              <w:bottom w:w="40" w:type="dxa"/>
              <w:right w:w="20" w:type="dxa"/>
            </w:tcMar>
            <w:vAlign w:val="center"/>
          </w:tcPr>
          <w:p w14:paraId="7DCFF9F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F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F9" w14:textId="77777777" w:rsidR="00C1563E" w:rsidRDefault="000B648B">
            <w:pPr>
              <w:jc w:val="right"/>
              <w:textAlignment w:val="center"/>
            </w:pPr>
            <w:r>
              <w:rPr>
                <w:rFonts w:ascii="Times New Roman" w:eastAsia="宋体" w:hAnsi="Times New Roman"/>
                <w:color w:val="000000"/>
                <w:sz w:val="20"/>
                <w:szCs w:val="20"/>
              </w:rPr>
              <w:t>85 </w:t>
            </w:r>
          </w:p>
        </w:tc>
        <w:tc>
          <w:tcPr>
            <w:tcW w:w="0" w:type="auto"/>
            <w:shd w:val="clear" w:color="auto" w:fill="CCEEFF"/>
            <w:tcMar>
              <w:top w:w="40" w:type="dxa"/>
              <w:left w:w="0" w:type="dxa"/>
              <w:bottom w:w="40" w:type="dxa"/>
              <w:right w:w="20" w:type="dxa"/>
            </w:tcMar>
            <w:vAlign w:val="center"/>
          </w:tcPr>
          <w:p w14:paraId="7DCFF9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9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CFF9FC" w14:textId="77777777" w:rsidR="00C1563E" w:rsidRDefault="000B648B">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left w:w="0" w:type="dxa"/>
              <w:bottom w:w="40" w:type="dxa"/>
              <w:right w:w="20" w:type="dxa"/>
            </w:tcMar>
            <w:vAlign w:val="center"/>
          </w:tcPr>
          <w:p w14:paraId="7DCFF9FD" w14:textId="77777777" w:rsidR="00C1563E" w:rsidRDefault="00C1563E">
            <w:pPr>
              <w:jc w:val="right"/>
              <w:rPr>
                <w:rFonts w:ascii="宋体"/>
              </w:rPr>
            </w:pPr>
          </w:p>
        </w:tc>
      </w:tr>
      <w:tr w:rsidR="00C1563E" w14:paraId="7DCFFA0F" w14:textId="77777777">
        <w:tc>
          <w:tcPr>
            <w:tcW w:w="0" w:type="auto"/>
            <w:gridSpan w:val="3"/>
            <w:shd w:val="clear" w:color="auto" w:fill="FFFFFF"/>
            <w:tcMar>
              <w:top w:w="40" w:type="dxa"/>
              <w:left w:w="155" w:type="dxa"/>
              <w:bottom w:w="40" w:type="dxa"/>
              <w:right w:w="20" w:type="dxa"/>
            </w:tcMar>
            <w:vAlign w:val="center"/>
          </w:tcPr>
          <w:p w14:paraId="7DCFF9FF" w14:textId="77777777" w:rsidR="00C1563E" w:rsidRDefault="000B648B">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A00"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A01" w14:textId="77777777" w:rsidR="00C1563E" w:rsidRDefault="000B648B">
            <w:pPr>
              <w:jc w:val="right"/>
              <w:textAlignment w:val="center"/>
            </w:pPr>
            <w:r>
              <w:rPr>
                <w:rFonts w:ascii="Times New Roman" w:eastAsia="宋体" w:hAnsi="Times New Roman"/>
                <w:color w:val="000000"/>
                <w:sz w:val="20"/>
                <w:szCs w:val="20"/>
              </w:rPr>
              <w:t>8,486 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A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A0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A04"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A05" w14:textId="77777777" w:rsidR="00C1563E" w:rsidRDefault="000B648B">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A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A07"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A08"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A09" w14:textId="77777777" w:rsidR="00C1563E" w:rsidRDefault="000B648B">
            <w:pPr>
              <w:jc w:val="right"/>
              <w:textAlignment w:val="center"/>
            </w:pPr>
            <w:r>
              <w:rPr>
                <w:rFonts w:ascii="Times New Roman" w:eastAsia="宋体" w:hAnsi="Times New Roman"/>
                <w:color w:val="000000"/>
                <w:sz w:val="20"/>
                <w:szCs w:val="20"/>
              </w:rPr>
              <w:t>203 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A0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A0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DCFFA0C"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DCFFA0D" w14:textId="77777777" w:rsidR="00C1563E" w:rsidRDefault="000B648B">
            <w:pPr>
              <w:jc w:val="right"/>
              <w:textAlignment w:val="center"/>
            </w:pPr>
            <w:r>
              <w:rPr>
                <w:rFonts w:ascii="Times New Roman" w:eastAsia="宋体" w:hAnsi="Times New Roman"/>
                <w:color w:val="000000"/>
                <w:sz w:val="20"/>
                <w:szCs w:val="20"/>
              </w:rPr>
              <w:t>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DCFFA0E" w14:textId="77777777" w:rsidR="00C1563E" w:rsidRDefault="00C1563E">
            <w:pPr>
              <w:jc w:val="right"/>
              <w:rPr>
                <w:rFonts w:ascii="宋体"/>
              </w:rPr>
            </w:pPr>
          </w:p>
        </w:tc>
      </w:tr>
    </w:tbl>
    <w:p w14:paraId="7DCFFA10" w14:textId="77777777" w:rsidR="00C1563E" w:rsidRDefault="00C1563E"/>
    <w:p w14:paraId="7DCFFA11" w14:textId="77777777" w:rsidR="00C1563E" w:rsidRDefault="000B648B">
      <w:r>
        <w:rPr>
          <w:rFonts w:ascii="Times New Roman" w:eastAsia="宋体" w:hAnsi="Times New Roman"/>
          <w:color w:val="000000"/>
          <w:sz w:val="20"/>
          <w:szCs w:val="20"/>
        </w:rPr>
        <w:t>For DPA revolving receivables shown in the table above, the Company makes credit decisions based</w:t>
      </w:r>
      <w:r>
        <w:rPr>
          <w:rFonts w:ascii="Times New Roman" w:eastAsia="宋体" w:hAnsi="Times New Roman"/>
          <w:color w:val="000000"/>
          <w:sz w:val="20"/>
          <w:szCs w:val="20"/>
        </w:rPr>
        <w:t xml:space="preserve"> on proprietary scorecards, which include the customer’s credit history, payment history, credit usage, and other credit agency-related elements. The higher quality category includes prime accounts generally of a higher credit quality that are comparable t</w:t>
      </w:r>
      <w:r>
        <w:rPr>
          <w:rFonts w:ascii="Times New Roman" w:eastAsia="宋体" w:hAnsi="Times New Roman"/>
          <w:color w:val="000000"/>
          <w:sz w:val="20"/>
          <w:szCs w:val="20"/>
        </w:rPr>
        <w:t>o U.S. customer FICO scores of 720 or above. The mid-category represents the mid-tier accounts that are comparable to U.S. customer FICO scores from 660 to 719. The lower category is generally sub-prime and represents lower credit quality accounts that are</w:t>
      </w:r>
      <w:r>
        <w:rPr>
          <w:rFonts w:ascii="Times New Roman" w:eastAsia="宋体" w:hAnsi="Times New Roman"/>
          <w:color w:val="000000"/>
          <w:sz w:val="20"/>
          <w:szCs w:val="20"/>
        </w:rPr>
        <w:t xml:space="preserve"> comparable to U.S. customer FICO scores below 660. For the DBC revolving receivables and fixed-term commercial receivables shown in the table above, an internal grading system is utilized that assigns a credit level score based on a number of consideratio</w:t>
      </w:r>
      <w:r>
        <w:rPr>
          <w:rFonts w:ascii="Times New Roman" w:eastAsia="宋体" w:hAnsi="Times New Roman"/>
          <w:color w:val="000000"/>
          <w:sz w:val="20"/>
          <w:szCs w:val="20"/>
        </w:rPr>
        <w:t>ns, including liquidity, operating performance, and industry outlook. The grading criteria and classifications for the fixed-term products differ from those for the revolving products as loss experience varies between these product and customer groups. The</w:t>
      </w:r>
      <w:r>
        <w:rPr>
          <w:rFonts w:ascii="Times New Roman" w:eastAsia="宋体" w:hAnsi="Times New Roman"/>
          <w:color w:val="000000"/>
          <w:sz w:val="20"/>
          <w:szCs w:val="20"/>
        </w:rPr>
        <w:t xml:space="preserve"> credit quality categories cannot be compared between the different classes as loss experience varies substantially between the classes.</w:t>
      </w:r>
    </w:p>
    <w:p w14:paraId="7DCFFA12" w14:textId="77777777" w:rsidR="00C1563E" w:rsidRDefault="00C1563E">
      <w:pPr>
        <w:ind w:hanging="360"/>
      </w:pPr>
    </w:p>
    <w:p w14:paraId="7DCFFA13" w14:textId="77777777" w:rsidR="00C1563E" w:rsidRDefault="00C1563E">
      <w:pPr>
        <w:jc w:val="center"/>
      </w:pPr>
    </w:p>
    <w:p w14:paraId="7DCFFA14" w14:textId="77777777" w:rsidR="00C1563E" w:rsidRDefault="000B648B">
      <w:pPr>
        <w:jc w:val="center"/>
      </w:pPr>
      <w:r>
        <w:rPr>
          <w:rFonts w:ascii="Times New Roman" w:eastAsia="宋体" w:hAnsi="Times New Roman"/>
          <w:color w:val="000000"/>
          <w:sz w:val="20"/>
          <w:szCs w:val="20"/>
        </w:rPr>
        <w:t>101</w:t>
      </w:r>
    </w:p>
    <w:p w14:paraId="7DCFFA15" w14:textId="77777777" w:rsidR="00C1563E" w:rsidRDefault="00C1563E">
      <w:pPr>
        <w:jc w:val="center"/>
      </w:pPr>
    </w:p>
    <w:p w14:paraId="7DCFFA16" w14:textId="77777777" w:rsidR="00C1563E" w:rsidRDefault="000B648B">
      <w:r>
        <w:pict w14:anchorId="7DD025CF">
          <v:rect id="_x0000_i1125" style="width:415.3pt;height:1.5pt" o:hralign="center" o:hrstd="t" o:hr="t" fillcolor="#a0a0a0" stroked="f"/>
        </w:pict>
      </w:r>
    </w:p>
    <w:p w14:paraId="7DCFFA17" w14:textId="77777777" w:rsidR="00C1563E" w:rsidRDefault="000B648B">
      <w:hyperlink r:id="rId284" w:anchor="i418e32e4a35149ffbf7d3a25d66881b8_10" w:history="1">
        <w:r>
          <w:rPr>
            <w:rStyle w:val="a5"/>
            <w:rFonts w:ascii="Times New Roman" w:eastAsia="宋体" w:hAnsi="Times New Roman"/>
            <w:sz w:val="20"/>
            <w:szCs w:val="20"/>
          </w:rPr>
          <w:t>Table of Contents</w:t>
        </w:r>
      </w:hyperlink>
    </w:p>
    <w:p w14:paraId="7DCFFA18" w14:textId="77777777" w:rsidR="00C1563E" w:rsidRDefault="000B648B">
      <w:r>
        <w:rPr>
          <w:rFonts w:ascii="Times New Roman" w:eastAsia="宋体" w:hAnsi="Times New Roman"/>
          <w:i/>
          <w:iCs/>
          <w:color w:val="000000"/>
          <w:sz w:val="20"/>
          <w:szCs w:val="20"/>
          <w:u w:val="single"/>
        </w:rPr>
        <w:t>Leases</w:t>
      </w:r>
    </w:p>
    <w:p w14:paraId="7DCFFA19" w14:textId="77777777" w:rsidR="00C1563E" w:rsidRDefault="00C1563E"/>
    <w:p w14:paraId="7DCFFA1A" w14:textId="77777777" w:rsidR="00C1563E" w:rsidRDefault="000B648B">
      <w:r>
        <w:rPr>
          <w:rFonts w:ascii="Times New Roman" w:eastAsia="宋体" w:hAnsi="Times New Roman"/>
          <w:color w:val="000000"/>
          <w:sz w:val="20"/>
          <w:szCs w:val="20"/>
        </w:rPr>
        <w:t xml:space="preserve">Interest income on sales-type lease receivables was $270 million and $259 million for the fiscal years ended January 29, 2021 and January 31, 2020, respectively. </w:t>
      </w:r>
    </w:p>
    <w:p w14:paraId="7DCFFA1B" w14:textId="77777777" w:rsidR="00C1563E" w:rsidRDefault="00C1563E"/>
    <w:p w14:paraId="7DCFFA1C" w14:textId="77777777" w:rsidR="00C1563E" w:rsidRDefault="000B648B">
      <w:pPr>
        <w:spacing w:after="120"/>
      </w:pPr>
      <w:r>
        <w:rPr>
          <w:rFonts w:ascii="Times New Roman" w:eastAsia="宋体" w:hAnsi="Times New Roman"/>
          <w:color w:val="000000"/>
          <w:sz w:val="20"/>
          <w:szCs w:val="20"/>
        </w:rPr>
        <w:t xml:space="preserve">The following </w:t>
      </w:r>
      <w:r>
        <w:rPr>
          <w:rFonts w:ascii="Times New Roman" w:eastAsia="宋体" w:hAnsi="Times New Roman"/>
          <w:color w:val="000000"/>
          <w:sz w:val="20"/>
          <w:szCs w:val="20"/>
        </w:rPr>
        <w:t>table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C1563E" w14:paraId="7DCFFA29" w14:textId="77777777">
        <w:tc>
          <w:tcPr>
            <w:tcW w:w="50" w:type="pct"/>
            <w:shd w:val="clear" w:color="auto" w:fill="auto"/>
          </w:tcPr>
          <w:p w14:paraId="7DCFFA1D" w14:textId="77777777" w:rsidR="00C1563E" w:rsidRDefault="00C1563E">
            <w:pPr>
              <w:rPr>
                <w:rFonts w:ascii="宋体"/>
              </w:rPr>
            </w:pPr>
          </w:p>
        </w:tc>
        <w:tc>
          <w:tcPr>
            <w:tcW w:w="2971" w:type="pct"/>
            <w:shd w:val="clear" w:color="auto" w:fill="auto"/>
          </w:tcPr>
          <w:p w14:paraId="7DCFFA1E" w14:textId="77777777" w:rsidR="00C1563E" w:rsidRDefault="00C1563E">
            <w:pPr>
              <w:rPr>
                <w:rFonts w:ascii="宋体"/>
              </w:rPr>
            </w:pPr>
          </w:p>
        </w:tc>
        <w:tc>
          <w:tcPr>
            <w:tcW w:w="5" w:type="pct"/>
            <w:shd w:val="clear" w:color="auto" w:fill="auto"/>
          </w:tcPr>
          <w:p w14:paraId="7DCFFA1F" w14:textId="77777777" w:rsidR="00C1563E" w:rsidRDefault="00C1563E">
            <w:pPr>
              <w:rPr>
                <w:rFonts w:ascii="宋体"/>
              </w:rPr>
            </w:pPr>
          </w:p>
        </w:tc>
        <w:tc>
          <w:tcPr>
            <w:tcW w:w="50" w:type="pct"/>
            <w:shd w:val="clear" w:color="auto" w:fill="auto"/>
          </w:tcPr>
          <w:p w14:paraId="7DCFFA20" w14:textId="77777777" w:rsidR="00C1563E" w:rsidRDefault="00C1563E">
            <w:pPr>
              <w:rPr>
                <w:rFonts w:ascii="宋体"/>
              </w:rPr>
            </w:pPr>
          </w:p>
        </w:tc>
        <w:tc>
          <w:tcPr>
            <w:tcW w:w="917" w:type="pct"/>
            <w:shd w:val="clear" w:color="auto" w:fill="auto"/>
          </w:tcPr>
          <w:p w14:paraId="7DCFFA21" w14:textId="77777777" w:rsidR="00C1563E" w:rsidRDefault="00C1563E">
            <w:pPr>
              <w:rPr>
                <w:rFonts w:ascii="宋体"/>
              </w:rPr>
            </w:pPr>
          </w:p>
        </w:tc>
        <w:tc>
          <w:tcPr>
            <w:tcW w:w="5" w:type="pct"/>
            <w:shd w:val="clear" w:color="auto" w:fill="auto"/>
          </w:tcPr>
          <w:p w14:paraId="7DCFFA22" w14:textId="77777777" w:rsidR="00C1563E" w:rsidRDefault="00C1563E">
            <w:pPr>
              <w:rPr>
                <w:rFonts w:ascii="宋体"/>
              </w:rPr>
            </w:pPr>
          </w:p>
        </w:tc>
        <w:tc>
          <w:tcPr>
            <w:tcW w:w="5" w:type="pct"/>
            <w:shd w:val="clear" w:color="auto" w:fill="auto"/>
          </w:tcPr>
          <w:p w14:paraId="7DCFFA23" w14:textId="77777777" w:rsidR="00C1563E" w:rsidRDefault="00C1563E">
            <w:pPr>
              <w:rPr>
                <w:rFonts w:ascii="宋体"/>
              </w:rPr>
            </w:pPr>
          </w:p>
        </w:tc>
        <w:tc>
          <w:tcPr>
            <w:tcW w:w="19" w:type="pct"/>
            <w:shd w:val="clear" w:color="auto" w:fill="auto"/>
          </w:tcPr>
          <w:p w14:paraId="7DCFFA24" w14:textId="77777777" w:rsidR="00C1563E" w:rsidRDefault="00C1563E">
            <w:pPr>
              <w:rPr>
                <w:rFonts w:ascii="宋体"/>
              </w:rPr>
            </w:pPr>
          </w:p>
        </w:tc>
        <w:tc>
          <w:tcPr>
            <w:tcW w:w="5" w:type="pct"/>
            <w:shd w:val="clear" w:color="auto" w:fill="auto"/>
          </w:tcPr>
          <w:p w14:paraId="7DCFFA25" w14:textId="77777777" w:rsidR="00C1563E" w:rsidRDefault="00C1563E">
            <w:pPr>
              <w:rPr>
                <w:rFonts w:ascii="宋体"/>
              </w:rPr>
            </w:pPr>
          </w:p>
        </w:tc>
        <w:tc>
          <w:tcPr>
            <w:tcW w:w="50" w:type="pct"/>
            <w:shd w:val="clear" w:color="auto" w:fill="auto"/>
          </w:tcPr>
          <w:p w14:paraId="7DCFFA26" w14:textId="77777777" w:rsidR="00C1563E" w:rsidRDefault="00C1563E">
            <w:pPr>
              <w:rPr>
                <w:rFonts w:ascii="宋体"/>
              </w:rPr>
            </w:pPr>
          </w:p>
        </w:tc>
        <w:tc>
          <w:tcPr>
            <w:tcW w:w="917" w:type="pct"/>
            <w:shd w:val="clear" w:color="auto" w:fill="auto"/>
          </w:tcPr>
          <w:p w14:paraId="7DCFFA27" w14:textId="77777777" w:rsidR="00C1563E" w:rsidRDefault="00C1563E">
            <w:pPr>
              <w:rPr>
                <w:rFonts w:ascii="宋体"/>
              </w:rPr>
            </w:pPr>
          </w:p>
        </w:tc>
        <w:tc>
          <w:tcPr>
            <w:tcW w:w="5" w:type="pct"/>
            <w:shd w:val="clear" w:color="auto" w:fill="auto"/>
          </w:tcPr>
          <w:p w14:paraId="7DCFFA28" w14:textId="77777777" w:rsidR="00C1563E" w:rsidRDefault="00C1563E">
            <w:pPr>
              <w:rPr>
                <w:rFonts w:ascii="宋体"/>
              </w:rPr>
            </w:pPr>
          </w:p>
        </w:tc>
      </w:tr>
      <w:tr w:rsidR="00C1563E" w14:paraId="7DCFFA2C" w14:textId="77777777">
        <w:tc>
          <w:tcPr>
            <w:tcW w:w="0" w:type="auto"/>
            <w:gridSpan w:val="3"/>
            <w:shd w:val="clear" w:color="auto" w:fill="auto"/>
            <w:tcMar>
              <w:top w:w="0" w:type="dxa"/>
              <w:left w:w="20" w:type="dxa"/>
              <w:bottom w:w="0" w:type="dxa"/>
              <w:right w:w="20" w:type="dxa"/>
            </w:tcMar>
          </w:tcPr>
          <w:p w14:paraId="7DCFFA2A"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CFFA2B"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FA31" w14:textId="77777777">
        <w:tc>
          <w:tcPr>
            <w:tcW w:w="0" w:type="auto"/>
            <w:gridSpan w:val="3"/>
            <w:shd w:val="clear" w:color="auto" w:fill="auto"/>
            <w:tcMar>
              <w:top w:w="0" w:type="dxa"/>
              <w:left w:w="20" w:type="dxa"/>
              <w:bottom w:w="0" w:type="dxa"/>
              <w:right w:w="20" w:type="dxa"/>
            </w:tcMar>
          </w:tcPr>
          <w:p w14:paraId="7DCFFA2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A2E"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FA2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A30"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A34" w14:textId="77777777">
        <w:tc>
          <w:tcPr>
            <w:tcW w:w="0" w:type="auto"/>
            <w:gridSpan w:val="3"/>
            <w:shd w:val="clear" w:color="auto" w:fill="auto"/>
            <w:tcMar>
              <w:top w:w="0" w:type="dxa"/>
              <w:left w:w="20" w:type="dxa"/>
              <w:bottom w:w="0" w:type="dxa"/>
              <w:right w:w="20" w:type="dxa"/>
            </w:tcMar>
          </w:tcPr>
          <w:p w14:paraId="7DCFFA32"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A3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A3D" w14:textId="77777777">
        <w:tc>
          <w:tcPr>
            <w:tcW w:w="0" w:type="auto"/>
            <w:gridSpan w:val="3"/>
            <w:shd w:val="clear" w:color="auto" w:fill="CCEEFF"/>
            <w:tcMar>
              <w:top w:w="40" w:type="dxa"/>
              <w:left w:w="20" w:type="dxa"/>
              <w:bottom w:w="40" w:type="dxa"/>
              <w:right w:w="20" w:type="dxa"/>
            </w:tcMar>
            <w:vAlign w:val="bottom"/>
          </w:tcPr>
          <w:p w14:paraId="7DCFFA35" w14:textId="77777777" w:rsidR="00C1563E" w:rsidRDefault="000B648B">
            <w:pPr>
              <w:textAlignment w:val="bottom"/>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bottom"/>
          </w:tcPr>
          <w:p w14:paraId="7DCFFA3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37" w14:textId="77777777" w:rsidR="00C1563E" w:rsidRDefault="000B648B">
            <w:pPr>
              <w:jc w:val="right"/>
              <w:textAlignment w:val="bottom"/>
            </w:pPr>
            <w:r>
              <w:rPr>
                <w:rFonts w:ascii="Times New Roman" w:eastAsia="宋体" w:hAnsi="Times New Roman"/>
                <w:color w:val="000000"/>
                <w:sz w:val="20"/>
                <w:szCs w:val="20"/>
              </w:rPr>
              <w:t>824 </w:t>
            </w:r>
          </w:p>
        </w:tc>
        <w:tc>
          <w:tcPr>
            <w:tcW w:w="0" w:type="auto"/>
            <w:shd w:val="clear" w:color="auto" w:fill="CCEEFF"/>
            <w:tcMar>
              <w:top w:w="40" w:type="dxa"/>
              <w:left w:w="0" w:type="dxa"/>
              <w:bottom w:w="40" w:type="dxa"/>
              <w:right w:w="20" w:type="dxa"/>
            </w:tcMar>
            <w:vAlign w:val="bottom"/>
          </w:tcPr>
          <w:p w14:paraId="7DCFFA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A3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A3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3B" w14:textId="77777777" w:rsidR="00C1563E" w:rsidRDefault="000B648B">
            <w:pPr>
              <w:jc w:val="right"/>
              <w:textAlignment w:val="bottom"/>
            </w:pPr>
            <w:r>
              <w:rPr>
                <w:rFonts w:ascii="Times New Roman" w:eastAsia="宋体" w:hAnsi="Times New Roman"/>
                <w:color w:val="000000"/>
                <w:sz w:val="20"/>
                <w:szCs w:val="20"/>
              </w:rPr>
              <w:t>770 </w:t>
            </w:r>
          </w:p>
        </w:tc>
        <w:tc>
          <w:tcPr>
            <w:tcW w:w="0" w:type="auto"/>
            <w:shd w:val="clear" w:color="auto" w:fill="CCEEFF"/>
            <w:tcMar>
              <w:top w:w="40" w:type="dxa"/>
              <w:left w:w="0" w:type="dxa"/>
              <w:bottom w:w="40" w:type="dxa"/>
              <w:right w:w="20" w:type="dxa"/>
            </w:tcMar>
            <w:vAlign w:val="bottom"/>
          </w:tcPr>
          <w:p w14:paraId="7DCFFA3C" w14:textId="77777777" w:rsidR="00C1563E" w:rsidRDefault="00C1563E">
            <w:pPr>
              <w:jc w:val="right"/>
              <w:rPr>
                <w:rFonts w:ascii="宋体"/>
              </w:rPr>
            </w:pPr>
          </w:p>
        </w:tc>
      </w:tr>
      <w:tr w:rsidR="00C1563E" w14:paraId="7DCFFA44" w14:textId="77777777">
        <w:tc>
          <w:tcPr>
            <w:tcW w:w="0" w:type="auto"/>
            <w:gridSpan w:val="3"/>
            <w:shd w:val="clear" w:color="auto" w:fill="FFFFFF"/>
            <w:tcMar>
              <w:top w:w="40" w:type="dxa"/>
              <w:left w:w="20" w:type="dxa"/>
              <w:bottom w:w="40" w:type="dxa"/>
              <w:right w:w="20" w:type="dxa"/>
            </w:tcMar>
            <w:vAlign w:val="bottom"/>
          </w:tcPr>
          <w:p w14:paraId="7DCFFA3E" w14:textId="77777777" w:rsidR="00C1563E" w:rsidRDefault="000B648B">
            <w:pPr>
              <w:textAlignment w:val="bottom"/>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bottom"/>
          </w:tcPr>
          <w:p w14:paraId="7DCFFA3F" w14:textId="77777777" w:rsidR="00C1563E" w:rsidRDefault="000B648B">
            <w:pPr>
              <w:jc w:val="right"/>
              <w:textAlignment w:val="bottom"/>
            </w:pPr>
            <w:r>
              <w:rPr>
                <w:rFonts w:ascii="Times New Roman" w:eastAsia="宋体" w:hAnsi="Times New Roman"/>
                <w:color w:val="000000"/>
                <w:sz w:val="20"/>
                <w:szCs w:val="20"/>
              </w:rPr>
              <w:t>578 </w:t>
            </w:r>
          </w:p>
        </w:tc>
        <w:tc>
          <w:tcPr>
            <w:tcW w:w="0" w:type="auto"/>
            <w:shd w:val="clear" w:color="auto" w:fill="FFFFFF"/>
            <w:tcMar>
              <w:top w:w="40" w:type="dxa"/>
              <w:left w:w="0" w:type="dxa"/>
              <w:bottom w:w="40" w:type="dxa"/>
              <w:right w:w="20" w:type="dxa"/>
            </w:tcMar>
            <w:vAlign w:val="bottom"/>
          </w:tcPr>
          <w:p w14:paraId="7DCFFA4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A4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A42"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7DCFFA43" w14:textId="77777777" w:rsidR="00C1563E" w:rsidRDefault="00C1563E">
            <w:pPr>
              <w:jc w:val="right"/>
              <w:rPr>
                <w:rFonts w:ascii="宋体"/>
              </w:rPr>
            </w:pPr>
          </w:p>
        </w:tc>
      </w:tr>
      <w:tr w:rsidR="00C1563E" w14:paraId="7DCFFA4D" w14:textId="77777777">
        <w:tc>
          <w:tcPr>
            <w:tcW w:w="0" w:type="auto"/>
            <w:gridSpan w:val="3"/>
            <w:shd w:val="clear" w:color="auto" w:fill="CCEEFF"/>
            <w:tcMar>
              <w:top w:w="40" w:type="dxa"/>
              <w:left w:w="20" w:type="dxa"/>
              <w:bottom w:w="40" w:type="dxa"/>
              <w:right w:w="20" w:type="dxa"/>
            </w:tcMar>
            <w:vAlign w:val="bottom"/>
          </w:tcPr>
          <w:p w14:paraId="7DCFFA45" w14:textId="77777777" w:rsidR="00C1563E" w:rsidRDefault="000B648B">
            <w:pPr>
              <w:textAlignment w:val="bottom"/>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A4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A47" w14:textId="77777777" w:rsidR="00C1563E" w:rsidRDefault="000B648B">
            <w:pPr>
              <w:jc w:val="right"/>
              <w:textAlignment w:val="bottom"/>
            </w:pPr>
            <w:r>
              <w:rPr>
                <w:rFonts w:ascii="Times New Roman" w:eastAsia="宋体" w:hAnsi="Times New Roman"/>
                <w:color w:val="000000"/>
                <w:sz w:val="20"/>
                <w:szCs w:val="20"/>
              </w:rPr>
              <w:t>246 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A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A4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A4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A4B" w14:textId="77777777" w:rsidR="00C1563E" w:rsidRDefault="000B648B">
            <w:pPr>
              <w:jc w:val="right"/>
              <w:textAlignment w:val="bottom"/>
            </w:pPr>
            <w:r>
              <w:rPr>
                <w:rFonts w:ascii="Times New Roman" w:eastAsia="宋体" w:hAnsi="Times New Roman"/>
                <w:color w:val="000000"/>
                <w:sz w:val="20"/>
                <w:szCs w:val="20"/>
              </w:rPr>
              <w:t>188 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A4C" w14:textId="77777777" w:rsidR="00C1563E" w:rsidRDefault="00C1563E">
            <w:pPr>
              <w:jc w:val="right"/>
              <w:rPr>
                <w:rFonts w:ascii="宋体"/>
              </w:rPr>
            </w:pPr>
          </w:p>
        </w:tc>
      </w:tr>
    </w:tbl>
    <w:p w14:paraId="7DCFFA4E" w14:textId="77777777" w:rsidR="00C1563E" w:rsidRDefault="00C1563E"/>
    <w:p w14:paraId="7DCFFA4F" w14:textId="77777777" w:rsidR="00C1563E" w:rsidRDefault="000B648B">
      <w:pPr>
        <w:spacing w:after="120"/>
      </w:pPr>
      <w:r>
        <w:rPr>
          <w:rFonts w:ascii="Times New Roman" w:eastAsia="宋体" w:hAnsi="Times New Roman"/>
          <w:color w:val="000000"/>
          <w:sz w:val="20"/>
          <w:szCs w:val="20"/>
        </w:rPr>
        <w:t>The following table presents the future maturity of the Company’s fixed-term customer leases and associated financing payments, and reconciles the undiscounted cash flows to the customer receivables, gross recognized on the Consolidated Statements of Finan</w:t>
      </w:r>
      <w:r>
        <w:rPr>
          <w:rFonts w:ascii="Times New Roman" w:eastAsia="宋体" w:hAnsi="Times New Roman"/>
          <w:color w:val="000000"/>
          <w:sz w:val="20"/>
          <w:szCs w:val="20"/>
        </w:rPr>
        <w:t xml:space="preserve">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7"/>
        <w:gridCol w:w="37"/>
      </w:tblGrid>
      <w:tr w:rsidR="00C1563E" w14:paraId="7DCFFA56" w14:textId="77777777">
        <w:tc>
          <w:tcPr>
            <w:tcW w:w="50" w:type="pct"/>
            <w:shd w:val="clear" w:color="auto" w:fill="auto"/>
          </w:tcPr>
          <w:p w14:paraId="7DCFFA50" w14:textId="77777777" w:rsidR="00C1563E" w:rsidRDefault="00C1563E">
            <w:pPr>
              <w:rPr>
                <w:rFonts w:ascii="宋体"/>
              </w:rPr>
            </w:pPr>
          </w:p>
        </w:tc>
        <w:tc>
          <w:tcPr>
            <w:tcW w:w="3972" w:type="pct"/>
            <w:shd w:val="clear" w:color="auto" w:fill="auto"/>
          </w:tcPr>
          <w:p w14:paraId="7DCFFA51" w14:textId="77777777" w:rsidR="00C1563E" w:rsidRDefault="00C1563E">
            <w:pPr>
              <w:rPr>
                <w:rFonts w:ascii="宋体"/>
              </w:rPr>
            </w:pPr>
          </w:p>
        </w:tc>
        <w:tc>
          <w:tcPr>
            <w:tcW w:w="5" w:type="pct"/>
            <w:shd w:val="clear" w:color="auto" w:fill="auto"/>
          </w:tcPr>
          <w:p w14:paraId="7DCFFA52" w14:textId="77777777" w:rsidR="00C1563E" w:rsidRDefault="00C1563E">
            <w:pPr>
              <w:rPr>
                <w:rFonts w:ascii="宋体"/>
              </w:rPr>
            </w:pPr>
          </w:p>
        </w:tc>
        <w:tc>
          <w:tcPr>
            <w:tcW w:w="50" w:type="pct"/>
            <w:shd w:val="clear" w:color="auto" w:fill="auto"/>
          </w:tcPr>
          <w:p w14:paraId="7DCFFA53" w14:textId="77777777" w:rsidR="00C1563E" w:rsidRDefault="00C1563E">
            <w:pPr>
              <w:rPr>
                <w:rFonts w:ascii="宋体"/>
              </w:rPr>
            </w:pPr>
          </w:p>
        </w:tc>
        <w:tc>
          <w:tcPr>
            <w:tcW w:w="917" w:type="pct"/>
            <w:shd w:val="clear" w:color="auto" w:fill="auto"/>
          </w:tcPr>
          <w:p w14:paraId="7DCFFA54" w14:textId="77777777" w:rsidR="00C1563E" w:rsidRDefault="00C1563E">
            <w:pPr>
              <w:rPr>
                <w:rFonts w:ascii="宋体"/>
              </w:rPr>
            </w:pPr>
          </w:p>
        </w:tc>
        <w:tc>
          <w:tcPr>
            <w:tcW w:w="5" w:type="pct"/>
            <w:shd w:val="clear" w:color="auto" w:fill="auto"/>
          </w:tcPr>
          <w:p w14:paraId="7DCFFA55" w14:textId="77777777" w:rsidR="00C1563E" w:rsidRDefault="00C1563E">
            <w:pPr>
              <w:rPr>
                <w:rFonts w:ascii="宋体"/>
              </w:rPr>
            </w:pPr>
          </w:p>
        </w:tc>
      </w:tr>
      <w:tr w:rsidR="00C1563E" w14:paraId="7DCFFA59" w14:textId="77777777">
        <w:tc>
          <w:tcPr>
            <w:tcW w:w="0" w:type="auto"/>
            <w:gridSpan w:val="3"/>
            <w:shd w:val="clear" w:color="auto" w:fill="auto"/>
            <w:tcMar>
              <w:top w:w="0" w:type="dxa"/>
              <w:left w:w="20" w:type="dxa"/>
              <w:bottom w:w="0" w:type="dxa"/>
              <w:right w:w="20" w:type="dxa"/>
            </w:tcMar>
          </w:tcPr>
          <w:p w14:paraId="7DCFFA5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A58"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CFFA5C" w14:textId="77777777">
        <w:tc>
          <w:tcPr>
            <w:tcW w:w="0" w:type="auto"/>
            <w:gridSpan w:val="3"/>
            <w:shd w:val="clear" w:color="auto" w:fill="auto"/>
            <w:tcMar>
              <w:top w:w="0" w:type="dxa"/>
              <w:left w:w="20" w:type="dxa"/>
              <w:bottom w:w="0" w:type="dxa"/>
              <w:right w:w="20" w:type="dxa"/>
            </w:tcMar>
          </w:tcPr>
          <w:p w14:paraId="7DCFFA5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A5B"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A61" w14:textId="77777777">
        <w:tc>
          <w:tcPr>
            <w:tcW w:w="0" w:type="auto"/>
            <w:gridSpan w:val="3"/>
            <w:shd w:val="clear" w:color="auto" w:fill="CCEEFF"/>
            <w:tcMar>
              <w:top w:w="40" w:type="dxa"/>
              <w:left w:w="20" w:type="dxa"/>
              <w:bottom w:w="40" w:type="dxa"/>
              <w:right w:w="20" w:type="dxa"/>
            </w:tcMar>
            <w:vAlign w:val="bottom"/>
          </w:tcPr>
          <w:p w14:paraId="7DCFFA5D" w14:textId="77777777" w:rsidR="00C1563E" w:rsidRDefault="000B648B">
            <w:pPr>
              <w:textAlignment w:val="bottom"/>
            </w:pPr>
            <w:r>
              <w:rPr>
                <w:rFonts w:ascii="Times New Roman" w:eastAsia="宋体" w:hAnsi="Times New Roman"/>
                <w:color w:val="000000"/>
                <w:sz w:val="20"/>
                <w:szCs w:val="20"/>
              </w:rPr>
              <w:t>Fiscal 2022</w:t>
            </w:r>
          </w:p>
        </w:tc>
        <w:tc>
          <w:tcPr>
            <w:tcW w:w="0" w:type="auto"/>
            <w:shd w:val="clear" w:color="auto" w:fill="CCEEFF"/>
            <w:tcMar>
              <w:top w:w="40" w:type="dxa"/>
              <w:left w:w="20" w:type="dxa"/>
              <w:bottom w:w="40" w:type="dxa"/>
              <w:right w:w="0" w:type="dxa"/>
            </w:tcMar>
            <w:vAlign w:val="bottom"/>
          </w:tcPr>
          <w:p w14:paraId="7DCFFA5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5F" w14:textId="77777777" w:rsidR="00C1563E" w:rsidRDefault="000B648B">
            <w:pPr>
              <w:jc w:val="right"/>
              <w:textAlignment w:val="bottom"/>
            </w:pPr>
            <w:r>
              <w:rPr>
                <w:rFonts w:ascii="Times New Roman" w:eastAsia="宋体" w:hAnsi="Times New Roman"/>
                <w:color w:val="000000"/>
                <w:sz w:val="20"/>
                <w:szCs w:val="20"/>
              </w:rPr>
              <w:t>2,797 </w:t>
            </w:r>
          </w:p>
        </w:tc>
        <w:tc>
          <w:tcPr>
            <w:tcW w:w="0" w:type="auto"/>
            <w:shd w:val="clear" w:color="auto" w:fill="CCEEFF"/>
            <w:tcMar>
              <w:top w:w="40" w:type="dxa"/>
              <w:left w:w="0" w:type="dxa"/>
              <w:bottom w:w="40" w:type="dxa"/>
              <w:right w:w="20" w:type="dxa"/>
            </w:tcMar>
            <w:vAlign w:val="bottom"/>
          </w:tcPr>
          <w:p w14:paraId="7DCFFA60" w14:textId="77777777" w:rsidR="00C1563E" w:rsidRDefault="00C1563E">
            <w:pPr>
              <w:jc w:val="right"/>
              <w:rPr>
                <w:rFonts w:ascii="宋体"/>
              </w:rPr>
            </w:pPr>
          </w:p>
        </w:tc>
      </w:tr>
      <w:tr w:rsidR="00C1563E" w14:paraId="7DCFFA65" w14:textId="77777777">
        <w:tc>
          <w:tcPr>
            <w:tcW w:w="0" w:type="auto"/>
            <w:gridSpan w:val="3"/>
            <w:shd w:val="clear" w:color="auto" w:fill="FFFFFF"/>
            <w:tcMar>
              <w:top w:w="40" w:type="dxa"/>
              <w:left w:w="20" w:type="dxa"/>
              <w:bottom w:w="40" w:type="dxa"/>
              <w:right w:w="20" w:type="dxa"/>
            </w:tcMar>
            <w:vAlign w:val="bottom"/>
          </w:tcPr>
          <w:p w14:paraId="7DCFFA62" w14:textId="77777777" w:rsidR="00C1563E" w:rsidRDefault="000B648B">
            <w:pPr>
              <w:textAlignment w:val="bottom"/>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bottom"/>
          </w:tcPr>
          <w:p w14:paraId="7DCFFA63" w14:textId="77777777" w:rsidR="00C1563E" w:rsidRDefault="000B648B">
            <w:pPr>
              <w:jc w:val="right"/>
              <w:textAlignment w:val="bottom"/>
            </w:pPr>
            <w:r>
              <w:rPr>
                <w:rFonts w:ascii="Times New Roman" w:eastAsia="宋体" w:hAnsi="Times New Roman"/>
                <w:color w:val="000000"/>
                <w:sz w:val="20"/>
                <w:szCs w:val="20"/>
              </w:rPr>
              <w:t>1,660 </w:t>
            </w:r>
          </w:p>
        </w:tc>
        <w:tc>
          <w:tcPr>
            <w:tcW w:w="0" w:type="auto"/>
            <w:shd w:val="clear" w:color="auto" w:fill="FFFFFF"/>
            <w:tcMar>
              <w:top w:w="40" w:type="dxa"/>
              <w:left w:w="0" w:type="dxa"/>
              <w:bottom w:w="40" w:type="dxa"/>
              <w:right w:w="20" w:type="dxa"/>
            </w:tcMar>
            <w:vAlign w:val="bottom"/>
          </w:tcPr>
          <w:p w14:paraId="7DCFFA64" w14:textId="77777777" w:rsidR="00C1563E" w:rsidRDefault="00C1563E">
            <w:pPr>
              <w:jc w:val="right"/>
              <w:rPr>
                <w:rFonts w:ascii="宋体"/>
              </w:rPr>
            </w:pPr>
          </w:p>
        </w:tc>
      </w:tr>
      <w:tr w:rsidR="00C1563E" w14:paraId="7DCFFA69" w14:textId="77777777">
        <w:tc>
          <w:tcPr>
            <w:tcW w:w="0" w:type="auto"/>
            <w:gridSpan w:val="3"/>
            <w:shd w:val="clear" w:color="auto" w:fill="CCEEFF"/>
            <w:tcMar>
              <w:top w:w="40" w:type="dxa"/>
              <w:left w:w="20" w:type="dxa"/>
              <w:bottom w:w="40" w:type="dxa"/>
              <w:right w:w="20" w:type="dxa"/>
            </w:tcMar>
            <w:vAlign w:val="bottom"/>
          </w:tcPr>
          <w:p w14:paraId="7DCFFA66" w14:textId="77777777" w:rsidR="00C1563E" w:rsidRDefault="000B648B">
            <w:pPr>
              <w:textAlignment w:val="bottom"/>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bottom"/>
          </w:tcPr>
          <w:p w14:paraId="7DCFFA67" w14:textId="77777777" w:rsidR="00C1563E" w:rsidRDefault="000B648B">
            <w:pPr>
              <w:jc w:val="right"/>
              <w:textAlignment w:val="bottom"/>
            </w:pPr>
            <w:r>
              <w:rPr>
                <w:rFonts w:ascii="Times New Roman" w:eastAsia="宋体" w:hAnsi="Times New Roman"/>
                <w:color w:val="000000"/>
                <w:sz w:val="20"/>
                <w:szCs w:val="20"/>
              </w:rPr>
              <w:t>931 </w:t>
            </w:r>
          </w:p>
        </w:tc>
        <w:tc>
          <w:tcPr>
            <w:tcW w:w="0" w:type="auto"/>
            <w:shd w:val="clear" w:color="auto" w:fill="CCEEFF"/>
            <w:tcMar>
              <w:top w:w="40" w:type="dxa"/>
              <w:left w:w="0" w:type="dxa"/>
              <w:bottom w:w="40" w:type="dxa"/>
              <w:right w:w="20" w:type="dxa"/>
            </w:tcMar>
            <w:vAlign w:val="bottom"/>
          </w:tcPr>
          <w:p w14:paraId="7DCFFA68" w14:textId="77777777" w:rsidR="00C1563E" w:rsidRDefault="00C1563E">
            <w:pPr>
              <w:jc w:val="right"/>
              <w:rPr>
                <w:rFonts w:ascii="宋体"/>
              </w:rPr>
            </w:pPr>
          </w:p>
        </w:tc>
      </w:tr>
      <w:tr w:rsidR="00C1563E" w14:paraId="7DCFFA6D" w14:textId="77777777">
        <w:tc>
          <w:tcPr>
            <w:tcW w:w="0" w:type="auto"/>
            <w:gridSpan w:val="3"/>
            <w:shd w:val="clear" w:color="auto" w:fill="FFFFFF"/>
            <w:tcMar>
              <w:top w:w="40" w:type="dxa"/>
              <w:left w:w="20" w:type="dxa"/>
              <w:bottom w:w="40" w:type="dxa"/>
              <w:right w:w="20" w:type="dxa"/>
            </w:tcMar>
            <w:vAlign w:val="bottom"/>
          </w:tcPr>
          <w:p w14:paraId="7DCFFA6A" w14:textId="77777777" w:rsidR="00C1563E" w:rsidRDefault="000B648B">
            <w:pPr>
              <w:textAlignment w:val="bottom"/>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bottom"/>
          </w:tcPr>
          <w:p w14:paraId="7DCFFA6B" w14:textId="77777777" w:rsidR="00C1563E" w:rsidRDefault="000B648B">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7DCFFA6C" w14:textId="77777777" w:rsidR="00C1563E" w:rsidRDefault="00C1563E">
            <w:pPr>
              <w:jc w:val="right"/>
              <w:rPr>
                <w:rFonts w:ascii="宋体"/>
              </w:rPr>
            </w:pPr>
          </w:p>
        </w:tc>
      </w:tr>
      <w:tr w:rsidR="00C1563E" w14:paraId="7DCFFA71" w14:textId="77777777">
        <w:tc>
          <w:tcPr>
            <w:tcW w:w="0" w:type="auto"/>
            <w:gridSpan w:val="3"/>
            <w:shd w:val="clear" w:color="auto" w:fill="CCEEFF"/>
            <w:tcMar>
              <w:top w:w="40" w:type="dxa"/>
              <w:left w:w="20" w:type="dxa"/>
              <w:bottom w:w="40" w:type="dxa"/>
              <w:right w:w="20" w:type="dxa"/>
            </w:tcMar>
            <w:vAlign w:val="bottom"/>
          </w:tcPr>
          <w:p w14:paraId="7DCFFA6E" w14:textId="77777777" w:rsidR="00C1563E" w:rsidRDefault="000B648B">
            <w:pPr>
              <w:textAlignment w:val="bottom"/>
            </w:pPr>
            <w:r>
              <w:rPr>
                <w:rFonts w:ascii="Times New Roman" w:eastAsia="宋体" w:hAnsi="Times New Roman"/>
                <w:color w:val="000000"/>
                <w:sz w:val="20"/>
                <w:szCs w:val="20"/>
              </w:rPr>
              <w:t>Fiscal 2026 and beyond</w:t>
            </w:r>
          </w:p>
        </w:tc>
        <w:tc>
          <w:tcPr>
            <w:tcW w:w="0" w:type="auto"/>
            <w:gridSpan w:val="2"/>
            <w:shd w:val="clear" w:color="auto" w:fill="CCEEFF"/>
            <w:tcMar>
              <w:top w:w="40" w:type="dxa"/>
              <w:left w:w="20" w:type="dxa"/>
              <w:bottom w:w="40" w:type="dxa"/>
              <w:right w:w="0" w:type="dxa"/>
            </w:tcMar>
            <w:vAlign w:val="bottom"/>
          </w:tcPr>
          <w:p w14:paraId="7DCFFA6F" w14:textId="77777777" w:rsidR="00C1563E" w:rsidRDefault="000B648B">
            <w:pPr>
              <w:jc w:val="right"/>
              <w:textAlignment w:val="bottom"/>
            </w:pPr>
            <w:r>
              <w:rPr>
                <w:rFonts w:ascii="Times New Roman" w:eastAsia="宋体" w:hAnsi="Times New Roman"/>
                <w:color w:val="000000"/>
                <w:sz w:val="20"/>
                <w:szCs w:val="20"/>
              </w:rPr>
              <w:t>98 </w:t>
            </w:r>
          </w:p>
        </w:tc>
        <w:tc>
          <w:tcPr>
            <w:tcW w:w="0" w:type="auto"/>
            <w:shd w:val="clear" w:color="auto" w:fill="CCEEFF"/>
            <w:tcMar>
              <w:top w:w="40" w:type="dxa"/>
              <w:left w:w="0" w:type="dxa"/>
              <w:bottom w:w="40" w:type="dxa"/>
              <w:right w:w="20" w:type="dxa"/>
            </w:tcMar>
            <w:vAlign w:val="bottom"/>
          </w:tcPr>
          <w:p w14:paraId="7DCFFA70" w14:textId="77777777" w:rsidR="00C1563E" w:rsidRDefault="00C1563E">
            <w:pPr>
              <w:jc w:val="right"/>
              <w:rPr>
                <w:rFonts w:ascii="宋体"/>
              </w:rPr>
            </w:pPr>
          </w:p>
        </w:tc>
      </w:tr>
      <w:tr w:rsidR="00C1563E" w14:paraId="7DCFFA75" w14:textId="77777777">
        <w:tc>
          <w:tcPr>
            <w:tcW w:w="0" w:type="auto"/>
            <w:gridSpan w:val="3"/>
            <w:shd w:val="clear" w:color="auto" w:fill="FFFFFF"/>
            <w:tcMar>
              <w:top w:w="40" w:type="dxa"/>
              <w:left w:w="155" w:type="dxa"/>
              <w:bottom w:w="40" w:type="dxa"/>
              <w:right w:w="20" w:type="dxa"/>
            </w:tcMar>
            <w:vAlign w:val="bottom"/>
          </w:tcPr>
          <w:p w14:paraId="7DCFFA72" w14:textId="77777777" w:rsidR="00C1563E" w:rsidRDefault="000B648B">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CFFA73" w14:textId="77777777" w:rsidR="00C1563E" w:rsidRDefault="000B648B">
            <w:pPr>
              <w:jc w:val="right"/>
              <w:textAlignment w:val="bottom"/>
            </w:pPr>
            <w:r>
              <w:rPr>
                <w:rFonts w:ascii="Times New Roman" w:eastAsia="宋体" w:hAnsi="Times New Roman"/>
                <w:color w:val="000000"/>
                <w:sz w:val="20"/>
                <w:szCs w:val="20"/>
              </w:rPr>
              <w:t>5,840 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A74" w14:textId="77777777" w:rsidR="00C1563E" w:rsidRDefault="00C1563E">
            <w:pPr>
              <w:jc w:val="right"/>
              <w:rPr>
                <w:rFonts w:ascii="宋体"/>
              </w:rPr>
            </w:pPr>
          </w:p>
        </w:tc>
      </w:tr>
      <w:tr w:rsidR="00C1563E" w14:paraId="7DCFFA79" w14:textId="77777777">
        <w:tc>
          <w:tcPr>
            <w:tcW w:w="0" w:type="auto"/>
            <w:gridSpan w:val="3"/>
            <w:shd w:val="clear" w:color="auto" w:fill="CCEEFF"/>
            <w:tcMar>
              <w:top w:w="40" w:type="dxa"/>
              <w:left w:w="20" w:type="dxa"/>
              <w:bottom w:w="40" w:type="dxa"/>
              <w:right w:w="20" w:type="dxa"/>
            </w:tcMar>
            <w:vAlign w:val="bottom"/>
          </w:tcPr>
          <w:p w14:paraId="7DCFFA76" w14:textId="77777777" w:rsidR="00C1563E" w:rsidRDefault="000B648B">
            <w:pPr>
              <w:textAlignment w:val="bottom"/>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bottom"/>
          </w:tcPr>
          <w:p w14:paraId="7DCFFA77" w14:textId="77777777" w:rsidR="00C1563E" w:rsidRDefault="000B648B">
            <w:pPr>
              <w:jc w:val="right"/>
              <w:textAlignment w:val="bottom"/>
            </w:pPr>
            <w:r>
              <w:rPr>
                <w:rFonts w:ascii="Times New Roman" w:eastAsia="宋体" w:hAnsi="Times New Roman"/>
                <w:color w:val="000000"/>
                <w:sz w:val="20"/>
                <w:szCs w:val="20"/>
              </w:rPr>
              <w:t>4,440 </w:t>
            </w:r>
          </w:p>
        </w:tc>
        <w:tc>
          <w:tcPr>
            <w:tcW w:w="0" w:type="auto"/>
            <w:shd w:val="clear" w:color="auto" w:fill="CCEEFF"/>
            <w:tcMar>
              <w:top w:w="40" w:type="dxa"/>
              <w:left w:w="0" w:type="dxa"/>
              <w:bottom w:w="40" w:type="dxa"/>
              <w:right w:w="20" w:type="dxa"/>
            </w:tcMar>
            <w:vAlign w:val="bottom"/>
          </w:tcPr>
          <w:p w14:paraId="7DCFFA78" w14:textId="77777777" w:rsidR="00C1563E" w:rsidRDefault="00C1563E">
            <w:pPr>
              <w:jc w:val="right"/>
              <w:rPr>
                <w:rFonts w:ascii="宋体"/>
              </w:rPr>
            </w:pPr>
          </w:p>
        </w:tc>
      </w:tr>
      <w:tr w:rsidR="00C1563E" w14:paraId="7DCFFA7D" w14:textId="77777777">
        <w:tc>
          <w:tcPr>
            <w:tcW w:w="0" w:type="auto"/>
            <w:gridSpan w:val="3"/>
            <w:shd w:val="clear" w:color="auto" w:fill="FFFFFF"/>
            <w:tcMar>
              <w:top w:w="40" w:type="dxa"/>
              <w:left w:w="20" w:type="dxa"/>
              <w:bottom w:w="40" w:type="dxa"/>
              <w:right w:w="20" w:type="dxa"/>
            </w:tcMar>
            <w:vAlign w:val="bottom"/>
          </w:tcPr>
          <w:p w14:paraId="7DCFFA7A" w14:textId="77777777" w:rsidR="00C1563E" w:rsidRDefault="000B648B">
            <w:pPr>
              <w:textAlignment w:val="bottom"/>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bottom"/>
          </w:tcPr>
          <w:p w14:paraId="7DCFFA7B" w14:textId="77777777" w:rsidR="00C1563E" w:rsidRDefault="000B648B">
            <w:pPr>
              <w:jc w:val="right"/>
              <w:textAlignment w:val="bottom"/>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bottom"/>
          </w:tcPr>
          <w:p w14:paraId="7DCFFA7C" w14:textId="77777777" w:rsidR="00C1563E" w:rsidRDefault="00C1563E">
            <w:pPr>
              <w:jc w:val="right"/>
              <w:rPr>
                <w:rFonts w:ascii="宋体"/>
              </w:rPr>
            </w:pPr>
          </w:p>
        </w:tc>
      </w:tr>
      <w:tr w:rsidR="00C1563E" w14:paraId="7DCFFA81" w14:textId="77777777">
        <w:tc>
          <w:tcPr>
            <w:tcW w:w="0" w:type="auto"/>
            <w:gridSpan w:val="3"/>
            <w:shd w:val="clear" w:color="auto" w:fill="CCEEFF"/>
            <w:tcMar>
              <w:top w:w="40" w:type="dxa"/>
              <w:left w:w="20" w:type="dxa"/>
              <w:bottom w:w="40" w:type="dxa"/>
              <w:right w:w="20" w:type="dxa"/>
            </w:tcMar>
            <w:vAlign w:val="bottom"/>
          </w:tcPr>
          <w:p w14:paraId="7DCFFA7E" w14:textId="77777777" w:rsidR="00C1563E" w:rsidRDefault="000B648B">
            <w:pPr>
              <w:textAlignment w:val="bottom"/>
            </w:pPr>
            <w:r>
              <w:rPr>
                <w:rFonts w:ascii="Times New Roman" w:eastAsia="宋体" w:hAnsi="Times New Roman"/>
                <w:color w:val="000000"/>
                <w:sz w:val="20"/>
                <w:szCs w:val="20"/>
              </w:rPr>
              <w:t>Less: unearned income</w:t>
            </w:r>
          </w:p>
        </w:tc>
        <w:tc>
          <w:tcPr>
            <w:tcW w:w="0" w:type="auto"/>
            <w:gridSpan w:val="2"/>
            <w:shd w:val="clear" w:color="auto" w:fill="CCEEFF"/>
            <w:tcMar>
              <w:top w:w="40" w:type="dxa"/>
              <w:left w:w="20" w:type="dxa"/>
              <w:bottom w:w="40" w:type="dxa"/>
              <w:right w:w="0" w:type="dxa"/>
            </w:tcMar>
            <w:vAlign w:val="bottom"/>
          </w:tcPr>
          <w:p w14:paraId="7DCFFA7F" w14:textId="77777777" w:rsidR="00C1563E" w:rsidRDefault="000B648B">
            <w:pPr>
              <w:jc w:val="right"/>
              <w:textAlignment w:val="bottom"/>
            </w:pPr>
            <w:r>
              <w:rPr>
                <w:rFonts w:ascii="Times New Roman" w:eastAsia="宋体" w:hAnsi="Times New Roman"/>
                <w:color w:val="000000"/>
                <w:sz w:val="20"/>
                <w:szCs w:val="20"/>
              </w:rPr>
              <w:t>(685)</w:t>
            </w:r>
          </w:p>
        </w:tc>
        <w:tc>
          <w:tcPr>
            <w:tcW w:w="0" w:type="auto"/>
            <w:shd w:val="clear" w:color="auto" w:fill="CCEEFF"/>
            <w:tcMar>
              <w:top w:w="40" w:type="dxa"/>
              <w:left w:w="0" w:type="dxa"/>
              <w:bottom w:w="40" w:type="dxa"/>
              <w:right w:w="20" w:type="dxa"/>
            </w:tcMar>
            <w:vAlign w:val="bottom"/>
          </w:tcPr>
          <w:p w14:paraId="7DCFFA80" w14:textId="77777777" w:rsidR="00C1563E" w:rsidRDefault="00C1563E">
            <w:pPr>
              <w:jc w:val="right"/>
              <w:rPr>
                <w:rFonts w:ascii="宋体"/>
              </w:rPr>
            </w:pPr>
          </w:p>
        </w:tc>
      </w:tr>
      <w:tr w:rsidR="00C1563E" w14:paraId="7DCFFA86" w14:textId="77777777">
        <w:tc>
          <w:tcPr>
            <w:tcW w:w="0" w:type="auto"/>
            <w:gridSpan w:val="3"/>
            <w:shd w:val="clear" w:color="auto" w:fill="FFFFFF"/>
            <w:tcMar>
              <w:top w:w="40" w:type="dxa"/>
              <w:left w:w="155" w:type="dxa"/>
              <w:bottom w:w="40" w:type="dxa"/>
              <w:right w:w="20" w:type="dxa"/>
            </w:tcMar>
            <w:vAlign w:val="bottom"/>
          </w:tcPr>
          <w:p w14:paraId="7DCFFA82" w14:textId="77777777" w:rsidR="00C1563E" w:rsidRDefault="000B648B">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A8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A84" w14:textId="77777777" w:rsidR="00C1563E" w:rsidRDefault="000B648B">
            <w:pPr>
              <w:jc w:val="right"/>
              <w:textAlignment w:val="bottom"/>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A85" w14:textId="77777777" w:rsidR="00C1563E" w:rsidRDefault="00C1563E">
            <w:pPr>
              <w:jc w:val="right"/>
              <w:rPr>
                <w:rFonts w:ascii="宋体"/>
              </w:rPr>
            </w:pPr>
          </w:p>
        </w:tc>
      </w:tr>
    </w:tbl>
    <w:p w14:paraId="7DCFFA87" w14:textId="77777777" w:rsidR="00C1563E" w:rsidRDefault="00C1563E"/>
    <w:p w14:paraId="7DCFFA88" w14:textId="77777777" w:rsidR="00C1563E" w:rsidRDefault="000B648B">
      <w:pPr>
        <w:ind w:hanging="360"/>
      </w:pPr>
      <w:r>
        <w:rPr>
          <w:rFonts w:ascii="Times New Roman" w:eastAsia="宋体" w:hAnsi="Times New Roman"/>
          <w:b/>
          <w:bCs/>
          <w:color w:val="000000"/>
          <w:sz w:val="20"/>
          <w:szCs w:val="20"/>
        </w:rPr>
        <w:t>Operating Leases</w:t>
      </w:r>
    </w:p>
    <w:p w14:paraId="7DCFFA89" w14:textId="77777777" w:rsidR="00C1563E" w:rsidRDefault="00C1563E">
      <w:pPr>
        <w:jc w:val="both"/>
      </w:pPr>
    </w:p>
    <w:p w14:paraId="7DCFFA8A" w14:textId="77777777" w:rsidR="00C1563E" w:rsidRDefault="000B648B">
      <w:pPr>
        <w:spacing w:after="120"/>
        <w:jc w:val="both"/>
      </w:pPr>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4920" w:type="pct"/>
        <w:tblCellMar>
          <w:top w:w="15" w:type="dxa"/>
          <w:left w:w="15" w:type="dxa"/>
          <w:bottom w:w="15" w:type="dxa"/>
          <w:right w:w="15" w:type="dxa"/>
        </w:tblCellMar>
        <w:tblLook w:val="04A0" w:firstRow="1" w:lastRow="0" w:firstColumn="1" w:lastColumn="0" w:noHBand="0" w:noVBand="1"/>
      </w:tblPr>
      <w:tblGrid>
        <w:gridCol w:w="38"/>
        <w:gridCol w:w="4755"/>
        <w:gridCol w:w="37"/>
        <w:gridCol w:w="121"/>
        <w:gridCol w:w="1475"/>
        <w:gridCol w:w="36"/>
        <w:gridCol w:w="36"/>
        <w:gridCol w:w="36"/>
        <w:gridCol w:w="36"/>
        <w:gridCol w:w="121"/>
        <w:gridCol w:w="1476"/>
        <w:gridCol w:w="36"/>
      </w:tblGrid>
      <w:tr w:rsidR="00C1563E" w14:paraId="7DCFFA97" w14:textId="77777777">
        <w:tc>
          <w:tcPr>
            <w:tcW w:w="50" w:type="pct"/>
            <w:shd w:val="clear" w:color="auto" w:fill="auto"/>
          </w:tcPr>
          <w:p w14:paraId="7DCFFA8B" w14:textId="77777777" w:rsidR="00C1563E" w:rsidRDefault="00C1563E">
            <w:pPr>
              <w:rPr>
                <w:rFonts w:ascii="宋体"/>
              </w:rPr>
            </w:pPr>
          </w:p>
        </w:tc>
        <w:tc>
          <w:tcPr>
            <w:tcW w:w="2939" w:type="pct"/>
            <w:shd w:val="clear" w:color="auto" w:fill="auto"/>
          </w:tcPr>
          <w:p w14:paraId="7DCFFA8C" w14:textId="77777777" w:rsidR="00C1563E" w:rsidRDefault="00C1563E">
            <w:pPr>
              <w:rPr>
                <w:rFonts w:ascii="宋体"/>
              </w:rPr>
            </w:pPr>
          </w:p>
        </w:tc>
        <w:tc>
          <w:tcPr>
            <w:tcW w:w="5" w:type="pct"/>
            <w:shd w:val="clear" w:color="auto" w:fill="auto"/>
          </w:tcPr>
          <w:p w14:paraId="7DCFFA8D" w14:textId="77777777" w:rsidR="00C1563E" w:rsidRDefault="00C1563E">
            <w:pPr>
              <w:rPr>
                <w:rFonts w:ascii="宋体"/>
              </w:rPr>
            </w:pPr>
          </w:p>
        </w:tc>
        <w:tc>
          <w:tcPr>
            <w:tcW w:w="50" w:type="pct"/>
            <w:shd w:val="clear" w:color="auto" w:fill="auto"/>
          </w:tcPr>
          <w:p w14:paraId="7DCFFA8E" w14:textId="77777777" w:rsidR="00C1563E" w:rsidRDefault="00C1563E">
            <w:pPr>
              <w:rPr>
                <w:rFonts w:ascii="宋体"/>
              </w:rPr>
            </w:pPr>
          </w:p>
        </w:tc>
        <w:tc>
          <w:tcPr>
            <w:tcW w:w="933" w:type="pct"/>
            <w:shd w:val="clear" w:color="auto" w:fill="auto"/>
          </w:tcPr>
          <w:p w14:paraId="7DCFFA8F" w14:textId="77777777" w:rsidR="00C1563E" w:rsidRDefault="00C1563E">
            <w:pPr>
              <w:rPr>
                <w:rFonts w:ascii="宋体"/>
              </w:rPr>
            </w:pPr>
          </w:p>
        </w:tc>
        <w:tc>
          <w:tcPr>
            <w:tcW w:w="5" w:type="pct"/>
            <w:shd w:val="clear" w:color="auto" w:fill="auto"/>
          </w:tcPr>
          <w:p w14:paraId="7DCFFA90" w14:textId="77777777" w:rsidR="00C1563E" w:rsidRDefault="00C1563E">
            <w:pPr>
              <w:rPr>
                <w:rFonts w:ascii="宋体"/>
              </w:rPr>
            </w:pPr>
          </w:p>
        </w:tc>
        <w:tc>
          <w:tcPr>
            <w:tcW w:w="5" w:type="pct"/>
            <w:shd w:val="clear" w:color="auto" w:fill="auto"/>
          </w:tcPr>
          <w:p w14:paraId="7DCFFA91" w14:textId="77777777" w:rsidR="00C1563E" w:rsidRDefault="00C1563E">
            <w:pPr>
              <w:rPr>
                <w:rFonts w:ascii="宋体"/>
              </w:rPr>
            </w:pPr>
          </w:p>
        </w:tc>
        <w:tc>
          <w:tcPr>
            <w:tcW w:w="19" w:type="pct"/>
            <w:shd w:val="clear" w:color="auto" w:fill="auto"/>
          </w:tcPr>
          <w:p w14:paraId="7DCFFA92" w14:textId="77777777" w:rsidR="00C1563E" w:rsidRDefault="00C1563E">
            <w:pPr>
              <w:rPr>
                <w:rFonts w:ascii="宋体"/>
              </w:rPr>
            </w:pPr>
          </w:p>
        </w:tc>
        <w:tc>
          <w:tcPr>
            <w:tcW w:w="5" w:type="pct"/>
            <w:shd w:val="clear" w:color="auto" w:fill="auto"/>
          </w:tcPr>
          <w:p w14:paraId="7DCFFA93" w14:textId="77777777" w:rsidR="00C1563E" w:rsidRDefault="00C1563E">
            <w:pPr>
              <w:rPr>
                <w:rFonts w:ascii="宋体"/>
              </w:rPr>
            </w:pPr>
          </w:p>
        </w:tc>
        <w:tc>
          <w:tcPr>
            <w:tcW w:w="50" w:type="pct"/>
            <w:shd w:val="clear" w:color="auto" w:fill="auto"/>
          </w:tcPr>
          <w:p w14:paraId="7DCFFA94" w14:textId="77777777" w:rsidR="00C1563E" w:rsidRDefault="00C1563E">
            <w:pPr>
              <w:rPr>
                <w:rFonts w:ascii="宋体"/>
              </w:rPr>
            </w:pPr>
          </w:p>
        </w:tc>
        <w:tc>
          <w:tcPr>
            <w:tcW w:w="933" w:type="pct"/>
            <w:shd w:val="clear" w:color="auto" w:fill="auto"/>
          </w:tcPr>
          <w:p w14:paraId="7DCFFA95" w14:textId="77777777" w:rsidR="00C1563E" w:rsidRDefault="00C1563E">
            <w:pPr>
              <w:rPr>
                <w:rFonts w:ascii="宋体"/>
              </w:rPr>
            </w:pPr>
          </w:p>
        </w:tc>
        <w:tc>
          <w:tcPr>
            <w:tcW w:w="5" w:type="pct"/>
            <w:shd w:val="clear" w:color="auto" w:fill="auto"/>
          </w:tcPr>
          <w:p w14:paraId="7DCFFA96" w14:textId="77777777" w:rsidR="00C1563E" w:rsidRDefault="00C1563E">
            <w:pPr>
              <w:rPr>
                <w:rFonts w:ascii="宋体"/>
              </w:rPr>
            </w:pPr>
          </w:p>
        </w:tc>
      </w:tr>
      <w:tr w:rsidR="00C1563E" w14:paraId="7DCFFA9C" w14:textId="77777777">
        <w:tc>
          <w:tcPr>
            <w:tcW w:w="0" w:type="auto"/>
            <w:gridSpan w:val="3"/>
            <w:shd w:val="clear" w:color="auto" w:fill="auto"/>
            <w:tcMar>
              <w:top w:w="0" w:type="dxa"/>
              <w:left w:w="20" w:type="dxa"/>
              <w:bottom w:w="0" w:type="dxa"/>
              <w:right w:w="20" w:type="dxa"/>
            </w:tcMar>
          </w:tcPr>
          <w:p w14:paraId="7DCFFA9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A99"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A9A"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A9B"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A9F" w14:textId="77777777">
        <w:tc>
          <w:tcPr>
            <w:tcW w:w="0" w:type="auto"/>
            <w:gridSpan w:val="3"/>
            <w:shd w:val="clear" w:color="auto" w:fill="auto"/>
            <w:tcMar>
              <w:top w:w="0" w:type="dxa"/>
              <w:left w:w="20" w:type="dxa"/>
              <w:bottom w:w="0" w:type="dxa"/>
              <w:right w:w="20" w:type="dxa"/>
            </w:tcMar>
          </w:tcPr>
          <w:p w14:paraId="7DCFFA9D"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A9E"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AA8" w14:textId="77777777">
        <w:tc>
          <w:tcPr>
            <w:tcW w:w="0" w:type="auto"/>
            <w:gridSpan w:val="3"/>
            <w:shd w:val="clear" w:color="auto" w:fill="CCEEFF"/>
            <w:tcMar>
              <w:top w:w="40" w:type="dxa"/>
              <w:left w:w="20" w:type="dxa"/>
              <w:bottom w:w="40" w:type="dxa"/>
              <w:right w:w="20" w:type="dxa"/>
            </w:tcMar>
            <w:vAlign w:val="bottom"/>
          </w:tcPr>
          <w:p w14:paraId="7DCFFAA0" w14:textId="77777777" w:rsidR="00C1563E" w:rsidRDefault="000B648B">
            <w:pPr>
              <w:textAlignment w:val="bottom"/>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bottom"/>
          </w:tcPr>
          <w:p w14:paraId="7DCFFAA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A2" w14:textId="77777777" w:rsidR="00C1563E" w:rsidRDefault="000B648B">
            <w:pPr>
              <w:jc w:val="right"/>
              <w:textAlignment w:val="bottom"/>
            </w:pPr>
            <w:r>
              <w:rPr>
                <w:rFonts w:ascii="Times New Roman" w:eastAsia="宋体" w:hAnsi="Times New Roman"/>
                <w:color w:val="000000"/>
                <w:sz w:val="20"/>
                <w:szCs w:val="20"/>
              </w:rPr>
              <w:t>1,746 </w:t>
            </w:r>
          </w:p>
        </w:tc>
        <w:tc>
          <w:tcPr>
            <w:tcW w:w="0" w:type="auto"/>
            <w:shd w:val="clear" w:color="auto" w:fill="CCEEFF"/>
            <w:tcMar>
              <w:top w:w="40" w:type="dxa"/>
              <w:left w:w="0" w:type="dxa"/>
              <w:bottom w:w="40" w:type="dxa"/>
              <w:right w:w="20" w:type="dxa"/>
            </w:tcMar>
            <w:vAlign w:val="bottom"/>
          </w:tcPr>
          <w:p w14:paraId="7DCFFAA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AA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AA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A6" w14:textId="77777777" w:rsidR="00C1563E" w:rsidRDefault="000B648B">
            <w:pPr>
              <w:jc w:val="right"/>
              <w:textAlignment w:val="bottom"/>
            </w:pPr>
            <w:r>
              <w:rPr>
                <w:rFonts w:ascii="Times New Roman" w:eastAsia="宋体" w:hAnsi="Times New Roman"/>
                <w:color w:val="000000"/>
                <w:sz w:val="20"/>
                <w:szCs w:val="20"/>
              </w:rPr>
              <w:t>956 </w:t>
            </w:r>
          </w:p>
        </w:tc>
        <w:tc>
          <w:tcPr>
            <w:tcW w:w="0" w:type="auto"/>
            <w:shd w:val="clear" w:color="auto" w:fill="CCEEFF"/>
            <w:tcMar>
              <w:top w:w="40" w:type="dxa"/>
              <w:left w:w="0" w:type="dxa"/>
              <w:bottom w:w="40" w:type="dxa"/>
              <w:right w:w="20" w:type="dxa"/>
            </w:tcMar>
            <w:vAlign w:val="bottom"/>
          </w:tcPr>
          <w:p w14:paraId="7DCFFAA7" w14:textId="77777777" w:rsidR="00C1563E" w:rsidRDefault="00C1563E">
            <w:pPr>
              <w:jc w:val="right"/>
              <w:rPr>
                <w:rFonts w:ascii="宋体"/>
              </w:rPr>
            </w:pPr>
          </w:p>
        </w:tc>
      </w:tr>
      <w:tr w:rsidR="00C1563E" w14:paraId="7DCFFAAF" w14:textId="77777777">
        <w:tc>
          <w:tcPr>
            <w:tcW w:w="0" w:type="auto"/>
            <w:gridSpan w:val="3"/>
            <w:shd w:val="clear" w:color="auto" w:fill="auto"/>
            <w:tcMar>
              <w:top w:w="40" w:type="dxa"/>
              <w:left w:w="20" w:type="dxa"/>
              <w:bottom w:w="40" w:type="dxa"/>
              <w:right w:w="20" w:type="dxa"/>
            </w:tcMar>
            <w:vAlign w:val="bottom"/>
          </w:tcPr>
          <w:p w14:paraId="7DCFFAA9" w14:textId="77777777" w:rsidR="00C1563E" w:rsidRDefault="000B648B">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bottom"/>
          </w:tcPr>
          <w:p w14:paraId="7DCFFAAA" w14:textId="77777777" w:rsidR="00C1563E" w:rsidRDefault="000B648B">
            <w:pPr>
              <w:jc w:val="right"/>
              <w:textAlignment w:val="bottom"/>
            </w:pPr>
            <w:r>
              <w:rPr>
                <w:rFonts w:ascii="Times New Roman" w:eastAsia="宋体" w:hAnsi="Times New Roman"/>
                <w:color w:val="000000"/>
                <w:sz w:val="20"/>
                <w:szCs w:val="20"/>
              </w:rPr>
              <w:t>(432)</w:t>
            </w:r>
          </w:p>
        </w:tc>
        <w:tc>
          <w:tcPr>
            <w:tcW w:w="0" w:type="auto"/>
            <w:shd w:val="clear" w:color="auto" w:fill="auto"/>
            <w:tcMar>
              <w:top w:w="40" w:type="dxa"/>
              <w:left w:w="0" w:type="dxa"/>
              <w:bottom w:w="40" w:type="dxa"/>
              <w:right w:w="20" w:type="dxa"/>
            </w:tcMar>
            <w:vAlign w:val="bottom"/>
          </w:tcPr>
          <w:p w14:paraId="7DCFFAAB"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CFFAAC" w14:textId="77777777" w:rsidR="00C1563E" w:rsidRDefault="00C1563E">
            <w:pPr>
              <w:rPr>
                <w:rFonts w:ascii="宋体"/>
              </w:rPr>
            </w:pPr>
          </w:p>
        </w:tc>
        <w:tc>
          <w:tcPr>
            <w:tcW w:w="0" w:type="auto"/>
            <w:gridSpan w:val="2"/>
            <w:shd w:val="clear" w:color="auto" w:fill="auto"/>
            <w:tcMar>
              <w:top w:w="40" w:type="dxa"/>
              <w:left w:w="20" w:type="dxa"/>
              <w:bottom w:w="40" w:type="dxa"/>
              <w:right w:w="0" w:type="dxa"/>
            </w:tcMar>
            <w:vAlign w:val="bottom"/>
          </w:tcPr>
          <w:p w14:paraId="7DCFFAAD" w14:textId="77777777" w:rsidR="00C1563E" w:rsidRDefault="000B648B">
            <w:pPr>
              <w:jc w:val="right"/>
              <w:textAlignment w:val="bottom"/>
            </w:pPr>
            <w:r>
              <w:rPr>
                <w:rFonts w:ascii="Times New Roman" w:eastAsia="宋体" w:hAnsi="Times New Roman"/>
                <w:color w:val="000000"/>
                <w:sz w:val="20"/>
                <w:szCs w:val="20"/>
              </w:rPr>
              <w:t>(116)</w:t>
            </w:r>
          </w:p>
        </w:tc>
        <w:tc>
          <w:tcPr>
            <w:tcW w:w="0" w:type="auto"/>
            <w:shd w:val="clear" w:color="auto" w:fill="auto"/>
            <w:tcMar>
              <w:top w:w="40" w:type="dxa"/>
              <w:left w:w="0" w:type="dxa"/>
              <w:bottom w:w="40" w:type="dxa"/>
              <w:right w:w="20" w:type="dxa"/>
            </w:tcMar>
            <w:vAlign w:val="bottom"/>
          </w:tcPr>
          <w:p w14:paraId="7DCFFAAE" w14:textId="77777777" w:rsidR="00C1563E" w:rsidRDefault="00C1563E">
            <w:pPr>
              <w:jc w:val="right"/>
              <w:rPr>
                <w:rFonts w:ascii="宋体"/>
              </w:rPr>
            </w:pPr>
          </w:p>
        </w:tc>
      </w:tr>
      <w:tr w:rsidR="00C1563E" w14:paraId="7DCFFAB8" w14:textId="77777777">
        <w:tc>
          <w:tcPr>
            <w:tcW w:w="0" w:type="auto"/>
            <w:gridSpan w:val="3"/>
            <w:shd w:val="clear" w:color="auto" w:fill="CCEEFF"/>
            <w:tcMar>
              <w:top w:w="40" w:type="dxa"/>
              <w:left w:w="155" w:type="dxa"/>
              <w:bottom w:w="40" w:type="dxa"/>
              <w:right w:w="20" w:type="dxa"/>
            </w:tcMar>
            <w:vAlign w:val="bottom"/>
          </w:tcPr>
          <w:p w14:paraId="7DCFFAB0" w14:textId="77777777" w:rsidR="00C1563E" w:rsidRDefault="000B648B">
            <w:pPr>
              <w:textAlignment w:val="bottom"/>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AB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AB2" w14:textId="77777777" w:rsidR="00C1563E" w:rsidRDefault="000B648B">
            <w:pPr>
              <w:jc w:val="right"/>
              <w:textAlignment w:val="bottom"/>
            </w:pPr>
            <w:r>
              <w:rPr>
                <w:rFonts w:ascii="Times New Roman" w:eastAsia="宋体" w:hAnsi="Times New Roman"/>
                <w:color w:val="000000"/>
                <w:sz w:val="20"/>
                <w:szCs w:val="20"/>
              </w:rPr>
              <w:t>1,314 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A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AB4"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AB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AB6" w14:textId="77777777" w:rsidR="00C1563E" w:rsidRDefault="000B648B">
            <w:pPr>
              <w:jc w:val="right"/>
              <w:textAlignment w:val="bottom"/>
            </w:pPr>
            <w:r>
              <w:rPr>
                <w:rFonts w:ascii="Times New Roman" w:eastAsia="宋体" w:hAnsi="Times New Roman"/>
                <w:color w:val="000000"/>
                <w:sz w:val="20"/>
                <w:szCs w:val="20"/>
              </w:rPr>
              <w:t>840 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AB7" w14:textId="77777777" w:rsidR="00C1563E" w:rsidRDefault="00C1563E">
            <w:pPr>
              <w:jc w:val="right"/>
              <w:rPr>
                <w:rFonts w:ascii="宋体"/>
              </w:rPr>
            </w:pPr>
          </w:p>
        </w:tc>
      </w:tr>
    </w:tbl>
    <w:p w14:paraId="7DCFFAB9" w14:textId="77777777" w:rsidR="00C1563E" w:rsidRDefault="00C1563E">
      <w:pPr>
        <w:jc w:val="both"/>
      </w:pPr>
    </w:p>
    <w:p w14:paraId="7DCFFABA" w14:textId="77777777" w:rsidR="00C1563E" w:rsidRDefault="000B648B">
      <w:pPr>
        <w:jc w:val="both"/>
      </w:pPr>
      <w:r>
        <w:rPr>
          <w:rFonts w:ascii="Times New Roman" w:eastAsia="宋体" w:hAnsi="Times New Roman"/>
          <w:color w:val="000000"/>
          <w:sz w:val="20"/>
          <w:szCs w:val="20"/>
        </w:rPr>
        <w:t>Operating lease income relating to lease payments was $452 million and $169 million for the fiscal years ended January 29, 2021 and January 31, 2020, respectively. Depreciation expense was $334 million and $115 million for the fiscal years ended January 29</w:t>
      </w:r>
      <w:r>
        <w:rPr>
          <w:rFonts w:ascii="Times New Roman" w:eastAsia="宋体" w:hAnsi="Times New Roman"/>
          <w:color w:val="000000"/>
          <w:sz w:val="20"/>
          <w:szCs w:val="20"/>
        </w:rPr>
        <w:t xml:space="preserve">, 2021 and January 31, 2020, respectively. </w:t>
      </w:r>
    </w:p>
    <w:p w14:paraId="7DCFFABB" w14:textId="77777777" w:rsidR="00C1563E" w:rsidRDefault="00C1563E">
      <w:pPr>
        <w:jc w:val="both"/>
      </w:pPr>
    </w:p>
    <w:p w14:paraId="7DCFFABC" w14:textId="77777777" w:rsidR="00C1563E" w:rsidRDefault="00C1563E">
      <w:pPr>
        <w:jc w:val="both"/>
      </w:pPr>
    </w:p>
    <w:p w14:paraId="7DCFFABD" w14:textId="77777777" w:rsidR="00C1563E" w:rsidRDefault="00C1563E">
      <w:pPr>
        <w:jc w:val="center"/>
      </w:pPr>
    </w:p>
    <w:p w14:paraId="7DCFFABE" w14:textId="77777777" w:rsidR="00C1563E" w:rsidRDefault="000B648B">
      <w:pPr>
        <w:jc w:val="center"/>
      </w:pPr>
      <w:r>
        <w:rPr>
          <w:rFonts w:ascii="Times New Roman" w:eastAsia="宋体" w:hAnsi="Times New Roman"/>
          <w:color w:val="000000"/>
          <w:sz w:val="20"/>
          <w:szCs w:val="20"/>
        </w:rPr>
        <w:t>102</w:t>
      </w:r>
    </w:p>
    <w:p w14:paraId="7DCFFABF" w14:textId="77777777" w:rsidR="00C1563E" w:rsidRDefault="00C1563E">
      <w:pPr>
        <w:jc w:val="center"/>
      </w:pPr>
    </w:p>
    <w:p w14:paraId="7DCFFAC0" w14:textId="77777777" w:rsidR="00C1563E" w:rsidRDefault="000B648B">
      <w:r>
        <w:pict w14:anchorId="7DD025D0">
          <v:rect id="_x0000_i1126" style="width:415.3pt;height:1.5pt" o:hralign="center" o:hrstd="t" o:hr="t" fillcolor="#a0a0a0" stroked="f"/>
        </w:pict>
      </w:r>
    </w:p>
    <w:p w14:paraId="7DCFFAC1" w14:textId="77777777" w:rsidR="00C1563E" w:rsidRDefault="000B648B">
      <w:hyperlink r:id="rId285" w:anchor="i418e32e4a35149ffbf7d3a25d66881b8_10" w:history="1">
        <w:r>
          <w:rPr>
            <w:rStyle w:val="a5"/>
            <w:rFonts w:ascii="Times New Roman" w:eastAsia="宋体" w:hAnsi="Times New Roman"/>
            <w:sz w:val="20"/>
            <w:szCs w:val="20"/>
          </w:rPr>
          <w:t>Table of Contents</w:t>
        </w:r>
      </w:hyperlink>
    </w:p>
    <w:p w14:paraId="7DCFFAC2" w14:textId="77777777" w:rsidR="00C1563E" w:rsidRDefault="000B648B">
      <w:pPr>
        <w:spacing w:after="120"/>
        <w:jc w:val="both"/>
      </w:pPr>
      <w:r>
        <w:rPr>
          <w:rFonts w:ascii="Times New Roman" w:eastAsia="宋体" w:hAnsi="Times New Roman"/>
          <w:color w:val="000000"/>
          <w:sz w:val="20"/>
          <w:szCs w:val="20"/>
        </w:rPr>
        <w:t>The following table presents t</w:t>
      </w:r>
      <w:r>
        <w:rPr>
          <w:rFonts w:ascii="Times New Roman" w:eastAsia="宋体" w:hAnsi="Times New Roman"/>
          <w:color w:val="000000"/>
          <w:sz w:val="20"/>
          <w:szCs w:val="20"/>
        </w:rPr>
        <w:t>he future payments to be received by the Company as lessor in operating lease contracts as of the date indicated: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6568"/>
        <w:gridCol w:w="37"/>
        <w:gridCol w:w="121"/>
        <w:gridCol w:w="1498"/>
        <w:gridCol w:w="36"/>
      </w:tblGrid>
      <w:tr w:rsidR="00C1563E" w14:paraId="7DCFFAC9" w14:textId="77777777">
        <w:trPr>
          <w:jc w:val="center"/>
        </w:trPr>
        <w:tc>
          <w:tcPr>
            <w:tcW w:w="50" w:type="pct"/>
            <w:shd w:val="clear" w:color="auto" w:fill="auto"/>
          </w:tcPr>
          <w:p w14:paraId="7DCFFAC3" w14:textId="77777777" w:rsidR="00C1563E" w:rsidRDefault="00C1563E">
            <w:pPr>
              <w:rPr>
                <w:rFonts w:ascii="宋体"/>
              </w:rPr>
            </w:pPr>
          </w:p>
        </w:tc>
        <w:tc>
          <w:tcPr>
            <w:tcW w:w="3969" w:type="pct"/>
            <w:shd w:val="clear" w:color="auto" w:fill="auto"/>
          </w:tcPr>
          <w:p w14:paraId="7DCFFAC4" w14:textId="77777777" w:rsidR="00C1563E" w:rsidRDefault="00C1563E">
            <w:pPr>
              <w:rPr>
                <w:rFonts w:ascii="宋体"/>
              </w:rPr>
            </w:pPr>
          </w:p>
        </w:tc>
        <w:tc>
          <w:tcPr>
            <w:tcW w:w="5" w:type="pct"/>
            <w:shd w:val="clear" w:color="auto" w:fill="auto"/>
          </w:tcPr>
          <w:p w14:paraId="7DCFFAC5" w14:textId="77777777" w:rsidR="00C1563E" w:rsidRDefault="00C1563E">
            <w:pPr>
              <w:rPr>
                <w:rFonts w:ascii="宋体"/>
              </w:rPr>
            </w:pPr>
          </w:p>
        </w:tc>
        <w:tc>
          <w:tcPr>
            <w:tcW w:w="50" w:type="pct"/>
            <w:shd w:val="clear" w:color="auto" w:fill="auto"/>
          </w:tcPr>
          <w:p w14:paraId="7DCFFAC6" w14:textId="77777777" w:rsidR="00C1563E" w:rsidRDefault="00C1563E">
            <w:pPr>
              <w:rPr>
                <w:rFonts w:ascii="宋体"/>
              </w:rPr>
            </w:pPr>
          </w:p>
        </w:tc>
        <w:tc>
          <w:tcPr>
            <w:tcW w:w="920" w:type="pct"/>
            <w:shd w:val="clear" w:color="auto" w:fill="auto"/>
          </w:tcPr>
          <w:p w14:paraId="7DCFFAC7" w14:textId="77777777" w:rsidR="00C1563E" w:rsidRDefault="00C1563E">
            <w:pPr>
              <w:rPr>
                <w:rFonts w:ascii="宋体"/>
              </w:rPr>
            </w:pPr>
          </w:p>
        </w:tc>
        <w:tc>
          <w:tcPr>
            <w:tcW w:w="5" w:type="pct"/>
            <w:shd w:val="clear" w:color="auto" w:fill="auto"/>
          </w:tcPr>
          <w:p w14:paraId="7DCFFAC8" w14:textId="77777777" w:rsidR="00C1563E" w:rsidRDefault="00C1563E">
            <w:pPr>
              <w:rPr>
                <w:rFonts w:ascii="宋体"/>
              </w:rPr>
            </w:pPr>
          </w:p>
        </w:tc>
      </w:tr>
      <w:tr w:rsidR="00C1563E" w14:paraId="7DCFFACC" w14:textId="77777777">
        <w:trPr>
          <w:jc w:val="center"/>
        </w:trPr>
        <w:tc>
          <w:tcPr>
            <w:tcW w:w="0" w:type="auto"/>
            <w:gridSpan w:val="3"/>
            <w:shd w:val="clear" w:color="auto" w:fill="auto"/>
            <w:tcMar>
              <w:top w:w="0" w:type="dxa"/>
              <w:left w:w="20" w:type="dxa"/>
              <w:bottom w:w="0" w:type="dxa"/>
              <w:right w:w="20" w:type="dxa"/>
            </w:tcMar>
          </w:tcPr>
          <w:p w14:paraId="7DCFFAC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ACB"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CFFACF" w14:textId="77777777">
        <w:trPr>
          <w:jc w:val="center"/>
        </w:trPr>
        <w:tc>
          <w:tcPr>
            <w:tcW w:w="0" w:type="auto"/>
            <w:gridSpan w:val="3"/>
            <w:shd w:val="clear" w:color="auto" w:fill="auto"/>
            <w:tcMar>
              <w:top w:w="0" w:type="dxa"/>
              <w:left w:w="20" w:type="dxa"/>
              <w:bottom w:w="0" w:type="dxa"/>
              <w:right w:w="20" w:type="dxa"/>
            </w:tcMar>
          </w:tcPr>
          <w:p w14:paraId="7DCFFAC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ACE"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AD4" w14:textId="77777777">
        <w:trPr>
          <w:jc w:val="center"/>
        </w:trPr>
        <w:tc>
          <w:tcPr>
            <w:tcW w:w="0" w:type="auto"/>
            <w:gridSpan w:val="3"/>
            <w:shd w:val="clear" w:color="auto" w:fill="CCEEFF"/>
            <w:tcMar>
              <w:top w:w="40" w:type="dxa"/>
              <w:left w:w="20" w:type="dxa"/>
              <w:bottom w:w="40" w:type="dxa"/>
              <w:right w:w="20" w:type="dxa"/>
            </w:tcMar>
            <w:vAlign w:val="bottom"/>
          </w:tcPr>
          <w:p w14:paraId="7DCFFAD0" w14:textId="77777777" w:rsidR="00C1563E" w:rsidRDefault="000B648B">
            <w:pPr>
              <w:textAlignment w:val="bottom"/>
            </w:pPr>
            <w:r>
              <w:rPr>
                <w:rFonts w:ascii="Times New Roman" w:eastAsia="宋体" w:hAnsi="Times New Roman"/>
                <w:color w:val="000000"/>
                <w:sz w:val="20"/>
                <w:szCs w:val="20"/>
              </w:rPr>
              <w:t>Fiscal 2022</w:t>
            </w:r>
          </w:p>
        </w:tc>
        <w:tc>
          <w:tcPr>
            <w:tcW w:w="0" w:type="auto"/>
            <w:shd w:val="clear" w:color="auto" w:fill="CCEEFF"/>
            <w:tcMar>
              <w:top w:w="40" w:type="dxa"/>
              <w:left w:w="20" w:type="dxa"/>
              <w:bottom w:w="40" w:type="dxa"/>
              <w:right w:w="0" w:type="dxa"/>
            </w:tcMar>
            <w:vAlign w:val="bottom"/>
          </w:tcPr>
          <w:p w14:paraId="7DCFFAD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AD2" w14:textId="77777777" w:rsidR="00C1563E" w:rsidRDefault="000B648B">
            <w:pPr>
              <w:jc w:val="right"/>
              <w:textAlignment w:val="bottom"/>
            </w:pPr>
            <w:r>
              <w:rPr>
                <w:rFonts w:ascii="Times New Roman" w:eastAsia="宋体" w:hAnsi="Times New Roman"/>
                <w:color w:val="000000"/>
                <w:sz w:val="20"/>
                <w:szCs w:val="20"/>
              </w:rPr>
              <w:t>622 </w:t>
            </w:r>
          </w:p>
        </w:tc>
        <w:tc>
          <w:tcPr>
            <w:tcW w:w="0" w:type="auto"/>
            <w:shd w:val="clear" w:color="auto" w:fill="CCEEFF"/>
            <w:tcMar>
              <w:top w:w="40" w:type="dxa"/>
              <w:left w:w="0" w:type="dxa"/>
              <w:bottom w:w="40" w:type="dxa"/>
              <w:right w:w="20" w:type="dxa"/>
            </w:tcMar>
            <w:vAlign w:val="bottom"/>
          </w:tcPr>
          <w:p w14:paraId="7DCFFAD3" w14:textId="77777777" w:rsidR="00C1563E" w:rsidRDefault="00C1563E">
            <w:pPr>
              <w:jc w:val="right"/>
              <w:rPr>
                <w:rFonts w:ascii="宋体"/>
              </w:rPr>
            </w:pPr>
          </w:p>
        </w:tc>
      </w:tr>
      <w:tr w:rsidR="00C1563E" w14:paraId="7DCFFAD8" w14:textId="77777777">
        <w:trPr>
          <w:jc w:val="center"/>
        </w:trPr>
        <w:tc>
          <w:tcPr>
            <w:tcW w:w="0" w:type="auto"/>
            <w:gridSpan w:val="3"/>
            <w:shd w:val="clear" w:color="auto" w:fill="FFFFFF"/>
            <w:tcMar>
              <w:top w:w="40" w:type="dxa"/>
              <w:left w:w="20" w:type="dxa"/>
              <w:bottom w:w="40" w:type="dxa"/>
              <w:right w:w="20" w:type="dxa"/>
            </w:tcMar>
            <w:vAlign w:val="bottom"/>
          </w:tcPr>
          <w:p w14:paraId="7DCFFAD5" w14:textId="77777777" w:rsidR="00C1563E" w:rsidRDefault="000B648B">
            <w:pPr>
              <w:textAlignment w:val="bottom"/>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bottom"/>
          </w:tcPr>
          <w:p w14:paraId="7DCFFAD6" w14:textId="77777777" w:rsidR="00C1563E" w:rsidRDefault="000B648B">
            <w:pPr>
              <w:jc w:val="right"/>
              <w:textAlignment w:val="bottom"/>
            </w:pPr>
            <w:r>
              <w:rPr>
                <w:rFonts w:ascii="Times New Roman" w:eastAsia="宋体" w:hAnsi="Times New Roman"/>
                <w:color w:val="000000"/>
                <w:sz w:val="20"/>
                <w:szCs w:val="20"/>
              </w:rPr>
              <w:t>454 </w:t>
            </w:r>
          </w:p>
        </w:tc>
        <w:tc>
          <w:tcPr>
            <w:tcW w:w="0" w:type="auto"/>
            <w:shd w:val="clear" w:color="auto" w:fill="FFFFFF"/>
            <w:tcMar>
              <w:top w:w="40" w:type="dxa"/>
              <w:left w:w="0" w:type="dxa"/>
              <w:bottom w:w="40" w:type="dxa"/>
              <w:right w:w="20" w:type="dxa"/>
            </w:tcMar>
            <w:vAlign w:val="bottom"/>
          </w:tcPr>
          <w:p w14:paraId="7DCFFAD7" w14:textId="77777777" w:rsidR="00C1563E" w:rsidRDefault="00C1563E">
            <w:pPr>
              <w:jc w:val="right"/>
              <w:rPr>
                <w:rFonts w:ascii="宋体"/>
              </w:rPr>
            </w:pPr>
          </w:p>
        </w:tc>
      </w:tr>
      <w:tr w:rsidR="00C1563E" w14:paraId="7DCFFADC" w14:textId="77777777">
        <w:trPr>
          <w:jc w:val="center"/>
        </w:trPr>
        <w:tc>
          <w:tcPr>
            <w:tcW w:w="0" w:type="auto"/>
            <w:gridSpan w:val="3"/>
            <w:shd w:val="clear" w:color="auto" w:fill="CCEEFF"/>
            <w:tcMar>
              <w:top w:w="40" w:type="dxa"/>
              <w:left w:w="20" w:type="dxa"/>
              <w:bottom w:w="40" w:type="dxa"/>
              <w:right w:w="20" w:type="dxa"/>
            </w:tcMar>
            <w:vAlign w:val="bottom"/>
          </w:tcPr>
          <w:p w14:paraId="7DCFFAD9" w14:textId="77777777" w:rsidR="00C1563E" w:rsidRDefault="000B648B">
            <w:pPr>
              <w:textAlignment w:val="bottom"/>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bottom"/>
          </w:tcPr>
          <w:p w14:paraId="7DCFFADA" w14:textId="77777777" w:rsidR="00C1563E" w:rsidRDefault="000B648B">
            <w:pPr>
              <w:jc w:val="right"/>
              <w:textAlignment w:val="bottom"/>
            </w:pPr>
            <w:r>
              <w:rPr>
                <w:rFonts w:ascii="Times New Roman" w:eastAsia="宋体" w:hAnsi="Times New Roman"/>
                <w:color w:val="000000"/>
                <w:sz w:val="20"/>
                <w:szCs w:val="20"/>
              </w:rPr>
              <w:t>202 </w:t>
            </w:r>
          </w:p>
        </w:tc>
        <w:tc>
          <w:tcPr>
            <w:tcW w:w="0" w:type="auto"/>
            <w:shd w:val="clear" w:color="auto" w:fill="CCEEFF"/>
            <w:tcMar>
              <w:top w:w="40" w:type="dxa"/>
              <w:left w:w="0" w:type="dxa"/>
              <w:bottom w:w="40" w:type="dxa"/>
              <w:right w:w="20" w:type="dxa"/>
            </w:tcMar>
            <w:vAlign w:val="bottom"/>
          </w:tcPr>
          <w:p w14:paraId="7DCFFADB" w14:textId="77777777" w:rsidR="00C1563E" w:rsidRDefault="00C1563E">
            <w:pPr>
              <w:jc w:val="right"/>
              <w:rPr>
                <w:rFonts w:ascii="宋体"/>
              </w:rPr>
            </w:pPr>
          </w:p>
        </w:tc>
      </w:tr>
      <w:tr w:rsidR="00C1563E" w14:paraId="7DCFFAE0" w14:textId="77777777">
        <w:trPr>
          <w:jc w:val="center"/>
        </w:trPr>
        <w:tc>
          <w:tcPr>
            <w:tcW w:w="0" w:type="auto"/>
            <w:gridSpan w:val="3"/>
            <w:shd w:val="clear" w:color="auto" w:fill="FFFFFF"/>
            <w:tcMar>
              <w:top w:w="40" w:type="dxa"/>
              <w:left w:w="20" w:type="dxa"/>
              <w:bottom w:w="40" w:type="dxa"/>
              <w:right w:w="20" w:type="dxa"/>
            </w:tcMar>
            <w:vAlign w:val="bottom"/>
          </w:tcPr>
          <w:p w14:paraId="7DCFFADD" w14:textId="77777777" w:rsidR="00C1563E" w:rsidRDefault="000B648B">
            <w:pPr>
              <w:textAlignment w:val="bottom"/>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bottom"/>
          </w:tcPr>
          <w:p w14:paraId="7DCFFADE" w14:textId="77777777" w:rsidR="00C1563E" w:rsidRDefault="000B648B">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DCFFADF" w14:textId="77777777" w:rsidR="00C1563E" w:rsidRDefault="00C1563E">
            <w:pPr>
              <w:jc w:val="right"/>
              <w:rPr>
                <w:rFonts w:ascii="宋体"/>
              </w:rPr>
            </w:pPr>
          </w:p>
        </w:tc>
      </w:tr>
      <w:tr w:rsidR="00C1563E" w14:paraId="7DCFFAE4" w14:textId="77777777">
        <w:trPr>
          <w:jc w:val="center"/>
        </w:trPr>
        <w:tc>
          <w:tcPr>
            <w:tcW w:w="0" w:type="auto"/>
            <w:gridSpan w:val="3"/>
            <w:shd w:val="clear" w:color="auto" w:fill="CCEEFF"/>
            <w:tcMar>
              <w:top w:w="40" w:type="dxa"/>
              <w:left w:w="20" w:type="dxa"/>
              <w:bottom w:w="40" w:type="dxa"/>
              <w:right w:w="20" w:type="dxa"/>
            </w:tcMar>
            <w:vAlign w:val="bottom"/>
          </w:tcPr>
          <w:p w14:paraId="7DCFFAE1" w14:textId="77777777" w:rsidR="00C1563E" w:rsidRDefault="000B648B">
            <w:pPr>
              <w:textAlignment w:val="bottom"/>
            </w:pPr>
            <w:r>
              <w:rPr>
                <w:rFonts w:ascii="Times New Roman" w:eastAsia="宋体" w:hAnsi="Times New Roman"/>
                <w:color w:val="000000"/>
                <w:sz w:val="20"/>
                <w:szCs w:val="20"/>
              </w:rPr>
              <w:t xml:space="preserve">Fiscal 2026 and </w:t>
            </w:r>
            <w:r>
              <w:rPr>
                <w:rFonts w:ascii="Times New Roman" w:eastAsia="宋体" w:hAnsi="Times New Roman"/>
                <w:color w:val="000000"/>
                <w:sz w:val="20"/>
                <w:szCs w:val="20"/>
              </w:rPr>
              <w:t>beyond</w:t>
            </w:r>
          </w:p>
        </w:tc>
        <w:tc>
          <w:tcPr>
            <w:tcW w:w="0" w:type="auto"/>
            <w:gridSpan w:val="2"/>
            <w:shd w:val="clear" w:color="auto" w:fill="CCEEFF"/>
            <w:tcMar>
              <w:top w:w="40" w:type="dxa"/>
              <w:left w:w="20" w:type="dxa"/>
              <w:bottom w:w="40" w:type="dxa"/>
              <w:right w:w="0" w:type="dxa"/>
            </w:tcMar>
            <w:vAlign w:val="bottom"/>
          </w:tcPr>
          <w:p w14:paraId="7DCFFAE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AE3" w14:textId="77777777" w:rsidR="00C1563E" w:rsidRDefault="00C1563E">
            <w:pPr>
              <w:jc w:val="right"/>
              <w:rPr>
                <w:rFonts w:ascii="宋体"/>
              </w:rPr>
            </w:pPr>
          </w:p>
        </w:tc>
      </w:tr>
      <w:tr w:rsidR="00C1563E" w14:paraId="7DCFFAE9" w14:textId="77777777">
        <w:trPr>
          <w:jc w:val="center"/>
        </w:trPr>
        <w:tc>
          <w:tcPr>
            <w:tcW w:w="0" w:type="auto"/>
            <w:gridSpan w:val="3"/>
            <w:shd w:val="clear" w:color="auto" w:fill="FFFFFF"/>
            <w:tcMar>
              <w:top w:w="40" w:type="dxa"/>
              <w:left w:w="155" w:type="dxa"/>
              <w:bottom w:w="40" w:type="dxa"/>
              <w:right w:w="20" w:type="dxa"/>
            </w:tcMar>
            <w:vAlign w:val="bottom"/>
          </w:tcPr>
          <w:p w14:paraId="7DCFFAE5" w14:textId="77777777" w:rsidR="00C1563E" w:rsidRDefault="000B648B">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CFFAE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CFFAE7" w14:textId="77777777" w:rsidR="00C1563E" w:rsidRDefault="000B648B">
            <w:pPr>
              <w:jc w:val="right"/>
              <w:textAlignment w:val="bottom"/>
            </w:pPr>
            <w:r>
              <w:rPr>
                <w:rFonts w:ascii="Times New Roman" w:eastAsia="宋体" w:hAnsi="Times New Roman"/>
                <w:color w:val="000000"/>
                <w:sz w:val="20"/>
                <w:szCs w:val="20"/>
              </w:rPr>
              <w:t>1,314 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CFFAE8" w14:textId="77777777" w:rsidR="00C1563E" w:rsidRDefault="00C1563E">
            <w:pPr>
              <w:jc w:val="right"/>
              <w:rPr>
                <w:rFonts w:ascii="宋体"/>
              </w:rPr>
            </w:pPr>
          </w:p>
        </w:tc>
      </w:tr>
    </w:tbl>
    <w:p w14:paraId="7DCFFAEA" w14:textId="77777777" w:rsidR="00C1563E" w:rsidRDefault="00C1563E">
      <w:pPr>
        <w:ind w:hanging="360"/>
      </w:pPr>
    </w:p>
    <w:p w14:paraId="7DCFFAEB" w14:textId="77777777" w:rsidR="00C1563E" w:rsidRDefault="00C1563E">
      <w:pPr>
        <w:ind w:hanging="360"/>
      </w:pPr>
    </w:p>
    <w:p w14:paraId="7DCFFAEC" w14:textId="77777777" w:rsidR="00C1563E" w:rsidRDefault="00C1563E">
      <w:pPr>
        <w:jc w:val="center"/>
      </w:pPr>
    </w:p>
    <w:p w14:paraId="7DCFFAED" w14:textId="77777777" w:rsidR="00C1563E" w:rsidRDefault="000B648B">
      <w:pPr>
        <w:jc w:val="center"/>
      </w:pPr>
      <w:r>
        <w:rPr>
          <w:rFonts w:ascii="Times New Roman" w:eastAsia="宋体" w:hAnsi="Times New Roman"/>
          <w:color w:val="000000"/>
          <w:sz w:val="20"/>
          <w:szCs w:val="20"/>
        </w:rPr>
        <w:t>103</w:t>
      </w:r>
    </w:p>
    <w:p w14:paraId="7DCFFAEE" w14:textId="77777777" w:rsidR="00C1563E" w:rsidRDefault="00C1563E">
      <w:pPr>
        <w:jc w:val="center"/>
      </w:pPr>
    </w:p>
    <w:p w14:paraId="7DCFFAEF" w14:textId="77777777" w:rsidR="00C1563E" w:rsidRDefault="000B648B">
      <w:r>
        <w:pict w14:anchorId="7DD025D1">
          <v:rect id="_x0000_i1127" style="width:415.3pt;height:1.5pt" o:hralign="center" o:hrstd="t" o:hr="t" fillcolor="#a0a0a0" stroked="f"/>
        </w:pict>
      </w:r>
    </w:p>
    <w:p w14:paraId="7DCFFAF0" w14:textId="77777777" w:rsidR="00C1563E" w:rsidRDefault="000B648B">
      <w:hyperlink r:id="rId286" w:anchor="i418e32e4a35149ffbf7d3a25d66881b8_10" w:history="1">
        <w:r>
          <w:rPr>
            <w:rStyle w:val="a5"/>
            <w:rFonts w:ascii="Times New Roman" w:eastAsia="宋体" w:hAnsi="Times New Roman"/>
            <w:sz w:val="20"/>
            <w:szCs w:val="20"/>
          </w:rPr>
          <w:t>Table of Contents</w:t>
        </w:r>
      </w:hyperlink>
    </w:p>
    <w:p w14:paraId="7DCFFAF1" w14:textId="77777777" w:rsidR="00C1563E" w:rsidRDefault="000B648B">
      <w:r>
        <w:rPr>
          <w:rFonts w:ascii="Times New Roman" w:eastAsia="宋体" w:hAnsi="Times New Roman"/>
          <w:b/>
          <w:bCs/>
          <w:color w:val="000000"/>
          <w:sz w:val="20"/>
          <w:szCs w:val="20"/>
        </w:rPr>
        <w:t>DFS Debt</w:t>
      </w:r>
    </w:p>
    <w:p w14:paraId="7DCFFAF2" w14:textId="77777777" w:rsidR="00C1563E" w:rsidRDefault="00C1563E">
      <w:pPr>
        <w:jc w:val="both"/>
      </w:pPr>
    </w:p>
    <w:p w14:paraId="7DCFFAF3" w14:textId="77777777" w:rsidR="00C1563E" w:rsidRDefault="000B648B">
      <w:pPr>
        <w:spacing w:after="120"/>
      </w:pPr>
      <w:r>
        <w:rPr>
          <w:rFonts w:ascii="Times New Roman" w:eastAsia="宋体" w:hAnsi="Times New Roman"/>
          <w:color w:val="000000"/>
          <w:sz w:val="20"/>
          <w:szCs w:val="20"/>
        </w:rPr>
        <w:t>The Company maintains programs that facilitate the funding of leases, loan</w:t>
      </w:r>
      <w:r>
        <w:rPr>
          <w:rFonts w:ascii="Times New Roman" w:eastAsia="宋体" w:hAnsi="Times New Roman"/>
          <w:color w:val="000000"/>
          <w:sz w:val="20"/>
          <w:szCs w:val="20"/>
        </w:rPr>
        <w:t>s, and other alternative payment structures in the capital markets. The majority of DFS debt is non-recourse to Dell Technologies and represents borrowings under securitization programs and structured financing programs, for which the Company’s risk of los</w:t>
      </w:r>
      <w:r>
        <w:rPr>
          <w:rFonts w:ascii="Times New Roman" w:eastAsia="宋体" w:hAnsi="Times New Roman"/>
          <w:color w:val="000000"/>
          <w:sz w:val="20"/>
          <w:szCs w:val="20"/>
        </w:rPr>
        <w:t>s is limited to transferred loan and lease payments and associated equipment. The following table presents DFS debt as of the dates indicated. The table excludes the allocated portion of the Company’s other borrowings, which represents the additional amoun</w:t>
      </w:r>
      <w:r>
        <w:rPr>
          <w:rFonts w:ascii="Times New Roman" w:eastAsia="宋体" w:hAnsi="Times New Roman"/>
          <w:color w:val="000000"/>
          <w:sz w:val="20"/>
          <w:szCs w:val="20"/>
        </w:rPr>
        <w:t>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40"/>
        <w:gridCol w:w="4887"/>
        <w:gridCol w:w="39"/>
        <w:gridCol w:w="121"/>
        <w:gridCol w:w="1474"/>
        <w:gridCol w:w="36"/>
        <w:gridCol w:w="36"/>
        <w:gridCol w:w="36"/>
        <w:gridCol w:w="36"/>
        <w:gridCol w:w="121"/>
        <w:gridCol w:w="1474"/>
        <w:gridCol w:w="36"/>
      </w:tblGrid>
      <w:tr w:rsidR="00C1563E" w14:paraId="7DCFFB00" w14:textId="77777777">
        <w:tc>
          <w:tcPr>
            <w:tcW w:w="50" w:type="pct"/>
            <w:shd w:val="clear" w:color="auto" w:fill="auto"/>
          </w:tcPr>
          <w:p w14:paraId="7DCFFAF4" w14:textId="77777777" w:rsidR="00C1563E" w:rsidRDefault="00C1563E">
            <w:pPr>
              <w:rPr>
                <w:rFonts w:ascii="宋体"/>
              </w:rPr>
            </w:pPr>
          </w:p>
        </w:tc>
        <w:tc>
          <w:tcPr>
            <w:tcW w:w="2971" w:type="pct"/>
            <w:shd w:val="clear" w:color="auto" w:fill="auto"/>
          </w:tcPr>
          <w:p w14:paraId="7DCFFAF5" w14:textId="77777777" w:rsidR="00C1563E" w:rsidRDefault="00C1563E">
            <w:pPr>
              <w:rPr>
                <w:rFonts w:ascii="宋体"/>
              </w:rPr>
            </w:pPr>
          </w:p>
        </w:tc>
        <w:tc>
          <w:tcPr>
            <w:tcW w:w="5" w:type="pct"/>
            <w:shd w:val="clear" w:color="auto" w:fill="auto"/>
          </w:tcPr>
          <w:p w14:paraId="7DCFFAF6" w14:textId="77777777" w:rsidR="00C1563E" w:rsidRDefault="00C1563E">
            <w:pPr>
              <w:rPr>
                <w:rFonts w:ascii="宋体"/>
              </w:rPr>
            </w:pPr>
          </w:p>
        </w:tc>
        <w:tc>
          <w:tcPr>
            <w:tcW w:w="50" w:type="pct"/>
            <w:shd w:val="clear" w:color="auto" w:fill="auto"/>
          </w:tcPr>
          <w:p w14:paraId="7DCFFAF7" w14:textId="77777777" w:rsidR="00C1563E" w:rsidRDefault="00C1563E">
            <w:pPr>
              <w:rPr>
                <w:rFonts w:ascii="宋体"/>
              </w:rPr>
            </w:pPr>
          </w:p>
        </w:tc>
        <w:tc>
          <w:tcPr>
            <w:tcW w:w="917" w:type="pct"/>
            <w:shd w:val="clear" w:color="auto" w:fill="auto"/>
          </w:tcPr>
          <w:p w14:paraId="7DCFFAF8" w14:textId="77777777" w:rsidR="00C1563E" w:rsidRDefault="00C1563E">
            <w:pPr>
              <w:rPr>
                <w:rFonts w:ascii="宋体"/>
              </w:rPr>
            </w:pPr>
          </w:p>
        </w:tc>
        <w:tc>
          <w:tcPr>
            <w:tcW w:w="5" w:type="pct"/>
            <w:shd w:val="clear" w:color="auto" w:fill="auto"/>
          </w:tcPr>
          <w:p w14:paraId="7DCFFAF9" w14:textId="77777777" w:rsidR="00C1563E" w:rsidRDefault="00C1563E">
            <w:pPr>
              <w:rPr>
                <w:rFonts w:ascii="宋体"/>
              </w:rPr>
            </w:pPr>
          </w:p>
        </w:tc>
        <w:tc>
          <w:tcPr>
            <w:tcW w:w="5" w:type="pct"/>
            <w:shd w:val="clear" w:color="auto" w:fill="auto"/>
          </w:tcPr>
          <w:p w14:paraId="7DCFFAFA" w14:textId="77777777" w:rsidR="00C1563E" w:rsidRDefault="00C1563E">
            <w:pPr>
              <w:rPr>
                <w:rFonts w:ascii="宋体"/>
              </w:rPr>
            </w:pPr>
          </w:p>
        </w:tc>
        <w:tc>
          <w:tcPr>
            <w:tcW w:w="19" w:type="pct"/>
            <w:shd w:val="clear" w:color="auto" w:fill="auto"/>
          </w:tcPr>
          <w:p w14:paraId="7DCFFAFB" w14:textId="77777777" w:rsidR="00C1563E" w:rsidRDefault="00C1563E">
            <w:pPr>
              <w:rPr>
                <w:rFonts w:ascii="宋体"/>
              </w:rPr>
            </w:pPr>
          </w:p>
        </w:tc>
        <w:tc>
          <w:tcPr>
            <w:tcW w:w="5" w:type="pct"/>
            <w:shd w:val="clear" w:color="auto" w:fill="auto"/>
          </w:tcPr>
          <w:p w14:paraId="7DCFFAFC" w14:textId="77777777" w:rsidR="00C1563E" w:rsidRDefault="00C1563E">
            <w:pPr>
              <w:rPr>
                <w:rFonts w:ascii="宋体"/>
              </w:rPr>
            </w:pPr>
          </w:p>
        </w:tc>
        <w:tc>
          <w:tcPr>
            <w:tcW w:w="50" w:type="pct"/>
            <w:shd w:val="clear" w:color="auto" w:fill="auto"/>
          </w:tcPr>
          <w:p w14:paraId="7DCFFAFD" w14:textId="77777777" w:rsidR="00C1563E" w:rsidRDefault="00C1563E">
            <w:pPr>
              <w:rPr>
                <w:rFonts w:ascii="宋体"/>
              </w:rPr>
            </w:pPr>
          </w:p>
        </w:tc>
        <w:tc>
          <w:tcPr>
            <w:tcW w:w="917" w:type="pct"/>
            <w:shd w:val="clear" w:color="auto" w:fill="auto"/>
          </w:tcPr>
          <w:p w14:paraId="7DCFFAFE" w14:textId="77777777" w:rsidR="00C1563E" w:rsidRDefault="00C1563E">
            <w:pPr>
              <w:rPr>
                <w:rFonts w:ascii="宋体"/>
              </w:rPr>
            </w:pPr>
          </w:p>
        </w:tc>
        <w:tc>
          <w:tcPr>
            <w:tcW w:w="5" w:type="pct"/>
            <w:shd w:val="clear" w:color="auto" w:fill="auto"/>
          </w:tcPr>
          <w:p w14:paraId="7DCFFAFF" w14:textId="77777777" w:rsidR="00C1563E" w:rsidRDefault="00C1563E">
            <w:pPr>
              <w:rPr>
                <w:rFonts w:ascii="宋体"/>
              </w:rPr>
            </w:pPr>
          </w:p>
        </w:tc>
      </w:tr>
      <w:tr w:rsidR="00C1563E" w14:paraId="7DCFFB05" w14:textId="77777777">
        <w:tc>
          <w:tcPr>
            <w:tcW w:w="0" w:type="auto"/>
            <w:gridSpan w:val="3"/>
            <w:shd w:val="clear" w:color="auto" w:fill="auto"/>
            <w:tcMar>
              <w:top w:w="0" w:type="dxa"/>
              <w:left w:w="20" w:type="dxa"/>
              <w:bottom w:w="0" w:type="dxa"/>
              <w:right w:w="20" w:type="dxa"/>
            </w:tcMar>
          </w:tcPr>
          <w:p w14:paraId="7DCFFB0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B02"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B03"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B04"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B08" w14:textId="77777777">
        <w:tc>
          <w:tcPr>
            <w:tcW w:w="0" w:type="auto"/>
            <w:gridSpan w:val="3"/>
            <w:shd w:val="clear" w:color="auto" w:fill="FFFFFF"/>
            <w:tcMar>
              <w:top w:w="40" w:type="dxa"/>
              <w:left w:w="20" w:type="dxa"/>
              <w:bottom w:w="40" w:type="dxa"/>
              <w:right w:w="20" w:type="dxa"/>
            </w:tcMar>
            <w:vAlign w:val="bottom"/>
          </w:tcPr>
          <w:p w14:paraId="7DCFFB06" w14:textId="77777777" w:rsidR="00C1563E" w:rsidRDefault="000B648B">
            <w:pPr>
              <w:textAlignment w:val="bottom"/>
            </w:pPr>
            <w:r>
              <w:rPr>
                <w:rFonts w:ascii="Times New Roman" w:eastAsia="宋体" w:hAnsi="Times New Roman"/>
                <w:b/>
                <w:bCs/>
                <w:color w:val="000000"/>
                <w:sz w:val="20"/>
                <w:szCs w:val="20"/>
              </w:rPr>
              <w:t>DFS debt</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B07"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B0D" w14:textId="77777777">
        <w:tc>
          <w:tcPr>
            <w:tcW w:w="0" w:type="auto"/>
            <w:gridSpan w:val="3"/>
            <w:shd w:val="clear" w:color="auto" w:fill="CCEEFF"/>
            <w:tcMar>
              <w:top w:w="40" w:type="dxa"/>
              <w:left w:w="20" w:type="dxa"/>
              <w:bottom w:w="40" w:type="dxa"/>
              <w:right w:w="20" w:type="dxa"/>
            </w:tcMar>
            <w:vAlign w:val="bottom"/>
          </w:tcPr>
          <w:p w14:paraId="7DCFFB09" w14:textId="77777777" w:rsidR="00C1563E" w:rsidRDefault="000B648B">
            <w:pPr>
              <w:textAlignment w:val="bottom"/>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tcPr>
          <w:p w14:paraId="7DCFFB0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0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0C" w14:textId="77777777" w:rsidR="00C1563E" w:rsidRDefault="00C1563E">
            <w:pPr>
              <w:rPr>
                <w:rFonts w:ascii="宋体"/>
              </w:rPr>
            </w:pPr>
          </w:p>
        </w:tc>
      </w:tr>
      <w:tr w:rsidR="00C1563E" w14:paraId="7DCFFB16" w14:textId="77777777">
        <w:tc>
          <w:tcPr>
            <w:tcW w:w="0" w:type="auto"/>
            <w:gridSpan w:val="3"/>
            <w:shd w:val="clear" w:color="auto" w:fill="FFFFFF"/>
            <w:tcMar>
              <w:top w:w="40" w:type="dxa"/>
              <w:left w:w="155" w:type="dxa"/>
              <w:bottom w:w="40" w:type="dxa"/>
              <w:right w:w="20" w:type="dxa"/>
            </w:tcMar>
            <w:vAlign w:val="bottom"/>
          </w:tcPr>
          <w:p w14:paraId="7DCFFB0E" w14:textId="77777777" w:rsidR="00C1563E" w:rsidRDefault="000B648B">
            <w:pPr>
              <w:textAlignment w:val="bottom"/>
            </w:pPr>
            <w:r>
              <w:rPr>
                <w:rFonts w:ascii="Times New Roman" w:eastAsia="宋体" w:hAnsi="Times New Roman"/>
                <w:color w:val="000000"/>
                <w:sz w:val="20"/>
                <w:szCs w:val="20"/>
              </w:rPr>
              <w:t>Asset-based financing and securitization facilities</w:t>
            </w:r>
          </w:p>
        </w:tc>
        <w:tc>
          <w:tcPr>
            <w:tcW w:w="0" w:type="auto"/>
            <w:shd w:val="clear" w:color="auto" w:fill="FFFFFF"/>
            <w:tcMar>
              <w:top w:w="40" w:type="dxa"/>
              <w:left w:w="20" w:type="dxa"/>
              <w:bottom w:w="40" w:type="dxa"/>
              <w:right w:w="0" w:type="dxa"/>
            </w:tcMar>
            <w:vAlign w:val="bottom"/>
          </w:tcPr>
          <w:p w14:paraId="7DCFFB0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10" w14:textId="77777777" w:rsidR="00C1563E" w:rsidRDefault="000B648B">
            <w:pPr>
              <w:jc w:val="right"/>
              <w:textAlignment w:val="bottom"/>
            </w:pPr>
            <w:r>
              <w:rPr>
                <w:rFonts w:ascii="Times New Roman" w:eastAsia="宋体" w:hAnsi="Times New Roman"/>
                <w:color w:val="000000"/>
                <w:sz w:val="20"/>
                <w:szCs w:val="20"/>
              </w:rPr>
              <w:t>3,311 </w:t>
            </w:r>
          </w:p>
        </w:tc>
        <w:tc>
          <w:tcPr>
            <w:tcW w:w="0" w:type="auto"/>
            <w:shd w:val="clear" w:color="auto" w:fill="FFFFFF"/>
            <w:tcMar>
              <w:top w:w="40" w:type="dxa"/>
              <w:left w:w="0" w:type="dxa"/>
              <w:bottom w:w="40" w:type="dxa"/>
              <w:right w:w="20" w:type="dxa"/>
            </w:tcMar>
            <w:vAlign w:val="bottom"/>
          </w:tcPr>
          <w:p w14:paraId="7DCFFB1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1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1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14" w14:textId="77777777" w:rsidR="00C1563E" w:rsidRDefault="000B648B">
            <w:pPr>
              <w:jc w:val="right"/>
              <w:textAlignment w:val="bottom"/>
            </w:pPr>
            <w:r>
              <w:rPr>
                <w:rFonts w:ascii="Times New Roman" w:eastAsia="宋体" w:hAnsi="Times New Roman"/>
                <w:color w:val="000000"/>
                <w:sz w:val="20"/>
                <w:szCs w:val="20"/>
              </w:rPr>
              <w:t>2,606 </w:t>
            </w:r>
          </w:p>
        </w:tc>
        <w:tc>
          <w:tcPr>
            <w:tcW w:w="0" w:type="auto"/>
            <w:shd w:val="clear" w:color="auto" w:fill="FFFFFF"/>
            <w:tcMar>
              <w:top w:w="40" w:type="dxa"/>
              <w:left w:w="0" w:type="dxa"/>
              <w:bottom w:w="40" w:type="dxa"/>
              <w:right w:w="20" w:type="dxa"/>
            </w:tcMar>
            <w:vAlign w:val="bottom"/>
          </w:tcPr>
          <w:p w14:paraId="7DCFFB15" w14:textId="77777777" w:rsidR="00C1563E" w:rsidRDefault="00C1563E">
            <w:pPr>
              <w:jc w:val="right"/>
              <w:rPr>
                <w:rFonts w:ascii="宋体"/>
              </w:rPr>
            </w:pPr>
          </w:p>
        </w:tc>
      </w:tr>
      <w:tr w:rsidR="00C1563E" w14:paraId="7DCFFB1D" w14:textId="77777777">
        <w:tc>
          <w:tcPr>
            <w:tcW w:w="0" w:type="auto"/>
            <w:gridSpan w:val="3"/>
            <w:shd w:val="clear" w:color="auto" w:fill="CCEEFF"/>
            <w:tcMar>
              <w:top w:w="40" w:type="dxa"/>
              <w:left w:w="155" w:type="dxa"/>
              <w:bottom w:w="40" w:type="dxa"/>
              <w:right w:w="20" w:type="dxa"/>
            </w:tcMar>
            <w:vAlign w:val="bottom"/>
          </w:tcPr>
          <w:p w14:paraId="7DCFFB17" w14:textId="77777777" w:rsidR="00C1563E" w:rsidRDefault="000B648B">
            <w:pPr>
              <w:textAlignment w:val="bottom"/>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bottom"/>
          </w:tcPr>
          <w:p w14:paraId="7DCFFB18" w14:textId="77777777" w:rsidR="00C1563E" w:rsidRDefault="000B648B">
            <w:pPr>
              <w:jc w:val="right"/>
              <w:textAlignment w:val="bottom"/>
            </w:pPr>
            <w:r>
              <w:rPr>
                <w:rFonts w:ascii="Times New Roman" w:eastAsia="宋体" w:hAnsi="Times New Roman"/>
                <w:color w:val="000000"/>
                <w:sz w:val="20"/>
                <w:szCs w:val="20"/>
              </w:rPr>
              <w:t>2,961 </w:t>
            </w:r>
          </w:p>
        </w:tc>
        <w:tc>
          <w:tcPr>
            <w:tcW w:w="0" w:type="auto"/>
            <w:shd w:val="clear" w:color="auto" w:fill="CCEEFF"/>
            <w:tcMar>
              <w:top w:w="40" w:type="dxa"/>
              <w:left w:w="0" w:type="dxa"/>
              <w:bottom w:w="40" w:type="dxa"/>
              <w:right w:w="20" w:type="dxa"/>
            </w:tcMar>
            <w:vAlign w:val="bottom"/>
          </w:tcPr>
          <w:p w14:paraId="7DCFFB1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1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B1B" w14:textId="77777777" w:rsidR="00C1563E" w:rsidRDefault="000B648B">
            <w:pPr>
              <w:jc w:val="right"/>
              <w:textAlignment w:val="bottom"/>
            </w:pPr>
            <w:r>
              <w:rPr>
                <w:rFonts w:ascii="Times New Roman" w:eastAsia="宋体" w:hAnsi="Times New Roman"/>
                <w:color w:val="000000"/>
                <w:sz w:val="20"/>
                <w:szCs w:val="20"/>
              </w:rPr>
              <w:t>2,593 </w:t>
            </w:r>
          </w:p>
        </w:tc>
        <w:tc>
          <w:tcPr>
            <w:tcW w:w="0" w:type="auto"/>
            <w:shd w:val="clear" w:color="auto" w:fill="CCEEFF"/>
            <w:tcMar>
              <w:top w:w="40" w:type="dxa"/>
              <w:left w:w="0" w:type="dxa"/>
              <w:bottom w:w="40" w:type="dxa"/>
              <w:right w:w="20" w:type="dxa"/>
            </w:tcMar>
            <w:vAlign w:val="bottom"/>
          </w:tcPr>
          <w:p w14:paraId="7DCFFB1C" w14:textId="77777777" w:rsidR="00C1563E" w:rsidRDefault="00C1563E">
            <w:pPr>
              <w:jc w:val="right"/>
              <w:rPr>
                <w:rFonts w:ascii="宋体"/>
              </w:rPr>
            </w:pPr>
          </w:p>
        </w:tc>
      </w:tr>
      <w:tr w:rsidR="00C1563E" w14:paraId="7DCFFB24" w14:textId="77777777">
        <w:tc>
          <w:tcPr>
            <w:tcW w:w="0" w:type="auto"/>
            <w:gridSpan w:val="3"/>
            <w:shd w:val="clear" w:color="auto" w:fill="FFFFFF"/>
            <w:tcMar>
              <w:top w:w="40" w:type="dxa"/>
              <w:left w:w="155" w:type="dxa"/>
              <w:bottom w:w="40" w:type="dxa"/>
              <w:right w:w="20" w:type="dxa"/>
            </w:tcMar>
            <w:vAlign w:val="bottom"/>
          </w:tcPr>
          <w:p w14:paraId="7DCFFB1E"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DCFFB1F" w14:textId="77777777" w:rsidR="00C1563E" w:rsidRDefault="000B648B">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7DCFFB2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2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B22" w14:textId="77777777" w:rsidR="00C1563E" w:rsidRDefault="000B648B">
            <w:pPr>
              <w:jc w:val="right"/>
              <w:textAlignment w:val="bottom"/>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bottom"/>
          </w:tcPr>
          <w:p w14:paraId="7DCFFB23" w14:textId="77777777" w:rsidR="00C1563E" w:rsidRDefault="00C1563E">
            <w:pPr>
              <w:jc w:val="right"/>
              <w:rPr>
                <w:rFonts w:ascii="宋体"/>
              </w:rPr>
            </w:pPr>
          </w:p>
        </w:tc>
      </w:tr>
      <w:tr w:rsidR="00C1563E" w14:paraId="7DCFFB2B" w14:textId="77777777">
        <w:tc>
          <w:tcPr>
            <w:tcW w:w="0" w:type="auto"/>
            <w:gridSpan w:val="3"/>
            <w:shd w:val="clear" w:color="auto" w:fill="CCEEFF"/>
            <w:tcMar>
              <w:top w:w="40" w:type="dxa"/>
              <w:left w:w="245" w:type="dxa"/>
              <w:bottom w:w="40" w:type="dxa"/>
              <w:right w:w="20" w:type="dxa"/>
            </w:tcMar>
            <w:vAlign w:val="bottom"/>
          </w:tcPr>
          <w:p w14:paraId="7DCFFB25" w14:textId="77777777" w:rsidR="00C1563E" w:rsidRDefault="000B648B">
            <w:pPr>
              <w:textAlignment w:val="bottom"/>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B26" w14:textId="77777777" w:rsidR="00C1563E" w:rsidRDefault="000B648B">
            <w:pPr>
              <w:jc w:val="right"/>
              <w:textAlignment w:val="bottom"/>
            </w:pPr>
            <w:r>
              <w:rPr>
                <w:rFonts w:ascii="Times New Roman" w:eastAsia="宋体" w:hAnsi="Times New Roman"/>
                <w:color w:val="000000"/>
                <w:sz w:val="20"/>
                <w:szCs w:val="20"/>
              </w:rPr>
              <w:t>6,412 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B2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28"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B29" w14:textId="77777777" w:rsidR="00C1563E" w:rsidRDefault="000B648B">
            <w:pPr>
              <w:jc w:val="right"/>
              <w:textAlignment w:val="bottom"/>
            </w:pPr>
            <w:r>
              <w:rPr>
                <w:rFonts w:ascii="Times New Roman" w:eastAsia="宋体" w:hAnsi="Times New Roman"/>
                <w:color w:val="000000"/>
                <w:sz w:val="20"/>
                <w:szCs w:val="20"/>
              </w:rPr>
              <w:t>5,340 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B2A" w14:textId="77777777" w:rsidR="00C1563E" w:rsidRDefault="00C1563E">
            <w:pPr>
              <w:jc w:val="right"/>
              <w:rPr>
                <w:rFonts w:ascii="宋体"/>
              </w:rPr>
            </w:pPr>
          </w:p>
        </w:tc>
      </w:tr>
      <w:tr w:rsidR="00C1563E" w14:paraId="7DCFFB30" w14:textId="77777777">
        <w:tc>
          <w:tcPr>
            <w:tcW w:w="0" w:type="auto"/>
            <w:gridSpan w:val="3"/>
            <w:shd w:val="clear" w:color="auto" w:fill="FFFFFF"/>
            <w:tcMar>
              <w:top w:w="40" w:type="dxa"/>
              <w:left w:w="20" w:type="dxa"/>
              <w:bottom w:w="40" w:type="dxa"/>
              <w:right w:w="20" w:type="dxa"/>
            </w:tcMar>
            <w:vAlign w:val="bottom"/>
          </w:tcPr>
          <w:p w14:paraId="7DCFFB2C" w14:textId="77777777" w:rsidR="00C1563E" w:rsidRDefault="000B648B">
            <w:pPr>
              <w:textAlignment w:val="bottom"/>
            </w:pPr>
            <w:r>
              <w:rPr>
                <w:rFonts w:ascii="Times New Roman" w:eastAsia="宋体" w:hAnsi="Times New Roman"/>
                <w:i/>
                <w:iCs/>
                <w:color w:val="000000"/>
                <w:sz w:val="20"/>
                <w:szCs w:val="20"/>
              </w:rPr>
              <w:t>DFS international debt:</w:t>
            </w:r>
          </w:p>
        </w:tc>
        <w:tc>
          <w:tcPr>
            <w:tcW w:w="0" w:type="auto"/>
            <w:gridSpan w:val="3"/>
            <w:shd w:val="clear" w:color="auto" w:fill="FFFFFF"/>
            <w:tcMar>
              <w:top w:w="0" w:type="dxa"/>
              <w:left w:w="20" w:type="dxa"/>
              <w:bottom w:w="0" w:type="dxa"/>
              <w:right w:w="20" w:type="dxa"/>
            </w:tcMar>
          </w:tcPr>
          <w:p w14:paraId="7DCFFB2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B2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B2F" w14:textId="77777777" w:rsidR="00C1563E" w:rsidRDefault="00C1563E">
            <w:pPr>
              <w:rPr>
                <w:rFonts w:ascii="宋体"/>
              </w:rPr>
            </w:pPr>
          </w:p>
        </w:tc>
      </w:tr>
      <w:tr w:rsidR="00C1563E" w14:paraId="7DCFFB37" w14:textId="77777777">
        <w:tc>
          <w:tcPr>
            <w:tcW w:w="0" w:type="auto"/>
            <w:gridSpan w:val="3"/>
            <w:shd w:val="clear" w:color="auto" w:fill="CCEEFF"/>
            <w:tcMar>
              <w:top w:w="40" w:type="dxa"/>
              <w:left w:w="155" w:type="dxa"/>
              <w:bottom w:w="40" w:type="dxa"/>
              <w:right w:w="20" w:type="dxa"/>
            </w:tcMar>
            <w:vAlign w:val="bottom"/>
          </w:tcPr>
          <w:p w14:paraId="7DCFFB31" w14:textId="77777777" w:rsidR="00C1563E" w:rsidRDefault="000B648B">
            <w:pPr>
              <w:textAlignment w:val="bottom"/>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bottom"/>
          </w:tcPr>
          <w:p w14:paraId="7DCFFB32" w14:textId="77777777" w:rsidR="00C1563E" w:rsidRDefault="000B648B">
            <w:pPr>
              <w:jc w:val="right"/>
              <w:textAlignment w:val="bottom"/>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bottom"/>
          </w:tcPr>
          <w:p w14:paraId="7DCFFB3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3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B35" w14:textId="77777777" w:rsidR="00C1563E" w:rsidRDefault="000B648B">
            <w:pPr>
              <w:jc w:val="right"/>
              <w:textAlignment w:val="bottom"/>
            </w:pPr>
            <w:r>
              <w:rPr>
                <w:rFonts w:ascii="Times New Roman" w:eastAsia="宋体" w:hAnsi="Times New Roman"/>
                <w:color w:val="000000"/>
                <w:sz w:val="20"/>
                <w:szCs w:val="20"/>
              </w:rPr>
              <w:t>743 </w:t>
            </w:r>
          </w:p>
        </w:tc>
        <w:tc>
          <w:tcPr>
            <w:tcW w:w="0" w:type="auto"/>
            <w:shd w:val="clear" w:color="auto" w:fill="CCEEFF"/>
            <w:tcMar>
              <w:top w:w="40" w:type="dxa"/>
              <w:left w:w="0" w:type="dxa"/>
              <w:bottom w:w="40" w:type="dxa"/>
              <w:right w:w="20" w:type="dxa"/>
            </w:tcMar>
            <w:vAlign w:val="bottom"/>
          </w:tcPr>
          <w:p w14:paraId="7DCFFB36" w14:textId="77777777" w:rsidR="00C1563E" w:rsidRDefault="00C1563E">
            <w:pPr>
              <w:jc w:val="right"/>
              <w:rPr>
                <w:rFonts w:ascii="宋体"/>
              </w:rPr>
            </w:pPr>
          </w:p>
        </w:tc>
      </w:tr>
      <w:tr w:rsidR="00C1563E" w14:paraId="7DCFFB3E" w14:textId="77777777">
        <w:tc>
          <w:tcPr>
            <w:tcW w:w="0" w:type="auto"/>
            <w:gridSpan w:val="3"/>
            <w:shd w:val="clear" w:color="auto" w:fill="FFFFFF"/>
            <w:tcMar>
              <w:top w:w="40" w:type="dxa"/>
              <w:left w:w="155" w:type="dxa"/>
              <w:bottom w:w="40" w:type="dxa"/>
              <w:right w:w="20" w:type="dxa"/>
            </w:tcMar>
            <w:vAlign w:val="bottom"/>
          </w:tcPr>
          <w:p w14:paraId="7DCFFB38" w14:textId="77777777" w:rsidR="00C1563E" w:rsidRDefault="000B648B">
            <w:pPr>
              <w:textAlignment w:val="bottom"/>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bottom"/>
          </w:tcPr>
          <w:p w14:paraId="7DCFFB39" w14:textId="77777777" w:rsidR="00C1563E" w:rsidRDefault="000B648B">
            <w:pPr>
              <w:jc w:val="right"/>
              <w:textAlignment w:val="bottom"/>
            </w:pPr>
            <w:r>
              <w:rPr>
                <w:rFonts w:ascii="Times New Roman" w:eastAsia="宋体" w:hAnsi="Times New Roman"/>
                <w:color w:val="000000"/>
                <w:sz w:val="20"/>
                <w:szCs w:val="20"/>
              </w:rPr>
              <w:t>1,006 </w:t>
            </w:r>
          </w:p>
        </w:tc>
        <w:tc>
          <w:tcPr>
            <w:tcW w:w="0" w:type="auto"/>
            <w:shd w:val="clear" w:color="auto" w:fill="FFFFFF"/>
            <w:tcMar>
              <w:top w:w="40" w:type="dxa"/>
              <w:left w:w="0" w:type="dxa"/>
              <w:bottom w:w="40" w:type="dxa"/>
              <w:right w:w="20" w:type="dxa"/>
            </w:tcMar>
            <w:vAlign w:val="bottom"/>
          </w:tcPr>
          <w:p w14:paraId="7DCFFB3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3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B3C" w14:textId="77777777" w:rsidR="00C1563E" w:rsidRDefault="000B648B">
            <w:pPr>
              <w:jc w:val="right"/>
              <w:textAlignment w:val="bottom"/>
            </w:pPr>
            <w:r>
              <w:rPr>
                <w:rFonts w:ascii="Times New Roman" w:eastAsia="宋体" w:hAnsi="Times New Roman"/>
                <w:color w:val="000000"/>
                <w:sz w:val="20"/>
                <w:szCs w:val="20"/>
              </w:rPr>
              <w:t>931 </w:t>
            </w:r>
          </w:p>
        </w:tc>
        <w:tc>
          <w:tcPr>
            <w:tcW w:w="0" w:type="auto"/>
            <w:shd w:val="clear" w:color="auto" w:fill="FFFFFF"/>
            <w:tcMar>
              <w:top w:w="40" w:type="dxa"/>
              <w:left w:w="0" w:type="dxa"/>
              <w:bottom w:w="40" w:type="dxa"/>
              <w:right w:w="20" w:type="dxa"/>
            </w:tcMar>
            <w:vAlign w:val="bottom"/>
          </w:tcPr>
          <w:p w14:paraId="7DCFFB3D" w14:textId="77777777" w:rsidR="00C1563E" w:rsidRDefault="00C1563E">
            <w:pPr>
              <w:jc w:val="right"/>
              <w:rPr>
                <w:rFonts w:ascii="宋体"/>
              </w:rPr>
            </w:pPr>
          </w:p>
        </w:tc>
      </w:tr>
      <w:tr w:rsidR="00C1563E" w14:paraId="7DCFFB45" w14:textId="77777777">
        <w:tc>
          <w:tcPr>
            <w:tcW w:w="0" w:type="auto"/>
            <w:gridSpan w:val="3"/>
            <w:shd w:val="clear" w:color="auto" w:fill="CCEEFF"/>
            <w:tcMar>
              <w:top w:w="40" w:type="dxa"/>
              <w:left w:w="155" w:type="dxa"/>
              <w:bottom w:w="40" w:type="dxa"/>
              <w:right w:w="20" w:type="dxa"/>
            </w:tcMar>
            <w:vAlign w:val="bottom"/>
          </w:tcPr>
          <w:p w14:paraId="7DCFFB3F" w14:textId="77777777" w:rsidR="00C1563E" w:rsidRDefault="000B648B">
            <w:pPr>
              <w:textAlignment w:val="bottom"/>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bottom"/>
          </w:tcPr>
          <w:p w14:paraId="7DCFFB40" w14:textId="77777777" w:rsidR="00C1563E" w:rsidRDefault="000B648B">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7DCFFB4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4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B43" w14:textId="77777777" w:rsidR="00C1563E" w:rsidRDefault="000B648B">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7DCFFB44" w14:textId="77777777" w:rsidR="00C1563E" w:rsidRDefault="00C1563E">
            <w:pPr>
              <w:jc w:val="right"/>
              <w:rPr>
                <w:rFonts w:ascii="宋体"/>
              </w:rPr>
            </w:pPr>
          </w:p>
        </w:tc>
      </w:tr>
      <w:tr w:rsidR="00C1563E" w14:paraId="7DCFFB4C" w14:textId="77777777">
        <w:tc>
          <w:tcPr>
            <w:tcW w:w="0" w:type="auto"/>
            <w:gridSpan w:val="3"/>
            <w:shd w:val="clear" w:color="auto" w:fill="FFFFFF"/>
            <w:tcMar>
              <w:top w:w="40" w:type="dxa"/>
              <w:left w:w="155" w:type="dxa"/>
              <w:bottom w:w="40" w:type="dxa"/>
              <w:right w:w="20" w:type="dxa"/>
            </w:tcMar>
            <w:vAlign w:val="bottom"/>
          </w:tcPr>
          <w:p w14:paraId="7DCFFB46" w14:textId="77777777" w:rsidR="00C1563E" w:rsidRDefault="000B648B">
            <w:pPr>
              <w:textAlignment w:val="bottom"/>
            </w:pPr>
            <w:r>
              <w:rPr>
                <w:rFonts w:ascii="Times New Roman" w:eastAsia="宋体" w:hAnsi="Times New Roman"/>
                <w:color w:val="000000"/>
                <w:sz w:val="20"/>
                <w:szCs w:val="20"/>
              </w:rPr>
              <w:t xml:space="preserve">Dell Bank </w:t>
            </w:r>
            <w:r>
              <w:rPr>
                <w:rFonts w:ascii="Times New Roman" w:eastAsia="宋体" w:hAnsi="Times New Roman"/>
                <w:color w:val="000000"/>
                <w:sz w:val="20"/>
                <w:szCs w:val="20"/>
              </w:rPr>
              <w:t>Senior Unsecured Eurobonds</w:t>
            </w:r>
          </w:p>
        </w:tc>
        <w:tc>
          <w:tcPr>
            <w:tcW w:w="0" w:type="auto"/>
            <w:gridSpan w:val="2"/>
            <w:shd w:val="clear" w:color="auto" w:fill="FFFFFF"/>
            <w:tcMar>
              <w:top w:w="40" w:type="dxa"/>
              <w:left w:w="20" w:type="dxa"/>
              <w:bottom w:w="40" w:type="dxa"/>
              <w:right w:w="0" w:type="dxa"/>
            </w:tcMar>
            <w:vAlign w:val="bottom"/>
          </w:tcPr>
          <w:p w14:paraId="7DCFFB47" w14:textId="77777777" w:rsidR="00C1563E" w:rsidRDefault="000B648B">
            <w:pPr>
              <w:jc w:val="right"/>
              <w:textAlignment w:val="bottom"/>
            </w:pPr>
            <w:r>
              <w:rPr>
                <w:rFonts w:ascii="Times New Roman" w:eastAsia="宋体" w:hAnsi="Times New Roman"/>
                <w:color w:val="000000"/>
                <w:sz w:val="20"/>
                <w:szCs w:val="20"/>
              </w:rPr>
              <w:t>1,212 </w:t>
            </w:r>
          </w:p>
        </w:tc>
        <w:tc>
          <w:tcPr>
            <w:tcW w:w="0" w:type="auto"/>
            <w:shd w:val="clear" w:color="auto" w:fill="FFFFFF"/>
            <w:tcMar>
              <w:top w:w="40" w:type="dxa"/>
              <w:left w:w="0" w:type="dxa"/>
              <w:bottom w:w="40" w:type="dxa"/>
              <w:right w:w="20" w:type="dxa"/>
            </w:tcMar>
            <w:vAlign w:val="bottom"/>
          </w:tcPr>
          <w:p w14:paraId="7DCFFB4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4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B4A" w14:textId="77777777" w:rsidR="00C1563E" w:rsidRDefault="000B648B">
            <w:pPr>
              <w:jc w:val="right"/>
              <w:textAlignment w:val="bottom"/>
            </w:pPr>
            <w:r>
              <w:rPr>
                <w:rFonts w:ascii="Times New Roman" w:eastAsia="宋体" w:hAnsi="Times New Roman"/>
                <w:color w:val="000000"/>
                <w:sz w:val="20"/>
                <w:szCs w:val="20"/>
              </w:rPr>
              <w:t>551 </w:t>
            </w:r>
          </w:p>
        </w:tc>
        <w:tc>
          <w:tcPr>
            <w:tcW w:w="0" w:type="auto"/>
            <w:shd w:val="clear" w:color="auto" w:fill="FFFFFF"/>
            <w:tcMar>
              <w:top w:w="40" w:type="dxa"/>
              <w:left w:w="0" w:type="dxa"/>
              <w:bottom w:w="40" w:type="dxa"/>
              <w:right w:w="20" w:type="dxa"/>
            </w:tcMar>
            <w:vAlign w:val="bottom"/>
          </w:tcPr>
          <w:p w14:paraId="7DCFFB4B" w14:textId="77777777" w:rsidR="00C1563E" w:rsidRDefault="00C1563E">
            <w:pPr>
              <w:jc w:val="right"/>
              <w:rPr>
                <w:rFonts w:ascii="宋体"/>
              </w:rPr>
            </w:pPr>
          </w:p>
        </w:tc>
      </w:tr>
      <w:tr w:rsidR="00C1563E" w14:paraId="7DCFFB53" w14:textId="77777777">
        <w:tc>
          <w:tcPr>
            <w:tcW w:w="0" w:type="auto"/>
            <w:gridSpan w:val="3"/>
            <w:shd w:val="clear" w:color="auto" w:fill="CCEEFF"/>
            <w:tcMar>
              <w:top w:w="40" w:type="dxa"/>
              <w:left w:w="245" w:type="dxa"/>
              <w:bottom w:w="40" w:type="dxa"/>
              <w:right w:w="20" w:type="dxa"/>
            </w:tcMar>
            <w:vAlign w:val="bottom"/>
          </w:tcPr>
          <w:p w14:paraId="7DCFFB4D" w14:textId="77777777" w:rsidR="00C1563E" w:rsidRDefault="000B648B">
            <w:pPr>
              <w:textAlignment w:val="bottom"/>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B4E" w14:textId="77777777" w:rsidR="00C1563E" w:rsidRDefault="000B648B">
            <w:pPr>
              <w:jc w:val="right"/>
              <w:textAlignment w:val="bottom"/>
            </w:pPr>
            <w:r>
              <w:rPr>
                <w:rFonts w:ascii="Times New Roman" w:eastAsia="宋体" w:hAnsi="Times New Roman"/>
                <w:color w:val="000000"/>
                <w:sz w:val="20"/>
                <w:szCs w:val="20"/>
              </w:rPr>
              <w:t>3,254 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B4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5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B51" w14:textId="77777777" w:rsidR="00C1563E" w:rsidRDefault="000B648B">
            <w:pPr>
              <w:jc w:val="right"/>
              <w:textAlignment w:val="bottom"/>
            </w:pPr>
            <w:r>
              <w:rPr>
                <w:rFonts w:ascii="Times New Roman" w:eastAsia="宋体" w:hAnsi="Times New Roman"/>
                <w:color w:val="000000"/>
                <w:sz w:val="20"/>
                <w:szCs w:val="20"/>
              </w:rPr>
              <w:t>2,425 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B52" w14:textId="77777777" w:rsidR="00C1563E" w:rsidRDefault="00C1563E">
            <w:pPr>
              <w:jc w:val="right"/>
              <w:rPr>
                <w:rFonts w:ascii="宋体"/>
              </w:rPr>
            </w:pPr>
          </w:p>
        </w:tc>
      </w:tr>
      <w:tr w:rsidR="00C1563E" w14:paraId="7DCFFB5C" w14:textId="77777777">
        <w:tc>
          <w:tcPr>
            <w:tcW w:w="0" w:type="auto"/>
            <w:gridSpan w:val="3"/>
            <w:shd w:val="clear" w:color="auto" w:fill="FFFFFF"/>
            <w:tcMar>
              <w:top w:w="40" w:type="dxa"/>
              <w:left w:w="380" w:type="dxa"/>
              <w:bottom w:w="40" w:type="dxa"/>
              <w:right w:w="20" w:type="dxa"/>
            </w:tcMar>
            <w:vAlign w:val="bottom"/>
          </w:tcPr>
          <w:p w14:paraId="7DCFFB54" w14:textId="77777777" w:rsidR="00C1563E" w:rsidRDefault="000B648B">
            <w:pPr>
              <w:textAlignment w:val="bottom"/>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FB5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B56" w14:textId="77777777" w:rsidR="00C1563E" w:rsidRDefault="000B648B">
            <w:pPr>
              <w:jc w:val="right"/>
              <w:textAlignment w:val="bottom"/>
            </w:pPr>
            <w:r>
              <w:rPr>
                <w:rFonts w:ascii="Times New Roman" w:eastAsia="宋体" w:hAnsi="Times New Roman"/>
                <w:color w:val="000000"/>
                <w:sz w:val="20"/>
                <w:szCs w:val="20"/>
              </w:rPr>
              <w:t>9,666 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B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58"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B5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B5A" w14:textId="77777777" w:rsidR="00C1563E" w:rsidRDefault="000B648B">
            <w:pPr>
              <w:jc w:val="right"/>
              <w:textAlignment w:val="bottom"/>
            </w:pPr>
            <w:r>
              <w:rPr>
                <w:rFonts w:ascii="Times New Roman" w:eastAsia="宋体" w:hAnsi="Times New Roman"/>
                <w:color w:val="000000"/>
                <w:sz w:val="20"/>
                <w:szCs w:val="20"/>
              </w:rPr>
              <w:t>7,765 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B5B" w14:textId="77777777" w:rsidR="00C1563E" w:rsidRDefault="00C1563E">
            <w:pPr>
              <w:jc w:val="right"/>
              <w:rPr>
                <w:rFonts w:ascii="宋体"/>
              </w:rPr>
            </w:pPr>
          </w:p>
        </w:tc>
      </w:tr>
      <w:tr w:rsidR="00C1563E" w14:paraId="7DCFFB65" w14:textId="77777777">
        <w:tc>
          <w:tcPr>
            <w:tcW w:w="0" w:type="auto"/>
            <w:gridSpan w:val="3"/>
            <w:shd w:val="clear" w:color="auto" w:fill="CCEEFF"/>
            <w:tcMar>
              <w:top w:w="40" w:type="dxa"/>
              <w:left w:w="515" w:type="dxa"/>
              <w:bottom w:w="40" w:type="dxa"/>
              <w:right w:w="20" w:type="dxa"/>
            </w:tcMar>
            <w:vAlign w:val="bottom"/>
          </w:tcPr>
          <w:p w14:paraId="7DCFFB5D" w14:textId="77777777" w:rsidR="00C1563E" w:rsidRDefault="000B648B">
            <w:pPr>
              <w:textAlignment w:val="bottom"/>
            </w:pPr>
            <w:r>
              <w:rPr>
                <w:rFonts w:ascii="Times New Roman" w:eastAsia="宋体" w:hAnsi="Times New Roman"/>
                <w:b/>
                <w:bCs/>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bottom"/>
          </w:tcPr>
          <w:p w14:paraId="7DCFFB5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B5F" w14:textId="77777777" w:rsidR="00C1563E" w:rsidRDefault="000B648B">
            <w:pPr>
              <w:jc w:val="right"/>
              <w:textAlignment w:val="bottom"/>
            </w:pPr>
            <w:r>
              <w:rPr>
                <w:rFonts w:ascii="Times New Roman" w:eastAsia="宋体" w:hAnsi="Times New Roman"/>
                <w:color w:val="000000"/>
                <w:sz w:val="20"/>
                <w:szCs w:val="20"/>
              </w:rPr>
              <w:t>4,888 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B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61"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B6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B63" w14:textId="77777777" w:rsidR="00C1563E" w:rsidRDefault="000B648B">
            <w:pPr>
              <w:jc w:val="right"/>
              <w:textAlignment w:val="bottom"/>
            </w:pPr>
            <w:r>
              <w:rPr>
                <w:rFonts w:ascii="Times New Roman" w:eastAsia="宋体" w:hAnsi="Times New Roman"/>
                <w:color w:val="000000"/>
                <w:sz w:val="20"/>
                <w:szCs w:val="20"/>
              </w:rPr>
              <w:t>4,152 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B64" w14:textId="77777777" w:rsidR="00C1563E" w:rsidRDefault="00C1563E">
            <w:pPr>
              <w:jc w:val="right"/>
              <w:rPr>
                <w:rFonts w:ascii="宋体"/>
              </w:rPr>
            </w:pPr>
          </w:p>
        </w:tc>
      </w:tr>
      <w:tr w:rsidR="00C1563E" w14:paraId="7DCFFB6E" w14:textId="77777777">
        <w:tc>
          <w:tcPr>
            <w:tcW w:w="0" w:type="auto"/>
            <w:gridSpan w:val="3"/>
            <w:shd w:val="clear" w:color="auto" w:fill="FFFFFF"/>
            <w:tcMar>
              <w:top w:w="40" w:type="dxa"/>
              <w:left w:w="515" w:type="dxa"/>
              <w:bottom w:w="40" w:type="dxa"/>
              <w:right w:w="20" w:type="dxa"/>
            </w:tcMar>
            <w:vAlign w:val="bottom"/>
          </w:tcPr>
          <w:p w14:paraId="7DCFFB66" w14:textId="77777777" w:rsidR="00C1563E" w:rsidRDefault="000B648B">
            <w:pPr>
              <w:textAlignment w:val="bottom"/>
            </w:pPr>
            <w:r>
              <w:rPr>
                <w:rFonts w:ascii="Times New Roman" w:eastAsia="宋体" w:hAnsi="Times New Roman"/>
                <w:b/>
                <w:bCs/>
                <w:color w:val="000000"/>
                <w:sz w:val="20"/>
                <w:szCs w:val="20"/>
              </w:rPr>
              <w:t>Total long-term DFS debt</w:t>
            </w:r>
          </w:p>
        </w:tc>
        <w:tc>
          <w:tcPr>
            <w:tcW w:w="0" w:type="auto"/>
            <w:shd w:val="clear" w:color="auto" w:fill="FFFFFF"/>
            <w:tcMar>
              <w:top w:w="40" w:type="dxa"/>
              <w:left w:w="20" w:type="dxa"/>
              <w:bottom w:w="40" w:type="dxa"/>
              <w:right w:w="0" w:type="dxa"/>
            </w:tcMar>
            <w:vAlign w:val="bottom"/>
          </w:tcPr>
          <w:p w14:paraId="7DCFFB6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68" w14:textId="77777777" w:rsidR="00C1563E" w:rsidRDefault="000B648B">
            <w:pPr>
              <w:jc w:val="right"/>
              <w:textAlignment w:val="bottom"/>
            </w:pPr>
            <w:r>
              <w:rPr>
                <w:rFonts w:ascii="Times New Roman" w:eastAsia="宋体" w:hAnsi="Times New Roman"/>
                <w:color w:val="000000"/>
                <w:sz w:val="20"/>
                <w:szCs w:val="20"/>
              </w:rPr>
              <w:t>4,778 </w:t>
            </w:r>
          </w:p>
        </w:tc>
        <w:tc>
          <w:tcPr>
            <w:tcW w:w="0" w:type="auto"/>
            <w:shd w:val="clear" w:color="auto" w:fill="FFFFFF"/>
            <w:tcMar>
              <w:top w:w="40" w:type="dxa"/>
              <w:left w:w="0" w:type="dxa"/>
              <w:bottom w:w="40" w:type="dxa"/>
              <w:right w:w="20" w:type="dxa"/>
            </w:tcMar>
            <w:vAlign w:val="bottom"/>
          </w:tcPr>
          <w:p w14:paraId="7DCFFB6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6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6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6C" w14:textId="77777777" w:rsidR="00C1563E" w:rsidRDefault="000B648B">
            <w:pPr>
              <w:jc w:val="right"/>
              <w:textAlignment w:val="bottom"/>
            </w:pPr>
            <w:r>
              <w:rPr>
                <w:rFonts w:ascii="Times New Roman" w:eastAsia="宋体" w:hAnsi="Times New Roman"/>
                <w:color w:val="000000"/>
                <w:sz w:val="20"/>
                <w:szCs w:val="20"/>
              </w:rPr>
              <w:t>3,613 </w:t>
            </w:r>
          </w:p>
        </w:tc>
        <w:tc>
          <w:tcPr>
            <w:tcW w:w="0" w:type="auto"/>
            <w:shd w:val="clear" w:color="auto" w:fill="FFFFFF"/>
            <w:tcMar>
              <w:top w:w="40" w:type="dxa"/>
              <w:left w:w="0" w:type="dxa"/>
              <w:bottom w:w="40" w:type="dxa"/>
              <w:right w:w="20" w:type="dxa"/>
            </w:tcMar>
            <w:vAlign w:val="bottom"/>
          </w:tcPr>
          <w:p w14:paraId="7DCFFB6D" w14:textId="77777777" w:rsidR="00C1563E" w:rsidRDefault="00C1563E">
            <w:pPr>
              <w:jc w:val="right"/>
              <w:rPr>
                <w:rFonts w:ascii="宋体"/>
              </w:rPr>
            </w:pPr>
          </w:p>
        </w:tc>
      </w:tr>
    </w:tbl>
    <w:p w14:paraId="7DCFFB6F" w14:textId="77777777" w:rsidR="00C1563E" w:rsidRDefault="00C1563E"/>
    <w:p w14:paraId="7DCFFB70" w14:textId="77777777" w:rsidR="00C1563E" w:rsidRDefault="000B648B">
      <w:r>
        <w:rPr>
          <w:rFonts w:ascii="Times New Roman" w:eastAsia="宋体" w:hAnsi="Times New Roman"/>
          <w:i/>
          <w:iCs/>
          <w:color w:val="000000"/>
          <w:sz w:val="20"/>
          <w:szCs w:val="20"/>
          <w:u w:val="single"/>
        </w:rPr>
        <w:t>DFS U.S. Debt</w:t>
      </w:r>
    </w:p>
    <w:p w14:paraId="7DCFFB71" w14:textId="77777777" w:rsidR="00C1563E" w:rsidRDefault="00C1563E"/>
    <w:p w14:paraId="7DCFFB72" w14:textId="77777777" w:rsidR="00C1563E" w:rsidRDefault="000B648B">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maintains separate asset-based financing facilities and a securitization facility in the United States, which are revolving facilities for fixed-term leases and loans and for revolving loans</w:t>
      </w:r>
      <w:r>
        <w:rPr>
          <w:rFonts w:ascii="Times New Roman" w:eastAsia="宋体" w:hAnsi="Times New Roman"/>
          <w:color w:val="000000"/>
          <w:sz w:val="20"/>
          <w:szCs w:val="20"/>
        </w:rPr>
        <w:t>, respectively. This debt is collateralized solely by the U.S. loan and lease payments and associated equipment in the facilities. The debt has a variable interest rate and the duration of the debt is based on the terms of the underlying loan and lease pay</w:t>
      </w:r>
      <w:r>
        <w:rPr>
          <w:rFonts w:ascii="Times New Roman" w:eastAsia="宋体" w:hAnsi="Times New Roman"/>
          <w:color w:val="000000"/>
          <w:sz w:val="20"/>
          <w:szCs w:val="20"/>
        </w:rPr>
        <w:t>ment streams. As of January 29, 2021, the total debt capacity related to the U.S. asset-based financing and securitization facilities was $4.1 billion. The Company enters into interest swap agreements to effectively convert a portion of this debt from a fl</w:t>
      </w:r>
      <w:r>
        <w:rPr>
          <w:rFonts w:ascii="Times New Roman" w:eastAsia="宋体" w:hAnsi="Times New Roman"/>
          <w:color w:val="000000"/>
          <w:sz w:val="20"/>
          <w:szCs w:val="20"/>
        </w:rPr>
        <w:t>oating rate to a fixed rate. See Note 7 of the Notes to the Consolidated Financial Statements for additional information about interest rate swaps.</w:t>
      </w:r>
    </w:p>
    <w:p w14:paraId="7DCFFB73" w14:textId="77777777" w:rsidR="00C1563E" w:rsidRDefault="00C1563E"/>
    <w:p w14:paraId="7DCFFB74" w14:textId="77777777" w:rsidR="00C1563E" w:rsidRDefault="000B648B">
      <w:r>
        <w:rPr>
          <w:rFonts w:ascii="Times New Roman" w:eastAsia="宋体" w:hAnsi="Times New Roman"/>
          <w:color w:val="000000"/>
          <w:sz w:val="20"/>
          <w:szCs w:val="20"/>
        </w:rPr>
        <w:t xml:space="preserve">The Company’s U.S. securitization facility for revolving loans is effective through June 25, 2022. The </w:t>
      </w:r>
      <w:r>
        <w:rPr>
          <w:rFonts w:ascii="Times New Roman" w:eastAsia="宋体" w:hAnsi="Times New Roman"/>
          <w:color w:val="000000"/>
          <w:sz w:val="20"/>
          <w:szCs w:val="20"/>
        </w:rPr>
        <w:t>Company’s two U.S. asset-based financing facilities for fixed-term leases and loans are effective through August 22, 2021 and July 26, 2022, respectively.</w:t>
      </w:r>
    </w:p>
    <w:p w14:paraId="7DCFFB75" w14:textId="77777777" w:rsidR="00C1563E" w:rsidRDefault="00C1563E"/>
    <w:p w14:paraId="7DCFFB76" w14:textId="77777777" w:rsidR="00C1563E" w:rsidRDefault="000B648B">
      <w:r>
        <w:rPr>
          <w:rFonts w:ascii="Times New Roman" w:eastAsia="宋体" w:hAnsi="Times New Roman"/>
          <w:color w:val="000000"/>
          <w:sz w:val="20"/>
          <w:szCs w:val="20"/>
        </w:rPr>
        <w:t>The asset-based financing and securitization facilities contain standard structural features related</w:t>
      </w:r>
      <w:r>
        <w:rPr>
          <w:rFonts w:ascii="Times New Roman" w:eastAsia="宋体" w:hAnsi="Times New Roman"/>
          <w:color w:val="000000"/>
          <w:sz w:val="20"/>
          <w:szCs w:val="20"/>
        </w:rPr>
        <w:t xml:space="preserve"> to the performance of the funded receivables, which include defined credit losses, delinquencies, average credit scores, and minimum collection requirements. In the event one or more of these criteria are not met and the Company is unable to restructure t</w:t>
      </w:r>
      <w:r>
        <w:rPr>
          <w:rFonts w:ascii="Times New Roman" w:eastAsia="宋体" w:hAnsi="Times New Roman"/>
          <w:color w:val="000000"/>
          <w:sz w:val="20"/>
          <w:szCs w:val="20"/>
        </w:rPr>
        <w:t>he facility, no further funding of receivables will be permitted and the timing of the Company’s expected cash flows from over-collateralization will be delayed. As of January 29, 2021, these criteria were met.</w:t>
      </w:r>
    </w:p>
    <w:p w14:paraId="7DCFFB77" w14:textId="77777777" w:rsidR="00C1563E" w:rsidRDefault="00C1563E"/>
    <w:p w14:paraId="7DCFFB78" w14:textId="77777777" w:rsidR="00C1563E" w:rsidRDefault="000B648B">
      <w:r>
        <w:rPr>
          <w:rFonts w:ascii="Times New Roman" w:eastAsia="宋体" w:hAnsi="Times New Roman"/>
          <w:i/>
          <w:iCs/>
          <w:color w:val="000000"/>
          <w:sz w:val="20"/>
          <w:szCs w:val="20"/>
        </w:rPr>
        <w:t xml:space="preserve">Fixed-Term Securitization Offerings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w:t>
      </w:r>
      <w:r>
        <w:rPr>
          <w:rFonts w:ascii="Times New Roman" w:eastAsia="宋体" w:hAnsi="Times New Roman"/>
          <w:color w:val="000000"/>
          <w:sz w:val="20"/>
          <w:szCs w:val="20"/>
        </w:rPr>
        <w:t>mpany periodically issues asset-backed debt securities under fixed-term securitization programs to private investors. The asset-backed debt securities are collateralized solely by the U.S. fixed-term leases and loans in the offerings, which are held by Spe</w:t>
      </w:r>
      <w:r>
        <w:rPr>
          <w:rFonts w:ascii="Times New Roman" w:eastAsia="宋体" w:hAnsi="Times New Roman"/>
          <w:color w:val="000000"/>
          <w:sz w:val="20"/>
          <w:szCs w:val="20"/>
        </w:rPr>
        <w:t>cial Purpose Entities (“SPEs”), as discussed below. The interest rate on these securities is fixed and ranges from 0.31% to 5.92% per annum, and the duration of these securities is based on the terms of the underlying lease and loan payment streams.</w:t>
      </w:r>
    </w:p>
    <w:p w14:paraId="7DCFFB79" w14:textId="77777777" w:rsidR="00C1563E" w:rsidRDefault="00C1563E">
      <w:pPr>
        <w:jc w:val="center"/>
      </w:pPr>
    </w:p>
    <w:p w14:paraId="7DCFFB7A" w14:textId="77777777" w:rsidR="00C1563E" w:rsidRDefault="000B648B">
      <w:pPr>
        <w:jc w:val="center"/>
      </w:pPr>
      <w:r>
        <w:rPr>
          <w:rFonts w:ascii="Times New Roman" w:eastAsia="宋体" w:hAnsi="Times New Roman"/>
          <w:color w:val="000000"/>
          <w:sz w:val="20"/>
          <w:szCs w:val="20"/>
        </w:rPr>
        <w:t>104</w:t>
      </w:r>
    </w:p>
    <w:p w14:paraId="7DCFFB7B" w14:textId="77777777" w:rsidR="00C1563E" w:rsidRDefault="00C1563E">
      <w:pPr>
        <w:jc w:val="center"/>
      </w:pPr>
    </w:p>
    <w:p w14:paraId="7DCFFB7C" w14:textId="77777777" w:rsidR="00C1563E" w:rsidRDefault="000B648B">
      <w:r>
        <w:pict w14:anchorId="7DD025D2">
          <v:rect id="_x0000_i1128" style="width:415.3pt;height:1.5pt" o:hralign="center" o:hrstd="t" o:hr="t" fillcolor="#a0a0a0" stroked="f"/>
        </w:pict>
      </w:r>
    </w:p>
    <w:p w14:paraId="7DCFFB7D" w14:textId="77777777" w:rsidR="00C1563E" w:rsidRDefault="000B648B">
      <w:hyperlink r:id="rId287" w:anchor="i418e32e4a35149ffbf7d3a25d66881b8_10" w:history="1">
        <w:r>
          <w:rPr>
            <w:rStyle w:val="a5"/>
            <w:rFonts w:ascii="Times New Roman" w:eastAsia="宋体" w:hAnsi="Times New Roman"/>
            <w:sz w:val="20"/>
            <w:szCs w:val="20"/>
          </w:rPr>
          <w:t>Table of Contents</w:t>
        </w:r>
      </w:hyperlink>
    </w:p>
    <w:p w14:paraId="7DCFFB7E" w14:textId="77777777" w:rsidR="00C1563E" w:rsidRDefault="000B648B">
      <w:r>
        <w:rPr>
          <w:rFonts w:ascii="Times New Roman" w:eastAsia="宋体" w:hAnsi="Times New Roman"/>
          <w:i/>
          <w:iCs/>
          <w:color w:val="000000"/>
          <w:sz w:val="20"/>
          <w:szCs w:val="20"/>
          <w:u w:val="single"/>
        </w:rPr>
        <w:t>DFS International Debt</w:t>
      </w:r>
    </w:p>
    <w:p w14:paraId="7DCFFB7F" w14:textId="77777777" w:rsidR="00C1563E" w:rsidRDefault="00C1563E"/>
    <w:p w14:paraId="7DCFFB80" w14:textId="77777777" w:rsidR="00C1563E" w:rsidRDefault="000B648B">
      <w:r>
        <w:rPr>
          <w:rFonts w:ascii="Times New Roman" w:eastAsia="宋体" w:hAnsi="Times New Roman"/>
          <w:i/>
          <w:iCs/>
          <w:color w:val="000000"/>
          <w:sz w:val="20"/>
          <w:szCs w:val="20"/>
        </w:rPr>
        <w:t xml:space="preserve">Securitization Facility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maintains a securiti</w:t>
      </w:r>
      <w:r>
        <w:rPr>
          <w:rFonts w:ascii="Times New Roman" w:eastAsia="宋体" w:hAnsi="Times New Roman"/>
          <w:color w:val="000000"/>
          <w:sz w:val="20"/>
          <w:szCs w:val="20"/>
        </w:rPr>
        <w:t>zation facility in Europe for fixed-term leases and loans. This facility is effective through December 21, 2022 and had a total debt capacity of $970 million as of January 29, 2021.</w:t>
      </w:r>
    </w:p>
    <w:p w14:paraId="7DCFFB81" w14:textId="77777777" w:rsidR="00C1563E" w:rsidRDefault="00C1563E"/>
    <w:p w14:paraId="7DCFFB82" w14:textId="77777777" w:rsidR="00C1563E" w:rsidRDefault="000B648B">
      <w:r>
        <w:rPr>
          <w:rFonts w:ascii="Times New Roman" w:eastAsia="宋体" w:hAnsi="Times New Roman"/>
          <w:color w:val="000000"/>
          <w:sz w:val="20"/>
          <w:szCs w:val="20"/>
        </w:rPr>
        <w:t>The securitization facility contains standard structural features related</w:t>
      </w:r>
      <w:r>
        <w:rPr>
          <w:rFonts w:ascii="Times New Roman" w:eastAsia="宋体" w:hAnsi="Times New Roman"/>
          <w:color w:val="000000"/>
          <w:sz w:val="20"/>
          <w:szCs w:val="20"/>
        </w:rPr>
        <w:t xml:space="preserve"> to the performance of the securitized receivables, which include defined credit losses, delinquencies, average credit scores, and minimum collection requirements. In the event one or more of these criteria are not met and the Company is unable to restruct</w:t>
      </w:r>
      <w:r>
        <w:rPr>
          <w:rFonts w:ascii="Times New Roman" w:eastAsia="宋体" w:hAnsi="Times New Roman"/>
          <w:color w:val="000000"/>
          <w:sz w:val="20"/>
          <w:szCs w:val="20"/>
        </w:rPr>
        <w:t>ure the program, no further funding of receivables will be permitted and the timing of the Company’s expected cash flows from over-collateralization will be delayed. As of January 29, 2021, these criteria were met.</w:t>
      </w:r>
    </w:p>
    <w:p w14:paraId="7DCFFB83" w14:textId="77777777" w:rsidR="00C1563E" w:rsidRDefault="00C1563E"/>
    <w:p w14:paraId="7DCFFB84" w14:textId="77777777" w:rsidR="00C1563E" w:rsidRDefault="000B648B">
      <w:r>
        <w:rPr>
          <w:rFonts w:ascii="Times New Roman" w:eastAsia="宋体" w:hAnsi="Times New Roman"/>
          <w:i/>
          <w:iCs/>
          <w:color w:val="000000"/>
          <w:sz w:val="20"/>
          <w:szCs w:val="20"/>
        </w:rPr>
        <w:t xml:space="preserve">Other Borrowings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connection with th</w:t>
      </w:r>
      <w:r>
        <w:rPr>
          <w:rFonts w:ascii="Times New Roman" w:eastAsia="宋体" w:hAnsi="Times New Roman"/>
          <w:color w:val="000000"/>
          <w:sz w:val="20"/>
          <w:szCs w:val="20"/>
        </w:rPr>
        <w:t xml:space="preserve">e Company’s international financing operations, the Company has entered into revolving structured financing debt programs related to its fixed-term lease and loan products sold in Canada, Europe, Australia, and New Zealand. The Canadian facility, which is </w:t>
      </w:r>
      <w:r>
        <w:rPr>
          <w:rFonts w:ascii="Times New Roman" w:eastAsia="宋体" w:hAnsi="Times New Roman"/>
          <w:color w:val="000000"/>
          <w:sz w:val="20"/>
          <w:szCs w:val="20"/>
        </w:rPr>
        <w:t>collateralized solely by Canadian loan and lease payments and associated equipment, had a total debt capacity of $292 million</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as of January 29, 2021, and is effective through January 16, 2023. The European facility, which is collateralized solely by Europe</w:t>
      </w:r>
      <w:r>
        <w:rPr>
          <w:rFonts w:ascii="Times New Roman" w:eastAsia="宋体" w:hAnsi="Times New Roman"/>
          <w:color w:val="000000"/>
          <w:sz w:val="20"/>
          <w:szCs w:val="20"/>
        </w:rPr>
        <w:t>an loan and lease payments and associated equipment, had a total debt capacity of</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$727 million as of January 29, 2021, and is effective through June 14, 2022. The Australia and New Zealand facility, which is collateralized solely by Australia and New Zeala</w:t>
      </w:r>
      <w:r>
        <w:rPr>
          <w:rFonts w:ascii="Times New Roman" w:eastAsia="宋体" w:hAnsi="Times New Roman"/>
          <w:color w:val="000000"/>
          <w:sz w:val="20"/>
          <w:szCs w:val="20"/>
        </w:rPr>
        <w:t>nd loan and lease payments and associated equipment, had a total debt capacity of $269 million as of January 29, 2021, and is effective through December 20, 2021.</w:t>
      </w:r>
    </w:p>
    <w:p w14:paraId="7DCFFB85" w14:textId="77777777" w:rsidR="00C1563E" w:rsidRDefault="00C1563E"/>
    <w:p w14:paraId="7DCFFB86" w14:textId="77777777" w:rsidR="00C1563E" w:rsidRDefault="000B648B">
      <w:r>
        <w:rPr>
          <w:rFonts w:ascii="Times New Roman" w:eastAsia="宋体" w:hAnsi="Times New Roman"/>
          <w:i/>
          <w:iCs/>
          <w:color w:val="000000"/>
          <w:sz w:val="20"/>
          <w:szCs w:val="20"/>
        </w:rPr>
        <w:t xml:space="preserve">Note Payable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November 27, 2017, the Company entered into an unsecured credit agreement to fund receivables in Mexico. As of July 31, 2020, the aggregate principal amount of the note payable was $187 million. This note was repaid in full during the three months ende</w:t>
      </w:r>
      <w:r>
        <w:rPr>
          <w:rFonts w:ascii="Times New Roman" w:eastAsia="宋体" w:hAnsi="Times New Roman"/>
          <w:color w:val="000000"/>
          <w:sz w:val="20"/>
          <w:szCs w:val="20"/>
        </w:rPr>
        <w:t>d October 30, 2020.</w:t>
      </w:r>
    </w:p>
    <w:p w14:paraId="7DCFFB87" w14:textId="77777777" w:rsidR="00C1563E" w:rsidRDefault="00C1563E"/>
    <w:p w14:paraId="7DCFFB88" w14:textId="77777777" w:rsidR="00C1563E" w:rsidRDefault="000B648B">
      <w:r>
        <w:rPr>
          <w:rFonts w:ascii="Times New Roman" w:eastAsia="宋体" w:hAnsi="Times New Roman"/>
          <w:color w:val="000000"/>
          <w:sz w:val="20"/>
          <w:szCs w:val="20"/>
        </w:rPr>
        <w:t>On August 7, 2020, the Company entered into two new unsecured credit agreements to fund receivables in Mexico. As of January 29, 2021, the aggregate principal amount of the notes payable was $250 million. The notes bear interest at 3.3</w:t>
      </w:r>
      <w:r>
        <w:rPr>
          <w:rFonts w:ascii="Times New Roman" w:eastAsia="宋体" w:hAnsi="Times New Roman"/>
          <w:color w:val="000000"/>
          <w:sz w:val="20"/>
          <w:szCs w:val="20"/>
        </w:rPr>
        <w:t>7% and will mature on June 1, 2022.</w:t>
      </w:r>
    </w:p>
    <w:p w14:paraId="7DCFFB89" w14:textId="77777777" w:rsidR="00C1563E" w:rsidRDefault="00C1563E"/>
    <w:p w14:paraId="7DCFFB8A" w14:textId="77777777" w:rsidR="00C1563E" w:rsidRDefault="000B648B">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International D.A.C. issued 500 million Euro of 0.625% senior unsecured three year eurobonds due October 2022. On June 24, 2020, Dell Bank Internatio</w:t>
      </w:r>
      <w:r>
        <w:rPr>
          <w:rFonts w:ascii="Times New Roman" w:eastAsia="宋体" w:hAnsi="Times New Roman"/>
          <w:color w:val="000000"/>
          <w:sz w:val="20"/>
          <w:szCs w:val="20"/>
        </w:rPr>
        <w:t xml:space="preserve">nal D.A.C. issued an additional 500 million Euro of 1.625% senior unsecured four year eurobonds due June 2024. The issuance of the senior unsecured eurobonds supports the expansion of the financing operations in Europe. </w:t>
      </w:r>
    </w:p>
    <w:p w14:paraId="7DCFFB8B" w14:textId="77777777" w:rsidR="00C1563E" w:rsidRDefault="00C1563E"/>
    <w:p w14:paraId="7DCFFB8C" w14:textId="77777777" w:rsidR="00C1563E" w:rsidRDefault="00C1563E"/>
    <w:p w14:paraId="7DCFFB8D" w14:textId="77777777" w:rsidR="00C1563E" w:rsidRDefault="00C1563E">
      <w:pPr>
        <w:jc w:val="center"/>
      </w:pPr>
    </w:p>
    <w:p w14:paraId="7DCFFB8E" w14:textId="77777777" w:rsidR="00C1563E" w:rsidRDefault="000B648B">
      <w:pPr>
        <w:jc w:val="center"/>
      </w:pPr>
      <w:r>
        <w:rPr>
          <w:rFonts w:ascii="Times New Roman" w:eastAsia="宋体" w:hAnsi="Times New Roman"/>
          <w:color w:val="000000"/>
          <w:sz w:val="20"/>
          <w:szCs w:val="20"/>
        </w:rPr>
        <w:t>105</w:t>
      </w:r>
    </w:p>
    <w:p w14:paraId="7DCFFB8F" w14:textId="77777777" w:rsidR="00C1563E" w:rsidRDefault="00C1563E">
      <w:pPr>
        <w:jc w:val="center"/>
      </w:pPr>
    </w:p>
    <w:p w14:paraId="7DCFFB90" w14:textId="77777777" w:rsidR="00C1563E" w:rsidRDefault="000B648B">
      <w:r>
        <w:pict w14:anchorId="7DD025D3">
          <v:rect id="_x0000_i1129" style="width:415.3pt;height:1.5pt" o:hralign="center" o:hrstd="t" o:hr="t" fillcolor="#a0a0a0" stroked="f"/>
        </w:pict>
      </w:r>
    </w:p>
    <w:p w14:paraId="7DCFFB91" w14:textId="77777777" w:rsidR="00C1563E" w:rsidRDefault="000B648B">
      <w:hyperlink r:id="rId288" w:anchor="i418e32e4a35149ffbf7d3a25d66881b8_10" w:history="1">
        <w:r>
          <w:rPr>
            <w:rStyle w:val="a5"/>
            <w:rFonts w:ascii="Times New Roman" w:eastAsia="宋体" w:hAnsi="Times New Roman"/>
            <w:sz w:val="20"/>
            <w:szCs w:val="20"/>
          </w:rPr>
          <w:t>Table of Contents</w:t>
        </w:r>
      </w:hyperlink>
    </w:p>
    <w:p w14:paraId="7DCFFB92" w14:textId="77777777" w:rsidR="00C1563E" w:rsidRDefault="000B648B">
      <w:r>
        <w:rPr>
          <w:rFonts w:ascii="Times New Roman" w:eastAsia="宋体" w:hAnsi="Times New Roman"/>
          <w:b/>
          <w:bCs/>
          <w:color w:val="000000"/>
          <w:sz w:val="20"/>
          <w:szCs w:val="20"/>
        </w:rPr>
        <w:t>Variable Interest Entities</w:t>
      </w:r>
    </w:p>
    <w:p w14:paraId="7DCFFB93" w14:textId="77777777" w:rsidR="00C1563E" w:rsidRDefault="00C1563E"/>
    <w:p w14:paraId="7DCFFB94" w14:textId="77777777" w:rsidR="00C1563E" w:rsidRDefault="000B648B">
      <w:r>
        <w:rPr>
          <w:rFonts w:ascii="Times New Roman" w:eastAsia="宋体" w:hAnsi="Times New Roman"/>
          <w:color w:val="000000"/>
          <w:sz w:val="20"/>
          <w:szCs w:val="20"/>
        </w:rPr>
        <w:t>In connection with the asset-based financing facilities,</w:t>
      </w:r>
      <w:r>
        <w:rPr>
          <w:rFonts w:ascii="Times New Roman" w:eastAsia="宋体" w:hAnsi="Times New Roman"/>
          <w:color w:val="000000"/>
          <w:sz w:val="20"/>
          <w:szCs w:val="20"/>
        </w:rPr>
        <w:t xml:space="preserve"> securitization facilities, and fixed-term securitization offerings discussed above, the Company transfers certain U.S. and European loan and lease payments and associated equipment to SPEs that meet the definition of a Variable Interest Entity (“VIE”) and</w:t>
      </w:r>
      <w:r>
        <w:rPr>
          <w:rFonts w:ascii="Times New Roman" w:eastAsia="宋体" w:hAnsi="Times New Roman"/>
          <w:color w:val="000000"/>
          <w:sz w:val="20"/>
          <w:szCs w:val="20"/>
        </w:rPr>
        <w:t xml:space="preserve"> are consolidated, along with the associated debt detailed above, into the Consolidated Financial Statements, as the Company is the primary beneficiary of the VIEs. The SPEs are bankruptcy-remote legal entities with separate assets and liabilities. The pur</w:t>
      </w:r>
      <w:r>
        <w:rPr>
          <w:rFonts w:ascii="Times New Roman" w:eastAsia="宋体" w:hAnsi="Times New Roman"/>
          <w:color w:val="000000"/>
          <w:sz w:val="20"/>
          <w:szCs w:val="20"/>
        </w:rPr>
        <w:t>pose of the SPEs is to facilitate the funding of customer loan and lease payments and associated equipment in the capital markets.</w:t>
      </w:r>
    </w:p>
    <w:p w14:paraId="7DCFFB95" w14:textId="77777777" w:rsidR="00C1563E" w:rsidRDefault="00C1563E"/>
    <w:p w14:paraId="7DCFFB96" w14:textId="77777777" w:rsidR="00C1563E" w:rsidRDefault="000B648B">
      <w:r>
        <w:rPr>
          <w:rFonts w:ascii="Times New Roman" w:eastAsia="宋体" w:hAnsi="Times New Roman"/>
          <w:color w:val="000000"/>
          <w:sz w:val="20"/>
          <w:szCs w:val="20"/>
        </w:rPr>
        <w:t xml:space="preserve">Some of the SPEs have entered into financing arrangements with multi-seller conduits that, in turn, issue asset-backed debt </w:t>
      </w:r>
      <w:r>
        <w:rPr>
          <w:rFonts w:ascii="Times New Roman" w:eastAsia="宋体" w:hAnsi="Times New Roman"/>
          <w:color w:val="000000"/>
          <w:sz w:val="20"/>
          <w:szCs w:val="20"/>
        </w:rPr>
        <w:t>securities in the capital markets. DFS debt outstanding held by the consolidated VIEs is collateralized by the loan and lease payments and associated equipment. The Company’s risk of loss related to securitized receivables is limited to the amount by which</w:t>
      </w:r>
      <w:r>
        <w:rPr>
          <w:rFonts w:ascii="Times New Roman" w:eastAsia="宋体" w:hAnsi="Times New Roman"/>
          <w:color w:val="000000"/>
          <w:sz w:val="20"/>
          <w:szCs w:val="20"/>
        </w:rPr>
        <w:t xml:space="preserve"> the Company’s right to receive collections for assets securitized exceeds the amount required to pay interest, principal, and fees and expenses related to the asset-backed securities. The Company provides credit enhancement to the securitization in the fo</w:t>
      </w:r>
      <w:r>
        <w:rPr>
          <w:rFonts w:ascii="Times New Roman" w:eastAsia="宋体" w:hAnsi="Times New Roman"/>
          <w:color w:val="000000"/>
          <w:sz w:val="20"/>
          <w:szCs w:val="20"/>
        </w:rPr>
        <w:t>rm of over-collateralization.</w:t>
      </w:r>
    </w:p>
    <w:p w14:paraId="7DCFFB97" w14:textId="77777777" w:rsidR="00C1563E" w:rsidRDefault="00C1563E"/>
    <w:p w14:paraId="7DCFFB98" w14:textId="77777777" w:rsidR="00C1563E" w:rsidRDefault="000B648B">
      <w:pPr>
        <w:spacing w:after="120"/>
      </w:pPr>
      <w:r>
        <w:rPr>
          <w:rFonts w:ascii="Times New Roman" w:eastAsia="宋体" w:hAnsi="Times New Roman"/>
          <w:color w:val="000000"/>
          <w:sz w:val="20"/>
          <w:szCs w:val="20"/>
        </w:rPr>
        <w:t>The following table presents the assets and liabilities held by the consolidated VIEs as of the dates indicated, which are included in the Consolidated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C1563E" w14:paraId="7DCFFBA5" w14:textId="77777777">
        <w:trPr>
          <w:jc w:val="center"/>
        </w:trPr>
        <w:tc>
          <w:tcPr>
            <w:tcW w:w="50" w:type="pct"/>
            <w:shd w:val="clear" w:color="auto" w:fill="auto"/>
          </w:tcPr>
          <w:p w14:paraId="7DCFFB99" w14:textId="77777777" w:rsidR="00C1563E" w:rsidRDefault="00C1563E">
            <w:pPr>
              <w:rPr>
                <w:rFonts w:ascii="宋体"/>
              </w:rPr>
            </w:pPr>
          </w:p>
        </w:tc>
        <w:tc>
          <w:tcPr>
            <w:tcW w:w="2971" w:type="pct"/>
            <w:shd w:val="clear" w:color="auto" w:fill="auto"/>
          </w:tcPr>
          <w:p w14:paraId="7DCFFB9A" w14:textId="77777777" w:rsidR="00C1563E" w:rsidRDefault="00C1563E">
            <w:pPr>
              <w:rPr>
                <w:rFonts w:ascii="宋体"/>
              </w:rPr>
            </w:pPr>
          </w:p>
        </w:tc>
        <w:tc>
          <w:tcPr>
            <w:tcW w:w="5" w:type="pct"/>
            <w:shd w:val="clear" w:color="auto" w:fill="auto"/>
          </w:tcPr>
          <w:p w14:paraId="7DCFFB9B" w14:textId="77777777" w:rsidR="00C1563E" w:rsidRDefault="00C1563E">
            <w:pPr>
              <w:rPr>
                <w:rFonts w:ascii="宋体"/>
              </w:rPr>
            </w:pPr>
          </w:p>
        </w:tc>
        <w:tc>
          <w:tcPr>
            <w:tcW w:w="50" w:type="pct"/>
            <w:shd w:val="clear" w:color="auto" w:fill="auto"/>
          </w:tcPr>
          <w:p w14:paraId="7DCFFB9C" w14:textId="77777777" w:rsidR="00C1563E" w:rsidRDefault="00C1563E">
            <w:pPr>
              <w:rPr>
                <w:rFonts w:ascii="宋体"/>
              </w:rPr>
            </w:pPr>
          </w:p>
        </w:tc>
        <w:tc>
          <w:tcPr>
            <w:tcW w:w="917" w:type="pct"/>
            <w:shd w:val="clear" w:color="auto" w:fill="auto"/>
          </w:tcPr>
          <w:p w14:paraId="7DCFFB9D" w14:textId="77777777" w:rsidR="00C1563E" w:rsidRDefault="00C1563E">
            <w:pPr>
              <w:rPr>
                <w:rFonts w:ascii="宋体"/>
              </w:rPr>
            </w:pPr>
          </w:p>
        </w:tc>
        <w:tc>
          <w:tcPr>
            <w:tcW w:w="5" w:type="pct"/>
            <w:shd w:val="clear" w:color="auto" w:fill="auto"/>
          </w:tcPr>
          <w:p w14:paraId="7DCFFB9E" w14:textId="77777777" w:rsidR="00C1563E" w:rsidRDefault="00C1563E">
            <w:pPr>
              <w:rPr>
                <w:rFonts w:ascii="宋体"/>
              </w:rPr>
            </w:pPr>
          </w:p>
        </w:tc>
        <w:tc>
          <w:tcPr>
            <w:tcW w:w="5" w:type="pct"/>
            <w:shd w:val="clear" w:color="auto" w:fill="auto"/>
          </w:tcPr>
          <w:p w14:paraId="7DCFFB9F" w14:textId="77777777" w:rsidR="00C1563E" w:rsidRDefault="00C1563E">
            <w:pPr>
              <w:rPr>
                <w:rFonts w:ascii="宋体"/>
              </w:rPr>
            </w:pPr>
          </w:p>
        </w:tc>
        <w:tc>
          <w:tcPr>
            <w:tcW w:w="19" w:type="pct"/>
            <w:shd w:val="clear" w:color="auto" w:fill="auto"/>
          </w:tcPr>
          <w:p w14:paraId="7DCFFBA0" w14:textId="77777777" w:rsidR="00C1563E" w:rsidRDefault="00C1563E">
            <w:pPr>
              <w:rPr>
                <w:rFonts w:ascii="宋体"/>
              </w:rPr>
            </w:pPr>
          </w:p>
        </w:tc>
        <w:tc>
          <w:tcPr>
            <w:tcW w:w="5" w:type="pct"/>
            <w:shd w:val="clear" w:color="auto" w:fill="auto"/>
          </w:tcPr>
          <w:p w14:paraId="7DCFFBA1" w14:textId="77777777" w:rsidR="00C1563E" w:rsidRDefault="00C1563E">
            <w:pPr>
              <w:rPr>
                <w:rFonts w:ascii="宋体"/>
              </w:rPr>
            </w:pPr>
          </w:p>
        </w:tc>
        <w:tc>
          <w:tcPr>
            <w:tcW w:w="50" w:type="pct"/>
            <w:shd w:val="clear" w:color="auto" w:fill="auto"/>
          </w:tcPr>
          <w:p w14:paraId="7DCFFBA2" w14:textId="77777777" w:rsidR="00C1563E" w:rsidRDefault="00C1563E">
            <w:pPr>
              <w:rPr>
                <w:rFonts w:ascii="宋体"/>
              </w:rPr>
            </w:pPr>
          </w:p>
        </w:tc>
        <w:tc>
          <w:tcPr>
            <w:tcW w:w="917" w:type="pct"/>
            <w:shd w:val="clear" w:color="auto" w:fill="auto"/>
          </w:tcPr>
          <w:p w14:paraId="7DCFFBA3" w14:textId="77777777" w:rsidR="00C1563E" w:rsidRDefault="00C1563E">
            <w:pPr>
              <w:rPr>
                <w:rFonts w:ascii="宋体"/>
              </w:rPr>
            </w:pPr>
          </w:p>
        </w:tc>
        <w:tc>
          <w:tcPr>
            <w:tcW w:w="5" w:type="pct"/>
            <w:shd w:val="clear" w:color="auto" w:fill="auto"/>
          </w:tcPr>
          <w:p w14:paraId="7DCFFBA4" w14:textId="77777777" w:rsidR="00C1563E" w:rsidRDefault="00C1563E">
            <w:pPr>
              <w:rPr>
                <w:rFonts w:ascii="宋体"/>
              </w:rPr>
            </w:pPr>
          </w:p>
        </w:tc>
      </w:tr>
      <w:tr w:rsidR="00C1563E" w14:paraId="7DCFFBAA" w14:textId="77777777">
        <w:trPr>
          <w:jc w:val="center"/>
        </w:trPr>
        <w:tc>
          <w:tcPr>
            <w:tcW w:w="0" w:type="auto"/>
            <w:gridSpan w:val="3"/>
            <w:shd w:val="clear" w:color="auto" w:fill="auto"/>
            <w:tcMar>
              <w:top w:w="40" w:type="dxa"/>
              <w:left w:w="20" w:type="dxa"/>
              <w:bottom w:w="40" w:type="dxa"/>
              <w:right w:w="20" w:type="dxa"/>
            </w:tcMar>
            <w:vAlign w:val="bottom"/>
          </w:tcPr>
          <w:p w14:paraId="7DCFFBA6"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DCFFBA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BA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BA9"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BAD" w14:textId="77777777">
        <w:trPr>
          <w:jc w:val="center"/>
        </w:trPr>
        <w:tc>
          <w:tcPr>
            <w:tcW w:w="0" w:type="auto"/>
            <w:gridSpan w:val="3"/>
            <w:shd w:val="clear" w:color="auto" w:fill="auto"/>
            <w:tcMar>
              <w:top w:w="40" w:type="dxa"/>
              <w:left w:w="20" w:type="dxa"/>
              <w:bottom w:w="40" w:type="dxa"/>
              <w:right w:w="20" w:type="dxa"/>
            </w:tcMar>
            <w:vAlign w:val="bottom"/>
          </w:tcPr>
          <w:p w14:paraId="7DCFFBAB"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BA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BB2" w14:textId="77777777">
        <w:trPr>
          <w:jc w:val="center"/>
        </w:trPr>
        <w:tc>
          <w:tcPr>
            <w:tcW w:w="0" w:type="auto"/>
            <w:gridSpan w:val="3"/>
            <w:shd w:val="clear" w:color="auto" w:fill="CCEEFF"/>
            <w:tcMar>
              <w:top w:w="40" w:type="dxa"/>
              <w:left w:w="20" w:type="dxa"/>
              <w:bottom w:w="40" w:type="dxa"/>
              <w:right w:w="20" w:type="dxa"/>
            </w:tcMar>
            <w:vAlign w:val="bottom"/>
          </w:tcPr>
          <w:p w14:paraId="7DCFFBAE" w14:textId="77777777" w:rsidR="00C1563E" w:rsidRDefault="000B648B">
            <w:pPr>
              <w:textAlignment w:val="bottom"/>
            </w:pPr>
            <w:r>
              <w:rPr>
                <w:rFonts w:ascii="Times New Roman" w:eastAsia="宋体" w:hAnsi="Times New Roman"/>
                <w:b/>
                <w:bCs/>
                <w:color w:val="000000"/>
                <w:sz w:val="20"/>
                <w:szCs w:val="20"/>
              </w:rPr>
              <w:t>Assets held by consolidated VIEs</w:t>
            </w:r>
          </w:p>
        </w:tc>
        <w:tc>
          <w:tcPr>
            <w:tcW w:w="0" w:type="auto"/>
            <w:gridSpan w:val="3"/>
            <w:shd w:val="clear" w:color="auto" w:fill="CCEEFF"/>
            <w:tcMar>
              <w:top w:w="0" w:type="dxa"/>
              <w:left w:w="20" w:type="dxa"/>
              <w:bottom w:w="0" w:type="dxa"/>
              <w:right w:w="20" w:type="dxa"/>
            </w:tcMar>
          </w:tcPr>
          <w:p w14:paraId="7DCFFBA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B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B1" w14:textId="77777777" w:rsidR="00C1563E" w:rsidRDefault="00C1563E">
            <w:pPr>
              <w:rPr>
                <w:rFonts w:ascii="宋体"/>
              </w:rPr>
            </w:pPr>
          </w:p>
        </w:tc>
      </w:tr>
      <w:tr w:rsidR="00C1563E" w14:paraId="7DCFFBBB" w14:textId="77777777">
        <w:trPr>
          <w:jc w:val="center"/>
        </w:trPr>
        <w:tc>
          <w:tcPr>
            <w:tcW w:w="0" w:type="auto"/>
            <w:gridSpan w:val="3"/>
            <w:shd w:val="clear" w:color="auto" w:fill="FFFFFF"/>
            <w:tcMar>
              <w:top w:w="40" w:type="dxa"/>
              <w:left w:w="35" w:type="dxa"/>
              <w:bottom w:w="40" w:type="dxa"/>
              <w:right w:w="20" w:type="dxa"/>
            </w:tcMar>
            <w:vAlign w:val="bottom"/>
          </w:tcPr>
          <w:p w14:paraId="7DCFFBB3" w14:textId="77777777" w:rsidR="00C1563E" w:rsidRDefault="000B648B">
            <w:pPr>
              <w:textAlignment w:val="bottom"/>
            </w:pPr>
            <w:r>
              <w:rPr>
                <w:rFonts w:ascii="Times New Roman" w:eastAsia="宋体" w:hAnsi="Times New Roman"/>
                <w:color w:val="000000"/>
                <w:sz w:val="20"/>
                <w:szCs w:val="20"/>
              </w:rPr>
              <w:t>Other current assets</w:t>
            </w:r>
          </w:p>
        </w:tc>
        <w:tc>
          <w:tcPr>
            <w:tcW w:w="0" w:type="auto"/>
            <w:shd w:val="clear" w:color="auto" w:fill="FFFFFF"/>
            <w:tcMar>
              <w:top w:w="40" w:type="dxa"/>
              <w:left w:w="20" w:type="dxa"/>
              <w:bottom w:w="40" w:type="dxa"/>
              <w:right w:w="0" w:type="dxa"/>
            </w:tcMar>
            <w:vAlign w:val="bottom"/>
          </w:tcPr>
          <w:p w14:paraId="7DCFFBB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B5" w14:textId="77777777" w:rsidR="00C1563E" w:rsidRDefault="000B648B">
            <w:pPr>
              <w:jc w:val="right"/>
              <w:textAlignment w:val="bottom"/>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bottom"/>
          </w:tcPr>
          <w:p w14:paraId="7DCFFBB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B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B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B9" w14:textId="77777777" w:rsidR="00C1563E" w:rsidRDefault="000B648B">
            <w:pPr>
              <w:jc w:val="right"/>
              <w:textAlignment w:val="bottom"/>
            </w:pPr>
            <w:r>
              <w:rPr>
                <w:rFonts w:ascii="Times New Roman" w:eastAsia="宋体" w:hAnsi="Times New Roman"/>
                <w:color w:val="000000"/>
                <w:sz w:val="20"/>
                <w:szCs w:val="20"/>
              </w:rPr>
              <w:t>643 </w:t>
            </w:r>
          </w:p>
        </w:tc>
        <w:tc>
          <w:tcPr>
            <w:tcW w:w="0" w:type="auto"/>
            <w:shd w:val="clear" w:color="auto" w:fill="FFFFFF"/>
            <w:tcMar>
              <w:top w:w="40" w:type="dxa"/>
              <w:left w:w="0" w:type="dxa"/>
              <w:bottom w:w="40" w:type="dxa"/>
              <w:right w:w="20" w:type="dxa"/>
            </w:tcMar>
            <w:vAlign w:val="bottom"/>
          </w:tcPr>
          <w:p w14:paraId="7DCFFBBA" w14:textId="77777777" w:rsidR="00C1563E" w:rsidRDefault="00C1563E">
            <w:pPr>
              <w:jc w:val="right"/>
              <w:rPr>
                <w:rFonts w:ascii="宋体"/>
              </w:rPr>
            </w:pPr>
          </w:p>
        </w:tc>
      </w:tr>
      <w:tr w:rsidR="00C1563E" w14:paraId="7DCFFBC0" w14:textId="77777777">
        <w:trPr>
          <w:jc w:val="center"/>
        </w:trPr>
        <w:tc>
          <w:tcPr>
            <w:tcW w:w="0" w:type="auto"/>
            <w:gridSpan w:val="3"/>
            <w:shd w:val="clear" w:color="auto" w:fill="CCEEFF"/>
            <w:tcMar>
              <w:top w:w="40" w:type="dxa"/>
              <w:left w:w="35" w:type="dxa"/>
              <w:bottom w:w="40" w:type="dxa"/>
              <w:right w:w="20" w:type="dxa"/>
            </w:tcMar>
            <w:vAlign w:val="bottom"/>
          </w:tcPr>
          <w:p w14:paraId="7DCFFBBC" w14:textId="77777777" w:rsidR="00C1563E" w:rsidRDefault="000B648B">
            <w:pPr>
              <w:textAlignment w:val="bottom"/>
            </w:pPr>
            <w:r>
              <w:rPr>
                <w:rFonts w:ascii="Times New Roman" w:eastAsia="宋体" w:hAnsi="Times New Roman"/>
                <w:color w:val="000000"/>
                <w:sz w:val="20"/>
                <w:szCs w:val="20"/>
              </w:rPr>
              <w:t>Financing receivables, net of allowance</w:t>
            </w:r>
          </w:p>
        </w:tc>
        <w:tc>
          <w:tcPr>
            <w:tcW w:w="0" w:type="auto"/>
            <w:gridSpan w:val="3"/>
            <w:shd w:val="clear" w:color="auto" w:fill="CCEEFF"/>
            <w:tcMar>
              <w:top w:w="0" w:type="dxa"/>
              <w:left w:w="20" w:type="dxa"/>
              <w:bottom w:w="0" w:type="dxa"/>
              <w:right w:w="20" w:type="dxa"/>
            </w:tcMar>
          </w:tcPr>
          <w:p w14:paraId="7DCFFBB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B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BF" w14:textId="77777777" w:rsidR="00C1563E" w:rsidRDefault="00C1563E">
            <w:pPr>
              <w:rPr>
                <w:rFonts w:ascii="宋体"/>
              </w:rPr>
            </w:pPr>
          </w:p>
        </w:tc>
      </w:tr>
      <w:tr w:rsidR="00C1563E" w14:paraId="7DCFFBC9" w14:textId="77777777">
        <w:trPr>
          <w:jc w:val="center"/>
        </w:trPr>
        <w:tc>
          <w:tcPr>
            <w:tcW w:w="0" w:type="auto"/>
            <w:gridSpan w:val="3"/>
            <w:shd w:val="clear" w:color="auto" w:fill="FFFFFF"/>
            <w:tcMar>
              <w:top w:w="40" w:type="dxa"/>
              <w:left w:w="140" w:type="dxa"/>
              <w:bottom w:w="40" w:type="dxa"/>
              <w:right w:w="20" w:type="dxa"/>
            </w:tcMar>
            <w:vAlign w:val="bottom"/>
          </w:tcPr>
          <w:p w14:paraId="7DCFFBC1" w14:textId="77777777" w:rsidR="00C1563E" w:rsidRDefault="000B648B">
            <w:pPr>
              <w:textAlignment w:val="bottom"/>
            </w:pPr>
            <w:r>
              <w:rPr>
                <w:rFonts w:ascii="Times New Roman" w:eastAsia="宋体" w:hAnsi="Times New Roman"/>
                <w:color w:val="000000"/>
                <w:sz w:val="20"/>
                <w:szCs w:val="20"/>
              </w:rPr>
              <w:t>Short-term</w:t>
            </w:r>
          </w:p>
        </w:tc>
        <w:tc>
          <w:tcPr>
            <w:tcW w:w="0" w:type="auto"/>
            <w:shd w:val="clear" w:color="auto" w:fill="FFFFFF"/>
            <w:tcMar>
              <w:top w:w="40" w:type="dxa"/>
              <w:left w:w="20" w:type="dxa"/>
              <w:bottom w:w="40" w:type="dxa"/>
              <w:right w:w="0" w:type="dxa"/>
            </w:tcMar>
            <w:vAlign w:val="bottom"/>
          </w:tcPr>
          <w:p w14:paraId="7DCFFBC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C3" w14:textId="77777777" w:rsidR="00C1563E" w:rsidRDefault="000B648B">
            <w:pPr>
              <w:jc w:val="right"/>
              <w:textAlignment w:val="bottom"/>
            </w:pPr>
            <w:r>
              <w:rPr>
                <w:rFonts w:ascii="Times New Roman" w:eastAsia="宋体" w:hAnsi="Times New Roman"/>
                <w:color w:val="000000"/>
                <w:sz w:val="20"/>
                <w:szCs w:val="20"/>
              </w:rPr>
              <w:t>3,534 </w:t>
            </w:r>
          </w:p>
        </w:tc>
        <w:tc>
          <w:tcPr>
            <w:tcW w:w="0" w:type="auto"/>
            <w:shd w:val="clear" w:color="auto" w:fill="FFFFFF"/>
            <w:tcMar>
              <w:top w:w="40" w:type="dxa"/>
              <w:left w:w="0" w:type="dxa"/>
              <w:bottom w:w="40" w:type="dxa"/>
              <w:right w:w="20" w:type="dxa"/>
            </w:tcMar>
            <w:vAlign w:val="bottom"/>
          </w:tcPr>
          <w:p w14:paraId="7DCFFBC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C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C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C7" w14:textId="77777777" w:rsidR="00C1563E" w:rsidRDefault="000B648B">
            <w:pPr>
              <w:jc w:val="right"/>
              <w:textAlignment w:val="bottom"/>
            </w:pPr>
            <w:r>
              <w:rPr>
                <w:rFonts w:ascii="Times New Roman" w:eastAsia="宋体" w:hAnsi="Times New Roman"/>
                <w:color w:val="000000"/>
                <w:sz w:val="20"/>
                <w:szCs w:val="20"/>
              </w:rPr>
              <w:t>3,316 </w:t>
            </w:r>
          </w:p>
        </w:tc>
        <w:tc>
          <w:tcPr>
            <w:tcW w:w="0" w:type="auto"/>
            <w:shd w:val="clear" w:color="auto" w:fill="FFFFFF"/>
            <w:tcMar>
              <w:top w:w="40" w:type="dxa"/>
              <w:left w:w="0" w:type="dxa"/>
              <w:bottom w:w="40" w:type="dxa"/>
              <w:right w:w="20" w:type="dxa"/>
            </w:tcMar>
            <w:vAlign w:val="bottom"/>
          </w:tcPr>
          <w:p w14:paraId="7DCFFBC8" w14:textId="77777777" w:rsidR="00C1563E" w:rsidRDefault="00C1563E">
            <w:pPr>
              <w:jc w:val="right"/>
              <w:rPr>
                <w:rFonts w:ascii="宋体"/>
              </w:rPr>
            </w:pPr>
          </w:p>
        </w:tc>
      </w:tr>
      <w:tr w:rsidR="00C1563E" w14:paraId="7DCFFBD2" w14:textId="77777777">
        <w:trPr>
          <w:jc w:val="center"/>
        </w:trPr>
        <w:tc>
          <w:tcPr>
            <w:tcW w:w="0" w:type="auto"/>
            <w:gridSpan w:val="3"/>
            <w:shd w:val="clear" w:color="auto" w:fill="CCEEFF"/>
            <w:tcMar>
              <w:top w:w="40" w:type="dxa"/>
              <w:left w:w="140" w:type="dxa"/>
              <w:bottom w:w="40" w:type="dxa"/>
              <w:right w:w="20" w:type="dxa"/>
            </w:tcMar>
            <w:vAlign w:val="bottom"/>
          </w:tcPr>
          <w:p w14:paraId="7DCFFBCA" w14:textId="77777777" w:rsidR="00C1563E" w:rsidRDefault="000B648B">
            <w:pPr>
              <w:textAlignment w:val="bottom"/>
            </w:pPr>
            <w:r>
              <w:rPr>
                <w:rFonts w:ascii="Times New Roman" w:eastAsia="宋体" w:hAnsi="Times New Roman"/>
                <w:color w:val="000000"/>
                <w:sz w:val="20"/>
                <w:szCs w:val="20"/>
              </w:rPr>
              <w:t>Long-term</w:t>
            </w:r>
          </w:p>
        </w:tc>
        <w:tc>
          <w:tcPr>
            <w:tcW w:w="0" w:type="auto"/>
            <w:shd w:val="clear" w:color="auto" w:fill="CCEEFF"/>
            <w:tcMar>
              <w:top w:w="40" w:type="dxa"/>
              <w:left w:w="20" w:type="dxa"/>
              <w:bottom w:w="40" w:type="dxa"/>
              <w:right w:w="0" w:type="dxa"/>
            </w:tcMar>
            <w:vAlign w:val="bottom"/>
          </w:tcPr>
          <w:p w14:paraId="7DCFFBC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BCC" w14:textId="77777777" w:rsidR="00C1563E" w:rsidRDefault="000B648B">
            <w:pPr>
              <w:jc w:val="right"/>
              <w:textAlignment w:val="bottom"/>
            </w:pPr>
            <w:r>
              <w:rPr>
                <w:rFonts w:ascii="Times New Roman" w:eastAsia="宋体" w:hAnsi="Times New Roman"/>
                <w:color w:val="000000"/>
                <w:sz w:val="20"/>
                <w:szCs w:val="20"/>
              </w:rPr>
              <w:t>3,314 </w:t>
            </w:r>
          </w:p>
        </w:tc>
        <w:tc>
          <w:tcPr>
            <w:tcW w:w="0" w:type="auto"/>
            <w:shd w:val="clear" w:color="auto" w:fill="CCEEFF"/>
            <w:tcMar>
              <w:top w:w="40" w:type="dxa"/>
              <w:left w:w="0" w:type="dxa"/>
              <w:bottom w:w="40" w:type="dxa"/>
              <w:right w:w="20" w:type="dxa"/>
            </w:tcMar>
            <w:vAlign w:val="bottom"/>
          </w:tcPr>
          <w:p w14:paraId="7DCFFBC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C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BC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BD0" w14:textId="77777777" w:rsidR="00C1563E" w:rsidRDefault="000B648B">
            <w:pPr>
              <w:jc w:val="right"/>
              <w:textAlignment w:val="bottom"/>
            </w:pPr>
            <w:r>
              <w:rPr>
                <w:rFonts w:ascii="Times New Roman" w:eastAsia="宋体" w:hAnsi="Times New Roman"/>
                <w:color w:val="000000"/>
                <w:sz w:val="20"/>
                <w:szCs w:val="20"/>
              </w:rPr>
              <w:t>2,913 </w:t>
            </w:r>
          </w:p>
        </w:tc>
        <w:tc>
          <w:tcPr>
            <w:tcW w:w="0" w:type="auto"/>
            <w:shd w:val="clear" w:color="auto" w:fill="CCEEFF"/>
            <w:tcMar>
              <w:top w:w="40" w:type="dxa"/>
              <w:left w:w="0" w:type="dxa"/>
              <w:bottom w:w="40" w:type="dxa"/>
              <w:right w:w="20" w:type="dxa"/>
            </w:tcMar>
            <w:vAlign w:val="bottom"/>
          </w:tcPr>
          <w:p w14:paraId="7DCFFBD1" w14:textId="77777777" w:rsidR="00C1563E" w:rsidRDefault="00C1563E">
            <w:pPr>
              <w:jc w:val="right"/>
              <w:rPr>
                <w:rFonts w:ascii="宋体"/>
              </w:rPr>
            </w:pPr>
          </w:p>
        </w:tc>
      </w:tr>
      <w:tr w:rsidR="00C1563E" w14:paraId="7DCFFBDB" w14:textId="77777777">
        <w:trPr>
          <w:jc w:val="center"/>
        </w:trPr>
        <w:tc>
          <w:tcPr>
            <w:tcW w:w="0" w:type="auto"/>
            <w:gridSpan w:val="3"/>
            <w:shd w:val="clear" w:color="auto" w:fill="FFFFFF"/>
            <w:tcMar>
              <w:top w:w="40" w:type="dxa"/>
              <w:left w:w="20" w:type="dxa"/>
              <w:bottom w:w="40" w:type="dxa"/>
              <w:right w:w="20" w:type="dxa"/>
            </w:tcMar>
            <w:vAlign w:val="bottom"/>
          </w:tcPr>
          <w:p w14:paraId="7DCFFBD3" w14:textId="77777777" w:rsidR="00C1563E" w:rsidRDefault="000B648B">
            <w:pPr>
              <w:textAlignment w:val="bottom"/>
            </w:pPr>
            <w:r>
              <w:rPr>
                <w:rFonts w:ascii="Times New Roman" w:eastAsia="宋体" w:hAnsi="Times New Roman"/>
                <w:color w:val="000000"/>
                <w:sz w:val="20"/>
                <w:szCs w:val="20"/>
              </w:rPr>
              <w:t xml:space="preserve">Property, plant, and </w:t>
            </w:r>
            <w:r>
              <w:rPr>
                <w:rFonts w:ascii="Times New Roman" w:eastAsia="宋体" w:hAnsi="Times New Roman"/>
                <w:color w:val="000000"/>
                <w:sz w:val="20"/>
                <w:szCs w:val="20"/>
              </w:rPr>
              <w:t>equipment, net</w:t>
            </w:r>
          </w:p>
        </w:tc>
        <w:tc>
          <w:tcPr>
            <w:tcW w:w="0" w:type="auto"/>
            <w:shd w:val="clear" w:color="auto" w:fill="FFFFFF"/>
            <w:tcMar>
              <w:top w:w="40" w:type="dxa"/>
              <w:left w:w="20" w:type="dxa"/>
              <w:bottom w:w="40" w:type="dxa"/>
              <w:right w:w="0" w:type="dxa"/>
            </w:tcMar>
            <w:vAlign w:val="bottom"/>
          </w:tcPr>
          <w:p w14:paraId="7DCFFBD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D5" w14:textId="77777777" w:rsidR="00C1563E" w:rsidRDefault="000B648B">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7DCFFBD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D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D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D9" w14:textId="77777777" w:rsidR="00C1563E" w:rsidRDefault="000B648B">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7DCFFBDA" w14:textId="77777777" w:rsidR="00C1563E" w:rsidRDefault="00C1563E">
            <w:pPr>
              <w:jc w:val="right"/>
              <w:rPr>
                <w:rFonts w:ascii="宋体"/>
              </w:rPr>
            </w:pPr>
          </w:p>
        </w:tc>
      </w:tr>
      <w:tr w:rsidR="00C1563E" w14:paraId="7DCFFBE0" w14:textId="77777777">
        <w:trPr>
          <w:jc w:val="center"/>
        </w:trPr>
        <w:tc>
          <w:tcPr>
            <w:tcW w:w="0" w:type="auto"/>
            <w:gridSpan w:val="3"/>
            <w:shd w:val="clear" w:color="auto" w:fill="CCEEFF"/>
            <w:tcMar>
              <w:top w:w="40" w:type="dxa"/>
              <w:left w:w="20" w:type="dxa"/>
              <w:bottom w:w="40" w:type="dxa"/>
              <w:right w:w="20" w:type="dxa"/>
            </w:tcMar>
            <w:vAlign w:val="bottom"/>
          </w:tcPr>
          <w:p w14:paraId="7DCFFBDC" w14:textId="77777777" w:rsidR="00C1563E" w:rsidRDefault="000B648B">
            <w:pPr>
              <w:textAlignment w:val="bottom"/>
            </w:pPr>
            <w:r>
              <w:rPr>
                <w:rFonts w:ascii="Times New Roman" w:eastAsia="宋体" w:hAnsi="Times New Roman"/>
                <w:b/>
                <w:b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tcPr>
          <w:p w14:paraId="7DCFFBD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D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BDF" w14:textId="77777777" w:rsidR="00C1563E" w:rsidRDefault="00C1563E">
            <w:pPr>
              <w:rPr>
                <w:rFonts w:ascii="宋体"/>
              </w:rPr>
            </w:pPr>
          </w:p>
        </w:tc>
      </w:tr>
      <w:tr w:rsidR="00C1563E" w14:paraId="7DCFFBE5" w14:textId="77777777">
        <w:trPr>
          <w:jc w:val="center"/>
        </w:trPr>
        <w:tc>
          <w:tcPr>
            <w:tcW w:w="0" w:type="auto"/>
            <w:gridSpan w:val="3"/>
            <w:shd w:val="clear" w:color="auto" w:fill="FFFFFF"/>
            <w:tcMar>
              <w:top w:w="40" w:type="dxa"/>
              <w:left w:w="20" w:type="dxa"/>
              <w:bottom w:w="40" w:type="dxa"/>
              <w:right w:w="20" w:type="dxa"/>
            </w:tcMar>
            <w:vAlign w:val="bottom"/>
          </w:tcPr>
          <w:p w14:paraId="7DCFFBE1" w14:textId="77777777" w:rsidR="00C1563E" w:rsidRDefault="000B648B">
            <w:pPr>
              <w:textAlignment w:val="bottom"/>
            </w:pPr>
            <w:r>
              <w:rPr>
                <w:rFonts w:ascii="Times New Roman" w:eastAsia="宋体" w:hAnsi="Times New Roman"/>
                <w:color w:val="000000"/>
                <w:sz w:val="20"/>
                <w:szCs w:val="20"/>
              </w:rPr>
              <w:t>Debt, net of unamortized debt issuance costs</w:t>
            </w:r>
          </w:p>
        </w:tc>
        <w:tc>
          <w:tcPr>
            <w:tcW w:w="0" w:type="auto"/>
            <w:gridSpan w:val="3"/>
            <w:shd w:val="clear" w:color="auto" w:fill="FFFFFF"/>
            <w:tcMar>
              <w:top w:w="0" w:type="dxa"/>
              <w:left w:w="20" w:type="dxa"/>
              <w:bottom w:w="0" w:type="dxa"/>
              <w:right w:w="20" w:type="dxa"/>
            </w:tcMar>
          </w:tcPr>
          <w:p w14:paraId="7DCFFBE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BE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BE4" w14:textId="77777777" w:rsidR="00C1563E" w:rsidRDefault="00C1563E">
            <w:pPr>
              <w:rPr>
                <w:rFonts w:ascii="宋体"/>
              </w:rPr>
            </w:pPr>
          </w:p>
        </w:tc>
      </w:tr>
      <w:tr w:rsidR="00C1563E" w14:paraId="7DCFFBEE" w14:textId="77777777">
        <w:trPr>
          <w:jc w:val="center"/>
        </w:trPr>
        <w:tc>
          <w:tcPr>
            <w:tcW w:w="0" w:type="auto"/>
            <w:gridSpan w:val="3"/>
            <w:shd w:val="clear" w:color="auto" w:fill="CCEEFF"/>
            <w:tcMar>
              <w:top w:w="40" w:type="dxa"/>
              <w:left w:w="140" w:type="dxa"/>
              <w:bottom w:w="40" w:type="dxa"/>
              <w:right w:w="20" w:type="dxa"/>
            </w:tcMar>
            <w:vAlign w:val="bottom"/>
          </w:tcPr>
          <w:p w14:paraId="7DCFFBE6" w14:textId="77777777" w:rsidR="00C1563E" w:rsidRDefault="000B648B">
            <w:pPr>
              <w:textAlignment w:val="bottom"/>
            </w:pPr>
            <w:r>
              <w:rPr>
                <w:rFonts w:ascii="Times New Roman" w:eastAsia="宋体" w:hAnsi="Times New Roman"/>
                <w:color w:val="000000"/>
                <w:sz w:val="20"/>
                <w:szCs w:val="20"/>
              </w:rPr>
              <w:t>Short-term</w:t>
            </w:r>
          </w:p>
        </w:tc>
        <w:tc>
          <w:tcPr>
            <w:tcW w:w="0" w:type="auto"/>
            <w:shd w:val="clear" w:color="auto" w:fill="CCEEFF"/>
            <w:tcMar>
              <w:top w:w="40" w:type="dxa"/>
              <w:left w:w="20" w:type="dxa"/>
              <w:bottom w:w="40" w:type="dxa"/>
              <w:right w:w="0" w:type="dxa"/>
            </w:tcMar>
            <w:vAlign w:val="bottom"/>
          </w:tcPr>
          <w:p w14:paraId="7DCFFBE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BE8" w14:textId="77777777" w:rsidR="00C1563E" w:rsidRDefault="000B648B">
            <w:pPr>
              <w:jc w:val="right"/>
              <w:textAlignment w:val="bottom"/>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bottom"/>
          </w:tcPr>
          <w:p w14:paraId="7DCFFBE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BE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BE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BEC" w14:textId="77777777" w:rsidR="00C1563E" w:rsidRDefault="000B648B">
            <w:pPr>
              <w:jc w:val="right"/>
              <w:textAlignment w:val="bottom"/>
            </w:pPr>
            <w:r>
              <w:rPr>
                <w:rFonts w:ascii="Times New Roman" w:eastAsia="宋体" w:hAnsi="Times New Roman"/>
                <w:color w:val="000000"/>
                <w:sz w:val="20"/>
                <w:szCs w:val="20"/>
              </w:rPr>
              <w:t>3,423 </w:t>
            </w:r>
          </w:p>
        </w:tc>
        <w:tc>
          <w:tcPr>
            <w:tcW w:w="0" w:type="auto"/>
            <w:shd w:val="clear" w:color="auto" w:fill="CCEEFF"/>
            <w:tcMar>
              <w:top w:w="40" w:type="dxa"/>
              <w:left w:w="0" w:type="dxa"/>
              <w:bottom w:w="40" w:type="dxa"/>
              <w:right w:w="20" w:type="dxa"/>
            </w:tcMar>
            <w:vAlign w:val="bottom"/>
          </w:tcPr>
          <w:p w14:paraId="7DCFFBED" w14:textId="77777777" w:rsidR="00C1563E" w:rsidRDefault="00C1563E">
            <w:pPr>
              <w:jc w:val="right"/>
              <w:rPr>
                <w:rFonts w:ascii="宋体"/>
              </w:rPr>
            </w:pPr>
          </w:p>
        </w:tc>
      </w:tr>
      <w:tr w:rsidR="00C1563E" w14:paraId="7DCFFBF7" w14:textId="77777777">
        <w:trPr>
          <w:jc w:val="center"/>
        </w:trPr>
        <w:tc>
          <w:tcPr>
            <w:tcW w:w="0" w:type="auto"/>
            <w:gridSpan w:val="3"/>
            <w:shd w:val="clear" w:color="auto" w:fill="FFFFFF"/>
            <w:tcMar>
              <w:top w:w="40" w:type="dxa"/>
              <w:left w:w="140" w:type="dxa"/>
              <w:bottom w:w="40" w:type="dxa"/>
              <w:right w:w="20" w:type="dxa"/>
            </w:tcMar>
            <w:vAlign w:val="bottom"/>
          </w:tcPr>
          <w:p w14:paraId="7DCFFBEF" w14:textId="77777777" w:rsidR="00C1563E" w:rsidRDefault="000B648B">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7DCFFBF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F1" w14:textId="77777777" w:rsidR="00C1563E" w:rsidRDefault="000B648B">
            <w:pPr>
              <w:jc w:val="right"/>
              <w:textAlignment w:val="bottom"/>
            </w:pPr>
            <w:r>
              <w:rPr>
                <w:rFonts w:ascii="Times New Roman" w:eastAsia="宋体" w:hAnsi="Times New Roman"/>
                <w:color w:val="000000"/>
                <w:sz w:val="20"/>
                <w:szCs w:val="20"/>
              </w:rPr>
              <w:t>2,841 </w:t>
            </w:r>
          </w:p>
        </w:tc>
        <w:tc>
          <w:tcPr>
            <w:tcW w:w="0" w:type="auto"/>
            <w:shd w:val="clear" w:color="auto" w:fill="FFFFFF"/>
            <w:tcMar>
              <w:top w:w="40" w:type="dxa"/>
              <w:left w:w="0" w:type="dxa"/>
              <w:bottom w:w="40" w:type="dxa"/>
              <w:right w:w="20" w:type="dxa"/>
            </w:tcMar>
            <w:vAlign w:val="bottom"/>
          </w:tcPr>
          <w:p w14:paraId="7DCFFB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BF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BF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BF5" w14:textId="77777777" w:rsidR="00C1563E" w:rsidRDefault="000B648B">
            <w:pPr>
              <w:jc w:val="right"/>
              <w:textAlignment w:val="bottom"/>
            </w:pPr>
            <w:r>
              <w:rPr>
                <w:rFonts w:ascii="Times New Roman" w:eastAsia="宋体" w:hAnsi="Times New Roman"/>
                <w:color w:val="000000"/>
                <w:sz w:val="20"/>
                <w:szCs w:val="20"/>
              </w:rPr>
              <w:t>2,509 </w:t>
            </w:r>
          </w:p>
        </w:tc>
        <w:tc>
          <w:tcPr>
            <w:tcW w:w="0" w:type="auto"/>
            <w:shd w:val="clear" w:color="auto" w:fill="FFFFFF"/>
            <w:tcMar>
              <w:top w:w="40" w:type="dxa"/>
              <w:left w:w="0" w:type="dxa"/>
              <w:bottom w:w="40" w:type="dxa"/>
              <w:right w:w="20" w:type="dxa"/>
            </w:tcMar>
            <w:vAlign w:val="bottom"/>
          </w:tcPr>
          <w:p w14:paraId="7DCFFBF6" w14:textId="77777777" w:rsidR="00C1563E" w:rsidRDefault="00C1563E">
            <w:pPr>
              <w:jc w:val="right"/>
              <w:rPr>
                <w:rFonts w:ascii="宋体"/>
              </w:rPr>
            </w:pPr>
          </w:p>
        </w:tc>
      </w:tr>
    </w:tbl>
    <w:p w14:paraId="7DCFFBF8" w14:textId="77777777" w:rsidR="00C1563E" w:rsidRDefault="00C1563E">
      <w:pPr>
        <w:jc w:val="center"/>
      </w:pPr>
    </w:p>
    <w:p w14:paraId="7DCFFBF9" w14:textId="77777777" w:rsidR="00C1563E" w:rsidRDefault="000B648B">
      <w:r>
        <w:rPr>
          <w:rFonts w:ascii="Times New Roman" w:eastAsia="宋体" w:hAnsi="Times New Roman"/>
          <w:color w:val="000000"/>
          <w:sz w:val="20"/>
          <w:szCs w:val="20"/>
        </w:rPr>
        <w:t xml:space="preserve">Loan and lease payments and associated equipment </w:t>
      </w:r>
      <w:r>
        <w:rPr>
          <w:rFonts w:ascii="Times New Roman" w:eastAsia="宋体" w:hAnsi="Times New Roman"/>
          <w:color w:val="000000"/>
          <w:sz w:val="20"/>
          <w:szCs w:val="20"/>
        </w:rPr>
        <w:t>transferred via securitization through SPEs were $6.1 billion and $5.4 billion for the fiscal years ended January 29, 2021 and January 31, 2020, respectively.</w:t>
      </w:r>
    </w:p>
    <w:p w14:paraId="7DCFFBFA" w14:textId="77777777" w:rsidR="00C1563E" w:rsidRDefault="00C1563E"/>
    <w:p w14:paraId="7DCFFBFB" w14:textId="77777777" w:rsidR="00C1563E" w:rsidRDefault="000B648B">
      <w:r>
        <w:rPr>
          <w:rFonts w:ascii="Times New Roman" w:eastAsia="宋体" w:hAnsi="Times New Roman"/>
          <w:b/>
          <w:bCs/>
          <w:color w:val="000000"/>
          <w:sz w:val="20"/>
          <w:szCs w:val="20"/>
        </w:rPr>
        <w:t>Customer Receivable Sales</w:t>
      </w:r>
    </w:p>
    <w:p w14:paraId="7DCFFBFC" w14:textId="77777777" w:rsidR="00C1563E" w:rsidRDefault="00C1563E"/>
    <w:p w14:paraId="7DCFFBFD" w14:textId="77777777" w:rsidR="00C1563E" w:rsidRDefault="000B648B">
      <w:r>
        <w:rPr>
          <w:rFonts w:ascii="Times New Roman" w:eastAsia="宋体" w:hAnsi="Times New Roman"/>
          <w:color w:val="000000"/>
          <w:sz w:val="20"/>
          <w:szCs w:val="20"/>
        </w:rPr>
        <w:t xml:space="preserve">To manage certain concentrations of customer credit </w:t>
      </w:r>
      <w:r>
        <w:rPr>
          <w:rFonts w:ascii="Times New Roman" w:eastAsia="宋体" w:hAnsi="Times New Roman"/>
          <w:color w:val="000000"/>
          <w:sz w:val="20"/>
          <w:szCs w:val="20"/>
        </w:rPr>
        <w:t>exposure, the Company may sell selected fixed-term customer receivables to unrelated third parties on a periodic basis, without recourse. The amount of customer receivables sold for this purpose was $648 million, $538 million, and $949 million for the fisc</w:t>
      </w:r>
      <w:r>
        <w:rPr>
          <w:rFonts w:ascii="Times New Roman" w:eastAsia="宋体" w:hAnsi="Times New Roman"/>
          <w:color w:val="000000"/>
          <w:sz w:val="20"/>
          <w:szCs w:val="20"/>
        </w:rPr>
        <w:t>al years ended January 29, 2021, January 31, 2020, and February 1, 2019, respectively. The Company’s continuing involvement in the above mentioned customer receivables is primarily limited to servicing arrangements.</w:t>
      </w:r>
    </w:p>
    <w:p w14:paraId="7DCFFBFE" w14:textId="77777777" w:rsidR="00C1563E" w:rsidRDefault="00C1563E"/>
    <w:p w14:paraId="7DCFFBFF" w14:textId="77777777" w:rsidR="00C1563E" w:rsidRDefault="00C1563E">
      <w:pPr>
        <w:jc w:val="center"/>
      </w:pPr>
    </w:p>
    <w:p w14:paraId="7DCFFC00" w14:textId="77777777" w:rsidR="00C1563E" w:rsidRDefault="000B648B">
      <w:pPr>
        <w:jc w:val="center"/>
      </w:pPr>
      <w:r>
        <w:rPr>
          <w:rFonts w:ascii="Times New Roman" w:eastAsia="宋体" w:hAnsi="Times New Roman"/>
          <w:color w:val="000000"/>
          <w:sz w:val="20"/>
          <w:szCs w:val="20"/>
        </w:rPr>
        <w:t>106</w:t>
      </w:r>
    </w:p>
    <w:p w14:paraId="7DCFFC01" w14:textId="77777777" w:rsidR="00C1563E" w:rsidRDefault="00C1563E">
      <w:pPr>
        <w:jc w:val="center"/>
      </w:pPr>
    </w:p>
    <w:p w14:paraId="7DCFFC02" w14:textId="77777777" w:rsidR="00C1563E" w:rsidRDefault="000B648B">
      <w:r>
        <w:pict w14:anchorId="7DD025D4">
          <v:rect id="_x0000_i1130" style="width:415.3pt;height:1.5pt" o:hralign="center" o:hrstd="t" o:hr="t" fillcolor="#a0a0a0" stroked="f"/>
        </w:pict>
      </w:r>
    </w:p>
    <w:p w14:paraId="7DCFFC03" w14:textId="77777777" w:rsidR="00C1563E" w:rsidRDefault="000B648B">
      <w:hyperlink r:id="rId289" w:anchor="i418e32e4a35149ffbf7d3a25d66881b8_10" w:history="1">
        <w:r>
          <w:rPr>
            <w:rStyle w:val="a5"/>
            <w:rFonts w:ascii="Times New Roman" w:eastAsia="宋体" w:hAnsi="Times New Roman"/>
            <w:sz w:val="20"/>
            <w:szCs w:val="20"/>
          </w:rPr>
          <w:t>Table of Contents</w:t>
        </w:r>
      </w:hyperlink>
    </w:p>
    <w:p w14:paraId="7DCFFC04" w14:textId="77777777" w:rsidR="00C1563E" w:rsidRDefault="000B648B">
      <w:r>
        <w:rPr>
          <w:rFonts w:ascii="Times New Roman" w:eastAsia="宋体" w:hAnsi="Times New Roman"/>
          <w:b/>
          <w:bCs/>
          <w:color w:val="000000"/>
          <w:sz w:val="20"/>
          <w:szCs w:val="20"/>
        </w:rPr>
        <w:t xml:space="preserve">NOTE 5 — LEASES </w:t>
      </w:r>
    </w:p>
    <w:p w14:paraId="7DCFFC05" w14:textId="77777777" w:rsidR="00C1563E" w:rsidRDefault="00C1563E"/>
    <w:p w14:paraId="7DCFFC06" w14:textId="77777777" w:rsidR="00C1563E" w:rsidRDefault="000B648B">
      <w:r>
        <w:rPr>
          <w:rFonts w:ascii="Times New Roman" w:eastAsia="宋体" w:hAnsi="Times New Roman"/>
          <w:color w:val="000000"/>
          <w:sz w:val="20"/>
          <w:szCs w:val="20"/>
        </w:rPr>
        <w:t>The Company enters into leasing transactions in which the Company is the lessee. These lease cont</w:t>
      </w:r>
      <w:r>
        <w:rPr>
          <w:rFonts w:ascii="Times New Roman" w:eastAsia="宋体" w:hAnsi="Times New Roman"/>
          <w:color w:val="000000"/>
          <w:sz w:val="20"/>
          <w:szCs w:val="20"/>
        </w:rPr>
        <w:t>racts are typically classified as operating leases. The Company’s lease contracts are generally for office buildings used to conduct its business, and the determination of whether such contracts contain leases generally does not require significant estimat</w:t>
      </w:r>
      <w:r>
        <w:rPr>
          <w:rFonts w:ascii="Times New Roman" w:eastAsia="宋体" w:hAnsi="Times New Roman"/>
          <w:color w:val="000000"/>
          <w:sz w:val="20"/>
          <w:szCs w:val="20"/>
        </w:rPr>
        <w:t xml:space="preserve">es or judgments. The Company also leases certain global logistics warehouses, employee vehicles, and equipment. As of January 29, 2021, the remaining terms of the Company’s leases range from less than one month to 26 years. </w:t>
      </w:r>
    </w:p>
    <w:p w14:paraId="7DCFFC07" w14:textId="77777777" w:rsidR="00C1563E" w:rsidRDefault="00C1563E"/>
    <w:p w14:paraId="7DCFFC08" w14:textId="77777777" w:rsidR="00C1563E" w:rsidRDefault="000B648B">
      <w:r>
        <w:rPr>
          <w:rFonts w:ascii="Times New Roman" w:eastAsia="宋体" w:hAnsi="Times New Roman"/>
          <w:color w:val="000000"/>
          <w:sz w:val="20"/>
          <w:szCs w:val="20"/>
        </w:rPr>
        <w:t>The Company also enters into l</w:t>
      </w:r>
      <w:r>
        <w:rPr>
          <w:rFonts w:ascii="Times New Roman" w:eastAsia="宋体" w:hAnsi="Times New Roman"/>
          <w:color w:val="000000"/>
          <w:sz w:val="20"/>
          <w:szCs w:val="20"/>
        </w:rPr>
        <w:t>easing transactions in which the Company is the lessor, primarily through customer financing arrangements offered through DFS. DFS originates leases that are primarily classified as either sales-type leases or operating leases. See Note 4 of the Notes to t</w:t>
      </w:r>
      <w:r>
        <w:rPr>
          <w:rFonts w:ascii="Times New Roman" w:eastAsia="宋体" w:hAnsi="Times New Roman"/>
          <w:color w:val="000000"/>
          <w:sz w:val="20"/>
          <w:szCs w:val="20"/>
        </w:rPr>
        <w:t xml:space="preserve">he Consolidated Financial Statements for more information on the DFS lease portfolio and related lease disclosures. </w:t>
      </w:r>
    </w:p>
    <w:p w14:paraId="7DCFFC09" w14:textId="77777777" w:rsidR="00C1563E" w:rsidRDefault="00C1563E"/>
    <w:p w14:paraId="7DCFFC0A" w14:textId="77777777" w:rsidR="00C1563E" w:rsidRDefault="000B648B">
      <w:r>
        <w:rPr>
          <w:rFonts w:ascii="Times New Roman" w:eastAsia="宋体" w:hAnsi="Times New Roman"/>
          <w:color w:val="000000"/>
          <w:sz w:val="20"/>
          <w:szCs w:val="20"/>
        </w:rPr>
        <w:t>In adopting the current lease accounting standard effective February 2, 2019, the Company elected to apply a transition method that does n</w:t>
      </w:r>
      <w:r>
        <w:rPr>
          <w:rFonts w:ascii="Times New Roman" w:eastAsia="宋体" w:hAnsi="Times New Roman"/>
          <w:color w:val="000000"/>
          <w:sz w:val="20"/>
          <w:szCs w:val="20"/>
        </w:rPr>
        <w:t>ot require the retrospective application to periods prior to the effective date. Financial information associated with the Company’s leases in which the Company is the lessee is contained in this Note 5. As of January 29, 2021 and January 31, 2020, there w</w:t>
      </w:r>
      <w:r>
        <w:rPr>
          <w:rFonts w:ascii="Times New Roman" w:eastAsia="宋体" w:hAnsi="Times New Roman"/>
          <w:color w:val="000000"/>
          <w:sz w:val="20"/>
          <w:szCs w:val="20"/>
        </w:rPr>
        <w:t xml:space="preserve">ere no material finance leases for which the Company was a lessee. </w:t>
      </w:r>
    </w:p>
    <w:p w14:paraId="7DCFFC0B" w14:textId="77777777" w:rsidR="00C1563E" w:rsidRDefault="00C1563E"/>
    <w:p w14:paraId="7DCFFC0C" w14:textId="77777777" w:rsidR="00C1563E" w:rsidRDefault="000B648B">
      <w:pPr>
        <w:spacing w:after="120"/>
      </w:pPr>
      <w:r>
        <w:rPr>
          <w:rFonts w:ascii="Times New Roman" w:eastAsia="宋体" w:hAnsi="Times New Roman"/>
          <w:color w:val="000000"/>
          <w:sz w:val="20"/>
          <w:szCs w:val="20"/>
        </w:rPr>
        <w:t>The following table presents components of lease costs included in the Consolidated Statements of Income (Loss)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C1563E" w14:paraId="7DCFFC19" w14:textId="77777777">
        <w:tc>
          <w:tcPr>
            <w:tcW w:w="50" w:type="pct"/>
            <w:shd w:val="clear" w:color="auto" w:fill="auto"/>
          </w:tcPr>
          <w:p w14:paraId="7DCFFC0D" w14:textId="77777777" w:rsidR="00C1563E" w:rsidRDefault="00C1563E">
            <w:pPr>
              <w:rPr>
                <w:rFonts w:ascii="宋体"/>
              </w:rPr>
            </w:pPr>
          </w:p>
        </w:tc>
        <w:tc>
          <w:tcPr>
            <w:tcW w:w="2971" w:type="pct"/>
            <w:shd w:val="clear" w:color="auto" w:fill="auto"/>
          </w:tcPr>
          <w:p w14:paraId="7DCFFC0E" w14:textId="77777777" w:rsidR="00C1563E" w:rsidRDefault="00C1563E">
            <w:pPr>
              <w:rPr>
                <w:rFonts w:ascii="宋体"/>
              </w:rPr>
            </w:pPr>
          </w:p>
        </w:tc>
        <w:tc>
          <w:tcPr>
            <w:tcW w:w="5" w:type="pct"/>
            <w:shd w:val="clear" w:color="auto" w:fill="auto"/>
          </w:tcPr>
          <w:p w14:paraId="7DCFFC0F" w14:textId="77777777" w:rsidR="00C1563E" w:rsidRDefault="00C1563E">
            <w:pPr>
              <w:rPr>
                <w:rFonts w:ascii="宋体"/>
              </w:rPr>
            </w:pPr>
          </w:p>
        </w:tc>
        <w:tc>
          <w:tcPr>
            <w:tcW w:w="50" w:type="pct"/>
            <w:shd w:val="clear" w:color="auto" w:fill="auto"/>
          </w:tcPr>
          <w:p w14:paraId="7DCFFC10" w14:textId="77777777" w:rsidR="00C1563E" w:rsidRDefault="00C1563E">
            <w:pPr>
              <w:rPr>
                <w:rFonts w:ascii="宋体"/>
              </w:rPr>
            </w:pPr>
          </w:p>
        </w:tc>
        <w:tc>
          <w:tcPr>
            <w:tcW w:w="917" w:type="pct"/>
            <w:shd w:val="clear" w:color="auto" w:fill="auto"/>
          </w:tcPr>
          <w:p w14:paraId="7DCFFC11" w14:textId="77777777" w:rsidR="00C1563E" w:rsidRDefault="00C1563E">
            <w:pPr>
              <w:rPr>
                <w:rFonts w:ascii="宋体"/>
              </w:rPr>
            </w:pPr>
          </w:p>
        </w:tc>
        <w:tc>
          <w:tcPr>
            <w:tcW w:w="5" w:type="pct"/>
            <w:shd w:val="clear" w:color="auto" w:fill="auto"/>
          </w:tcPr>
          <w:p w14:paraId="7DCFFC12" w14:textId="77777777" w:rsidR="00C1563E" w:rsidRDefault="00C1563E">
            <w:pPr>
              <w:rPr>
                <w:rFonts w:ascii="宋体"/>
              </w:rPr>
            </w:pPr>
          </w:p>
        </w:tc>
        <w:tc>
          <w:tcPr>
            <w:tcW w:w="5" w:type="pct"/>
            <w:shd w:val="clear" w:color="auto" w:fill="auto"/>
          </w:tcPr>
          <w:p w14:paraId="7DCFFC13" w14:textId="77777777" w:rsidR="00C1563E" w:rsidRDefault="00C1563E">
            <w:pPr>
              <w:rPr>
                <w:rFonts w:ascii="宋体"/>
              </w:rPr>
            </w:pPr>
          </w:p>
        </w:tc>
        <w:tc>
          <w:tcPr>
            <w:tcW w:w="19" w:type="pct"/>
            <w:shd w:val="clear" w:color="auto" w:fill="auto"/>
          </w:tcPr>
          <w:p w14:paraId="7DCFFC14" w14:textId="77777777" w:rsidR="00C1563E" w:rsidRDefault="00C1563E">
            <w:pPr>
              <w:rPr>
                <w:rFonts w:ascii="宋体"/>
              </w:rPr>
            </w:pPr>
          </w:p>
        </w:tc>
        <w:tc>
          <w:tcPr>
            <w:tcW w:w="5" w:type="pct"/>
            <w:shd w:val="clear" w:color="auto" w:fill="auto"/>
          </w:tcPr>
          <w:p w14:paraId="7DCFFC15" w14:textId="77777777" w:rsidR="00C1563E" w:rsidRDefault="00C1563E">
            <w:pPr>
              <w:rPr>
                <w:rFonts w:ascii="宋体"/>
              </w:rPr>
            </w:pPr>
          </w:p>
        </w:tc>
        <w:tc>
          <w:tcPr>
            <w:tcW w:w="50" w:type="pct"/>
            <w:shd w:val="clear" w:color="auto" w:fill="auto"/>
          </w:tcPr>
          <w:p w14:paraId="7DCFFC16" w14:textId="77777777" w:rsidR="00C1563E" w:rsidRDefault="00C1563E">
            <w:pPr>
              <w:rPr>
                <w:rFonts w:ascii="宋体"/>
              </w:rPr>
            </w:pPr>
          </w:p>
        </w:tc>
        <w:tc>
          <w:tcPr>
            <w:tcW w:w="917" w:type="pct"/>
            <w:shd w:val="clear" w:color="auto" w:fill="auto"/>
          </w:tcPr>
          <w:p w14:paraId="7DCFFC17" w14:textId="77777777" w:rsidR="00C1563E" w:rsidRDefault="00C1563E">
            <w:pPr>
              <w:rPr>
                <w:rFonts w:ascii="宋体"/>
              </w:rPr>
            </w:pPr>
          </w:p>
        </w:tc>
        <w:tc>
          <w:tcPr>
            <w:tcW w:w="5" w:type="pct"/>
            <w:shd w:val="clear" w:color="auto" w:fill="auto"/>
          </w:tcPr>
          <w:p w14:paraId="7DCFFC18" w14:textId="77777777" w:rsidR="00C1563E" w:rsidRDefault="00C1563E">
            <w:pPr>
              <w:rPr>
                <w:rFonts w:ascii="宋体"/>
              </w:rPr>
            </w:pPr>
          </w:p>
        </w:tc>
      </w:tr>
      <w:tr w:rsidR="00C1563E" w14:paraId="7DCFFC1C" w14:textId="77777777">
        <w:tc>
          <w:tcPr>
            <w:tcW w:w="0" w:type="auto"/>
            <w:gridSpan w:val="3"/>
            <w:shd w:val="clear" w:color="auto" w:fill="auto"/>
            <w:tcMar>
              <w:top w:w="0" w:type="dxa"/>
              <w:left w:w="20" w:type="dxa"/>
              <w:bottom w:w="0" w:type="dxa"/>
              <w:right w:w="20" w:type="dxa"/>
            </w:tcMar>
          </w:tcPr>
          <w:p w14:paraId="7DCFFC1A"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CFFC1B"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FC21" w14:textId="77777777">
        <w:tc>
          <w:tcPr>
            <w:tcW w:w="0" w:type="auto"/>
            <w:gridSpan w:val="3"/>
            <w:shd w:val="clear" w:color="auto" w:fill="auto"/>
            <w:tcMar>
              <w:top w:w="0" w:type="dxa"/>
              <w:left w:w="20" w:type="dxa"/>
              <w:bottom w:w="0" w:type="dxa"/>
              <w:right w:w="20" w:type="dxa"/>
            </w:tcMar>
          </w:tcPr>
          <w:p w14:paraId="7DCFFC1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C1E" w14:textId="77777777" w:rsidR="00C1563E" w:rsidRDefault="000B648B">
            <w:pPr>
              <w:jc w:val="center"/>
              <w:textAlignment w:val="bottom"/>
            </w:pPr>
            <w:r>
              <w:rPr>
                <w:rFonts w:ascii="Times New Roman" w:eastAsia="宋体" w:hAnsi="Times New Roman"/>
                <w:b/>
                <w:bCs/>
                <w:color w:val="000000"/>
                <w:sz w:val="20"/>
                <w:szCs w:val="20"/>
              </w:rPr>
              <w:t xml:space="preserve">January 29, </w:t>
            </w: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DCFFC1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C20"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C24" w14:textId="77777777">
        <w:tc>
          <w:tcPr>
            <w:tcW w:w="0" w:type="auto"/>
            <w:gridSpan w:val="3"/>
            <w:shd w:val="clear" w:color="auto" w:fill="auto"/>
            <w:tcMar>
              <w:top w:w="0" w:type="dxa"/>
              <w:left w:w="20" w:type="dxa"/>
              <w:bottom w:w="0" w:type="dxa"/>
              <w:right w:w="20" w:type="dxa"/>
            </w:tcMar>
          </w:tcPr>
          <w:p w14:paraId="7DCFFC22"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C2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C2D" w14:textId="77777777">
        <w:tc>
          <w:tcPr>
            <w:tcW w:w="0" w:type="auto"/>
            <w:gridSpan w:val="3"/>
            <w:shd w:val="clear" w:color="auto" w:fill="CCEEFF"/>
            <w:tcMar>
              <w:top w:w="40" w:type="dxa"/>
              <w:left w:w="20" w:type="dxa"/>
              <w:bottom w:w="40" w:type="dxa"/>
              <w:right w:w="20" w:type="dxa"/>
            </w:tcMar>
            <w:vAlign w:val="bottom"/>
          </w:tcPr>
          <w:p w14:paraId="7DCFFC25" w14:textId="77777777" w:rsidR="00C1563E" w:rsidRDefault="000B648B">
            <w:pPr>
              <w:textAlignment w:val="bottom"/>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bottom"/>
          </w:tcPr>
          <w:p w14:paraId="7DCFFC2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27" w14:textId="77777777" w:rsidR="00C1563E" w:rsidRDefault="000B648B">
            <w:pPr>
              <w:jc w:val="right"/>
              <w:textAlignment w:val="bottom"/>
            </w:pPr>
            <w:r>
              <w:rPr>
                <w:rFonts w:ascii="Times New Roman" w:eastAsia="宋体" w:hAnsi="Times New Roman"/>
                <w:color w:val="000000"/>
                <w:sz w:val="20"/>
                <w:szCs w:val="20"/>
              </w:rPr>
              <w:t>535 </w:t>
            </w:r>
          </w:p>
        </w:tc>
        <w:tc>
          <w:tcPr>
            <w:tcW w:w="0" w:type="auto"/>
            <w:shd w:val="clear" w:color="auto" w:fill="CCEEFF"/>
            <w:tcMar>
              <w:top w:w="40" w:type="dxa"/>
              <w:left w:w="0" w:type="dxa"/>
              <w:bottom w:w="40" w:type="dxa"/>
              <w:right w:w="20" w:type="dxa"/>
            </w:tcMar>
            <w:vAlign w:val="bottom"/>
          </w:tcPr>
          <w:p w14:paraId="7DCFFC2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C2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C2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2B" w14:textId="77777777" w:rsidR="00C1563E" w:rsidRDefault="000B648B">
            <w:pPr>
              <w:jc w:val="right"/>
              <w:textAlignment w:val="bottom"/>
            </w:pPr>
            <w:r>
              <w:rPr>
                <w:rFonts w:ascii="Times New Roman" w:eastAsia="宋体" w:hAnsi="Times New Roman"/>
                <w:color w:val="000000"/>
                <w:sz w:val="20"/>
                <w:szCs w:val="20"/>
              </w:rPr>
              <w:t>510 </w:t>
            </w:r>
          </w:p>
        </w:tc>
        <w:tc>
          <w:tcPr>
            <w:tcW w:w="0" w:type="auto"/>
            <w:shd w:val="clear" w:color="auto" w:fill="CCEEFF"/>
            <w:tcMar>
              <w:top w:w="40" w:type="dxa"/>
              <w:left w:w="0" w:type="dxa"/>
              <w:bottom w:w="40" w:type="dxa"/>
              <w:right w:w="20" w:type="dxa"/>
            </w:tcMar>
            <w:vAlign w:val="bottom"/>
          </w:tcPr>
          <w:p w14:paraId="7DCFFC2C" w14:textId="77777777" w:rsidR="00C1563E" w:rsidRDefault="00C1563E">
            <w:pPr>
              <w:jc w:val="right"/>
              <w:rPr>
                <w:rFonts w:ascii="宋体"/>
              </w:rPr>
            </w:pPr>
          </w:p>
        </w:tc>
      </w:tr>
      <w:tr w:rsidR="00C1563E" w14:paraId="7DCFFC34" w14:textId="77777777">
        <w:tc>
          <w:tcPr>
            <w:tcW w:w="0" w:type="auto"/>
            <w:gridSpan w:val="3"/>
            <w:shd w:val="clear" w:color="auto" w:fill="auto"/>
            <w:tcMar>
              <w:top w:w="40" w:type="dxa"/>
              <w:left w:w="35" w:type="dxa"/>
              <w:bottom w:w="40" w:type="dxa"/>
              <w:right w:w="20" w:type="dxa"/>
            </w:tcMar>
            <w:vAlign w:val="bottom"/>
          </w:tcPr>
          <w:p w14:paraId="7DCFFC2E" w14:textId="77777777" w:rsidR="00C1563E" w:rsidRDefault="000B648B">
            <w:pPr>
              <w:textAlignment w:val="bottom"/>
            </w:pPr>
            <w:r>
              <w:rPr>
                <w:rFonts w:ascii="Times New Roman" w:eastAsia="宋体" w:hAnsi="Times New Roman"/>
                <w:color w:val="000000"/>
                <w:sz w:val="20"/>
                <w:szCs w:val="20"/>
              </w:rPr>
              <w:t>Variable costs</w:t>
            </w:r>
          </w:p>
        </w:tc>
        <w:tc>
          <w:tcPr>
            <w:tcW w:w="0" w:type="auto"/>
            <w:gridSpan w:val="2"/>
            <w:shd w:val="clear" w:color="auto" w:fill="auto"/>
            <w:tcMar>
              <w:top w:w="40" w:type="dxa"/>
              <w:left w:w="20" w:type="dxa"/>
              <w:bottom w:w="40" w:type="dxa"/>
              <w:right w:w="0" w:type="dxa"/>
            </w:tcMar>
            <w:vAlign w:val="bottom"/>
          </w:tcPr>
          <w:p w14:paraId="7DCFFC2F" w14:textId="77777777" w:rsidR="00C1563E" w:rsidRDefault="000B648B">
            <w:pPr>
              <w:jc w:val="right"/>
              <w:textAlignment w:val="bottom"/>
            </w:pPr>
            <w:r>
              <w:rPr>
                <w:rFonts w:ascii="Times New Roman" w:eastAsia="宋体" w:hAnsi="Times New Roman"/>
                <w:color w:val="000000"/>
                <w:sz w:val="20"/>
                <w:szCs w:val="20"/>
              </w:rPr>
              <w:t>161 </w:t>
            </w:r>
          </w:p>
        </w:tc>
        <w:tc>
          <w:tcPr>
            <w:tcW w:w="0" w:type="auto"/>
            <w:shd w:val="clear" w:color="auto" w:fill="auto"/>
            <w:tcMar>
              <w:top w:w="40" w:type="dxa"/>
              <w:left w:w="0" w:type="dxa"/>
              <w:bottom w:w="40" w:type="dxa"/>
              <w:right w:w="20" w:type="dxa"/>
            </w:tcMar>
            <w:vAlign w:val="bottom"/>
          </w:tcPr>
          <w:p w14:paraId="7DCFFC30"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CFFC31" w14:textId="77777777" w:rsidR="00C1563E" w:rsidRDefault="00C1563E">
            <w:pPr>
              <w:rPr>
                <w:rFonts w:ascii="宋体"/>
              </w:rPr>
            </w:pPr>
          </w:p>
        </w:tc>
        <w:tc>
          <w:tcPr>
            <w:tcW w:w="0" w:type="auto"/>
            <w:gridSpan w:val="2"/>
            <w:shd w:val="clear" w:color="auto" w:fill="auto"/>
            <w:tcMar>
              <w:top w:w="40" w:type="dxa"/>
              <w:left w:w="20" w:type="dxa"/>
              <w:bottom w:w="40" w:type="dxa"/>
              <w:right w:w="0" w:type="dxa"/>
            </w:tcMar>
            <w:vAlign w:val="bottom"/>
          </w:tcPr>
          <w:p w14:paraId="7DCFFC32" w14:textId="77777777" w:rsidR="00C1563E" w:rsidRDefault="000B648B">
            <w:pPr>
              <w:jc w:val="right"/>
              <w:textAlignment w:val="bottom"/>
            </w:pPr>
            <w:r>
              <w:rPr>
                <w:rFonts w:ascii="Times New Roman" w:eastAsia="宋体" w:hAnsi="Times New Roman"/>
                <w:color w:val="000000"/>
                <w:sz w:val="20"/>
                <w:szCs w:val="20"/>
              </w:rPr>
              <w:t>161 </w:t>
            </w:r>
          </w:p>
        </w:tc>
        <w:tc>
          <w:tcPr>
            <w:tcW w:w="0" w:type="auto"/>
            <w:shd w:val="clear" w:color="auto" w:fill="auto"/>
            <w:tcMar>
              <w:top w:w="40" w:type="dxa"/>
              <w:left w:w="0" w:type="dxa"/>
              <w:bottom w:w="40" w:type="dxa"/>
              <w:right w:w="20" w:type="dxa"/>
            </w:tcMar>
            <w:vAlign w:val="bottom"/>
          </w:tcPr>
          <w:p w14:paraId="7DCFFC33" w14:textId="77777777" w:rsidR="00C1563E" w:rsidRDefault="00C1563E">
            <w:pPr>
              <w:jc w:val="right"/>
              <w:rPr>
                <w:rFonts w:ascii="宋体"/>
              </w:rPr>
            </w:pPr>
          </w:p>
        </w:tc>
      </w:tr>
      <w:tr w:rsidR="00C1563E" w14:paraId="7DCFFC3D" w14:textId="77777777">
        <w:tc>
          <w:tcPr>
            <w:tcW w:w="0" w:type="auto"/>
            <w:gridSpan w:val="3"/>
            <w:shd w:val="clear" w:color="auto" w:fill="CCEEFF"/>
            <w:tcMar>
              <w:top w:w="40" w:type="dxa"/>
              <w:left w:w="245" w:type="dxa"/>
              <w:bottom w:w="40" w:type="dxa"/>
              <w:right w:w="20" w:type="dxa"/>
            </w:tcMar>
            <w:vAlign w:val="bottom"/>
          </w:tcPr>
          <w:p w14:paraId="7DCFFC35" w14:textId="77777777" w:rsidR="00C1563E" w:rsidRDefault="000B648B">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C3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C37" w14:textId="77777777" w:rsidR="00C1563E" w:rsidRDefault="000B648B">
            <w:pPr>
              <w:jc w:val="right"/>
              <w:textAlignment w:val="bottom"/>
            </w:pPr>
            <w:r>
              <w:rPr>
                <w:rFonts w:ascii="Times New Roman" w:eastAsia="宋体" w:hAnsi="Times New Roman"/>
                <w:color w:val="000000"/>
                <w:sz w:val="20"/>
                <w:szCs w:val="20"/>
              </w:rPr>
              <w:t>696 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C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C3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C3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C3B" w14:textId="77777777" w:rsidR="00C1563E" w:rsidRDefault="000B648B">
            <w:pPr>
              <w:jc w:val="right"/>
              <w:textAlignment w:val="bottom"/>
            </w:pPr>
            <w:r>
              <w:rPr>
                <w:rFonts w:ascii="Times New Roman" w:eastAsia="宋体" w:hAnsi="Times New Roman"/>
                <w:color w:val="000000"/>
                <w:sz w:val="20"/>
                <w:szCs w:val="20"/>
              </w:rPr>
              <w:t>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C3C" w14:textId="77777777" w:rsidR="00C1563E" w:rsidRDefault="00C1563E">
            <w:pPr>
              <w:jc w:val="right"/>
              <w:rPr>
                <w:rFonts w:ascii="宋体"/>
              </w:rPr>
            </w:pPr>
          </w:p>
        </w:tc>
      </w:tr>
    </w:tbl>
    <w:p w14:paraId="7DCFFC3E" w14:textId="77777777" w:rsidR="00C1563E" w:rsidRDefault="00C1563E"/>
    <w:p w14:paraId="7DCFFC3F" w14:textId="77777777" w:rsidR="00C1563E" w:rsidRDefault="000B648B">
      <w:r>
        <w:rPr>
          <w:rFonts w:ascii="Times New Roman" w:eastAsia="宋体" w:hAnsi="Times New Roman"/>
          <w:color w:val="000000"/>
          <w:sz w:val="20"/>
          <w:szCs w:val="20"/>
        </w:rPr>
        <w:t xml:space="preserve">During both the fiscal years ended January 29, 2021 and January 31, 2020, sublease income, finance lease costs, and short-term lease costs were immaterial. </w:t>
      </w:r>
    </w:p>
    <w:p w14:paraId="7DCFFC40" w14:textId="77777777" w:rsidR="00C1563E" w:rsidRDefault="00C1563E"/>
    <w:p w14:paraId="7DCFFC41" w14:textId="77777777" w:rsidR="00C1563E" w:rsidRDefault="000B648B">
      <w:pPr>
        <w:spacing w:after="120"/>
      </w:pPr>
      <w:r>
        <w:rPr>
          <w:rFonts w:ascii="Times New Roman" w:eastAsia="宋体" w:hAnsi="Times New Roman"/>
          <w:color w:val="000000"/>
          <w:sz w:val="20"/>
          <w:szCs w:val="20"/>
        </w:rPr>
        <w:t xml:space="preserve">The following table presents supplemental information related to operating leases included in the </w:t>
      </w:r>
      <w:r>
        <w:rPr>
          <w:rFonts w:ascii="Times New Roman" w:eastAsia="宋体" w:hAnsi="Times New Roman"/>
          <w:color w:val="000000"/>
          <w:sz w:val="20"/>
          <w:szCs w:val="20"/>
        </w:rPr>
        <w:t>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298"/>
        <w:gridCol w:w="38"/>
        <w:gridCol w:w="41"/>
        <w:gridCol w:w="2139"/>
        <w:gridCol w:w="36"/>
        <w:gridCol w:w="121"/>
        <w:gridCol w:w="1397"/>
        <w:gridCol w:w="187"/>
        <w:gridCol w:w="36"/>
        <w:gridCol w:w="36"/>
        <w:gridCol w:w="36"/>
        <w:gridCol w:w="121"/>
        <w:gridCol w:w="1398"/>
        <w:gridCol w:w="187"/>
        <w:gridCol w:w="36"/>
        <w:gridCol w:w="36"/>
        <w:gridCol w:w="36"/>
        <w:gridCol w:w="36"/>
        <w:gridCol w:w="36"/>
        <w:gridCol w:w="36"/>
      </w:tblGrid>
      <w:tr w:rsidR="00C1563E" w14:paraId="7DCFFC53" w14:textId="77777777">
        <w:trPr>
          <w:jc w:val="center"/>
        </w:trPr>
        <w:tc>
          <w:tcPr>
            <w:tcW w:w="50" w:type="pct"/>
            <w:shd w:val="clear" w:color="auto" w:fill="auto"/>
          </w:tcPr>
          <w:p w14:paraId="7DCFFC42" w14:textId="77777777" w:rsidR="00C1563E" w:rsidRDefault="00C1563E">
            <w:pPr>
              <w:rPr>
                <w:rFonts w:ascii="宋体"/>
              </w:rPr>
            </w:pPr>
          </w:p>
        </w:tc>
        <w:tc>
          <w:tcPr>
            <w:tcW w:w="1509" w:type="pct"/>
            <w:shd w:val="clear" w:color="auto" w:fill="auto"/>
          </w:tcPr>
          <w:p w14:paraId="7DCFFC43" w14:textId="77777777" w:rsidR="00C1563E" w:rsidRDefault="00C1563E">
            <w:pPr>
              <w:rPr>
                <w:rFonts w:ascii="宋体"/>
              </w:rPr>
            </w:pPr>
          </w:p>
        </w:tc>
        <w:tc>
          <w:tcPr>
            <w:tcW w:w="5" w:type="pct"/>
            <w:shd w:val="clear" w:color="auto" w:fill="auto"/>
          </w:tcPr>
          <w:p w14:paraId="7DCFFC44" w14:textId="77777777" w:rsidR="00C1563E" w:rsidRDefault="00C1563E">
            <w:pPr>
              <w:rPr>
                <w:rFonts w:ascii="宋体"/>
              </w:rPr>
            </w:pPr>
          </w:p>
        </w:tc>
        <w:tc>
          <w:tcPr>
            <w:tcW w:w="50" w:type="pct"/>
            <w:shd w:val="clear" w:color="auto" w:fill="auto"/>
          </w:tcPr>
          <w:p w14:paraId="7DCFFC45" w14:textId="77777777" w:rsidR="00C1563E" w:rsidRDefault="00C1563E">
            <w:pPr>
              <w:rPr>
                <w:rFonts w:ascii="宋体"/>
              </w:rPr>
            </w:pPr>
          </w:p>
        </w:tc>
        <w:tc>
          <w:tcPr>
            <w:tcW w:w="1406" w:type="pct"/>
            <w:shd w:val="clear" w:color="auto" w:fill="auto"/>
          </w:tcPr>
          <w:p w14:paraId="7DCFFC46" w14:textId="77777777" w:rsidR="00C1563E" w:rsidRDefault="00C1563E">
            <w:pPr>
              <w:rPr>
                <w:rFonts w:ascii="宋体"/>
              </w:rPr>
            </w:pPr>
          </w:p>
        </w:tc>
        <w:tc>
          <w:tcPr>
            <w:tcW w:w="5" w:type="pct"/>
            <w:shd w:val="clear" w:color="auto" w:fill="auto"/>
          </w:tcPr>
          <w:p w14:paraId="7DCFFC47" w14:textId="77777777" w:rsidR="00C1563E" w:rsidRDefault="00C1563E">
            <w:pPr>
              <w:rPr>
                <w:rFonts w:ascii="宋体"/>
              </w:rPr>
            </w:pPr>
          </w:p>
        </w:tc>
        <w:tc>
          <w:tcPr>
            <w:tcW w:w="50" w:type="pct"/>
            <w:shd w:val="clear" w:color="auto" w:fill="auto"/>
          </w:tcPr>
          <w:p w14:paraId="7DCFFC48" w14:textId="77777777" w:rsidR="00C1563E" w:rsidRDefault="00C1563E">
            <w:pPr>
              <w:rPr>
                <w:rFonts w:ascii="宋体"/>
              </w:rPr>
            </w:pPr>
          </w:p>
        </w:tc>
        <w:tc>
          <w:tcPr>
            <w:tcW w:w="917" w:type="pct"/>
            <w:shd w:val="clear" w:color="auto" w:fill="auto"/>
          </w:tcPr>
          <w:p w14:paraId="7DCFFC49" w14:textId="77777777" w:rsidR="00C1563E" w:rsidRDefault="00C1563E">
            <w:pPr>
              <w:rPr>
                <w:rFonts w:ascii="宋体"/>
              </w:rPr>
            </w:pPr>
          </w:p>
        </w:tc>
        <w:tc>
          <w:tcPr>
            <w:tcW w:w="5" w:type="pct"/>
            <w:shd w:val="clear" w:color="auto" w:fill="auto"/>
          </w:tcPr>
          <w:p w14:paraId="7DCFFC4A" w14:textId="77777777" w:rsidR="00C1563E" w:rsidRDefault="00C1563E">
            <w:pPr>
              <w:rPr>
                <w:rFonts w:ascii="宋体"/>
              </w:rPr>
            </w:pPr>
          </w:p>
        </w:tc>
        <w:tc>
          <w:tcPr>
            <w:tcW w:w="5" w:type="pct"/>
            <w:shd w:val="clear" w:color="auto" w:fill="auto"/>
          </w:tcPr>
          <w:p w14:paraId="7DCFFC4B" w14:textId="77777777" w:rsidR="00C1563E" w:rsidRDefault="00C1563E">
            <w:pPr>
              <w:rPr>
                <w:rFonts w:ascii="宋体"/>
              </w:rPr>
            </w:pPr>
          </w:p>
        </w:tc>
        <w:tc>
          <w:tcPr>
            <w:tcW w:w="19" w:type="pct"/>
            <w:shd w:val="clear" w:color="auto" w:fill="auto"/>
          </w:tcPr>
          <w:p w14:paraId="7DCFFC4C" w14:textId="77777777" w:rsidR="00C1563E" w:rsidRDefault="00C1563E">
            <w:pPr>
              <w:rPr>
                <w:rFonts w:ascii="宋体"/>
              </w:rPr>
            </w:pPr>
          </w:p>
        </w:tc>
        <w:tc>
          <w:tcPr>
            <w:tcW w:w="5" w:type="pct"/>
            <w:shd w:val="clear" w:color="auto" w:fill="auto"/>
          </w:tcPr>
          <w:p w14:paraId="7DCFFC4D" w14:textId="77777777" w:rsidR="00C1563E" w:rsidRDefault="00C1563E">
            <w:pPr>
              <w:rPr>
                <w:rFonts w:ascii="宋体"/>
              </w:rPr>
            </w:pPr>
          </w:p>
        </w:tc>
        <w:tc>
          <w:tcPr>
            <w:tcW w:w="50" w:type="pct"/>
            <w:shd w:val="clear" w:color="auto" w:fill="auto"/>
          </w:tcPr>
          <w:p w14:paraId="7DCFFC4E" w14:textId="77777777" w:rsidR="00C1563E" w:rsidRDefault="00C1563E">
            <w:pPr>
              <w:rPr>
                <w:rFonts w:ascii="宋体"/>
              </w:rPr>
            </w:pPr>
          </w:p>
        </w:tc>
        <w:tc>
          <w:tcPr>
            <w:tcW w:w="917" w:type="pct"/>
            <w:shd w:val="clear" w:color="auto" w:fill="auto"/>
          </w:tcPr>
          <w:p w14:paraId="7DCFFC4F" w14:textId="77777777" w:rsidR="00C1563E" w:rsidRDefault="00C1563E">
            <w:pPr>
              <w:rPr>
                <w:rFonts w:ascii="宋体"/>
              </w:rPr>
            </w:pPr>
          </w:p>
        </w:tc>
        <w:tc>
          <w:tcPr>
            <w:tcW w:w="5" w:type="pct"/>
            <w:shd w:val="clear" w:color="auto" w:fill="auto"/>
          </w:tcPr>
          <w:p w14:paraId="7DCFFC50" w14:textId="77777777" w:rsidR="00C1563E" w:rsidRDefault="00C1563E">
            <w:pPr>
              <w:rPr>
                <w:rFonts w:ascii="宋体"/>
              </w:rPr>
            </w:pPr>
          </w:p>
        </w:tc>
        <w:tc>
          <w:tcPr>
            <w:tcW w:w="0" w:type="auto"/>
            <w:gridSpan w:val="3"/>
            <w:shd w:val="clear" w:color="auto" w:fill="auto"/>
          </w:tcPr>
          <w:p w14:paraId="7DCFFC51" w14:textId="77777777" w:rsidR="00C1563E" w:rsidRDefault="00C1563E">
            <w:pPr>
              <w:rPr>
                <w:rFonts w:ascii="宋体"/>
                <w:vanish/>
              </w:rPr>
            </w:pPr>
          </w:p>
        </w:tc>
        <w:tc>
          <w:tcPr>
            <w:tcW w:w="0" w:type="auto"/>
            <w:gridSpan w:val="3"/>
            <w:shd w:val="clear" w:color="auto" w:fill="auto"/>
          </w:tcPr>
          <w:p w14:paraId="7DCFFC52" w14:textId="77777777" w:rsidR="00C1563E" w:rsidRDefault="00C1563E">
            <w:pPr>
              <w:rPr>
                <w:rFonts w:ascii="宋体"/>
                <w:vanish/>
              </w:rPr>
            </w:pPr>
          </w:p>
        </w:tc>
      </w:tr>
      <w:tr w:rsidR="00C1563E" w14:paraId="7DCFFC5B" w14:textId="77777777">
        <w:trPr>
          <w:jc w:val="center"/>
        </w:trPr>
        <w:tc>
          <w:tcPr>
            <w:tcW w:w="0" w:type="auto"/>
            <w:gridSpan w:val="3"/>
            <w:shd w:val="clear" w:color="auto" w:fill="auto"/>
            <w:tcMar>
              <w:top w:w="0" w:type="dxa"/>
              <w:left w:w="20" w:type="dxa"/>
              <w:bottom w:w="0" w:type="dxa"/>
              <w:right w:w="20" w:type="dxa"/>
            </w:tcMar>
          </w:tcPr>
          <w:p w14:paraId="7DCFFC5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C55" w14:textId="77777777" w:rsidR="00C1563E" w:rsidRDefault="000B648B">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7DCFFC56"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C57"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C58"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Pr>
          <w:p w14:paraId="7DCFFC59" w14:textId="77777777" w:rsidR="00C1563E" w:rsidRDefault="00C1563E">
            <w:pPr>
              <w:rPr>
                <w:rFonts w:ascii="宋体"/>
                <w:vanish/>
              </w:rPr>
            </w:pPr>
          </w:p>
        </w:tc>
        <w:tc>
          <w:tcPr>
            <w:tcW w:w="0" w:type="auto"/>
            <w:gridSpan w:val="3"/>
            <w:shd w:val="clear" w:color="auto" w:fill="auto"/>
          </w:tcPr>
          <w:p w14:paraId="7DCFFC5A" w14:textId="77777777" w:rsidR="00C1563E" w:rsidRDefault="00C1563E">
            <w:pPr>
              <w:rPr>
                <w:rFonts w:ascii="宋体"/>
                <w:vanish/>
              </w:rPr>
            </w:pPr>
          </w:p>
        </w:tc>
      </w:tr>
      <w:tr w:rsidR="00C1563E" w14:paraId="7DCFFC65" w14:textId="77777777">
        <w:trPr>
          <w:jc w:val="center"/>
        </w:trPr>
        <w:tc>
          <w:tcPr>
            <w:tcW w:w="0" w:type="auto"/>
            <w:gridSpan w:val="3"/>
            <w:shd w:val="clear" w:color="auto" w:fill="auto"/>
            <w:tcMar>
              <w:top w:w="0" w:type="dxa"/>
              <w:left w:w="20" w:type="dxa"/>
              <w:bottom w:w="0" w:type="dxa"/>
              <w:right w:w="20" w:type="dxa"/>
            </w:tcMar>
          </w:tcPr>
          <w:p w14:paraId="7DCFFC5C"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CFFC5D"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C5E" w14:textId="77777777" w:rsidR="00C1563E" w:rsidRDefault="000B648B">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tcPr>
          <w:p w14:paraId="7DCFFC5F" w14:textId="77777777" w:rsidR="00C1563E" w:rsidRDefault="00C1563E">
            <w:pPr>
              <w:rPr>
                <w:rFonts w:ascii="宋体"/>
              </w:rPr>
            </w:pPr>
          </w:p>
        </w:tc>
        <w:tc>
          <w:tcPr>
            <w:tcW w:w="0" w:type="auto"/>
            <w:shd w:val="clear" w:color="auto" w:fill="auto"/>
          </w:tcPr>
          <w:p w14:paraId="7DCFFC60" w14:textId="77777777" w:rsidR="00C1563E" w:rsidRDefault="00C1563E">
            <w:pPr>
              <w:rPr>
                <w:rFonts w:ascii="宋体"/>
              </w:rPr>
            </w:pPr>
          </w:p>
        </w:tc>
        <w:tc>
          <w:tcPr>
            <w:tcW w:w="0" w:type="auto"/>
            <w:shd w:val="clear" w:color="auto" w:fill="auto"/>
          </w:tcPr>
          <w:p w14:paraId="7DCFFC61" w14:textId="77777777" w:rsidR="00C1563E" w:rsidRDefault="00C1563E">
            <w:pPr>
              <w:rPr>
                <w:rFonts w:ascii="宋体"/>
              </w:rPr>
            </w:pPr>
          </w:p>
        </w:tc>
        <w:tc>
          <w:tcPr>
            <w:tcW w:w="0" w:type="auto"/>
            <w:shd w:val="clear" w:color="auto" w:fill="auto"/>
          </w:tcPr>
          <w:p w14:paraId="7DCFFC62" w14:textId="77777777" w:rsidR="00C1563E" w:rsidRDefault="00C1563E">
            <w:pPr>
              <w:rPr>
                <w:rFonts w:ascii="宋体"/>
              </w:rPr>
            </w:pPr>
          </w:p>
        </w:tc>
        <w:tc>
          <w:tcPr>
            <w:tcW w:w="0" w:type="auto"/>
            <w:shd w:val="clear" w:color="auto" w:fill="auto"/>
          </w:tcPr>
          <w:p w14:paraId="7DCFFC63" w14:textId="77777777" w:rsidR="00C1563E" w:rsidRDefault="00C1563E">
            <w:pPr>
              <w:rPr>
                <w:rFonts w:ascii="宋体"/>
              </w:rPr>
            </w:pPr>
          </w:p>
        </w:tc>
        <w:tc>
          <w:tcPr>
            <w:tcW w:w="0" w:type="auto"/>
            <w:shd w:val="clear" w:color="auto" w:fill="auto"/>
          </w:tcPr>
          <w:p w14:paraId="7DCFFC64" w14:textId="77777777" w:rsidR="00C1563E" w:rsidRDefault="00C1563E">
            <w:pPr>
              <w:rPr>
                <w:rFonts w:ascii="宋体"/>
              </w:rPr>
            </w:pPr>
          </w:p>
        </w:tc>
      </w:tr>
      <w:tr w:rsidR="00C1563E" w14:paraId="7DCFFC6F" w14:textId="77777777">
        <w:trPr>
          <w:jc w:val="center"/>
        </w:trPr>
        <w:tc>
          <w:tcPr>
            <w:tcW w:w="0" w:type="auto"/>
            <w:gridSpan w:val="3"/>
            <w:shd w:val="clear" w:color="auto" w:fill="CCEEFF"/>
            <w:tcMar>
              <w:top w:w="40" w:type="dxa"/>
              <w:left w:w="20" w:type="dxa"/>
              <w:bottom w:w="40" w:type="dxa"/>
              <w:right w:w="20" w:type="dxa"/>
            </w:tcMar>
            <w:vAlign w:val="bottom"/>
          </w:tcPr>
          <w:p w14:paraId="7DCFFC66" w14:textId="77777777" w:rsidR="00C1563E" w:rsidRDefault="000B648B">
            <w:pPr>
              <w:textAlignment w:val="bottom"/>
            </w:pPr>
            <w:r>
              <w:rPr>
                <w:rFonts w:ascii="Times New Roman" w:eastAsia="宋体" w:hAnsi="Times New Roman"/>
                <w:color w:val="000000"/>
                <w:sz w:val="20"/>
                <w:szCs w:val="20"/>
              </w:rPr>
              <w:t>Operating lease ROU assets</w:t>
            </w:r>
          </w:p>
        </w:tc>
        <w:tc>
          <w:tcPr>
            <w:tcW w:w="0" w:type="auto"/>
            <w:gridSpan w:val="3"/>
            <w:shd w:val="clear" w:color="auto" w:fill="CCEEFF"/>
            <w:tcMar>
              <w:top w:w="40" w:type="dxa"/>
              <w:left w:w="20" w:type="dxa"/>
              <w:bottom w:w="40" w:type="dxa"/>
              <w:right w:w="20" w:type="dxa"/>
            </w:tcMar>
            <w:vAlign w:val="bottom"/>
          </w:tcPr>
          <w:p w14:paraId="7DCFFC67" w14:textId="77777777" w:rsidR="00C1563E" w:rsidRDefault="000B648B">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non-current assets</w:t>
            </w:r>
          </w:p>
        </w:tc>
        <w:tc>
          <w:tcPr>
            <w:tcW w:w="0" w:type="auto"/>
            <w:shd w:val="clear" w:color="auto" w:fill="CCEEFF"/>
            <w:tcMar>
              <w:top w:w="40" w:type="dxa"/>
              <w:left w:w="20" w:type="dxa"/>
              <w:bottom w:w="40" w:type="dxa"/>
              <w:right w:w="0" w:type="dxa"/>
            </w:tcMar>
            <w:vAlign w:val="bottom"/>
          </w:tcPr>
          <w:p w14:paraId="7DCFFC68"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CFFC69" w14:textId="77777777" w:rsidR="00C1563E" w:rsidRDefault="000B648B">
            <w:pPr>
              <w:jc w:val="right"/>
              <w:textAlignment w:val="bottom"/>
            </w:pPr>
            <w:r>
              <w:rPr>
                <w:rFonts w:ascii="Times New Roman" w:eastAsia="宋体" w:hAnsi="Times New Roman"/>
                <w:color w:val="000000"/>
                <w:sz w:val="20"/>
                <w:szCs w:val="20"/>
              </w:rPr>
              <w:t>2,117</w:t>
            </w:r>
          </w:p>
        </w:tc>
        <w:tc>
          <w:tcPr>
            <w:tcW w:w="0" w:type="auto"/>
            <w:gridSpan w:val="3"/>
            <w:shd w:val="clear" w:color="auto" w:fill="CCEEFF"/>
            <w:tcMar>
              <w:top w:w="0" w:type="dxa"/>
              <w:left w:w="20" w:type="dxa"/>
              <w:bottom w:w="0" w:type="dxa"/>
              <w:right w:w="20" w:type="dxa"/>
            </w:tcMar>
          </w:tcPr>
          <w:p w14:paraId="7DCFFC6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C6B"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CFFC6C" w14:textId="77777777" w:rsidR="00C1563E" w:rsidRDefault="000B648B">
            <w:pPr>
              <w:jc w:val="right"/>
              <w:textAlignment w:val="bottom"/>
            </w:pPr>
            <w:r>
              <w:rPr>
                <w:rFonts w:ascii="Times New Roman" w:eastAsia="宋体" w:hAnsi="Times New Roman"/>
                <w:color w:val="000000"/>
                <w:sz w:val="20"/>
                <w:szCs w:val="20"/>
              </w:rPr>
              <w:t>1,780</w:t>
            </w:r>
          </w:p>
        </w:tc>
        <w:tc>
          <w:tcPr>
            <w:tcW w:w="0" w:type="auto"/>
            <w:gridSpan w:val="3"/>
            <w:shd w:val="clear" w:color="auto" w:fill="auto"/>
          </w:tcPr>
          <w:p w14:paraId="7DCFFC6D" w14:textId="77777777" w:rsidR="00C1563E" w:rsidRDefault="00C1563E">
            <w:pPr>
              <w:rPr>
                <w:rFonts w:ascii="宋体"/>
                <w:vanish/>
              </w:rPr>
            </w:pPr>
          </w:p>
        </w:tc>
        <w:tc>
          <w:tcPr>
            <w:tcW w:w="0" w:type="auto"/>
            <w:gridSpan w:val="3"/>
            <w:shd w:val="clear" w:color="auto" w:fill="auto"/>
          </w:tcPr>
          <w:p w14:paraId="7DCFFC6E" w14:textId="77777777" w:rsidR="00C1563E" w:rsidRDefault="00C1563E">
            <w:pPr>
              <w:rPr>
                <w:rFonts w:ascii="宋体"/>
                <w:vanish/>
              </w:rPr>
            </w:pPr>
          </w:p>
        </w:tc>
      </w:tr>
      <w:tr w:rsidR="00C1563E" w14:paraId="7DCFFC77" w14:textId="77777777">
        <w:trPr>
          <w:trHeight w:val="300"/>
          <w:jc w:val="center"/>
        </w:trPr>
        <w:tc>
          <w:tcPr>
            <w:tcW w:w="0" w:type="auto"/>
            <w:gridSpan w:val="3"/>
            <w:shd w:val="clear" w:color="auto" w:fill="FFFFFF"/>
            <w:tcMar>
              <w:top w:w="0" w:type="dxa"/>
              <w:left w:w="20" w:type="dxa"/>
              <w:bottom w:w="0" w:type="dxa"/>
              <w:right w:w="20" w:type="dxa"/>
            </w:tcMar>
          </w:tcPr>
          <w:p w14:paraId="7DCFFC7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C7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C7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C73" w14:textId="77777777" w:rsidR="00C1563E" w:rsidRDefault="00C1563E">
            <w:pPr>
              <w:rPr>
                <w:rFonts w:ascii="宋体"/>
              </w:rPr>
            </w:pPr>
          </w:p>
        </w:tc>
        <w:tc>
          <w:tcPr>
            <w:tcW w:w="0" w:type="auto"/>
            <w:gridSpan w:val="3"/>
            <w:shd w:val="clear" w:color="auto" w:fill="FFFFFF"/>
            <w:tcMar>
              <w:top w:w="0" w:type="dxa"/>
              <w:left w:w="20" w:type="dxa"/>
              <w:bottom w:w="0" w:type="dxa"/>
              <w:right w:w="140" w:type="dxa"/>
            </w:tcMar>
          </w:tcPr>
          <w:p w14:paraId="7DCFFC74" w14:textId="77777777" w:rsidR="00C1563E" w:rsidRDefault="00C1563E">
            <w:pPr>
              <w:rPr>
                <w:rFonts w:ascii="宋体"/>
              </w:rPr>
            </w:pPr>
          </w:p>
        </w:tc>
        <w:tc>
          <w:tcPr>
            <w:tcW w:w="0" w:type="auto"/>
            <w:gridSpan w:val="3"/>
            <w:shd w:val="clear" w:color="auto" w:fill="auto"/>
          </w:tcPr>
          <w:p w14:paraId="7DCFFC75" w14:textId="77777777" w:rsidR="00C1563E" w:rsidRDefault="00C1563E">
            <w:pPr>
              <w:rPr>
                <w:rFonts w:ascii="宋体"/>
                <w:vanish/>
              </w:rPr>
            </w:pPr>
          </w:p>
        </w:tc>
        <w:tc>
          <w:tcPr>
            <w:tcW w:w="0" w:type="auto"/>
            <w:gridSpan w:val="3"/>
            <w:shd w:val="clear" w:color="auto" w:fill="auto"/>
          </w:tcPr>
          <w:p w14:paraId="7DCFFC76" w14:textId="77777777" w:rsidR="00C1563E" w:rsidRDefault="00C1563E">
            <w:pPr>
              <w:rPr>
                <w:rFonts w:ascii="宋体"/>
                <w:vanish/>
              </w:rPr>
            </w:pPr>
          </w:p>
        </w:tc>
      </w:tr>
      <w:tr w:rsidR="00C1563E" w14:paraId="7DCFFC81" w14:textId="77777777">
        <w:trPr>
          <w:jc w:val="center"/>
        </w:trPr>
        <w:tc>
          <w:tcPr>
            <w:tcW w:w="0" w:type="auto"/>
            <w:gridSpan w:val="3"/>
            <w:shd w:val="clear" w:color="auto" w:fill="CCEEFF"/>
            <w:tcMar>
              <w:top w:w="40" w:type="dxa"/>
              <w:left w:w="20" w:type="dxa"/>
              <w:bottom w:w="40" w:type="dxa"/>
              <w:right w:w="20" w:type="dxa"/>
            </w:tcMar>
            <w:vAlign w:val="bottom"/>
          </w:tcPr>
          <w:p w14:paraId="7DCFFC78" w14:textId="77777777" w:rsidR="00C1563E" w:rsidRDefault="000B648B">
            <w:pPr>
              <w:textAlignment w:val="bottom"/>
            </w:pPr>
            <w:r>
              <w:rPr>
                <w:rFonts w:ascii="Times New Roman" w:eastAsia="宋体" w:hAnsi="Times New Roman"/>
                <w:color w:val="000000"/>
                <w:sz w:val="20"/>
                <w:szCs w:val="20"/>
              </w:rPr>
              <w:t>Current operating lease liabilities</w:t>
            </w:r>
          </w:p>
        </w:tc>
        <w:tc>
          <w:tcPr>
            <w:tcW w:w="0" w:type="auto"/>
            <w:gridSpan w:val="3"/>
            <w:shd w:val="clear" w:color="auto" w:fill="CCEEFF"/>
            <w:tcMar>
              <w:top w:w="40" w:type="dxa"/>
              <w:left w:w="20" w:type="dxa"/>
              <w:bottom w:w="40" w:type="dxa"/>
              <w:right w:w="20" w:type="dxa"/>
            </w:tcMar>
            <w:vAlign w:val="bottom"/>
          </w:tcPr>
          <w:p w14:paraId="7DCFFC79" w14:textId="77777777" w:rsidR="00C1563E" w:rsidRDefault="000B648B">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right w:w="0" w:type="dxa"/>
            </w:tcMar>
            <w:vAlign w:val="bottom"/>
          </w:tcPr>
          <w:p w14:paraId="7DCFFC7A"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CFFC7B" w14:textId="77777777" w:rsidR="00C1563E" w:rsidRDefault="000B648B">
            <w:pPr>
              <w:jc w:val="right"/>
              <w:textAlignment w:val="bottom"/>
            </w:pPr>
            <w:r>
              <w:rPr>
                <w:rFonts w:ascii="Times New Roman" w:eastAsia="宋体" w:hAnsi="Times New Roman"/>
                <w:color w:val="000000"/>
                <w:sz w:val="20"/>
                <w:szCs w:val="20"/>
              </w:rPr>
              <w:t>436</w:t>
            </w:r>
          </w:p>
        </w:tc>
        <w:tc>
          <w:tcPr>
            <w:tcW w:w="0" w:type="auto"/>
            <w:gridSpan w:val="3"/>
            <w:shd w:val="clear" w:color="auto" w:fill="CCEEFF"/>
            <w:tcMar>
              <w:top w:w="0" w:type="dxa"/>
              <w:left w:w="20" w:type="dxa"/>
              <w:bottom w:w="0" w:type="dxa"/>
              <w:right w:w="20" w:type="dxa"/>
            </w:tcMar>
          </w:tcPr>
          <w:p w14:paraId="7DCFFC7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C7D"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CFFC7E" w14:textId="77777777" w:rsidR="00C1563E" w:rsidRDefault="000B648B">
            <w:pPr>
              <w:jc w:val="right"/>
              <w:textAlignment w:val="bottom"/>
            </w:pPr>
            <w:r>
              <w:rPr>
                <w:rFonts w:ascii="Times New Roman" w:eastAsia="宋体" w:hAnsi="Times New Roman"/>
                <w:color w:val="000000"/>
                <w:sz w:val="20"/>
                <w:szCs w:val="20"/>
              </w:rPr>
              <w:t>432</w:t>
            </w:r>
          </w:p>
        </w:tc>
        <w:tc>
          <w:tcPr>
            <w:tcW w:w="0" w:type="auto"/>
            <w:gridSpan w:val="3"/>
            <w:shd w:val="clear" w:color="auto" w:fill="auto"/>
          </w:tcPr>
          <w:p w14:paraId="7DCFFC7F" w14:textId="77777777" w:rsidR="00C1563E" w:rsidRDefault="00C1563E">
            <w:pPr>
              <w:rPr>
                <w:rFonts w:ascii="宋体"/>
                <w:vanish/>
              </w:rPr>
            </w:pPr>
          </w:p>
        </w:tc>
        <w:tc>
          <w:tcPr>
            <w:tcW w:w="0" w:type="auto"/>
            <w:gridSpan w:val="3"/>
            <w:shd w:val="clear" w:color="auto" w:fill="auto"/>
          </w:tcPr>
          <w:p w14:paraId="7DCFFC80" w14:textId="77777777" w:rsidR="00C1563E" w:rsidRDefault="00C1563E">
            <w:pPr>
              <w:rPr>
                <w:rFonts w:ascii="宋体"/>
                <w:vanish/>
              </w:rPr>
            </w:pPr>
          </w:p>
        </w:tc>
      </w:tr>
      <w:tr w:rsidR="00C1563E" w14:paraId="7DCFFC89" w14:textId="77777777">
        <w:trPr>
          <w:jc w:val="center"/>
        </w:trPr>
        <w:tc>
          <w:tcPr>
            <w:tcW w:w="0" w:type="auto"/>
            <w:gridSpan w:val="3"/>
            <w:shd w:val="clear" w:color="auto" w:fill="FFFFFF"/>
            <w:tcMar>
              <w:top w:w="40" w:type="dxa"/>
              <w:left w:w="20" w:type="dxa"/>
              <w:bottom w:w="40" w:type="dxa"/>
              <w:right w:w="20" w:type="dxa"/>
            </w:tcMar>
            <w:vAlign w:val="bottom"/>
          </w:tcPr>
          <w:p w14:paraId="7DCFFC82" w14:textId="77777777" w:rsidR="00C1563E" w:rsidRDefault="000B648B">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7DCFFC83" w14:textId="77777777" w:rsidR="00C1563E" w:rsidRDefault="000B648B">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40" w:type="dxa"/>
              <w:left w:w="20" w:type="dxa"/>
              <w:bottom w:w="40" w:type="dxa"/>
              <w:right w:w="140" w:type="dxa"/>
            </w:tcMar>
            <w:vAlign w:val="bottom"/>
          </w:tcPr>
          <w:p w14:paraId="7DCFFC84" w14:textId="77777777" w:rsidR="00C1563E" w:rsidRDefault="000B648B">
            <w:pPr>
              <w:jc w:val="right"/>
              <w:textAlignment w:val="bottom"/>
            </w:pPr>
            <w:r>
              <w:rPr>
                <w:rFonts w:ascii="Times New Roman" w:eastAsia="宋体" w:hAnsi="Times New Roman"/>
                <w:color w:val="000000"/>
                <w:sz w:val="20"/>
                <w:szCs w:val="20"/>
              </w:rPr>
              <w:t>1,787</w:t>
            </w:r>
          </w:p>
        </w:tc>
        <w:tc>
          <w:tcPr>
            <w:tcW w:w="0" w:type="auto"/>
            <w:gridSpan w:val="3"/>
            <w:shd w:val="clear" w:color="auto" w:fill="FFFFFF"/>
            <w:tcMar>
              <w:top w:w="0" w:type="dxa"/>
              <w:left w:w="20" w:type="dxa"/>
              <w:bottom w:w="0" w:type="dxa"/>
              <w:right w:w="20" w:type="dxa"/>
            </w:tcMar>
          </w:tcPr>
          <w:p w14:paraId="7DCFFC85" w14:textId="77777777" w:rsidR="00C1563E" w:rsidRDefault="00C1563E">
            <w:pPr>
              <w:rPr>
                <w:rFonts w:ascii="宋体"/>
              </w:rPr>
            </w:pPr>
          </w:p>
        </w:tc>
        <w:tc>
          <w:tcPr>
            <w:tcW w:w="0" w:type="auto"/>
            <w:gridSpan w:val="3"/>
            <w:shd w:val="clear" w:color="auto" w:fill="FFFFFF"/>
            <w:tcMar>
              <w:top w:w="40" w:type="dxa"/>
              <w:left w:w="20" w:type="dxa"/>
              <w:bottom w:w="40" w:type="dxa"/>
              <w:right w:w="140" w:type="dxa"/>
            </w:tcMar>
            <w:vAlign w:val="bottom"/>
          </w:tcPr>
          <w:p w14:paraId="7DCFFC86" w14:textId="77777777" w:rsidR="00C1563E" w:rsidRDefault="000B648B">
            <w:pPr>
              <w:jc w:val="right"/>
              <w:textAlignment w:val="bottom"/>
            </w:pPr>
            <w:r>
              <w:rPr>
                <w:rFonts w:ascii="Times New Roman" w:eastAsia="宋体" w:hAnsi="Times New Roman"/>
                <w:color w:val="000000"/>
                <w:sz w:val="20"/>
                <w:szCs w:val="20"/>
              </w:rPr>
              <w:t>1,360</w:t>
            </w:r>
          </w:p>
        </w:tc>
        <w:tc>
          <w:tcPr>
            <w:tcW w:w="0" w:type="auto"/>
            <w:gridSpan w:val="3"/>
            <w:shd w:val="clear" w:color="auto" w:fill="auto"/>
          </w:tcPr>
          <w:p w14:paraId="7DCFFC87" w14:textId="77777777" w:rsidR="00C1563E" w:rsidRDefault="00C1563E">
            <w:pPr>
              <w:rPr>
                <w:rFonts w:ascii="宋体"/>
                <w:vanish/>
              </w:rPr>
            </w:pPr>
          </w:p>
        </w:tc>
        <w:tc>
          <w:tcPr>
            <w:tcW w:w="0" w:type="auto"/>
            <w:gridSpan w:val="3"/>
            <w:shd w:val="clear" w:color="auto" w:fill="auto"/>
          </w:tcPr>
          <w:p w14:paraId="7DCFFC88" w14:textId="77777777" w:rsidR="00C1563E" w:rsidRDefault="00C1563E">
            <w:pPr>
              <w:rPr>
                <w:rFonts w:ascii="宋体"/>
                <w:vanish/>
              </w:rPr>
            </w:pPr>
          </w:p>
        </w:tc>
      </w:tr>
      <w:tr w:rsidR="00C1563E" w14:paraId="7DCFFC93" w14:textId="77777777">
        <w:trPr>
          <w:jc w:val="center"/>
        </w:trPr>
        <w:tc>
          <w:tcPr>
            <w:tcW w:w="0" w:type="auto"/>
            <w:gridSpan w:val="3"/>
            <w:shd w:val="clear" w:color="auto" w:fill="CCEEFF"/>
            <w:tcMar>
              <w:top w:w="40" w:type="dxa"/>
              <w:left w:w="155" w:type="dxa"/>
              <w:bottom w:w="40" w:type="dxa"/>
              <w:right w:w="20" w:type="dxa"/>
            </w:tcMar>
            <w:vAlign w:val="bottom"/>
          </w:tcPr>
          <w:p w14:paraId="7DCFFC8A" w14:textId="77777777" w:rsidR="00C1563E" w:rsidRDefault="000B648B">
            <w:pPr>
              <w:textAlignment w:val="bottom"/>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tcPr>
          <w:p w14:paraId="7DCFFC8B"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C8C"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FC8D" w14:textId="77777777" w:rsidR="00C1563E" w:rsidRDefault="000B648B">
            <w:pPr>
              <w:jc w:val="right"/>
              <w:textAlignment w:val="bottom"/>
            </w:pPr>
            <w:r>
              <w:rPr>
                <w:rFonts w:ascii="Times New Roman" w:eastAsia="宋体" w:hAnsi="Times New Roman"/>
                <w:color w:val="000000"/>
                <w:sz w:val="20"/>
                <w:szCs w:val="20"/>
              </w:rPr>
              <w:t>2,223</w:t>
            </w:r>
          </w:p>
        </w:tc>
        <w:tc>
          <w:tcPr>
            <w:tcW w:w="0" w:type="auto"/>
            <w:gridSpan w:val="3"/>
            <w:shd w:val="clear" w:color="auto" w:fill="CCEEFF"/>
            <w:tcMar>
              <w:top w:w="0" w:type="dxa"/>
              <w:left w:w="20" w:type="dxa"/>
              <w:bottom w:w="0" w:type="dxa"/>
              <w:right w:w="20" w:type="dxa"/>
            </w:tcMar>
          </w:tcPr>
          <w:p w14:paraId="7DCFFC8E"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CFFC8F" w14:textId="77777777" w:rsidR="00C1563E" w:rsidRDefault="000B648B">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DCFFC90" w14:textId="77777777" w:rsidR="00C1563E" w:rsidRDefault="000B648B">
            <w:pPr>
              <w:jc w:val="right"/>
              <w:textAlignment w:val="bottom"/>
            </w:pPr>
            <w:r>
              <w:rPr>
                <w:rFonts w:ascii="Times New Roman" w:eastAsia="宋体" w:hAnsi="Times New Roman"/>
                <w:color w:val="000000"/>
                <w:sz w:val="20"/>
                <w:szCs w:val="20"/>
              </w:rPr>
              <w:t>1,792</w:t>
            </w:r>
          </w:p>
        </w:tc>
        <w:tc>
          <w:tcPr>
            <w:tcW w:w="0" w:type="auto"/>
            <w:gridSpan w:val="3"/>
            <w:shd w:val="clear" w:color="auto" w:fill="auto"/>
          </w:tcPr>
          <w:p w14:paraId="7DCFFC91" w14:textId="77777777" w:rsidR="00C1563E" w:rsidRDefault="00C1563E">
            <w:pPr>
              <w:rPr>
                <w:rFonts w:ascii="宋体"/>
                <w:vanish/>
              </w:rPr>
            </w:pPr>
          </w:p>
        </w:tc>
        <w:tc>
          <w:tcPr>
            <w:tcW w:w="0" w:type="auto"/>
            <w:gridSpan w:val="3"/>
            <w:shd w:val="clear" w:color="auto" w:fill="auto"/>
          </w:tcPr>
          <w:p w14:paraId="7DCFFC92" w14:textId="77777777" w:rsidR="00C1563E" w:rsidRDefault="00C1563E">
            <w:pPr>
              <w:rPr>
                <w:rFonts w:ascii="宋体"/>
                <w:vanish/>
              </w:rPr>
            </w:pPr>
          </w:p>
        </w:tc>
      </w:tr>
      <w:tr w:rsidR="00C1563E" w14:paraId="7DCFFC9B" w14:textId="77777777">
        <w:trPr>
          <w:trHeight w:val="300"/>
          <w:jc w:val="center"/>
        </w:trPr>
        <w:tc>
          <w:tcPr>
            <w:tcW w:w="0" w:type="auto"/>
            <w:gridSpan w:val="3"/>
            <w:shd w:val="clear" w:color="auto" w:fill="FFFFFF"/>
            <w:tcMar>
              <w:top w:w="0" w:type="dxa"/>
              <w:left w:w="20" w:type="dxa"/>
              <w:bottom w:w="0" w:type="dxa"/>
              <w:right w:w="20" w:type="dxa"/>
            </w:tcMar>
          </w:tcPr>
          <w:p w14:paraId="7DCFFC9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C95"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FC9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C97"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CFFC98" w14:textId="77777777" w:rsidR="00C1563E" w:rsidRDefault="00C1563E">
            <w:pPr>
              <w:rPr>
                <w:rFonts w:ascii="宋体"/>
              </w:rPr>
            </w:pPr>
          </w:p>
        </w:tc>
        <w:tc>
          <w:tcPr>
            <w:tcW w:w="0" w:type="auto"/>
            <w:gridSpan w:val="3"/>
            <w:shd w:val="clear" w:color="auto" w:fill="auto"/>
          </w:tcPr>
          <w:p w14:paraId="7DCFFC99" w14:textId="77777777" w:rsidR="00C1563E" w:rsidRDefault="00C1563E">
            <w:pPr>
              <w:rPr>
                <w:rFonts w:ascii="宋体"/>
                <w:vanish/>
              </w:rPr>
            </w:pPr>
          </w:p>
        </w:tc>
        <w:tc>
          <w:tcPr>
            <w:tcW w:w="0" w:type="auto"/>
            <w:gridSpan w:val="3"/>
            <w:shd w:val="clear" w:color="auto" w:fill="auto"/>
          </w:tcPr>
          <w:p w14:paraId="7DCFFC9A" w14:textId="77777777" w:rsidR="00C1563E" w:rsidRDefault="00C1563E">
            <w:pPr>
              <w:rPr>
                <w:rFonts w:ascii="宋体"/>
                <w:vanish/>
              </w:rPr>
            </w:pPr>
          </w:p>
        </w:tc>
      </w:tr>
      <w:tr w:rsidR="00C1563E" w14:paraId="7DCFFCA3" w14:textId="77777777">
        <w:trPr>
          <w:jc w:val="center"/>
        </w:trPr>
        <w:tc>
          <w:tcPr>
            <w:tcW w:w="0" w:type="auto"/>
            <w:gridSpan w:val="3"/>
            <w:shd w:val="clear" w:color="auto" w:fill="CCEEFF"/>
            <w:tcMar>
              <w:top w:w="40" w:type="dxa"/>
              <w:left w:w="20" w:type="dxa"/>
              <w:bottom w:w="40" w:type="dxa"/>
              <w:right w:w="20" w:type="dxa"/>
            </w:tcMar>
            <w:vAlign w:val="bottom"/>
          </w:tcPr>
          <w:p w14:paraId="7DCFFC9C" w14:textId="77777777" w:rsidR="00C1563E" w:rsidRDefault="000B648B">
            <w:pPr>
              <w:textAlignment w:val="bottom"/>
            </w:pPr>
            <w:r>
              <w:rPr>
                <w:rFonts w:ascii="Times New Roman" w:eastAsia="宋体" w:hAnsi="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tcPr>
          <w:p w14:paraId="7DCFFC9D"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C9E" w14:textId="77777777" w:rsidR="00C1563E" w:rsidRDefault="000B648B">
            <w:pPr>
              <w:jc w:val="right"/>
              <w:textAlignment w:val="bottom"/>
            </w:pPr>
            <w:r>
              <w:rPr>
                <w:rFonts w:ascii="Times New Roman" w:eastAsia="宋体" w:hAnsi="Times New Roman"/>
                <w:color w:val="000000"/>
                <w:sz w:val="20"/>
                <w:szCs w:val="20"/>
              </w:rPr>
              <w:t>8.85</w:t>
            </w:r>
          </w:p>
        </w:tc>
        <w:tc>
          <w:tcPr>
            <w:tcW w:w="0" w:type="auto"/>
            <w:gridSpan w:val="3"/>
            <w:shd w:val="clear" w:color="auto" w:fill="CCEEFF"/>
            <w:tcMar>
              <w:top w:w="0" w:type="dxa"/>
              <w:left w:w="20" w:type="dxa"/>
              <w:bottom w:w="0" w:type="dxa"/>
              <w:right w:w="20" w:type="dxa"/>
            </w:tcMar>
          </w:tcPr>
          <w:p w14:paraId="7DCFFC9F"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CFFCA0" w14:textId="77777777" w:rsidR="00C1563E" w:rsidRDefault="000B648B">
            <w:pPr>
              <w:jc w:val="right"/>
              <w:textAlignment w:val="bottom"/>
            </w:pPr>
            <w:r>
              <w:rPr>
                <w:rFonts w:ascii="Times New Roman" w:eastAsia="宋体" w:hAnsi="Times New Roman"/>
                <w:color w:val="000000"/>
                <w:sz w:val="20"/>
                <w:szCs w:val="20"/>
              </w:rPr>
              <w:t>8.57</w:t>
            </w:r>
          </w:p>
        </w:tc>
        <w:tc>
          <w:tcPr>
            <w:tcW w:w="0" w:type="auto"/>
            <w:gridSpan w:val="3"/>
            <w:shd w:val="clear" w:color="auto" w:fill="auto"/>
          </w:tcPr>
          <w:p w14:paraId="7DCFFCA1" w14:textId="77777777" w:rsidR="00C1563E" w:rsidRDefault="00C1563E">
            <w:pPr>
              <w:rPr>
                <w:rFonts w:ascii="宋体"/>
                <w:vanish/>
              </w:rPr>
            </w:pPr>
          </w:p>
        </w:tc>
        <w:tc>
          <w:tcPr>
            <w:tcW w:w="0" w:type="auto"/>
            <w:gridSpan w:val="3"/>
            <w:shd w:val="clear" w:color="auto" w:fill="auto"/>
          </w:tcPr>
          <w:p w14:paraId="7DCFFCA2" w14:textId="77777777" w:rsidR="00C1563E" w:rsidRDefault="00C1563E">
            <w:pPr>
              <w:rPr>
                <w:rFonts w:ascii="宋体"/>
                <w:vanish/>
              </w:rPr>
            </w:pPr>
          </w:p>
        </w:tc>
      </w:tr>
      <w:tr w:rsidR="00C1563E" w14:paraId="7DCFFCAD" w14:textId="77777777">
        <w:trPr>
          <w:jc w:val="center"/>
        </w:trPr>
        <w:tc>
          <w:tcPr>
            <w:tcW w:w="0" w:type="auto"/>
            <w:gridSpan w:val="3"/>
            <w:shd w:val="clear" w:color="auto" w:fill="FFFFFF"/>
            <w:tcMar>
              <w:top w:w="40" w:type="dxa"/>
              <w:left w:w="20" w:type="dxa"/>
              <w:bottom w:w="40" w:type="dxa"/>
              <w:right w:w="20" w:type="dxa"/>
            </w:tcMar>
            <w:vAlign w:val="bottom"/>
          </w:tcPr>
          <w:p w14:paraId="7DCFFCA4" w14:textId="77777777" w:rsidR="00C1563E" w:rsidRDefault="000B648B">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tcPr>
          <w:p w14:paraId="7DCFFCA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CA6" w14:textId="77777777" w:rsidR="00C1563E" w:rsidRDefault="000B648B">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7DCFFCA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CFFCA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CA9" w14:textId="77777777" w:rsidR="00C1563E" w:rsidRDefault="000B648B">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left w:w="0" w:type="dxa"/>
              <w:bottom w:w="40" w:type="dxa"/>
              <w:right w:w="20" w:type="dxa"/>
            </w:tcMar>
            <w:vAlign w:val="bottom"/>
          </w:tcPr>
          <w:p w14:paraId="7DCFFCA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auto"/>
          </w:tcPr>
          <w:p w14:paraId="7DCFFCAB" w14:textId="77777777" w:rsidR="00C1563E" w:rsidRDefault="00C1563E">
            <w:pPr>
              <w:rPr>
                <w:rFonts w:ascii="宋体"/>
                <w:vanish/>
              </w:rPr>
            </w:pPr>
          </w:p>
        </w:tc>
        <w:tc>
          <w:tcPr>
            <w:tcW w:w="0" w:type="auto"/>
            <w:gridSpan w:val="3"/>
            <w:shd w:val="clear" w:color="auto" w:fill="auto"/>
          </w:tcPr>
          <w:p w14:paraId="7DCFFCAC" w14:textId="77777777" w:rsidR="00C1563E" w:rsidRDefault="00C1563E">
            <w:pPr>
              <w:rPr>
                <w:rFonts w:ascii="宋体"/>
                <w:vanish/>
              </w:rPr>
            </w:pPr>
          </w:p>
        </w:tc>
      </w:tr>
    </w:tbl>
    <w:p w14:paraId="7DCFFCAE" w14:textId="77777777" w:rsidR="00C1563E" w:rsidRDefault="00C1563E"/>
    <w:p w14:paraId="7DCFFCAF" w14:textId="77777777" w:rsidR="00C1563E" w:rsidRDefault="00C1563E">
      <w:pPr>
        <w:jc w:val="center"/>
      </w:pPr>
    </w:p>
    <w:p w14:paraId="7DCFFCB0" w14:textId="77777777" w:rsidR="00C1563E" w:rsidRDefault="000B648B">
      <w:pPr>
        <w:jc w:val="center"/>
      </w:pPr>
      <w:r>
        <w:rPr>
          <w:rFonts w:ascii="Times New Roman" w:eastAsia="宋体" w:hAnsi="Times New Roman"/>
          <w:color w:val="000000"/>
          <w:sz w:val="20"/>
          <w:szCs w:val="20"/>
        </w:rPr>
        <w:t>107</w:t>
      </w:r>
    </w:p>
    <w:p w14:paraId="7DCFFCB1" w14:textId="77777777" w:rsidR="00C1563E" w:rsidRDefault="00C1563E">
      <w:pPr>
        <w:jc w:val="center"/>
      </w:pPr>
    </w:p>
    <w:p w14:paraId="7DCFFCB2" w14:textId="77777777" w:rsidR="00C1563E" w:rsidRDefault="000B648B">
      <w:r>
        <w:pict w14:anchorId="7DD025D5">
          <v:rect id="_x0000_i1131" style="width:415.3pt;height:1.5pt" o:hralign="center" o:hrstd="t" o:hr="t" fillcolor="#a0a0a0" stroked="f"/>
        </w:pict>
      </w:r>
    </w:p>
    <w:p w14:paraId="7DCFFCB3" w14:textId="77777777" w:rsidR="00C1563E" w:rsidRDefault="000B648B">
      <w:hyperlink r:id="rId290" w:anchor="i418e32e4a35149ffbf7d3a25d66881b8_10" w:history="1">
        <w:r>
          <w:rPr>
            <w:rStyle w:val="a5"/>
            <w:rFonts w:ascii="Times New Roman" w:eastAsia="宋体" w:hAnsi="Times New Roman"/>
            <w:sz w:val="20"/>
            <w:szCs w:val="20"/>
          </w:rPr>
          <w:t>Table of Contents</w:t>
        </w:r>
      </w:hyperlink>
    </w:p>
    <w:p w14:paraId="7DCFFCB4" w14:textId="77777777" w:rsidR="00C1563E" w:rsidRDefault="000B648B">
      <w:pPr>
        <w:spacing w:after="120"/>
      </w:pPr>
      <w:r>
        <w:rPr>
          <w:rFonts w:ascii="Times New Roman" w:eastAsia="宋体" w:hAnsi="Times New Roman"/>
          <w:color w:val="000000"/>
          <w:sz w:val="20"/>
          <w:szCs w:val="20"/>
        </w:rPr>
        <w:t>The following table presents supplemental cash flow information related to leases fo</w:t>
      </w:r>
      <w:r>
        <w:rPr>
          <w:rFonts w:ascii="Times New Roman" w:eastAsia="宋体" w:hAnsi="Times New Roman"/>
          <w:color w:val="000000"/>
          <w:sz w:val="20"/>
          <w:szCs w:val="20"/>
        </w:rPr>
        <w:t>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C1563E" w14:paraId="7DCFFCC1" w14:textId="77777777">
        <w:tc>
          <w:tcPr>
            <w:tcW w:w="50" w:type="pct"/>
            <w:shd w:val="clear" w:color="auto" w:fill="auto"/>
          </w:tcPr>
          <w:p w14:paraId="7DCFFCB5" w14:textId="77777777" w:rsidR="00C1563E" w:rsidRDefault="00C1563E">
            <w:pPr>
              <w:rPr>
                <w:rFonts w:ascii="宋体"/>
              </w:rPr>
            </w:pPr>
          </w:p>
        </w:tc>
        <w:tc>
          <w:tcPr>
            <w:tcW w:w="2971" w:type="pct"/>
            <w:shd w:val="clear" w:color="auto" w:fill="auto"/>
          </w:tcPr>
          <w:p w14:paraId="7DCFFCB6" w14:textId="77777777" w:rsidR="00C1563E" w:rsidRDefault="00C1563E">
            <w:pPr>
              <w:rPr>
                <w:rFonts w:ascii="宋体"/>
              </w:rPr>
            </w:pPr>
          </w:p>
        </w:tc>
        <w:tc>
          <w:tcPr>
            <w:tcW w:w="5" w:type="pct"/>
            <w:shd w:val="clear" w:color="auto" w:fill="auto"/>
          </w:tcPr>
          <w:p w14:paraId="7DCFFCB7" w14:textId="77777777" w:rsidR="00C1563E" w:rsidRDefault="00C1563E">
            <w:pPr>
              <w:rPr>
                <w:rFonts w:ascii="宋体"/>
              </w:rPr>
            </w:pPr>
          </w:p>
        </w:tc>
        <w:tc>
          <w:tcPr>
            <w:tcW w:w="50" w:type="pct"/>
            <w:shd w:val="clear" w:color="auto" w:fill="auto"/>
          </w:tcPr>
          <w:p w14:paraId="7DCFFCB8" w14:textId="77777777" w:rsidR="00C1563E" w:rsidRDefault="00C1563E">
            <w:pPr>
              <w:rPr>
                <w:rFonts w:ascii="宋体"/>
              </w:rPr>
            </w:pPr>
          </w:p>
        </w:tc>
        <w:tc>
          <w:tcPr>
            <w:tcW w:w="917" w:type="pct"/>
            <w:shd w:val="clear" w:color="auto" w:fill="auto"/>
          </w:tcPr>
          <w:p w14:paraId="7DCFFCB9" w14:textId="77777777" w:rsidR="00C1563E" w:rsidRDefault="00C1563E">
            <w:pPr>
              <w:rPr>
                <w:rFonts w:ascii="宋体"/>
              </w:rPr>
            </w:pPr>
          </w:p>
        </w:tc>
        <w:tc>
          <w:tcPr>
            <w:tcW w:w="5" w:type="pct"/>
            <w:shd w:val="clear" w:color="auto" w:fill="auto"/>
          </w:tcPr>
          <w:p w14:paraId="7DCFFCBA" w14:textId="77777777" w:rsidR="00C1563E" w:rsidRDefault="00C1563E">
            <w:pPr>
              <w:rPr>
                <w:rFonts w:ascii="宋体"/>
              </w:rPr>
            </w:pPr>
          </w:p>
        </w:tc>
        <w:tc>
          <w:tcPr>
            <w:tcW w:w="5" w:type="pct"/>
            <w:shd w:val="clear" w:color="auto" w:fill="auto"/>
          </w:tcPr>
          <w:p w14:paraId="7DCFFCBB" w14:textId="77777777" w:rsidR="00C1563E" w:rsidRDefault="00C1563E">
            <w:pPr>
              <w:rPr>
                <w:rFonts w:ascii="宋体"/>
              </w:rPr>
            </w:pPr>
          </w:p>
        </w:tc>
        <w:tc>
          <w:tcPr>
            <w:tcW w:w="19" w:type="pct"/>
            <w:shd w:val="clear" w:color="auto" w:fill="auto"/>
          </w:tcPr>
          <w:p w14:paraId="7DCFFCBC" w14:textId="77777777" w:rsidR="00C1563E" w:rsidRDefault="00C1563E">
            <w:pPr>
              <w:rPr>
                <w:rFonts w:ascii="宋体"/>
              </w:rPr>
            </w:pPr>
          </w:p>
        </w:tc>
        <w:tc>
          <w:tcPr>
            <w:tcW w:w="5" w:type="pct"/>
            <w:shd w:val="clear" w:color="auto" w:fill="auto"/>
          </w:tcPr>
          <w:p w14:paraId="7DCFFCBD" w14:textId="77777777" w:rsidR="00C1563E" w:rsidRDefault="00C1563E">
            <w:pPr>
              <w:rPr>
                <w:rFonts w:ascii="宋体"/>
              </w:rPr>
            </w:pPr>
          </w:p>
        </w:tc>
        <w:tc>
          <w:tcPr>
            <w:tcW w:w="50" w:type="pct"/>
            <w:shd w:val="clear" w:color="auto" w:fill="auto"/>
          </w:tcPr>
          <w:p w14:paraId="7DCFFCBE" w14:textId="77777777" w:rsidR="00C1563E" w:rsidRDefault="00C1563E">
            <w:pPr>
              <w:rPr>
                <w:rFonts w:ascii="宋体"/>
              </w:rPr>
            </w:pPr>
          </w:p>
        </w:tc>
        <w:tc>
          <w:tcPr>
            <w:tcW w:w="917" w:type="pct"/>
            <w:shd w:val="clear" w:color="auto" w:fill="auto"/>
          </w:tcPr>
          <w:p w14:paraId="7DCFFCBF" w14:textId="77777777" w:rsidR="00C1563E" w:rsidRDefault="00C1563E">
            <w:pPr>
              <w:rPr>
                <w:rFonts w:ascii="宋体"/>
              </w:rPr>
            </w:pPr>
          </w:p>
        </w:tc>
        <w:tc>
          <w:tcPr>
            <w:tcW w:w="5" w:type="pct"/>
            <w:shd w:val="clear" w:color="auto" w:fill="auto"/>
          </w:tcPr>
          <w:p w14:paraId="7DCFFCC0" w14:textId="77777777" w:rsidR="00C1563E" w:rsidRDefault="00C1563E">
            <w:pPr>
              <w:rPr>
                <w:rFonts w:ascii="宋体"/>
              </w:rPr>
            </w:pPr>
          </w:p>
        </w:tc>
      </w:tr>
      <w:tr w:rsidR="00C1563E" w14:paraId="7DCFFCC4" w14:textId="77777777">
        <w:tc>
          <w:tcPr>
            <w:tcW w:w="0" w:type="auto"/>
            <w:gridSpan w:val="3"/>
            <w:shd w:val="clear" w:color="auto" w:fill="auto"/>
            <w:tcMar>
              <w:top w:w="0" w:type="dxa"/>
              <w:left w:w="20" w:type="dxa"/>
              <w:bottom w:w="0" w:type="dxa"/>
              <w:right w:w="20" w:type="dxa"/>
            </w:tcMar>
          </w:tcPr>
          <w:p w14:paraId="7DCFFCC2"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CFFCC3"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CFFCC9" w14:textId="77777777">
        <w:tc>
          <w:tcPr>
            <w:tcW w:w="0" w:type="auto"/>
            <w:gridSpan w:val="3"/>
            <w:shd w:val="clear" w:color="auto" w:fill="auto"/>
            <w:tcMar>
              <w:top w:w="0" w:type="dxa"/>
              <w:left w:w="20" w:type="dxa"/>
              <w:bottom w:w="0" w:type="dxa"/>
              <w:right w:w="20" w:type="dxa"/>
            </w:tcMar>
          </w:tcPr>
          <w:p w14:paraId="7DCFFCC5"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CC6"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CFFCC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CC8"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CCC" w14:textId="77777777">
        <w:tc>
          <w:tcPr>
            <w:tcW w:w="0" w:type="auto"/>
            <w:gridSpan w:val="3"/>
            <w:shd w:val="clear" w:color="auto" w:fill="auto"/>
            <w:tcMar>
              <w:top w:w="0" w:type="dxa"/>
              <w:left w:w="20" w:type="dxa"/>
              <w:bottom w:w="0" w:type="dxa"/>
              <w:right w:w="20" w:type="dxa"/>
            </w:tcMar>
          </w:tcPr>
          <w:p w14:paraId="7DCFFCCA"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CCB"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CD5" w14:textId="77777777">
        <w:tc>
          <w:tcPr>
            <w:tcW w:w="0" w:type="auto"/>
            <w:gridSpan w:val="3"/>
            <w:shd w:val="clear" w:color="auto" w:fill="CCEEFF"/>
            <w:tcMar>
              <w:top w:w="40" w:type="dxa"/>
              <w:left w:w="20" w:type="dxa"/>
              <w:bottom w:w="40" w:type="dxa"/>
              <w:right w:w="20" w:type="dxa"/>
            </w:tcMar>
            <w:vAlign w:val="bottom"/>
          </w:tcPr>
          <w:p w14:paraId="7DCFFCCD" w14:textId="77777777" w:rsidR="00C1563E" w:rsidRDefault="000B648B">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w:t>
            </w:r>
          </w:p>
        </w:tc>
        <w:tc>
          <w:tcPr>
            <w:tcW w:w="0" w:type="auto"/>
            <w:shd w:val="clear" w:color="auto" w:fill="CCEEFF"/>
            <w:tcMar>
              <w:top w:w="40" w:type="dxa"/>
              <w:left w:w="20" w:type="dxa"/>
              <w:bottom w:w="40" w:type="dxa"/>
              <w:right w:w="0" w:type="dxa"/>
            </w:tcMar>
            <w:vAlign w:val="bottom"/>
          </w:tcPr>
          <w:p w14:paraId="7DCFFCC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CF" w14:textId="77777777" w:rsidR="00C1563E" w:rsidRDefault="000B648B">
            <w:pPr>
              <w:jc w:val="right"/>
              <w:textAlignment w:val="bottom"/>
            </w:pPr>
            <w:r>
              <w:rPr>
                <w:rFonts w:ascii="Times New Roman" w:eastAsia="宋体" w:hAnsi="Times New Roman"/>
                <w:color w:val="000000"/>
                <w:sz w:val="20"/>
                <w:szCs w:val="20"/>
              </w:rPr>
              <w:t>523 </w:t>
            </w:r>
          </w:p>
        </w:tc>
        <w:tc>
          <w:tcPr>
            <w:tcW w:w="0" w:type="auto"/>
            <w:shd w:val="clear" w:color="auto" w:fill="CCEEFF"/>
            <w:tcMar>
              <w:top w:w="40" w:type="dxa"/>
              <w:left w:w="0" w:type="dxa"/>
              <w:bottom w:w="40" w:type="dxa"/>
              <w:right w:w="20" w:type="dxa"/>
            </w:tcMar>
            <w:vAlign w:val="bottom"/>
          </w:tcPr>
          <w:p w14:paraId="7DCFFCD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CD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CD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D3" w14:textId="77777777" w:rsidR="00C1563E" w:rsidRDefault="000B648B">
            <w:pPr>
              <w:jc w:val="right"/>
              <w:textAlignment w:val="bottom"/>
            </w:pPr>
            <w:r>
              <w:rPr>
                <w:rFonts w:ascii="Times New Roman" w:eastAsia="宋体" w:hAnsi="Times New Roman"/>
                <w:color w:val="000000"/>
                <w:sz w:val="20"/>
                <w:szCs w:val="20"/>
              </w:rPr>
              <w:t>501 </w:t>
            </w:r>
          </w:p>
        </w:tc>
        <w:tc>
          <w:tcPr>
            <w:tcW w:w="0" w:type="auto"/>
            <w:shd w:val="clear" w:color="auto" w:fill="CCEEFF"/>
            <w:tcMar>
              <w:top w:w="40" w:type="dxa"/>
              <w:left w:w="0" w:type="dxa"/>
              <w:bottom w:w="40" w:type="dxa"/>
              <w:right w:w="20" w:type="dxa"/>
            </w:tcMar>
            <w:vAlign w:val="bottom"/>
          </w:tcPr>
          <w:p w14:paraId="7DCFFCD4" w14:textId="77777777" w:rsidR="00C1563E" w:rsidRDefault="00C1563E">
            <w:pPr>
              <w:jc w:val="right"/>
              <w:rPr>
                <w:rFonts w:ascii="宋体"/>
              </w:rPr>
            </w:pPr>
          </w:p>
        </w:tc>
      </w:tr>
      <w:tr w:rsidR="00C1563E" w14:paraId="7DCFFCDA" w14:textId="77777777">
        <w:trPr>
          <w:trHeight w:val="300"/>
        </w:trPr>
        <w:tc>
          <w:tcPr>
            <w:tcW w:w="0" w:type="auto"/>
            <w:gridSpan w:val="3"/>
            <w:shd w:val="clear" w:color="auto" w:fill="auto"/>
            <w:tcMar>
              <w:top w:w="0" w:type="dxa"/>
              <w:left w:w="20" w:type="dxa"/>
              <w:bottom w:w="0" w:type="dxa"/>
              <w:right w:w="20" w:type="dxa"/>
            </w:tcMar>
          </w:tcPr>
          <w:p w14:paraId="7DCFFCD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CD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CD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CFFCD9" w14:textId="77777777" w:rsidR="00C1563E" w:rsidRDefault="00C1563E">
            <w:pPr>
              <w:rPr>
                <w:rFonts w:ascii="宋体"/>
              </w:rPr>
            </w:pPr>
          </w:p>
        </w:tc>
      </w:tr>
      <w:tr w:rsidR="00C1563E" w14:paraId="7DCFFCE3" w14:textId="77777777">
        <w:tc>
          <w:tcPr>
            <w:tcW w:w="0" w:type="auto"/>
            <w:gridSpan w:val="3"/>
            <w:shd w:val="clear" w:color="auto" w:fill="CCEEFF"/>
            <w:tcMar>
              <w:top w:w="40" w:type="dxa"/>
              <w:left w:w="35" w:type="dxa"/>
              <w:bottom w:w="40" w:type="dxa"/>
              <w:right w:w="20" w:type="dxa"/>
            </w:tcMar>
            <w:vAlign w:val="bottom"/>
          </w:tcPr>
          <w:p w14:paraId="7DCFFCDB" w14:textId="77777777" w:rsidR="00C1563E" w:rsidRDefault="000B648B">
            <w:pPr>
              <w:textAlignment w:val="bottom"/>
            </w:pPr>
            <w:r>
              <w:rPr>
                <w:rFonts w:ascii="Times New Roman" w:eastAsia="宋体" w:hAnsi="Times New Roman"/>
                <w:color w:val="000000"/>
                <w:sz w:val="20"/>
                <w:szCs w:val="20"/>
              </w:rPr>
              <w:t>ROU assets obtained in exchange for new operating lease liabilities</w:t>
            </w:r>
          </w:p>
        </w:tc>
        <w:tc>
          <w:tcPr>
            <w:tcW w:w="0" w:type="auto"/>
            <w:shd w:val="clear" w:color="auto" w:fill="CCEEFF"/>
            <w:tcMar>
              <w:top w:w="40" w:type="dxa"/>
              <w:left w:w="20" w:type="dxa"/>
              <w:bottom w:w="40" w:type="dxa"/>
              <w:right w:w="0" w:type="dxa"/>
            </w:tcMar>
            <w:vAlign w:val="bottom"/>
          </w:tcPr>
          <w:p w14:paraId="7DCFFCD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DD" w14:textId="77777777" w:rsidR="00C1563E" w:rsidRDefault="000B648B">
            <w:pPr>
              <w:jc w:val="right"/>
              <w:textAlignment w:val="bottom"/>
            </w:pPr>
            <w:r>
              <w:rPr>
                <w:rFonts w:ascii="Times New Roman" w:eastAsia="宋体" w:hAnsi="Times New Roman"/>
                <w:color w:val="000000"/>
                <w:sz w:val="20"/>
                <w:szCs w:val="20"/>
              </w:rPr>
              <w:t>824 </w:t>
            </w:r>
          </w:p>
        </w:tc>
        <w:tc>
          <w:tcPr>
            <w:tcW w:w="0" w:type="auto"/>
            <w:shd w:val="clear" w:color="auto" w:fill="CCEEFF"/>
            <w:tcMar>
              <w:top w:w="40" w:type="dxa"/>
              <w:left w:w="0" w:type="dxa"/>
              <w:bottom w:w="40" w:type="dxa"/>
              <w:right w:w="20" w:type="dxa"/>
            </w:tcMar>
            <w:vAlign w:val="bottom"/>
          </w:tcPr>
          <w:p w14:paraId="7DCFFCD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CD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CE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E1" w14:textId="77777777" w:rsidR="00C1563E" w:rsidRDefault="000B648B">
            <w:pPr>
              <w:jc w:val="right"/>
              <w:textAlignment w:val="bottom"/>
            </w:pPr>
            <w:r>
              <w:rPr>
                <w:rFonts w:ascii="Times New Roman" w:eastAsia="宋体" w:hAnsi="Times New Roman"/>
                <w:color w:val="000000"/>
                <w:sz w:val="20"/>
                <w:szCs w:val="20"/>
              </w:rPr>
              <w:t>630 </w:t>
            </w:r>
          </w:p>
        </w:tc>
        <w:tc>
          <w:tcPr>
            <w:tcW w:w="0" w:type="auto"/>
            <w:shd w:val="clear" w:color="auto" w:fill="CCEEFF"/>
            <w:tcMar>
              <w:top w:w="40" w:type="dxa"/>
              <w:left w:w="0" w:type="dxa"/>
              <w:bottom w:w="40" w:type="dxa"/>
              <w:right w:w="20" w:type="dxa"/>
            </w:tcMar>
            <w:vAlign w:val="bottom"/>
          </w:tcPr>
          <w:p w14:paraId="7DCFFCE2" w14:textId="77777777" w:rsidR="00C1563E" w:rsidRDefault="00C1563E">
            <w:pPr>
              <w:jc w:val="right"/>
              <w:rPr>
                <w:rFonts w:ascii="宋体"/>
              </w:rPr>
            </w:pPr>
          </w:p>
        </w:tc>
      </w:tr>
    </w:tbl>
    <w:p w14:paraId="7DCFFCE4" w14:textId="77777777" w:rsidR="00C1563E" w:rsidRDefault="00C1563E"/>
    <w:p w14:paraId="7DCFFCE5" w14:textId="77777777" w:rsidR="00C1563E" w:rsidRDefault="000B648B">
      <w:pPr>
        <w:spacing w:after="120"/>
      </w:pPr>
      <w:r>
        <w:rPr>
          <w:rFonts w:ascii="Times New Roman" w:eastAsia="宋体" w:hAnsi="Times New Roman"/>
          <w:color w:val="000000"/>
          <w:sz w:val="20"/>
          <w:szCs w:val="20"/>
        </w:rPr>
        <w:t>The following table presents the future maturity of the Company’s operating lease liabilities under non-cancelable leases and reconciles the undiscounted cash flows for these leases to the lease liability recognized on the Consolidated Statements of Financ</w:t>
      </w:r>
      <w:r>
        <w:rPr>
          <w:rFonts w:ascii="Times New Roman" w:eastAsia="宋体" w:hAnsi="Times New Roman"/>
          <w:color w:val="000000"/>
          <w:sz w:val="20"/>
          <w:szCs w:val="20"/>
        </w:rPr>
        <w:t xml:space="preserve">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419"/>
        <w:gridCol w:w="40"/>
        <w:gridCol w:w="121"/>
        <w:gridCol w:w="1456"/>
        <w:gridCol w:w="36"/>
        <w:gridCol w:w="36"/>
        <w:gridCol w:w="36"/>
        <w:gridCol w:w="36"/>
        <w:gridCol w:w="36"/>
        <w:gridCol w:w="36"/>
        <w:gridCol w:w="36"/>
      </w:tblGrid>
      <w:tr w:rsidR="00C1563E" w14:paraId="7DCFFCEE" w14:textId="77777777">
        <w:trPr>
          <w:jc w:val="center"/>
        </w:trPr>
        <w:tc>
          <w:tcPr>
            <w:tcW w:w="50" w:type="pct"/>
            <w:shd w:val="clear" w:color="auto" w:fill="auto"/>
          </w:tcPr>
          <w:p w14:paraId="7DCFFCE6" w14:textId="77777777" w:rsidR="00C1563E" w:rsidRDefault="00C1563E">
            <w:pPr>
              <w:rPr>
                <w:rFonts w:ascii="宋体"/>
              </w:rPr>
            </w:pPr>
          </w:p>
        </w:tc>
        <w:tc>
          <w:tcPr>
            <w:tcW w:w="3972" w:type="pct"/>
            <w:shd w:val="clear" w:color="auto" w:fill="auto"/>
          </w:tcPr>
          <w:p w14:paraId="7DCFFCE7" w14:textId="77777777" w:rsidR="00C1563E" w:rsidRDefault="00C1563E">
            <w:pPr>
              <w:rPr>
                <w:rFonts w:ascii="宋体"/>
              </w:rPr>
            </w:pPr>
          </w:p>
        </w:tc>
        <w:tc>
          <w:tcPr>
            <w:tcW w:w="5" w:type="pct"/>
            <w:shd w:val="clear" w:color="auto" w:fill="auto"/>
          </w:tcPr>
          <w:p w14:paraId="7DCFFCE8" w14:textId="77777777" w:rsidR="00C1563E" w:rsidRDefault="00C1563E">
            <w:pPr>
              <w:rPr>
                <w:rFonts w:ascii="宋体"/>
              </w:rPr>
            </w:pPr>
          </w:p>
        </w:tc>
        <w:tc>
          <w:tcPr>
            <w:tcW w:w="50" w:type="pct"/>
            <w:shd w:val="clear" w:color="auto" w:fill="auto"/>
          </w:tcPr>
          <w:p w14:paraId="7DCFFCE9" w14:textId="77777777" w:rsidR="00C1563E" w:rsidRDefault="00C1563E">
            <w:pPr>
              <w:rPr>
                <w:rFonts w:ascii="宋体"/>
              </w:rPr>
            </w:pPr>
          </w:p>
        </w:tc>
        <w:tc>
          <w:tcPr>
            <w:tcW w:w="917" w:type="pct"/>
            <w:shd w:val="clear" w:color="auto" w:fill="auto"/>
          </w:tcPr>
          <w:p w14:paraId="7DCFFCEA" w14:textId="77777777" w:rsidR="00C1563E" w:rsidRDefault="00C1563E">
            <w:pPr>
              <w:rPr>
                <w:rFonts w:ascii="宋体"/>
              </w:rPr>
            </w:pPr>
          </w:p>
        </w:tc>
        <w:tc>
          <w:tcPr>
            <w:tcW w:w="5" w:type="pct"/>
            <w:shd w:val="clear" w:color="auto" w:fill="auto"/>
          </w:tcPr>
          <w:p w14:paraId="7DCFFCEB" w14:textId="77777777" w:rsidR="00C1563E" w:rsidRDefault="00C1563E">
            <w:pPr>
              <w:rPr>
                <w:rFonts w:ascii="宋体"/>
              </w:rPr>
            </w:pPr>
          </w:p>
        </w:tc>
        <w:tc>
          <w:tcPr>
            <w:tcW w:w="0" w:type="auto"/>
            <w:gridSpan w:val="3"/>
            <w:shd w:val="clear" w:color="auto" w:fill="auto"/>
          </w:tcPr>
          <w:p w14:paraId="7DCFFCEC" w14:textId="77777777" w:rsidR="00C1563E" w:rsidRDefault="00C1563E">
            <w:pPr>
              <w:rPr>
                <w:rFonts w:ascii="宋体"/>
                <w:vanish/>
              </w:rPr>
            </w:pPr>
          </w:p>
        </w:tc>
        <w:tc>
          <w:tcPr>
            <w:tcW w:w="0" w:type="auto"/>
            <w:gridSpan w:val="3"/>
            <w:shd w:val="clear" w:color="auto" w:fill="auto"/>
          </w:tcPr>
          <w:p w14:paraId="7DCFFCED" w14:textId="77777777" w:rsidR="00C1563E" w:rsidRDefault="00C1563E">
            <w:pPr>
              <w:rPr>
                <w:rFonts w:ascii="宋体"/>
                <w:vanish/>
              </w:rPr>
            </w:pPr>
          </w:p>
        </w:tc>
      </w:tr>
      <w:tr w:rsidR="00C1563E" w14:paraId="7DCFFCF3" w14:textId="77777777">
        <w:trPr>
          <w:jc w:val="center"/>
        </w:trPr>
        <w:tc>
          <w:tcPr>
            <w:tcW w:w="0" w:type="auto"/>
            <w:gridSpan w:val="3"/>
            <w:shd w:val="clear" w:color="auto" w:fill="auto"/>
            <w:tcMar>
              <w:top w:w="0" w:type="dxa"/>
              <w:left w:w="20" w:type="dxa"/>
              <w:bottom w:w="0" w:type="dxa"/>
              <w:right w:w="20" w:type="dxa"/>
            </w:tcMar>
          </w:tcPr>
          <w:p w14:paraId="7DCFFCE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CF0"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Pr>
          <w:p w14:paraId="7DCFFCF1" w14:textId="77777777" w:rsidR="00C1563E" w:rsidRDefault="00C1563E">
            <w:pPr>
              <w:rPr>
                <w:rFonts w:ascii="宋体"/>
                <w:vanish/>
              </w:rPr>
            </w:pPr>
          </w:p>
        </w:tc>
        <w:tc>
          <w:tcPr>
            <w:tcW w:w="0" w:type="auto"/>
            <w:gridSpan w:val="3"/>
            <w:shd w:val="clear" w:color="auto" w:fill="auto"/>
          </w:tcPr>
          <w:p w14:paraId="7DCFFCF2" w14:textId="77777777" w:rsidR="00C1563E" w:rsidRDefault="00C1563E">
            <w:pPr>
              <w:rPr>
                <w:rFonts w:ascii="宋体"/>
                <w:vanish/>
              </w:rPr>
            </w:pPr>
          </w:p>
        </w:tc>
      </w:tr>
      <w:tr w:rsidR="00C1563E" w14:paraId="7DCFFCFC" w14:textId="77777777">
        <w:trPr>
          <w:jc w:val="center"/>
        </w:trPr>
        <w:tc>
          <w:tcPr>
            <w:tcW w:w="0" w:type="auto"/>
            <w:gridSpan w:val="3"/>
            <w:shd w:val="clear" w:color="auto" w:fill="auto"/>
            <w:tcMar>
              <w:top w:w="0" w:type="dxa"/>
              <w:left w:w="20" w:type="dxa"/>
              <w:bottom w:w="0" w:type="dxa"/>
              <w:right w:w="20" w:type="dxa"/>
            </w:tcMar>
          </w:tcPr>
          <w:p w14:paraId="7DCFFCF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CF5"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shd w:val="clear" w:color="auto" w:fill="auto"/>
          </w:tcPr>
          <w:p w14:paraId="7DCFFCF6" w14:textId="77777777" w:rsidR="00C1563E" w:rsidRDefault="00C1563E">
            <w:pPr>
              <w:rPr>
                <w:rFonts w:ascii="宋体"/>
              </w:rPr>
            </w:pPr>
          </w:p>
        </w:tc>
        <w:tc>
          <w:tcPr>
            <w:tcW w:w="0" w:type="auto"/>
            <w:shd w:val="clear" w:color="auto" w:fill="auto"/>
          </w:tcPr>
          <w:p w14:paraId="7DCFFCF7" w14:textId="77777777" w:rsidR="00C1563E" w:rsidRDefault="00C1563E">
            <w:pPr>
              <w:rPr>
                <w:rFonts w:ascii="宋体"/>
              </w:rPr>
            </w:pPr>
          </w:p>
        </w:tc>
        <w:tc>
          <w:tcPr>
            <w:tcW w:w="0" w:type="auto"/>
            <w:shd w:val="clear" w:color="auto" w:fill="auto"/>
          </w:tcPr>
          <w:p w14:paraId="7DCFFCF8" w14:textId="77777777" w:rsidR="00C1563E" w:rsidRDefault="00C1563E">
            <w:pPr>
              <w:rPr>
                <w:rFonts w:ascii="宋体"/>
              </w:rPr>
            </w:pPr>
          </w:p>
        </w:tc>
        <w:tc>
          <w:tcPr>
            <w:tcW w:w="0" w:type="auto"/>
            <w:shd w:val="clear" w:color="auto" w:fill="auto"/>
          </w:tcPr>
          <w:p w14:paraId="7DCFFCF9" w14:textId="77777777" w:rsidR="00C1563E" w:rsidRDefault="00C1563E">
            <w:pPr>
              <w:rPr>
                <w:rFonts w:ascii="宋体"/>
              </w:rPr>
            </w:pPr>
          </w:p>
        </w:tc>
        <w:tc>
          <w:tcPr>
            <w:tcW w:w="0" w:type="auto"/>
            <w:shd w:val="clear" w:color="auto" w:fill="auto"/>
          </w:tcPr>
          <w:p w14:paraId="7DCFFCFA" w14:textId="77777777" w:rsidR="00C1563E" w:rsidRDefault="00C1563E">
            <w:pPr>
              <w:rPr>
                <w:rFonts w:ascii="宋体"/>
              </w:rPr>
            </w:pPr>
          </w:p>
        </w:tc>
        <w:tc>
          <w:tcPr>
            <w:tcW w:w="0" w:type="auto"/>
            <w:shd w:val="clear" w:color="auto" w:fill="auto"/>
          </w:tcPr>
          <w:p w14:paraId="7DCFFCFB" w14:textId="77777777" w:rsidR="00C1563E" w:rsidRDefault="00C1563E">
            <w:pPr>
              <w:rPr>
                <w:rFonts w:ascii="宋体"/>
              </w:rPr>
            </w:pPr>
          </w:p>
        </w:tc>
      </w:tr>
      <w:tr w:rsidR="00C1563E" w14:paraId="7DCFFD03" w14:textId="77777777">
        <w:trPr>
          <w:jc w:val="center"/>
        </w:trPr>
        <w:tc>
          <w:tcPr>
            <w:tcW w:w="0" w:type="auto"/>
            <w:gridSpan w:val="3"/>
            <w:shd w:val="clear" w:color="auto" w:fill="CCEEFF"/>
            <w:tcMar>
              <w:top w:w="40" w:type="dxa"/>
              <w:left w:w="20" w:type="dxa"/>
              <w:bottom w:w="40" w:type="dxa"/>
              <w:right w:w="20" w:type="dxa"/>
            </w:tcMar>
            <w:vAlign w:val="bottom"/>
          </w:tcPr>
          <w:p w14:paraId="7DCFFCFD" w14:textId="77777777" w:rsidR="00C1563E" w:rsidRDefault="000B648B">
            <w:pPr>
              <w:textAlignment w:val="bottom"/>
            </w:pPr>
            <w:r>
              <w:rPr>
                <w:rFonts w:ascii="Times New Roman" w:eastAsia="宋体" w:hAnsi="Times New Roman"/>
                <w:color w:val="000000"/>
                <w:sz w:val="20"/>
                <w:szCs w:val="20"/>
              </w:rPr>
              <w:t>Fiscal 2022</w:t>
            </w:r>
          </w:p>
        </w:tc>
        <w:tc>
          <w:tcPr>
            <w:tcW w:w="0" w:type="auto"/>
            <w:shd w:val="clear" w:color="auto" w:fill="CCEEFF"/>
            <w:tcMar>
              <w:top w:w="40" w:type="dxa"/>
              <w:left w:w="20" w:type="dxa"/>
              <w:bottom w:w="40" w:type="dxa"/>
              <w:right w:w="0" w:type="dxa"/>
            </w:tcMar>
            <w:vAlign w:val="bottom"/>
          </w:tcPr>
          <w:p w14:paraId="7DCFFCF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CFF" w14:textId="77777777" w:rsidR="00C1563E" w:rsidRDefault="000B648B">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7DCFFD00" w14:textId="77777777" w:rsidR="00C1563E" w:rsidRDefault="00C1563E">
            <w:pPr>
              <w:jc w:val="right"/>
              <w:rPr>
                <w:rFonts w:ascii="宋体"/>
              </w:rPr>
            </w:pPr>
          </w:p>
        </w:tc>
        <w:tc>
          <w:tcPr>
            <w:tcW w:w="0" w:type="auto"/>
            <w:gridSpan w:val="3"/>
            <w:shd w:val="clear" w:color="auto" w:fill="auto"/>
          </w:tcPr>
          <w:p w14:paraId="7DCFFD01" w14:textId="77777777" w:rsidR="00C1563E" w:rsidRDefault="00C1563E">
            <w:pPr>
              <w:rPr>
                <w:rFonts w:ascii="宋体"/>
                <w:vanish/>
              </w:rPr>
            </w:pPr>
          </w:p>
        </w:tc>
        <w:tc>
          <w:tcPr>
            <w:tcW w:w="0" w:type="auto"/>
            <w:gridSpan w:val="3"/>
            <w:shd w:val="clear" w:color="auto" w:fill="auto"/>
          </w:tcPr>
          <w:p w14:paraId="7DCFFD02" w14:textId="77777777" w:rsidR="00C1563E" w:rsidRDefault="00C1563E">
            <w:pPr>
              <w:rPr>
                <w:rFonts w:ascii="宋体"/>
                <w:vanish/>
              </w:rPr>
            </w:pPr>
          </w:p>
        </w:tc>
      </w:tr>
      <w:tr w:rsidR="00C1563E" w14:paraId="7DCFFD09" w14:textId="77777777">
        <w:trPr>
          <w:jc w:val="center"/>
        </w:trPr>
        <w:tc>
          <w:tcPr>
            <w:tcW w:w="0" w:type="auto"/>
            <w:gridSpan w:val="3"/>
            <w:shd w:val="clear" w:color="auto" w:fill="FFFFFF"/>
            <w:tcMar>
              <w:top w:w="40" w:type="dxa"/>
              <w:left w:w="20" w:type="dxa"/>
              <w:bottom w:w="40" w:type="dxa"/>
              <w:right w:w="20" w:type="dxa"/>
            </w:tcMar>
            <w:vAlign w:val="bottom"/>
          </w:tcPr>
          <w:p w14:paraId="7DCFFD04" w14:textId="77777777" w:rsidR="00C1563E" w:rsidRDefault="000B648B">
            <w:pPr>
              <w:textAlignment w:val="bottom"/>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bottom"/>
          </w:tcPr>
          <w:p w14:paraId="7DCFFD05" w14:textId="77777777" w:rsidR="00C1563E" w:rsidRDefault="000B648B">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left w:w="0" w:type="dxa"/>
              <w:bottom w:w="40" w:type="dxa"/>
              <w:right w:w="20" w:type="dxa"/>
            </w:tcMar>
            <w:vAlign w:val="bottom"/>
          </w:tcPr>
          <w:p w14:paraId="7DCFFD06" w14:textId="77777777" w:rsidR="00C1563E" w:rsidRDefault="00C1563E">
            <w:pPr>
              <w:jc w:val="right"/>
              <w:rPr>
                <w:rFonts w:ascii="宋体"/>
              </w:rPr>
            </w:pPr>
          </w:p>
        </w:tc>
        <w:tc>
          <w:tcPr>
            <w:tcW w:w="0" w:type="auto"/>
            <w:gridSpan w:val="3"/>
            <w:shd w:val="clear" w:color="auto" w:fill="auto"/>
          </w:tcPr>
          <w:p w14:paraId="7DCFFD07" w14:textId="77777777" w:rsidR="00C1563E" w:rsidRDefault="00C1563E">
            <w:pPr>
              <w:rPr>
                <w:rFonts w:ascii="宋体"/>
                <w:vanish/>
              </w:rPr>
            </w:pPr>
          </w:p>
        </w:tc>
        <w:tc>
          <w:tcPr>
            <w:tcW w:w="0" w:type="auto"/>
            <w:gridSpan w:val="3"/>
            <w:shd w:val="clear" w:color="auto" w:fill="auto"/>
          </w:tcPr>
          <w:p w14:paraId="7DCFFD08" w14:textId="77777777" w:rsidR="00C1563E" w:rsidRDefault="00C1563E">
            <w:pPr>
              <w:rPr>
                <w:rFonts w:ascii="宋体"/>
                <w:vanish/>
              </w:rPr>
            </w:pPr>
          </w:p>
        </w:tc>
      </w:tr>
      <w:tr w:rsidR="00C1563E" w14:paraId="7DCFFD0F" w14:textId="77777777">
        <w:trPr>
          <w:jc w:val="center"/>
        </w:trPr>
        <w:tc>
          <w:tcPr>
            <w:tcW w:w="0" w:type="auto"/>
            <w:gridSpan w:val="3"/>
            <w:shd w:val="clear" w:color="auto" w:fill="CCEEFF"/>
            <w:tcMar>
              <w:top w:w="40" w:type="dxa"/>
              <w:left w:w="20" w:type="dxa"/>
              <w:bottom w:w="40" w:type="dxa"/>
              <w:right w:w="20" w:type="dxa"/>
            </w:tcMar>
            <w:vAlign w:val="bottom"/>
          </w:tcPr>
          <w:p w14:paraId="7DCFFD0A" w14:textId="77777777" w:rsidR="00C1563E" w:rsidRDefault="000B648B">
            <w:pPr>
              <w:textAlignment w:val="bottom"/>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bottom"/>
          </w:tcPr>
          <w:p w14:paraId="7DCFFD0B" w14:textId="77777777" w:rsidR="00C1563E" w:rsidRDefault="000B648B">
            <w:pPr>
              <w:jc w:val="right"/>
              <w:textAlignment w:val="bottom"/>
            </w:pPr>
            <w:r>
              <w:rPr>
                <w:rFonts w:ascii="Times New Roman" w:eastAsia="宋体" w:hAnsi="Times New Roman"/>
                <w:color w:val="000000"/>
                <w:sz w:val="20"/>
                <w:szCs w:val="20"/>
              </w:rPr>
              <w:t>324 </w:t>
            </w:r>
          </w:p>
        </w:tc>
        <w:tc>
          <w:tcPr>
            <w:tcW w:w="0" w:type="auto"/>
            <w:shd w:val="clear" w:color="auto" w:fill="CCEEFF"/>
            <w:tcMar>
              <w:top w:w="40" w:type="dxa"/>
              <w:left w:w="0" w:type="dxa"/>
              <w:bottom w:w="40" w:type="dxa"/>
              <w:right w:w="20" w:type="dxa"/>
            </w:tcMar>
            <w:vAlign w:val="bottom"/>
          </w:tcPr>
          <w:p w14:paraId="7DCFFD0C" w14:textId="77777777" w:rsidR="00C1563E" w:rsidRDefault="00C1563E">
            <w:pPr>
              <w:jc w:val="right"/>
              <w:rPr>
                <w:rFonts w:ascii="宋体"/>
              </w:rPr>
            </w:pPr>
          </w:p>
        </w:tc>
        <w:tc>
          <w:tcPr>
            <w:tcW w:w="0" w:type="auto"/>
            <w:gridSpan w:val="3"/>
            <w:shd w:val="clear" w:color="auto" w:fill="auto"/>
          </w:tcPr>
          <w:p w14:paraId="7DCFFD0D" w14:textId="77777777" w:rsidR="00C1563E" w:rsidRDefault="00C1563E">
            <w:pPr>
              <w:rPr>
                <w:rFonts w:ascii="宋体"/>
                <w:vanish/>
              </w:rPr>
            </w:pPr>
          </w:p>
        </w:tc>
        <w:tc>
          <w:tcPr>
            <w:tcW w:w="0" w:type="auto"/>
            <w:gridSpan w:val="3"/>
            <w:shd w:val="clear" w:color="auto" w:fill="auto"/>
          </w:tcPr>
          <w:p w14:paraId="7DCFFD0E" w14:textId="77777777" w:rsidR="00C1563E" w:rsidRDefault="00C1563E">
            <w:pPr>
              <w:rPr>
                <w:rFonts w:ascii="宋体"/>
                <w:vanish/>
              </w:rPr>
            </w:pPr>
          </w:p>
        </w:tc>
      </w:tr>
      <w:tr w:rsidR="00C1563E" w14:paraId="7DCFFD15" w14:textId="77777777">
        <w:trPr>
          <w:jc w:val="center"/>
        </w:trPr>
        <w:tc>
          <w:tcPr>
            <w:tcW w:w="0" w:type="auto"/>
            <w:gridSpan w:val="3"/>
            <w:shd w:val="clear" w:color="auto" w:fill="FFFFFF"/>
            <w:tcMar>
              <w:top w:w="40" w:type="dxa"/>
              <w:left w:w="20" w:type="dxa"/>
              <w:bottom w:w="40" w:type="dxa"/>
              <w:right w:w="20" w:type="dxa"/>
            </w:tcMar>
            <w:vAlign w:val="bottom"/>
          </w:tcPr>
          <w:p w14:paraId="7DCFFD10" w14:textId="77777777" w:rsidR="00C1563E" w:rsidRDefault="000B648B">
            <w:pPr>
              <w:textAlignment w:val="bottom"/>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bottom"/>
          </w:tcPr>
          <w:p w14:paraId="7DCFFD11" w14:textId="77777777" w:rsidR="00C1563E" w:rsidRDefault="000B648B">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7DCFFD12" w14:textId="77777777" w:rsidR="00C1563E" w:rsidRDefault="00C1563E">
            <w:pPr>
              <w:jc w:val="right"/>
              <w:rPr>
                <w:rFonts w:ascii="宋体"/>
              </w:rPr>
            </w:pPr>
          </w:p>
        </w:tc>
        <w:tc>
          <w:tcPr>
            <w:tcW w:w="0" w:type="auto"/>
            <w:gridSpan w:val="3"/>
            <w:shd w:val="clear" w:color="auto" w:fill="auto"/>
          </w:tcPr>
          <w:p w14:paraId="7DCFFD13" w14:textId="77777777" w:rsidR="00C1563E" w:rsidRDefault="00C1563E">
            <w:pPr>
              <w:rPr>
                <w:rFonts w:ascii="宋体"/>
                <w:vanish/>
              </w:rPr>
            </w:pPr>
          </w:p>
        </w:tc>
        <w:tc>
          <w:tcPr>
            <w:tcW w:w="0" w:type="auto"/>
            <w:gridSpan w:val="3"/>
            <w:shd w:val="clear" w:color="auto" w:fill="auto"/>
          </w:tcPr>
          <w:p w14:paraId="7DCFFD14" w14:textId="77777777" w:rsidR="00C1563E" w:rsidRDefault="00C1563E">
            <w:pPr>
              <w:rPr>
                <w:rFonts w:ascii="宋体"/>
                <w:vanish/>
              </w:rPr>
            </w:pPr>
          </w:p>
        </w:tc>
      </w:tr>
      <w:tr w:rsidR="00C1563E" w14:paraId="7DCFFD1B" w14:textId="77777777">
        <w:trPr>
          <w:jc w:val="center"/>
        </w:trPr>
        <w:tc>
          <w:tcPr>
            <w:tcW w:w="0" w:type="auto"/>
            <w:gridSpan w:val="3"/>
            <w:shd w:val="clear" w:color="auto" w:fill="CCEEFF"/>
            <w:tcMar>
              <w:top w:w="40" w:type="dxa"/>
              <w:left w:w="20" w:type="dxa"/>
              <w:bottom w:w="40" w:type="dxa"/>
              <w:right w:w="20" w:type="dxa"/>
            </w:tcMar>
            <w:vAlign w:val="bottom"/>
          </w:tcPr>
          <w:p w14:paraId="7DCFFD16" w14:textId="77777777" w:rsidR="00C1563E" w:rsidRDefault="000B648B">
            <w:pPr>
              <w:textAlignment w:val="bottom"/>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bottom"/>
          </w:tcPr>
          <w:p w14:paraId="7DCFFD17"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DCFFD18" w14:textId="77777777" w:rsidR="00C1563E" w:rsidRDefault="00C1563E">
            <w:pPr>
              <w:jc w:val="right"/>
              <w:rPr>
                <w:rFonts w:ascii="宋体"/>
              </w:rPr>
            </w:pPr>
          </w:p>
        </w:tc>
        <w:tc>
          <w:tcPr>
            <w:tcW w:w="0" w:type="auto"/>
            <w:gridSpan w:val="3"/>
            <w:shd w:val="clear" w:color="auto" w:fill="auto"/>
          </w:tcPr>
          <w:p w14:paraId="7DCFFD19" w14:textId="77777777" w:rsidR="00C1563E" w:rsidRDefault="00C1563E">
            <w:pPr>
              <w:rPr>
                <w:rFonts w:ascii="宋体"/>
                <w:vanish/>
              </w:rPr>
            </w:pPr>
          </w:p>
        </w:tc>
        <w:tc>
          <w:tcPr>
            <w:tcW w:w="0" w:type="auto"/>
            <w:gridSpan w:val="3"/>
            <w:shd w:val="clear" w:color="auto" w:fill="auto"/>
          </w:tcPr>
          <w:p w14:paraId="7DCFFD1A" w14:textId="77777777" w:rsidR="00C1563E" w:rsidRDefault="00C1563E">
            <w:pPr>
              <w:rPr>
                <w:rFonts w:ascii="宋体"/>
                <w:vanish/>
              </w:rPr>
            </w:pPr>
          </w:p>
        </w:tc>
      </w:tr>
      <w:tr w:rsidR="00C1563E" w14:paraId="7DCFFD21" w14:textId="77777777">
        <w:trPr>
          <w:jc w:val="center"/>
        </w:trPr>
        <w:tc>
          <w:tcPr>
            <w:tcW w:w="0" w:type="auto"/>
            <w:gridSpan w:val="3"/>
            <w:shd w:val="clear" w:color="auto" w:fill="FFFFFF"/>
            <w:tcMar>
              <w:top w:w="40" w:type="dxa"/>
              <w:left w:w="20" w:type="dxa"/>
              <w:bottom w:w="40" w:type="dxa"/>
              <w:right w:w="20" w:type="dxa"/>
            </w:tcMar>
            <w:vAlign w:val="bottom"/>
          </w:tcPr>
          <w:p w14:paraId="7DCFFD1C" w14:textId="77777777" w:rsidR="00C1563E" w:rsidRDefault="000B648B">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DCFFD1D" w14:textId="77777777" w:rsidR="00C1563E" w:rsidRDefault="000B648B">
            <w:pPr>
              <w:jc w:val="right"/>
              <w:textAlignment w:val="bottom"/>
            </w:pPr>
            <w:r>
              <w:rPr>
                <w:rFonts w:ascii="Times New Roman" w:eastAsia="宋体" w:hAnsi="Times New Roman"/>
                <w:color w:val="000000"/>
                <w:sz w:val="20"/>
                <w:szCs w:val="20"/>
              </w:rPr>
              <w:t>975 </w:t>
            </w:r>
          </w:p>
        </w:tc>
        <w:tc>
          <w:tcPr>
            <w:tcW w:w="0" w:type="auto"/>
            <w:shd w:val="clear" w:color="auto" w:fill="FFFFFF"/>
            <w:tcMar>
              <w:top w:w="40" w:type="dxa"/>
              <w:left w:w="0" w:type="dxa"/>
              <w:bottom w:w="40" w:type="dxa"/>
              <w:right w:w="20" w:type="dxa"/>
            </w:tcMar>
            <w:vAlign w:val="bottom"/>
          </w:tcPr>
          <w:p w14:paraId="7DCFFD1E" w14:textId="77777777" w:rsidR="00C1563E" w:rsidRDefault="00C1563E">
            <w:pPr>
              <w:jc w:val="right"/>
              <w:rPr>
                <w:rFonts w:ascii="宋体"/>
              </w:rPr>
            </w:pPr>
          </w:p>
        </w:tc>
        <w:tc>
          <w:tcPr>
            <w:tcW w:w="0" w:type="auto"/>
            <w:gridSpan w:val="3"/>
            <w:shd w:val="clear" w:color="auto" w:fill="auto"/>
          </w:tcPr>
          <w:p w14:paraId="7DCFFD1F" w14:textId="77777777" w:rsidR="00C1563E" w:rsidRDefault="00C1563E">
            <w:pPr>
              <w:rPr>
                <w:rFonts w:ascii="宋体"/>
                <w:vanish/>
              </w:rPr>
            </w:pPr>
          </w:p>
        </w:tc>
        <w:tc>
          <w:tcPr>
            <w:tcW w:w="0" w:type="auto"/>
            <w:gridSpan w:val="3"/>
            <w:shd w:val="clear" w:color="auto" w:fill="auto"/>
          </w:tcPr>
          <w:p w14:paraId="7DCFFD20" w14:textId="77777777" w:rsidR="00C1563E" w:rsidRDefault="00C1563E">
            <w:pPr>
              <w:rPr>
                <w:rFonts w:ascii="宋体"/>
                <w:vanish/>
              </w:rPr>
            </w:pPr>
          </w:p>
        </w:tc>
      </w:tr>
      <w:tr w:rsidR="00C1563E" w14:paraId="7DCFFD27" w14:textId="77777777">
        <w:trPr>
          <w:jc w:val="center"/>
        </w:trPr>
        <w:tc>
          <w:tcPr>
            <w:tcW w:w="0" w:type="auto"/>
            <w:gridSpan w:val="3"/>
            <w:shd w:val="clear" w:color="auto" w:fill="CCEEFF"/>
            <w:tcMar>
              <w:top w:w="40" w:type="dxa"/>
              <w:left w:w="155" w:type="dxa"/>
              <w:bottom w:w="40" w:type="dxa"/>
              <w:right w:w="20" w:type="dxa"/>
            </w:tcMar>
            <w:vAlign w:val="bottom"/>
          </w:tcPr>
          <w:p w14:paraId="7DCFFD22" w14:textId="77777777" w:rsidR="00C1563E" w:rsidRDefault="000B648B">
            <w:pPr>
              <w:textAlignment w:val="bottom"/>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CFFD23" w14:textId="77777777" w:rsidR="00C1563E" w:rsidRDefault="000B648B">
            <w:pPr>
              <w:jc w:val="right"/>
              <w:textAlignment w:val="bottom"/>
            </w:pPr>
            <w:r>
              <w:rPr>
                <w:rFonts w:ascii="Times New Roman" w:eastAsia="宋体" w:hAnsi="Times New Roman"/>
                <w:color w:val="000000"/>
                <w:sz w:val="20"/>
                <w:szCs w:val="20"/>
              </w:rPr>
              <w:t>2,652 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D24" w14:textId="77777777" w:rsidR="00C1563E" w:rsidRDefault="00C1563E">
            <w:pPr>
              <w:jc w:val="right"/>
              <w:rPr>
                <w:rFonts w:ascii="宋体"/>
              </w:rPr>
            </w:pPr>
          </w:p>
        </w:tc>
        <w:tc>
          <w:tcPr>
            <w:tcW w:w="0" w:type="auto"/>
            <w:gridSpan w:val="3"/>
            <w:shd w:val="clear" w:color="auto" w:fill="auto"/>
          </w:tcPr>
          <w:p w14:paraId="7DCFFD25" w14:textId="77777777" w:rsidR="00C1563E" w:rsidRDefault="00C1563E">
            <w:pPr>
              <w:rPr>
                <w:rFonts w:ascii="宋体"/>
                <w:vanish/>
              </w:rPr>
            </w:pPr>
          </w:p>
        </w:tc>
        <w:tc>
          <w:tcPr>
            <w:tcW w:w="0" w:type="auto"/>
            <w:gridSpan w:val="3"/>
            <w:shd w:val="clear" w:color="auto" w:fill="auto"/>
          </w:tcPr>
          <w:p w14:paraId="7DCFFD26" w14:textId="77777777" w:rsidR="00C1563E" w:rsidRDefault="00C1563E">
            <w:pPr>
              <w:rPr>
                <w:rFonts w:ascii="宋体"/>
                <w:vanish/>
              </w:rPr>
            </w:pPr>
          </w:p>
        </w:tc>
      </w:tr>
      <w:tr w:rsidR="00C1563E" w14:paraId="7DCFFD2D" w14:textId="77777777">
        <w:trPr>
          <w:jc w:val="center"/>
        </w:trPr>
        <w:tc>
          <w:tcPr>
            <w:tcW w:w="0" w:type="auto"/>
            <w:gridSpan w:val="3"/>
            <w:shd w:val="clear" w:color="auto" w:fill="FFFFFF"/>
            <w:tcMar>
              <w:top w:w="40" w:type="dxa"/>
              <w:left w:w="245" w:type="dxa"/>
              <w:bottom w:w="40" w:type="dxa"/>
              <w:right w:w="20" w:type="dxa"/>
            </w:tcMar>
            <w:vAlign w:val="bottom"/>
          </w:tcPr>
          <w:p w14:paraId="7DCFFD28" w14:textId="77777777" w:rsidR="00C1563E" w:rsidRDefault="000B648B">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7DCFFD29" w14:textId="77777777" w:rsidR="00C1563E" w:rsidRDefault="000B648B">
            <w:pPr>
              <w:jc w:val="right"/>
              <w:textAlignment w:val="bottom"/>
            </w:pPr>
            <w:r>
              <w:rPr>
                <w:rFonts w:ascii="Times New Roman" w:eastAsia="宋体" w:hAnsi="Times New Roman"/>
                <w:color w:val="000000"/>
                <w:sz w:val="20"/>
                <w:szCs w:val="20"/>
              </w:rPr>
              <w:t>(429)</w:t>
            </w:r>
          </w:p>
        </w:tc>
        <w:tc>
          <w:tcPr>
            <w:tcW w:w="0" w:type="auto"/>
            <w:shd w:val="clear" w:color="auto" w:fill="FFFFFF"/>
            <w:tcMar>
              <w:top w:w="40" w:type="dxa"/>
              <w:left w:w="0" w:type="dxa"/>
              <w:bottom w:w="40" w:type="dxa"/>
              <w:right w:w="20" w:type="dxa"/>
            </w:tcMar>
            <w:vAlign w:val="bottom"/>
          </w:tcPr>
          <w:p w14:paraId="7DCFFD2A" w14:textId="77777777" w:rsidR="00C1563E" w:rsidRDefault="00C1563E">
            <w:pPr>
              <w:jc w:val="right"/>
              <w:rPr>
                <w:rFonts w:ascii="宋体"/>
              </w:rPr>
            </w:pPr>
          </w:p>
        </w:tc>
        <w:tc>
          <w:tcPr>
            <w:tcW w:w="0" w:type="auto"/>
            <w:gridSpan w:val="3"/>
            <w:shd w:val="clear" w:color="auto" w:fill="auto"/>
          </w:tcPr>
          <w:p w14:paraId="7DCFFD2B" w14:textId="77777777" w:rsidR="00C1563E" w:rsidRDefault="00C1563E">
            <w:pPr>
              <w:rPr>
                <w:rFonts w:ascii="宋体"/>
                <w:vanish/>
              </w:rPr>
            </w:pPr>
          </w:p>
        </w:tc>
        <w:tc>
          <w:tcPr>
            <w:tcW w:w="0" w:type="auto"/>
            <w:gridSpan w:val="3"/>
            <w:shd w:val="clear" w:color="auto" w:fill="auto"/>
          </w:tcPr>
          <w:p w14:paraId="7DCFFD2C" w14:textId="77777777" w:rsidR="00C1563E" w:rsidRDefault="00C1563E">
            <w:pPr>
              <w:rPr>
                <w:rFonts w:ascii="宋体"/>
                <w:vanish/>
              </w:rPr>
            </w:pPr>
          </w:p>
        </w:tc>
      </w:tr>
      <w:tr w:rsidR="00C1563E" w14:paraId="7DCFFD34" w14:textId="77777777">
        <w:trPr>
          <w:jc w:val="center"/>
        </w:trPr>
        <w:tc>
          <w:tcPr>
            <w:tcW w:w="0" w:type="auto"/>
            <w:gridSpan w:val="3"/>
            <w:shd w:val="clear" w:color="auto" w:fill="CCEEFF"/>
            <w:tcMar>
              <w:top w:w="40" w:type="dxa"/>
              <w:left w:w="515" w:type="dxa"/>
              <w:bottom w:w="40" w:type="dxa"/>
              <w:right w:w="20" w:type="dxa"/>
            </w:tcMar>
            <w:vAlign w:val="bottom"/>
          </w:tcPr>
          <w:p w14:paraId="7DCFFD2E" w14:textId="77777777" w:rsidR="00C1563E" w:rsidRDefault="000B648B">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DCFFD2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CFFD30" w14:textId="77777777" w:rsidR="00C1563E" w:rsidRDefault="000B648B">
            <w:pPr>
              <w:jc w:val="right"/>
              <w:textAlignment w:val="bottom"/>
            </w:pPr>
            <w:r>
              <w:rPr>
                <w:rFonts w:ascii="Times New Roman" w:eastAsia="宋体" w:hAnsi="Times New Roman"/>
                <w:color w:val="000000"/>
                <w:sz w:val="20"/>
                <w:szCs w:val="20"/>
              </w:rPr>
              <w:t>2,223 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CFFD31" w14:textId="77777777" w:rsidR="00C1563E" w:rsidRDefault="00C1563E">
            <w:pPr>
              <w:jc w:val="right"/>
              <w:rPr>
                <w:rFonts w:ascii="宋体"/>
              </w:rPr>
            </w:pPr>
          </w:p>
        </w:tc>
        <w:tc>
          <w:tcPr>
            <w:tcW w:w="0" w:type="auto"/>
            <w:gridSpan w:val="3"/>
            <w:shd w:val="clear" w:color="auto" w:fill="auto"/>
          </w:tcPr>
          <w:p w14:paraId="7DCFFD32" w14:textId="77777777" w:rsidR="00C1563E" w:rsidRDefault="00C1563E">
            <w:pPr>
              <w:rPr>
                <w:rFonts w:ascii="宋体"/>
                <w:vanish/>
              </w:rPr>
            </w:pPr>
          </w:p>
        </w:tc>
        <w:tc>
          <w:tcPr>
            <w:tcW w:w="0" w:type="auto"/>
            <w:gridSpan w:val="3"/>
            <w:shd w:val="clear" w:color="auto" w:fill="auto"/>
          </w:tcPr>
          <w:p w14:paraId="7DCFFD33" w14:textId="77777777" w:rsidR="00C1563E" w:rsidRDefault="00C1563E">
            <w:pPr>
              <w:rPr>
                <w:rFonts w:ascii="宋体"/>
                <w:vanish/>
              </w:rPr>
            </w:pPr>
          </w:p>
        </w:tc>
      </w:tr>
      <w:tr w:rsidR="00C1563E" w14:paraId="7DCFFD3B" w14:textId="77777777">
        <w:trPr>
          <w:jc w:val="center"/>
        </w:trPr>
        <w:tc>
          <w:tcPr>
            <w:tcW w:w="0" w:type="auto"/>
            <w:gridSpan w:val="3"/>
            <w:shd w:val="clear" w:color="auto" w:fill="FFFFFF"/>
            <w:tcMar>
              <w:top w:w="40" w:type="dxa"/>
              <w:left w:w="605" w:type="dxa"/>
              <w:bottom w:w="40" w:type="dxa"/>
              <w:right w:w="20" w:type="dxa"/>
            </w:tcMar>
            <w:vAlign w:val="bottom"/>
          </w:tcPr>
          <w:p w14:paraId="7DCFFD35" w14:textId="77777777" w:rsidR="00C1563E" w:rsidRDefault="000B648B">
            <w:pPr>
              <w:textAlignment w:val="bottom"/>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bottom"/>
          </w:tcPr>
          <w:p w14:paraId="7DCFFD3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DCFFD37" w14:textId="77777777" w:rsidR="00C1563E" w:rsidRDefault="000B648B">
            <w:pPr>
              <w:jc w:val="right"/>
              <w:textAlignment w:val="bottom"/>
            </w:pPr>
            <w:r>
              <w:rPr>
                <w:rFonts w:ascii="Times New Roman" w:eastAsia="宋体" w:hAnsi="Times New Roman"/>
                <w:color w:val="000000"/>
                <w:sz w:val="20"/>
                <w:szCs w:val="20"/>
              </w:rPr>
              <w:t>436 </w:t>
            </w:r>
          </w:p>
        </w:tc>
        <w:tc>
          <w:tcPr>
            <w:tcW w:w="0" w:type="auto"/>
            <w:tcBorders>
              <w:top w:val="double" w:sz="6" w:space="0" w:color="000000"/>
            </w:tcBorders>
            <w:shd w:val="clear" w:color="auto" w:fill="FFFFFF"/>
            <w:tcMar>
              <w:top w:w="40" w:type="dxa"/>
              <w:left w:w="0" w:type="dxa"/>
              <w:bottom w:w="40" w:type="dxa"/>
              <w:right w:w="20" w:type="dxa"/>
            </w:tcMar>
            <w:vAlign w:val="bottom"/>
          </w:tcPr>
          <w:p w14:paraId="7DCFFD38" w14:textId="77777777" w:rsidR="00C1563E" w:rsidRDefault="00C1563E">
            <w:pPr>
              <w:jc w:val="right"/>
              <w:rPr>
                <w:rFonts w:ascii="宋体"/>
              </w:rPr>
            </w:pPr>
          </w:p>
        </w:tc>
        <w:tc>
          <w:tcPr>
            <w:tcW w:w="0" w:type="auto"/>
            <w:gridSpan w:val="3"/>
            <w:shd w:val="clear" w:color="auto" w:fill="auto"/>
          </w:tcPr>
          <w:p w14:paraId="7DCFFD39" w14:textId="77777777" w:rsidR="00C1563E" w:rsidRDefault="00C1563E">
            <w:pPr>
              <w:rPr>
                <w:rFonts w:ascii="宋体"/>
                <w:vanish/>
              </w:rPr>
            </w:pPr>
          </w:p>
        </w:tc>
        <w:tc>
          <w:tcPr>
            <w:tcW w:w="0" w:type="auto"/>
            <w:gridSpan w:val="3"/>
            <w:shd w:val="clear" w:color="auto" w:fill="auto"/>
          </w:tcPr>
          <w:p w14:paraId="7DCFFD3A" w14:textId="77777777" w:rsidR="00C1563E" w:rsidRDefault="00C1563E">
            <w:pPr>
              <w:rPr>
                <w:rFonts w:ascii="宋体"/>
                <w:vanish/>
              </w:rPr>
            </w:pPr>
          </w:p>
        </w:tc>
      </w:tr>
      <w:tr w:rsidR="00C1563E" w14:paraId="7DCFFD42" w14:textId="77777777">
        <w:trPr>
          <w:jc w:val="center"/>
        </w:trPr>
        <w:tc>
          <w:tcPr>
            <w:tcW w:w="0" w:type="auto"/>
            <w:gridSpan w:val="3"/>
            <w:shd w:val="clear" w:color="auto" w:fill="CCEEFF"/>
            <w:tcMar>
              <w:top w:w="40" w:type="dxa"/>
              <w:left w:w="605" w:type="dxa"/>
              <w:bottom w:w="40" w:type="dxa"/>
              <w:right w:w="20" w:type="dxa"/>
            </w:tcMar>
            <w:vAlign w:val="bottom"/>
          </w:tcPr>
          <w:p w14:paraId="7DCFFD3C" w14:textId="77777777" w:rsidR="00C1563E" w:rsidRDefault="000B648B">
            <w:pPr>
              <w:textAlignment w:val="bottom"/>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bottom"/>
          </w:tcPr>
          <w:p w14:paraId="7DCFFD3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D3E" w14:textId="77777777" w:rsidR="00C1563E" w:rsidRDefault="000B648B">
            <w:pPr>
              <w:jc w:val="right"/>
              <w:textAlignment w:val="bottom"/>
            </w:pPr>
            <w:r>
              <w:rPr>
                <w:rFonts w:ascii="Times New Roman" w:eastAsia="宋体" w:hAnsi="Times New Roman"/>
                <w:color w:val="000000"/>
                <w:sz w:val="20"/>
                <w:szCs w:val="20"/>
              </w:rPr>
              <w:t>1,787 </w:t>
            </w:r>
          </w:p>
        </w:tc>
        <w:tc>
          <w:tcPr>
            <w:tcW w:w="0" w:type="auto"/>
            <w:shd w:val="clear" w:color="auto" w:fill="CCEEFF"/>
            <w:tcMar>
              <w:top w:w="40" w:type="dxa"/>
              <w:left w:w="0" w:type="dxa"/>
              <w:bottom w:w="40" w:type="dxa"/>
              <w:right w:w="20" w:type="dxa"/>
            </w:tcMar>
            <w:vAlign w:val="bottom"/>
          </w:tcPr>
          <w:p w14:paraId="7DCFFD3F" w14:textId="77777777" w:rsidR="00C1563E" w:rsidRDefault="00C1563E">
            <w:pPr>
              <w:jc w:val="right"/>
              <w:rPr>
                <w:rFonts w:ascii="宋体"/>
              </w:rPr>
            </w:pPr>
          </w:p>
        </w:tc>
        <w:tc>
          <w:tcPr>
            <w:tcW w:w="0" w:type="auto"/>
            <w:gridSpan w:val="3"/>
            <w:shd w:val="clear" w:color="auto" w:fill="auto"/>
          </w:tcPr>
          <w:p w14:paraId="7DCFFD40" w14:textId="77777777" w:rsidR="00C1563E" w:rsidRDefault="00C1563E">
            <w:pPr>
              <w:rPr>
                <w:rFonts w:ascii="宋体"/>
                <w:vanish/>
              </w:rPr>
            </w:pPr>
          </w:p>
        </w:tc>
        <w:tc>
          <w:tcPr>
            <w:tcW w:w="0" w:type="auto"/>
            <w:gridSpan w:val="3"/>
            <w:shd w:val="clear" w:color="auto" w:fill="auto"/>
          </w:tcPr>
          <w:p w14:paraId="7DCFFD41" w14:textId="77777777" w:rsidR="00C1563E" w:rsidRDefault="00C1563E">
            <w:pPr>
              <w:rPr>
                <w:rFonts w:ascii="宋体"/>
                <w:vanish/>
              </w:rPr>
            </w:pPr>
          </w:p>
        </w:tc>
      </w:tr>
    </w:tbl>
    <w:p w14:paraId="7DCFFD43" w14:textId="77777777" w:rsidR="00C1563E" w:rsidRDefault="00C1563E"/>
    <w:p w14:paraId="7DCFFD44" w14:textId="77777777" w:rsidR="00C1563E" w:rsidRDefault="000B648B">
      <w:r>
        <w:rPr>
          <w:rFonts w:ascii="Times New Roman" w:eastAsia="宋体" w:hAnsi="Times New Roman"/>
          <w:color w:val="000000"/>
          <w:sz w:val="20"/>
          <w:szCs w:val="20"/>
        </w:rPr>
        <w:t xml:space="preserve">Future lease commitments after Fiscal 2026 include the ground lease on VMware, Inc.’s Palo Alto, California headquarter facilities, which expires in Fiscal 2047. </w:t>
      </w:r>
    </w:p>
    <w:p w14:paraId="7DCFFD45" w14:textId="77777777" w:rsidR="00C1563E" w:rsidRDefault="00C1563E"/>
    <w:p w14:paraId="7DCFFD46" w14:textId="77777777" w:rsidR="00C1563E" w:rsidRDefault="000B648B">
      <w:r>
        <w:rPr>
          <w:rFonts w:ascii="Times New Roman" w:eastAsia="宋体" w:hAnsi="Times New Roman"/>
          <w:color w:val="000000"/>
          <w:sz w:val="20"/>
          <w:szCs w:val="20"/>
        </w:rPr>
        <w:t>As of January 29, 2021, the Company has additional operating leases that have not yet commen</w:t>
      </w:r>
      <w:r>
        <w:rPr>
          <w:rFonts w:ascii="Times New Roman" w:eastAsia="宋体" w:hAnsi="Times New Roman"/>
          <w:color w:val="000000"/>
          <w:sz w:val="20"/>
          <w:szCs w:val="20"/>
        </w:rPr>
        <w:t>ced o</w:t>
      </w:r>
      <w:r>
        <w:rPr>
          <w:rFonts w:ascii="Times New Roman" w:eastAsia="宋体" w:hAnsi="Times New Roman"/>
          <w:color w:val="000000"/>
          <w:sz w:val="20"/>
          <w:szCs w:val="20"/>
          <w:shd w:val="clear" w:color="auto" w:fill="FFFFFF"/>
        </w:rPr>
        <w:t>f $72 million</w:t>
      </w:r>
      <w:r>
        <w:rPr>
          <w:rFonts w:ascii="Times New Roman" w:eastAsia="宋体" w:hAnsi="Times New Roman"/>
          <w:color w:val="000000"/>
          <w:sz w:val="20"/>
          <w:szCs w:val="20"/>
        </w:rPr>
        <w:t xml:space="preserve">. These operating leases will commence during Fiscal 2022 with lease terms of </w:t>
      </w:r>
      <w:r>
        <w:rPr>
          <w:rFonts w:ascii="Times New Roman" w:eastAsia="宋体" w:hAnsi="Times New Roman"/>
          <w:color w:val="000000"/>
          <w:sz w:val="20"/>
          <w:szCs w:val="20"/>
          <w:shd w:val="clear" w:color="auto" w:fill="FFFFFF"/>
        </w:rPr>
        <w:t>one year to 10 years</w:t>
      </w:r>
      <w:r>
        <w:rPr>
          <w:rFonts w:ascii="Times New Roman" w:eastAsia="宋体" w:hAnsi="Times New Roman"/>
          <w:color w:val="000000"/>
          <w:sz w:val="20"/>
          <w:szCs w:val="20"/>
        </w:rPr>
        <w:t>.</w:t>
      </w:r>
    </w:p>
    <w:p w14:paraId="7DCFFD47" w14:textId="77777777" w:rsidR="00C1563E" w:rsidRDefault="00C1563E"/>
    <w:p w14:paraId="7DCFFD48" w14:textId="77777777" w:rsidR="00C1563E" w:rsidRDefault="00C1563E">
      <w:pPr>
        <w:jc w:val="center"/>
      </w:pPr>
    </w:p>
    <w:p w14:paraId="7DCFFD49" w14:textId="77777777" w:rsidR="00C1563E" w:rsidRDefault="000B648B">
      <w:pPr>
        <w:jc w:val="center"/>
      </w:pPr>
      <w:r>
        <w:rPr>
          <w:rFonts w:ascii="Times New Roman" w:eastAsia="宋体" w:hAnsi="Times New Roman"/>
          <w:color w:val="000000"/>
          <w:sz w:val="20"/>
          <w:szCs w:val="20"/>
        </w:rPr>
        <w:t>108</w:t>
      </w:r>
    </w:p>
    <w:p w14:paraId="7DCFFD4A" w14:textId="77777777" w:rsidR="00C1563E" w:rsidRDefault="00C1563E">
      <w:pPr>
        <w:jc w:val="center"/>
      </w:pPr>
    </w:p>
    <w:p w14:paraId="7DCFFD4B" w14:textId="77777777" w:rsidR="00C1563E" w:rsidRDefault="000B648B">
      <w:r>
        <w:pict w14:anchorId="7DD025D6">
          <v:rect id="_x0000_i1132" style="width:415.3pt;height:1.5pt" o:hralign="center" o:hrstd="t" o:hr="t" fillcolor="#a0a0a0" stroked="f"/>
        </w:pict>
      </w:r>
    </w:p>
    <w:p w14:paraId="7DCFFD4C" w14:textId="77777777" w:rsidR="00C1563E" w:rsidRDefault="000B648B">
      <w:hyperlink r:id="rId291" w:anchor="i418e32e4a35149ffbf7d3a25d66881b8_10" w:history="1">
        <w:r>
          <w:rPr>
            <w:rStyle w:val="a5"/>
            <w:rFonts w:ascii="Times New Roman" w:eastAsia="宋体" w:hAnsi="Times New Roman"/>
            <w:sz w:val="20"/>
            <w:szCs w:val="20"/>
          </w:rPr>
          <w:t>Table of Contents</w:t>
        </w:r>
      </w:hyperlink>
    </w:p>
    <w:p w14:paraId="7DCFFD4D" w14:textId="77777777" w:rsidR="00C1563E" w:rsidRDefault="000B648B">
      <w:r>
        <w:rPr>
          <w:rFonts w:ascii="Times New Roman" w:eastAsia="宋体" w:hAnsi="Times New Roman"/>
          <w:b/>
          <w:bCs/>
          <w:color w:val="000000"/>
          <w:sz w:val="20"/>
          <w:szCs w:val="20"/>
        </w:rPr>
        <w:t>NOTE 6 — DEBT</w:t>
      </w:r>
    </w:p>
    <w:p w14:paraId="7DCFFD4E" w14:textId="77777777" w:rsidR="00C1563E" w:rsidRDefault="00C1563E">
      <w:pPr>
        <w:jc w:val="center"/>
      </w:pPr>
    </w:p>
    <w:p w14:paraId="7DCFFD4F" w14:textId="77777777" w:rsidR="00C1563E" w:rsidRDefault="000B648B">
      <w:pPr>
        <w:spacing w:after="120"/>
      </w:pPr>
      <w:r>
        <w:rPr>
          <w:rFonts w:ascii="Times New Roman" w:eastAsia="宋体" w:hAnsi="Times New Roman"/>
          <w:color w:val="000000"/>
          <w:sz w:val="20"/>
          <w:szCs w:val="20"/>
        </w:rPr>
        <w:t xml:space="preserve">The following table summarizes the Company’s outstanding debt as of </w:t>
      </w:r>
      <w:r>
        <w:rPr>
          <w:rFonts w:ascii="Times New Roman" w:eastAsia="宋体" w:hAnsi="Times New Roman"/>
          <w:color w:val="000000"/>
          <w:sz w:val="20"/>
          <w:szCs w:val="20"/>
        </w:rPr>
        <w:t>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403"/>
        <w:gridCol w:w="38"/>
        <w:gridCol w:w="120"/>
        <w:gridCol w:w="1218"/>
        <w:gridCol w:w="36"/>
        <w:gridCol w:w="36"/>
        <w:gridCol w:w="36"/>
        <w:gridCol w:w="36"/>
        <w:gridCol w:w="120"/>
        <w:gridCol w:w="1218"/>
        <w:gridCol w:w="36"/>
      </w:tblGrid>
      <w:tr w:rsidR="00C1563E" w14:paraId="7DCFFD5C" w14:textId="77777777">
        <w:tc>
          <w:tcPr>
            <w:tcW w:w="50" w:type="pct"/>
            <w:shd w:val="clear" w:color="auto" w:fill="auto"/>
          </w:tcPr>
          <w:p w14:paraId="7DCFFD50" w14:textId="77777777" w:rsidR="00C1563E" w:rsidRDefault="00C1563E">
            <w:pPr>
              <w:rPr>
                <w:rFonts w:ascii="宋体"/>
              </w:rPr>
            </w:pPr>
          </w:p>
        </w:tc>
        <w:tc>
          <w:tcPr>
            <w:tcW w:w="3278" w:type="pct"/>
            <w:shd w:val="clear" w:color="auto" w:fill="auto"/>
          </w:tcPr>
          <w:p w14:paraId="7DCFFD51" w14:textId="77777777" w:rsidR="00C1563E" w:rsidRDefault="00C1563E">
            <w:pPr>
              <w:rPr>
                <w:rFonts w:ascii="宋体"/>
              </w:rPr>
            </w:pPr>
          </w:p>
        </w:tc>
        <w:tc>
          <w:tcPr>
            <w:tcW w:w="5" w:type="pct"/>
            <w:shd w:val="clear" w:color="auto" w:fill="auto"/>
          </w:tcPr>
          <w:p w14:paraId="7DCFFD52" w14:textId="77777777" w:rsidR="00C1563E" w:rsidRDefault="00C1563E">
            <w:pPr>
              <w:rPr>
                <w:rFonts w:ascii="宋体"/>
              </w:rPr>
            </w:pPr>
          </w:p>
        </w:tc>
        <w:tc>
          <w:tcPr>
            <w:tcW w:w="50" w:type="pct"/>
            <w:shd w:val="clear" w:color="auto" w:fill="auto"/>
          </w:tcPr>
          <w:p w14:paraId="7DCFFD53" w14:textId="77777777" w:rsidR="00C1563E" w:rsidRDefault="00C1563E">
            <w:pPr>
              <w:rPr>
                <w:rFonts w:ascii="宋体"/>
              </w:rPr>
            </w:pPr>
          </w:p>
        </w:tc>
        <w:tc>
          <w:tcPr>
            <w:tcW w:w="763" w:type="pct"/>
            <w:shd w:val="clear" w:color="auto" w:fill="auto"/>
          </w:tcPr>
          <w:p w14:paraId="7DCFFD54" w14:textId="77777777" w:rsidR="00C1563E" w:rsidRDefault="00C1563E">
            <w:pPr>
              <w:rPr>
                <w:rFonts w:ascii="宋体"/>
              </w:rPr>
            </w:pPr>
          </w:p>
        </w:tc>
        <w:tc>
          <w:tcPr>
            <w:tcW w:w="5" w:type="pct"/>
            <w:shd w:val="clear" w:color="auto" w:fill="auto"/>
          </w:tcPr>
          <w:p w14:paraId="7DCFFD55" w14:textId="77777777" w:rsidR="00C1563E" w:rsidRDefault="00C1563E">
            <w:pPr>
              <w:rPr>
                <w:rFonts w:ascii="宋体"/>
              </w:rPr>
            </w:pPr>
          </w:p>
        </w:tc>
        <w:tc>
          <w:tcPr>
            <w:tcW w:w="5" w:type="pct"/>
            <w:shd w:val="clear" w:color="auto" w:fill="auto"/>
          </w:tcPr>
          <w:p w14:paraId="7DCFFD56" w14:textId="77777777" w:rsidR="00C1563E" w:rsidRDefault="00C1563E">
            <w:pPr>
              <w:rPr>
                <w:rFonts w:ascii="宋体"/>
              </w:rPr>
            </w:pPr>
          </w:p>
        </w:tc>
        <w:tc>
          <w:tcPr>
            <w:tcW w:w="19" w:type="pct"/>
            <w:shd w:val="clear" w:color="auto" w:fill="auto"/>
          </w:tcPr>
          <w:p w14:paraId="7DCFFD57" w14:textId="77777777" w:rsidR="00C1563E" w:rsidRDefault="00C1563E">
            <w:pPr>
              <w:rPr>
                <w:rFonts w:ascii="宋体"/>
              </w:rPr>
            </w:pPr>
          </w:p>
        </w:tc>
        <w:tc>
          <w:tcPr>
            <w:tcW w:w="5" w:type="pct"/>
            <w:shd w:val="clear" w:color="auto" w:fill="auto"/>
          </w:tcPr>
          <w:p w14:paraId="7DCFFD58" w14:textId="77777777" w:rsidR="00C1563E" w:rsidRDefault="00C1563E">
            <w:pPr>
              <w:rPr>
                <w:rFonts w:ascii="宋体"/>
              </w:rPr>
            </w:pPr>
          </w:p>
        </w:tc>
        <w:tc>
          <w:tcPr>
            <w:tcW w:w="50" w:type="pct"/>
            <w:shd w:val="clear" w:color="auto" w:fill="auto"/>
          </w:tcPr>
          <w:p w14:paraId="7DCFFD59" w14:textId="77777777" w:rsidR="00C1563E" w:rsidRDefault="00C1563E">
            <w:pPr>
              <w:rPr>
                <w:rFonts w:ascii="宋体"/>
              </w:rPr>
            </w:pPr>
          </w:p>
        </w:tc>
        <w:tc>
          <w:tcPr>
            <w:tcW w:w="763" w:type="pct"/>
            <w:shd w:val="clear" w:color="auto" w:fill="auto"/>
          </w:tcPr>
          <w:p w14:paraId="7DCFFD5A" w14:textId="77777777" w:rsidR="00C1563E" w:rsidRDefault="00C1563E">
            <w:pPr>
              <w:rPr>
                <w:rFonts w:ascii="宋体"/>
              </w:rPr>
            </w:pPr>
          </w:p>
        </w:tc>
        <w:tc>
          <w:tcPr>
            <w:tcW w:w="5" w:type="pct"/>
            <w:shd w:val="clear" w:color="auto" w:fill="auto"/>
          </w:tcPr>
          <w:p w14:paraId="7DCFFD5B" w14:textId="77777777" w:rsidR="00C1563E" w:rsidRDefault="00C1563E">
            <w:pPr>
              <w:rPr>
                <w:rFonts w:ascii="宋体"/>
              </w:rPr>
            </w:pPr>
          </w:p>
        </w:tc>
      </w:tr>
      <w:tr w:rsidR="00C1563E" w14:paraId="7DCFFD61" w14:textId="77777777">
        <w:tc>
          <w:tcPr>
            <w:tcW w:w="0" w:type="auto"/>
            <w:gridSpan w:val="3"/>
            <w:shd w:val="clear" w:color="auto" w:fill="auto"/>
            <w:tcMar>
              <w:top w:w="40" w:type="dxa"/>
              <w:left w:w="20" w:type="dxa"/>
              <w:bottom w:w="40" w:type="dxa"/>
              <w:right w:w="20" w:type="dxa"/>
            </w:tcMar>
            <w:vAlign w:val="bottom"/>
          </w:tcPr>
          <w:p w14:paraId="7DCFFD5D"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DCFFD5E"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D5F"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D60"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D64" w14:textId="77777777">
        <w:tc>
          <w:tcPr>
            <w:tcW w:w="0" w:type="auto"/>
            <w:gridSpan w:val="3"/>
            <w:shd w:val="clear" w:color="auto" w:fill="auto"/>
            <w:tcMar>
              <w:top w:w="0" w:type="dxa"/>
              <w:left w:w="20" w:type="dxa"/>
              <w:bottom w:w="0" w:type="dxa"/>
              <w:right w:w="20" w:type="dxa"/>
            </w:tcMar>
          </w:tcPr>
          <w:p w14:paraId="7DCFFD62" w14:textId="77777777" w:rsidR="00C1563E" w:rsidRDefault="00C1563E">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DCFFD6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D69" w14:textId="77777777">
        <w:tc>
          <w:tcPr>
            <w:tcW w:w="0" w:type="auto"/>
            <w:gridSpan w:val="3"/>
            <w:shd w:val="clear" w:color="auto" w:fill="CCEEFF"/>
            <w:tcMar>
              <w:top w:w="40" w:type="dxa"/>
              <w:left w:w="20" w:type="dxa"/>
              <w:bottom w:w="40" w:type="dxa"/>
              <w:right w:w="20" w:type="dxa"/>
            </w:tcMar>
            <w:vAlign w:val="bottom"/>
          </w:tcPr>
          <w:p w14:paraId="7DCFFD65" w14:textId="77777777" w:rsidR="00C1563E" w:rsidRDefault="000B648B">
            <w:pPr>
              <w:textAlignment w:val="bottom"/>
            </w:pPr>
            <w:r>
              <w:rPr>
                <w:rFonts w:ascii="Times New Roman" w:eastAsia="宋体" w:hAnsi="Times New Roman"/>
                <w:b/>
                <w:bCs/>
                <w:color w:val="000000"/>
                <w:sz w:val="20"/>
                <w:szCs w:val="20"/>
              </w:rPr>
              <w:t xml:space="preserve">Secured Debt </w:t>
            </w:r>
          </w:p>
        </w:tc>
        <w:tc>
          <w:tcPr>
            <w:tcW w:w="0" w:type="auto"/>
            <w:gridSpan w:val="3"/>
            <w:shd w:val="clear" w:color="auto" w:fill="CCEEFF"/>
            <w:tcMar>
              <w:top w:w="0" w:type="dxa"/>
              <w:left w:w="20" w:type="dxa"/>
              <w:bottom w:w="0" w:type="dxa"/>
              <w:right w:w="20" w:type="dxa"/>
            </w:tcMar>
          </w:tcPr>
          <w:p w14:paraId="7DCFFD6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D6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D68" w14:textId="77777777" w:rsidR="00C1563E" w:rsidRDefault="00C1563E">
            <w:pPr>
              <w:rPr>
                <w:rFonts w:ascii="宋体"/>
              </w:rPr>
            </w:pPr>
          </w:p>
        </w:tc>
      </w:tr>
      <w:tr w:rsidR="00C1563E" w14:paraId="7DCFFD6E" w14:textId="77777777">
        <w:tc>
          <w:tcPr>
            <w:tcW w:w="0" w:type="auto"/>
            <w:gridSpan w:val="3"/>
            <w:shd w:val="clear" w:color="auto" w:fill="FFFFFF"/>
            <w:tcMar>
              <w:top w:w="40" w:type="dxa"/>
              <w:left w:w="155" w:type="dxa"/>
              <w:bottom w:w="40" w:type="dxa"/>
              <w:right w:w="20" w:type="dxa"/>
            </w:tcMar>
            <w:vAlign w:val="bottom"/>
          </w:tcPr>
          <w:p w14:paraId="7DCFFD6A" w14:textId="77777777" w:rsidR="00C1563E" w:rsidRDefault="000B648B">
            <w:pPr>
              <w:textAlignment w:val="bottom"/>
            </w:pPr>
            <w:r>
              <w:rPr>
                <w:rFonts w:ascii="Times New Roman" w:eastAsia="宋体" w:hAnsi="Times New Roman"/>
                <w:color w:val="000000"/>
                <w:sz w:val="20"/>
                <w:szCs w:val="20"/>
              </w:rPr>
              <w:t>Senior Secured Credit Facilities:</w:t>
            </w:r>
          </w:p>
        </w:tc>
        <w:tc>
          <w:tcPr>
            <w:tcW w:w="0" w:type="auto"/>
            <w:gridSpan w:val="3"/>
            <w:shd w:val="clear" w:color="auto" w:fill="FFFFFF"/>
            <w:tcMar>
              <w:top w:w="0" w:type="dxa"/>
              <w:left w:w="20" w:type="dxa"/>
              <w:bottom w:w="0" w:type="dxa"/>
              <w:right w:w="20" w:type="dxa"/>
            </w:tcMar>
          </w:tcPr>
          <w:p w14:paraId="7DCFFD6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6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6D" w14:textId="77777777" w:rsidR="00C1563E" w:rsidRDefault="00C1563E">
            <w:pPr>
              <w:rPr>
                <w:rFonts w:ascii="宋体"/>
              </w:rPr>
            </w:pPr>
          </w:p>
        </w:tc>
      </w:tr>
      <w:tr w:rsidR="00C1563E" w14:paraId="7DCFFD73" w14:textId="77777777">
        <w:trPr>
          <w:hidden/>
        </w:trPr>
        <w:tc>
          <w:tcPr>
            <w:tcW w:w="0" w:type="auto"/>
            <w:gridSpan w:val="3"/>
            <w:shd w:val="clear" w:color="auto" w:fill="auto"/>
          </w:tcPr>
          <w:p w14:paraId="7DCFFD6F" w14:textId="77777777" w:rsidR="00C1563E" w:rsidRDefault="00C1563E">
            <w:pPr>
              <w:rPr>
                <w:rFonts w:ascii="宋体"/>
                <w:vanish/>
              </w:rPr>
            </w:pPr>
          </w:p>
        </w:tc>
        <w:tc>
          <w:tcPr>
            <w:tcW w:w="0" w:type="auto"/>
            <w:gridSpan w:val="3"/>
            <w:shd w:val="clear" w:color="auto" w:fill="auto"/>
          </w:tcPr>
          <w:p w14:paraId="7DCFFD70" w14:textId="77777777" w:rsidR="00C1563E" w:rsidRDefault="00C1563E">
            <w:pPr>
              <w:rPr>
                <w:rFonts w:ascii="宋体"/>
                <w:vanish/>
              </w:rPr>
            </w:pPr>
          </w:p>
        </w:tc>
        <w:tc>
          <w:tcPr>
            <w:tcW w:w="0" w:type="auto"/>
            <w:gridSpan w:val="3"/>
            <w:shd w:val="clear" w:color="auto" w:fill="auto"/>
          </w:tcPr>
          <w:p w14:paraId="7DCFFD71" w14:textId="77777777" w:rsidR="00C1563E" w:rsidRDefault="00C1563E">
            <w:pPr>
              <w:rPr>
                <w:rFonts w:ascii="宋体"/>
                <w:vanish/>
              </w:rPr>
            </w:pPr>
          </w:p>
        </w:tc>
        <w:tc>
          <w:tcPr>
            <w:tcW w:w="0" w:type="auto"/>
            <w:gridSpan w:val="3"/>
            <w:shd w:val="clear" w:color="auto" w:fill="auto"/>
          </w:tcPr>
          <w:p w14:paraId="7DCFFD72" w14:textId="77777777" w:rsidR="00C1563E" w:rsidRDefault="00C1563E">
            <w:pPr>
              <w:rPr>
                <w:rFonts w:ascii="宋体"/>
                <w:vanish/>
              </w:rPr>
            </w:pPr>
          </w:p>
        </w:tc>
      </w:tr>
      <w:tr w:rsidR="00C1563E" w14:paraId="7DCFFD7C" w14:textId="77777777">
        <w:tc>
          <w:tcPr>
            <w:tcW w:w="0" w:type="auto"/>
            <w:gridSpan w:val="3"/>
            <w:shd w:val="clear" w:color="auto" w:fill="CCEEFF"/>
            <w:tcMar>
              <w:top w:w="40" w:type="dxa"/>
              <w:left w:w="20" w:type="dxa"/>
              <w:bottom w:w="40" w:type="dxa"/>
              <w:right w:w="20" w:type="dxa"/>
            </w:tcMar>
            <w:vAlign w:val="bottom"/>
          </w:tcPr>
          <w:p w14:paraId="7DCFFD74" w14:textId="77777777" w:rsidR="00C1563E" w:rsidRDefault="000B648B">
            <w:pPr>
              <w:textAlignment w:val="bottom"/>
            </w:pPr>
            <w:r>
              <w:rPr>
                <w:rFonts w:ascii="Times New Roman" w:eastAsia="宋体" w:hAnsi="Times New Roman"/>
                <w:color w:val="000000"/>
                <w:sz w:val="20"/>
                <w:szCs w:val="20"/>
              </w:rPr>
              <w:t>2.75% Term Loan B-1 Facility due September 2025</w:t>
            </w:r>
          </w:p>
        </w:tc>
        <w:tc>
          <w:tcPr>
            <w:tcW w:w="0" w:type="auto"/>
            <w:shd w:val="clear" w:color="auto" w:fill="CCEEFF"/>
            <w:tcMar>
              <w:top w:w="40" w:type="dxa"/>
              <w:left w:w="20" w:type="dxa"/>
              <w:bottom w:w="40" w:type="dxa"/>
              <w:right w:w="0" w:type="dxa"/>
            </w:tcMar>
            <w:vAlign w:val="bottom"/>
          </w:tcPr>
          <w:p w14:paraId="7DCFFD7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D76" w14:textId="77777777" w:rsidR="00C1563E" w:rsidRDefault="000B648B">
            <w:pPr>
              <w:jc w:val="right"/>
              <w:textAlignment w:val="bottom"/>
            </w:pPr>
            <w:r>
              <w:rPr>
                <w:rFonts w:ascii="Times New Roman" w:eastAsia="宋体" w:hAnsi="Times New Roman"/>
                <w:color w:val="000000"/>
                <w:sz w:val="20"/>
                <w:szCs w:val="20"/>
              </w:rPr>
              <w:t>3,143 </w:t>
            </w:r>
          </w:p>
        </w:tc>
        <w:tc>
          <w:tcPr>
            <w:tcW w:w="0" w:type="auto"/>
            <w:shd w:val="clear" w:color="auto" w:fill="CCEEFF"/>
            <w:tcMar>
              <w:top w:w="40" w:type="dxa"/>
              <w:left w:w="0" w:type="dxa"/>
              <w:bottom w:w="40" w:type="dxa"/>
              <w:right w:w="20" w:type="dxa"/>
            </w:tcMar>
            <w:vAlign w:val="bottom"/>
          </w:tcPr>
          <w:p w14:paraId="7DCFFD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7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D7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D7A" w14:textId="77777777" w:rsidR="00C1563E" w:rsidRDefault="000B648B">
            <w:pPr>
              <w:jc w:val="right"/>
              <w:textAlignment w:val="bottom"/>
            </w:pPr>
            <w:r>
              <w:rPr>
                <w:rFonts w:ascii="Times New Roman" w:eastAsia="宋体" w:hAnsi="Times New Roman"/>
                <w:color w:val="000000"/>
                <w:sz w:val="20"/>
                <w:szCs w:val="20"/>
              </w:rPr>
              <w:t>4,738 </w:t>
            </w:r>
          </w:p>
        </w:tc>
        <w:tc>
          <w:tcPr>
            <w:tcW w:w="0" w:type="auto"/>
            <w:shd w:val="clear" w:color="auto" w:fill="CCEEFF"/>
            <w:tcMar>
              <w:top w:w="40" w:type="dxa"/>
              <w:left w:w="0" w:type="dxa"/>
              <w:bottom w:w="40" w:type="dxa"/>
              <w:right w:w="20" w:type="dxa"/>
            </w:tcMar>
            <w:vAlign w:val="bottom"/>
          </w:tcPr>
          <w:p w14:paraId="7DCFFD7B" w14:textId="77777777" w:rsidR="00C1563E" w:rsidRDefault="00C1563E">
            <w:pPr>
              <w:jc w:val="right"/>
              <w:rPr>
                <w:rFonts w:ascii="宋体"/>
              </w:rPr>
            </w:pPr>
          </w:p>
        </w:tc>
      </w:tr>
      <w:tr w:rsidR="00C1563E" w14:paraId="7DCFFD81" w14:textId="77777777">
        <w:trPr>
          <w:hidden/>
        </w:trPr>
        <w:tc>
          <w:tcPr>
            <w:tcW w:w="0" w:type="auto"/>
            <w:gridSpan w:val="3"/>
            <w:shd w:val="clear" w:color="auto" w:fill="auto"/>
          </w:tcPr>
          <w:p w14:paraId="7DCFFD7D" w14:textId="77777777" w:rsidR="00C1563E" w:rsidRDefault="00C1563E">
            <w:pPr>
              <w:rPr>
                <w:rFonts w:ascii="宋体"/>
                <w:vanish/>
              </w:rPr>
            </w:pPr>
          </w:p>
        </w:tc>
        <w:tc>
          <w:tcPr>
            <w:tcW w:w="0" w:type="auto"/>
            <w:gridSpan w:val="3"/>
            <w:shd w:val="clear" w:color="auto" w:fill="auto"/>
          </w:tcPr>
          <w:p w14:paraId="7DCFFD7E" w14:textId="77777777" w:rsidR="00C1563E" w:rsidRDefault="00C1563E">
            <w:pPr>
              <w:rPr>
                <w:rFonts w:ascii="宋体"/>
                <w:vanish/>
              </w:rPr>
            </w:pPr>
          </w:p>
        </w:tc>
        <w:tc>
          <w:tcPr>
            <w:tcW w:w="0" w:type="auto"/>
            <w:gridSpan w:val="3"/>
            <w:shd w:val="clear" w:color="auto" w:fill="auto"/>
          </w:tcPr>
          <w:p w14:paraId="7DCFFD7F" w14:textId="77777777" w:rsidR="00C1563E" w:rsidRDefault="00C1563E">
            <w:pPr>
              <w:rPr>
                <w:rFonts w:ascii="宋体"/>
                <w:vanish/>
              </w:rPr>
            </w:pPr>
          </w:p>
        </w:tc>
        <w:tc>
          <w:tcPr>
            <w:tcW w:w="0" w:type="auto"/>
            <w:gridSpan w:val="3"/>
            <w:shd w:val="clear" w:color="auto" w:fill="auto"/>
          </w:tcPr>
          <w:p w14:paraId="7DCFFD80" w14:textId="77777777" w:rsidR="00C1563E" w:rsidRDefault="00C1563E">
            <w:pPr>
              <w:rPr>
                <w:rFonts w:ascii="宋体"/>
                <w:vanish/>
              </w:rPr>
            </w:pPr>
          </w:p>
        </w:tc>
      </w:tr>
      <w:tr w:rsidR="00C1563E" w14:paraId="7DCFFD88" w14:textId="77777777">
        <w:tc>
          <w:tcPr>
            <w:tcW w:w="0" w:type="auto"/>
            <w:gridSpan w:val="3"/>
            <w:shd w:val="clear" w:color="auto" w:fill="FFFFFF"/>
            <w:tcMar>
              <w:top w:w="40" w:type="dxa"/>
              <w:left w:w="20" w:type="dxa"/>
              <w:bottom w:w="40" w:type="dxa"/>
              <w:right w:w="20" w:type="dxa"/>
            </w:tcMar>
            <w:vAlign w:val="bottom"/>
          </w:tcPr>
          <w:p w14:paraId="7DCFFD82" w14:textId="77777777" w:rsidR="00C1563E" w:rsidRDefault="000B648B">
            <w:pPr>
              <w:textAlignment w:val="bottom"/>
            </w:pPr>
            <w:r>
              <w:rPr>
                <w:rFonts w:ascii="Times New Roman" w:eastAsia="宋体" w:hAnsi="Times New Roman"/>
                <w:color w:val="000000"/>
                <w:sz w:val="20"/>
                <w:szCs w:val="20"/>
              </w:rPr>
              <w:t xml:space="preserve">1.90% Term Loan A-4 </w:t>
            </w:r>
            <w:r>
              <w:rPr>
                <w:rFonts w:ascii="Times New Roman" w:eastAsia="宋体" w:hAnsi="Times New Roman"/>
                <w:color w:val="000000"/>
                <w:sz w:val="20"/>
                <w:szCs w:val="20"/>
              </w:rPr>
              <w:t>Facility due December 2023</w:t>
            </w:r>
          </w:p>
        </w:tc>
        <w:tc>
          <w:tcPr>
            <w:tcW w:w="0" w:type="auto"/>
            <w:gridSpan w:val="2"/>
            <w:shd w:val="clear" w:color="auto" w:fill="FFFFFF"/>
            <w:tcMar>
              <w:top w:w="40" w:type="dxa"/>
              <w:left w:w="20" w:type="dxa"/>
              <w:bottom w:w="40" w:type="dxa"/>
              <w:right w:w="0" w:type="dxa"/>
            </w:tcMar>
            <w:vAlign w:val="bottom"/>
          </w:tcPr>
          <w:p w14:paraId="7DCFFD8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D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8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86" w14:textId="77777777" w:rsidR="00C1563E" w:rsidRDefault="000B648B">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bottom"/>
          </w:tcPr>
          <w:p w14:paraId="7DCFFD87" w14:textId="77777777" w:rsidR="00C1563E" w:rsidRDefault="00C1563E">
            <w:pPr>
              <w:jc w:val="right"/>
              <w:rPr>
                <w:rFonts w:ascii="宋体"/>
              </w:rPr>
            </w:pPr>
          </w:p>
        </w:tc>
      </w:tr>
      <w:tr w:rsidR="00C1563E" w14:paraId="7DCFFD8D" w14:textId="77777777">
        <w:trPr>
          <w:hidden/>
        </w:trPr>
        <w:tc>
          <w:tcPr>
            <w:tcW w:w="0" w:type="auto"/>
            <w:gridSpan w:val="3"/>
            <w:shd w:val="clear" w:color="auto" w:fill="auto"/>
          </w:tcPr>
          <w:p w14:paraId="7DCFFD89" w14:textId="77777777" w:rsidR="00C1563E" w:rsidRDefault="00C1563E">
            <w:pPr>
              <w:rPr>
                <w:rFonts w:ascii="宋体"/>
                <w:vanish/>
              </w:rPr>
            </w:pPr>
          </w:p>
        </w:tc>
        <w:tc>
          <w:tcPr>
            <w:tcW w:w="0" w:type="auto"/>
            <w:gridSpan w:val="3"/>
            <w:shd w:val="clear" w:color="auto" w:fill="auto"/>
          </w:tcPr>
          <w:p w14:paraId="7DCFFD8A" w14:textId="77777777" w:rsidR="00C1563E" w:rsidRDefault="00C1563E">
            <w:pPr>
              <w:rPr>
                <w:rFonts w:ascii="宋体"/>
                <w:vanish/>
              </w:rPr>
            </w:pPr>
          </w:p>
        </w:tc>
        <w:tc>
          <w:tcPr>
            <w:tcW w:w="0" w:type="auto"/>
            <w:gridSpan w:val="3"/>
            <w:shd w:val="clear" w:color="auto" w:fill="auto"/>
          </w:tcPr>
          <w:p w14:paraId="7DCFFD8B" w14:textId="77777777" w:rsidR="00C1563E" w:rsidRDefault="00C1563E">
            <w:pPr>
              <w:rPr>
                <w:rFonts w:ascii="宋体"/>
                <w:vanish/>
              </w:rPr>
            </w:pPr>
          </w:p>
        </w:tc>
        <w:tc>
          <w:tcPr>
            <w:tcW w:w="0" w:type="auto"/>
            <w:gridSpan w:val="3"/>
            <w:shd w:val="clear" w:color="auto" w:fill="auto"/>
          </w:tcPr>
          <w:p w14:paraId="7DCFFD8C" w14:textId="77777777" w:rsidR="00C1563E" w:rsidRDefault="00C1563E">
            <w:pPr>
              <w:rPr>
                <w:rFonts w:ascii="宋体"/>
                <w:vanish/>
              </w:rPr>
            </w:pPr>
          </w:p>
        </w:tc>
      </w:tr>
      <w:tr w:rsidR="00C1563E" w14:paraId="7DCFFD94" w14:textId="77777777">
        <w:tc>
          <w:tcPr>
            <w:tcW w:w="0" w:type="auto"/>
            <w:gridSpan w:val="3"/>
            <w:shd w:val="clear" w:color="auto" w:fill="CCEEFF"/>
            <w:tcMar>
              <w:top w:w="40" w:type="dxa"/>
              <w:left w:w="20" w:type="dxa"/>
              <w:bottom w:w="40" w:type="dxa"/>
              <w:right w:w="20" w:type="dxa"/>
            </w:tcMar>
            <w:vAlign w:val="bottom"/>
          </w:tcPr>
          <w:p w14:paraId="7DCFFD8E" w14:textId="77777777" w:rsidR="00C1563E" w:rsidRDefault="000B648B">
            <w:pPr>
              <w:textAlignment w:val="bottom"/>
            </w:pPr>
            <w:r>
              <w:rPr>
                <w:rFonts w:ascii="Times New Roman" w:eastAsia="宋体" w:hAnsi="Times New Roman"/>
                <w:color w:val="000000"/>
                <w:sz w:val="20"/>
                <w:szCs w:val="20"/>
              </w:rPr>
              <w:t>1.90% Term Loan A-6 Facility due March 2024</w:t>
            </w:r>
          </w:p>
        </w:tc>
        <w:tc>
          <w:tcPr>
            <w:tcW w:w="0" w:type="auto"/>
            <w:gridSpan w:val="2"/>
            <w:shd w:val="clear" w:color="auto" w:fill="CCEEFF"/>
            <w:tcMar>
              <w:top w:w="40" w:type="dxa"/>
              <w:left w:w="20" w:type="dxa"/>
              <w:bottom w:w="40" w:type="dxa"/>
              <w:right w:w="0" w:type="dxa"/>
            </w:tcMar>
            <w:vAlign w:val="bottom"/>
          </w:tcPr>
          <w:p w14:paraId="7DCFFD8F" w14:textId="77777777" w:rsidR="00C1563E" w:rsidRDefault="000B648B">
            <w:pPr>
              <w:jc w:val="right"/>
              <w:textAlignment w:val="bottom"/>
            </w:pPr>
            <w:r>
              <w:rPr>
                <w:rFonts w:ascii="Times New Roman" w:eastAsia="宋体" w:hAnsi="Times New Roman"/>
                <w:color w:val="000000"/>
                <w:sz w:val="20"/>
                <w:szCs w:val="20"/>
              </w:rPr>
              <w:t>3,134 </w:t>
            </w:r>
          </w:p>
        </w:tc>
        <w:tc>
          <w:tcPr>
            <w:tcW w:w="0" w:type="auto"/>
            <w:shd w:val="clear" w:color="auto" w:fill="CCEEFF"/>
            <w:tcMar>
              <w:top w:w="40" w:type="dxa"/>
              <w:left w:w="0" w:type="dxa"/>
              <w:bottom w:w="40" w:type="dxa"/>
              <w:right w:w="20" w:type="dxa"/>
            </w:tcMar>
            <w:vAlign w:val="bottom"/>
          </w:tcPr>
          <w:p w14:paraId="7DCFFD9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9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92" w14:textId="77777777" w:rsidR="00C1563E" w:rsidRDefault="000B648B">
            <w:pPr>
              <w:jc w:val="right"/>
              <w:textAlignment w:val="bottom"/>
            </w:pPr>
            <w:r>
              <w:rPr>
                <w:rFonts w:ascii="Times New Roman" w:eastAsia="宋体" w:hAnsi="Times New Roman"/>
                <w:color w:val="000000"/>
                <w:sz w:val="20"/>
                <w:szCs w:val="20"/>
              </w:rPr>
              <w:t>3,497 </w:t>
            </w:r>
          </w:p>
        </w:tc>
        <w:tc>
          <w:tcPr>
            <w:tcW w:w="0" w:type="auto"/>
            <w:shd w:val="clear" w:color="auto" w:fill="CCEEFF"/>
            <w:tcMar>
              <w:top w:w="40" w:type="dxa"/>
              <w:left w:w="0" w:type="dxa"/>
              <w:bottom w:w="40" w:type="dxa"/>
              <w:right w:w="20" w:type="dxa"/>
            </w:tcMar>
            <w:vAlign w:val="bottom"/>
          </w:tcPr>
          <w:p w14:paraId="7DCFFD93" w14:textId="77777777" w:rsidR="00C1563E" w:rsidRDefault="00C1563E">
            <w:pPr>
              <w:jc w:val="right"/>
              <w:rPr>
                <w:rFonts w:ascii="宋体"/>
              </w:rPr>
            </w:pPr>
          </w:p>
        </w:tc>
      </w:tr>
      <w:tr w:rsidR="00C1563E" w14:paraId="7DCFFD99" w14:textId="77777777">
        <w:tc>
          <w:tcPr>
            <w:tcW w:w="0" w:type="auto"/>
            <w:gridSpan w:val="3"/>
            <w:shd w:val="clear" w:color="auto" w:fill="FFFFFF"/>
            <w:tcMar>
              <w:top w:w="40" w:type="dxa"/>
              <w:left w:w="155" w:type="dxa"/>
              <w:bottom w:w="40" w:type="dxa"/>
              <w:right w:w="20" w:type="dxa"/>
            </w:tcMar>
            <w:vAlign w:val="bottom"/>
          </w:tcPr>
          <w:p w14:paraId="7DCFFD95" w14:textId="77777777" w:rsidR="00C1563E" w:rsidRDefault="000B648B">
            <w:pPr>
              <w:textAlignment w:val="bottom"/>
            </w:pPr>
            <w:r>
              <w:rPr>
                <w:rFonts w:ascii="Times New Roman" w:eastAsia="宋体" w:hAnsi="Times New Roman"/>
                <w:color w:val="000000"/>
                <w:sz w:val="20"/>
                <w:szCs w:val="20"/>
              </w:rPr>
              <w:t>First Lien Notes:</w:t>
            </w:r>
          </w:p>
        </w:tc>
        <w:tc>
          <w:tcPr>
            <w:tcW w:w="0" w:type="auto"/>
            <w:gridSpan w:val="3"/>
            <w:shd w:val="clear" w:color="auto" w:fill="FFFFFF"/>
            <w:tcMar>
              <w:top w:w="0" w:type="dxa"/>
              <w:left w:w="20" w:type="dxa"/>
              <w:bottom w:w="0" w:type="dxa"/>
              <w:right w:w="20" w:type="dxa"/>
            </w:tcMar>
          </w:tcPr>
          <w:p w14:paraId="7DCFFD9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9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98" w14:textId="77777777" w:rsidR="00C1563E" w:rsidRDefault="00C1563E">
            <w:pPr>
              <w:rPr>
                <w:rFonts w:ascii="宋体"/>
              </w:rPr>
            </w:pPr>
          </w:p>
        </w:tc>
      </w:tr>
      <w:tr w:rsidR="00C1563E" w14:paraId="7DCFFD9E" w14:textId="77777777">
        <w:trPr>
          <w:hidden/>
        </w:trPr>
        <w:tc>
          <w:tcPr>
            <w:tcW w:w="0" w:type="auto"/>
            <w:gridSpan w:val="3"/>
            <w:shd w:val="clear" w:color="auto" w:fill="auto"/>
          </w:tcPr>
          <w:p w14:paraId="7DCFFD9A" w14:textId="77777777" w:rsidR="00C1563E" w:rsidRDefault="00C1563E">
            <w:pPr>
              <w:rPr>
                <w:rFonts w:ascii="宋体"/>
                <w:vanish/>
              </w:rPr>
            </w:pPr>
          </w:p>
        </w:tc>
        <w:tc>
          <w:tcPr>
            <w:tcW w:w="0" w:type="auto"/>
            <w:gridSpan w:val="3"/>
            <w:shd w:val="clear" w:color="auto" w:fill="auto"/>
          </w:tcPr>
          <w:p w14:paraId="7DCFFD9B" w14:textId="77777777" w:rsidR="00C1563E" w:rsidRDefault="00C1563E">
            <w:pPr>
              <w:rPr>
                <w:rFonts w:ascii="宋体"/>
                <w:vanish/>
              </w:rPr>
            </w:pPr>
          </w:p>
        </w:tc>
        <w:tc>
          <w:tcPr>
            <w:tcW w:w="0" w:type="auto"/>
            <w:gridSpan w:val="3"/>
            <w:shd w:val="clear" w:color="auto" w:fill="auto"/>
          </w:tcPr>
          <w:p w14:paraId="7DCFFD9C" w14:textId="77777777" w:rsidR="00C1563E" w:rsidRDefault="00C1563E">
            <w:pPr>
              <w:rPr>
                <w:rFonts w:ascii="宋体"/>
                <w:vanish/>
              </w:rPr>
            </w:pPr>
          </w:p>
        </w:tc>
        <w:tc>
          <w:tcPr>
            <w:tcW w:w="0" w:type="auto"/>
            <w:gridSpan w:val="3"/>
            <w:shd w:val="clear" w:color="auto" w:fill="auto"/>
          </w:tcPr>
          <w:p w14:paraId="7DCFFD9D" w14:textId="77777777" w:rsidR="00C1563E" w:rsidRDefault="00C1563E">
            <w:pPr>
              <w:rPr>
                <w:rFonts w:ascii="宋体"/>
                <w:vanish/>
              </w:rPr>
            </w:pPr>
          </w:p>
        </w:tc>
      </w:tr>
      <w:tr w:rsidR="00C1563E" w14:paraId="7DCFFDA5" w14:textId="77777777">
        <w:tc>
          <w:tcPr>
            <w:tcW w:w="0" w:type="auto"/>
            <w:gridSpan w:val="3"/>
            <w:shd w:val="clear" w:color="auto" w:fill="CCEEFF"/>
            <w:tcMar>
              <w:top w:w="40" w:type="dxa"/>
              <w:left w:w="20" w:type="dxa"/>
              <w:bottom w:w="40" w:type="dxa"/>
              <w:right w:w="20" w:type="dxa"/>
            </w:tcMar>
            <w:vAlign w:val="bottom"/>
          </w:tcPr>
          <w:p w14:paraId="7DCFFD9F" w14:textId="77777777" w:rsidR="00C1563E" w:rsidRDefault="000B648B">
            <w:pPr>
              <w:textAlignment w:val="bottom"/>
            </w:pPr>
            <w:r>
              <w:rPr>
                <w:rFonts w:ascii="Times New Roman" w:eastAsia="宋体" w:hAnsi="Times New Roman"/>
                <w:color w:val="000000"/>
                <w:sz w:val="20"/>
                <w:szCs w:val="20"/>
              </w:rPr>
              <w:t>4.42% due June 2021</w:t>
            </w:r>
          </w:p>
        </w:tc>
        <w:tc>
          <w:tcPr>
            <w:tcW w:w="0" w:type="auto"/>
            <w:gridSpan w:val="2"/>
            <w:shd w:val="clear" w:color="auto" w:fill="CCEEFF"/>
            <w:tcMar>
              <w:top w:w="40" w:type="dxa"/>
              <w:left w:w="20" w:type="dxa"/>
              <w:bottom w:w="40" w:type="dxa"/>
              <w:right w:w="0" w:type="dxa"/>
            </w:tcMar>
            <w:vAlign w:val="bottom"/>
          </w:tcPr>
          <w:p w14:paraId="7DCFFDA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DA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A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A3" w14:textId="77777777" w:rsidR="00C1563E" w:rsidRDefault="000B648B">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7DCFFDA4" w14:textId="77777777" w:rsidR="00C1563E" w:rsidRDefault="00C1563E">
            <w:pPr>
              <w:jc w:val="right"/>
              <w:rPr>
                <w:rFonts w:ascii="宋体"/>
              </w:rPr>
            </w:pPr>
          </w:p>
        </w:tc>
      </w:tr>
      <w:tr w:rsidR="00C1563E" w14:paraId="7DCFFDAC" w14:textId="77777777">
        <w:tc>
          <w:tcPr>
            <w:tcW w:w="0" w:type="auto"/>
            <w:gridSpan w:val="3"/>
            <w:shd w:val="clear" w:color="auto" w:fill="FFFFFF"/>
            <w:tcMar>
              <w:top w:w="40" w:type="dxa"/>
              <w:left w:w="20" w:type="dxa"/>
              <w:bottom w:w="40" w:type="dxa"/>
              <w:right w:w="20" w:type="dxa"/>
            </w:tcMar>
            <w:vAlign w:val="bottom"/>
          </w:tcPr>
          <w:p w14:paraId="7DCFFDA6" w14:textId="77777777" w:rsidR="00C1563E" w:rsidRDefault="000B648B">
            <w:pPr>
              <w:textAlignment w:val="bottom"/>
            </w:pPr>
            <w:r>
              <w:rPr>
                <w:rFonts w:ascii="Times New Roman" w:eastAsia="宋体" w:hAnsi="Times New Roman"/>
                <w:color w:val="000000"/>
                <w:sz w:val="20"/>
                <w:szCs w:val="20"/>
              </w:rPr>
              <w:t>5.45% due June 2023</w:t>
            </w:r>
          </w:p>
        </w:tc>
        <w:tc>
          <w:tcPr>
            <w:tcW w:w="0" w:type="auto"/>
            <w:gridSpan w:val="2"/>
            <w:shd w:val="clear" w:color="auto" w:fill="FFFFFF"/>
            <w:tcMar>
              <w:top w:w="40" w:type="dxa"/>
              <w:left w:w="20" w:type="dxa"/>
              <w:bottom w:w="40" w:type="dxa"/>
              <w:right w:w="0" w:type="dxa"/>
            </w:tcMar>
            <w:vAlign w:val="bottom"/>
          </w:tcPr>
          <w:p w14:paraId="7DCFFDA7" w14:textId="77777777" w:rsidR="00C1563E" w:rsidRDefault="000B648B">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7DCFFDA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A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AA" w14:textId="77777777" w:rsidR="00C1563E" w:rsidRDefault="000B648B">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7DCFFDAB" w14:textId="77777777" w:rsidR="00C1563E" w:rsidRDefault="00C1563E">
            <w:pPr>
              <w:jc w:val="right"/>
              <w:rPr>
                <w:rFonts w:ascii="宋体"/>
              </w:rPr>
            </w:pPr>
          </w:p>
        </w:tc>
      </w:tr>
      <w:tr w:rsidR="00C1563E" w14:paraId="7DCFFDB3" w14:textId="77777777">
        <w:tc>
          <w:tcPr>
            <w:tcW w:w="0" w:type="auto"/>
            <w:gridSpan w:val="3"/>
            <w:shd w:val="clear" w:color="auto" w:fill="CCEEFF"/>
            <w:tcMar>
              <w:top w:w="40" w:type="dxa"/>
              <w:left w:w="20" w:type="dxa"/>
              <w:bottom w:w="40" w:type="dxa"/>
              <w:right w:w="20" w:type="dxa"/>
            </w:tcMar>
            <w:vAlign w:val="bottom"/>
          </w:tcPr>
          <w:p w14:paraId="7DCFFDAD" w14:textId="77777777" w:rsidR="00C1563E" w:rsidRDefault="000B648B">
            <w:pPr>
              <w:textAlignment w:val="bottom"/>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bottom"/>
          </w:tcPr>
          <w:p w14:paraId="7DCFFDAE"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FD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B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B1"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FDB2" w14:textId="77777777" w:rsidR="00C1563E" w:rsidRDefault="00C1563E">
            <w:pPr>
              <w:jc w:val="right"/>
              <w:rPr>
                <w:rFonts w:ascii="宋体"/>
              </w:rPr>
            </w:pPr>
          </w:p>
        </w:tc>
      </w:tr>
      <w:tr w:rsidR="00C1563E" w14:paraId="7DCFFDBA" w14:textId="77777777">
        <w:tc>
          <w:tcPr>
            <w:tcW w:w="0" w:type="auto"/>
            <w:gridSpan w:val="3"/>
            <w:shd w:val="clear" w:color="auto" w:fill="FFFFFF"/>
            <w:tcMar>
              <w:top w:w="40" w:type="dxa"/>
              <w:left w:w="20" w:type="dxa"/>
              <w:bottom w:w="40" w:type="dxa"/>
              <w:right w:w="20" w:type="dxa"/>
            </w:tcMar>
            <w:vAlign w:val="bottom"/>
          </w:tcPr>
          <w:p w14:paraId="7DCFFDB4" w14:textId="77777777" w:rsidR="00C1563E" w:rsidRDefault="000B648B">
            <w:pPr>
              <w:textAlignment w:val="bottom"/>
            </w:pPr>
            <w:r>
              <w:rPr>
                <w:rFonts w:ascii="Times New Roman" w:eastAsia="宋体" w:hAnsi="Times New Roman"/>
                <w:color w:val="000000"/>
                <w:sz w:val="20"/>
                <w:szCs w:val="20"/>
              </w:rPr>
              <w:t xml:space="preserve">5.85% due </w:t>
            </w:r>
            <w:r>
              <w:rPr>
                <w:rFonts w:ascii="Times New Roman" w:eastAsia="宋体" w:hAnsi="Times New Roman"/>
                <w:color w:val="000000"/>
                <w:sz w:val="20"/>
                <w:szCs w:val="20"/>
              </w:rPr>
              <w:t>July 2025</w:t>
            </w:r>
          </w:p>
        </w:tc>
        <w:tc>
          <w:tcPr>
            <w:tcW w:w="0" w:type="auto"/>
            <w:gridSpan w:val="2"/>
            <w:shd w:val="clear" w:color="auto" w:fill="FFFFFF"/>
            <w:tcMar>
              <w:top w:w="40" w:type="dxa"/>
              <w:left w:w="20" w:type="dxa"/>
              <w:bottom w:w="40" w:type="dxa"/>
              <w:right w:w="0" w:type="dxa"/>
            </w:tcMar>
            <w:vAlign w:val="bottom"/>
          </w:tcPr>
          <w:p w14:paraId="7DCFFDB5"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7DCFFDB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B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B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DB9" w14:textId="77777777" w:rsidR="00C1563E" w:rsidRDefault="00C1563E">
            <w:pPr>
              <w:jc w:val="right"/>
              <w:rPr>
                <w:rFonts w:ascii="宋体"/>
              </w:rPr>
            </w:pPr>
          </w:p>
        </w:tc>
      </w:tr>
      <w:tr w:rsidR="00C1563E" w14:paraId="7DCFFDC1" w14:textId="77777777">
        <w:tc>
          <w:tcPr>
            <w:tcW w:w="0" w:type="auto"/>
            <w:gridSpan w:val="3"/>
            <w:shd w:val="clear" w:color="auto" w:fill="CCEEFF"/>
            <w:tcMar>
              <w:top w:w="40" w:type="dxa"/>
              <w:left w:w="20" w:type="dxa"/>
              <w:bottom w:w="40" w:type="dxa"/>
              <w:right w:w="20" w:type="dxa"/>
            </w:tcMar>
            <w:vAlign w:val="bottom"/>
          </w:tcPr>
          <w:p w14:paraId="7DCFFDBB" w14:textId="77777777" w:rsidR="00C1563E" w:rsidRDefault="000B648B">
            <w:pPr>
              <w:textAlignment w:val="bottom"/>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bottom"/>
          </w:tcPr>
          <w:p w14:paraId="7DCFFDBC" w14:textId="77777777" w:rsidR="00C1563E" w:rsidRDefault="000B648B">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7DCFFDB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B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BF" w14:textId="77777777" w:rsidR="00C1563E" w:rsidRDefault="000B648B">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7DCFFDC0" w14:textId="77777777" w:rsidR="00C1563E" w:rsidRDefault="00C1563E">
            <w:pPr>
              <w:jc w:val="right"/>
              <w:rPr>
                <w:rFonts w:ascii="宋体"/>
              </w:rPr>
            </w:pPr>
          </w:p>
        </w:tc>
      </w:tr>
      <w:tr w:rsidR="00C1563E" w14:paraId="7DCFFDC8" w14:textId="77777777">
        <w:tc>
          <w:tcPr>
            <w:tcW w:w="0" w:type="auto"/>
            <w:gridSpan w:val="3"/>
            <w:shd w:val="clear" w:color="auto" w:fill="FFFFFF"/>
            <w:tcMar>
              <w:top w:w="40" w:type="dxa"/>
              <w:left w:w="20" w:type="dxa"/>
              <w:bottom w:w="40" w:type="dxa"/>
              <w:right w:w="20" w:type="dxa"/>
            </w:tcMar>
            <w:vAlign w:val="bottom"/>
          </w:tcPr>
          <w:p w14:paraId="7DCFFDC2" w14:textId="77777777" w:rsidR="00C1563E" w:rsidRDefault="000B648B">
            <w:pPr>
              <w:textAlignment w:val="bottom"/>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bottom"/>
          </w:tcPr>
          <w:p w14:paraId="7DCFFDC3" w14:textId="77777777" w:rsidR="00C1563E" w:rsidRDefault="000B648B">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DCFFDC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C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C6" w14:textId="77777777" w:rsidR="00C1563E" w:rsidRDefault="000B648B">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DCFFDC7" w14:textId="77777777" w:rsidR="00C1563E" w:rsidRDefault="00C1563E">
            <w:pPr>
              <w:jc w:val="right"/>
              <w:rPr>
                <w:rFonts w:ascii="宋体"/>
              </w:rPr>
            </w:pPr>
          </w:p>
        </w:tc>
      </w:tr>
      <w:tr w:rsidR="00C1563E" w14:paraId="7DCFFDCF" w14:textId="77777777">
        <w:tc>
          <w:tcPr>
            <w:tcW w:w="0" w:type="auto"/>
            <w:gridSpan w:val="3"/>
            <w:shd w:val="clear" w:color="auto" w:fill="CCEEFF"/>
            <w:tcMar>
              <w:top w:w="40" w:type="dxa"/>
              <w:left w:w="20" w:type="dxa"/>
              <w:bottom w:w="40" w:type="dxa"/>
              <w:right w:w="20" w:type="dxa"/>
            </w:tcMar>
            <w:vAlign w:val="bottom"/>
          </w:tcPr>
          <w:p w14:paraId="7DCFFDC9" w14:textId="77777777" w:rsidR="00C1563E" w:rsidRDefault="000B648B">
            <w:pPr>
              <w:textAlignment w:val="bottom"/>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bottom"/>
          </w:tcPr>
          <w:p w14:paraId="7DCFFDCA" w14:textId="77777777" w:rsidR="00C1563E" w:rsidRDefault="000B648B">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DCFFDC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C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C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DCE" w14:textId="77777777" w:rsidR="00C1563E" w:rsidRDefault="00C1563E">
            <w:pPr>
              <w:jc w:val="right"/>
              <w:rPr>
                <w:rFonts w:ascii="宋体"/>
              </w:rPr>
            </w:pPr>
          </w:p>
        </w:tc>
      </w:tr>
      <w:tr w:rsidR="00C1563E" w14:paraId="7DCFFDD6" w14:textId="77777777">
        <w:tc>
          <w:tcPr>
            <w:tcW w:w="0" w:type="auto"/>
            <w:gridSpan w:val="3"/>
            <w:shd w:val="clear" w:color="auto" w:fill="FFFFFF"/>
            <w:tcMar>
              <w:top w:w="40" w:type="dxa"/>
              <w:left w:w="20" w:type="dxa"/>
              <w:bottom w:w="40" w:type="dxa"/>
              <w:right w:w="20" w:type="dxa"/>
            </w:tcMar>
            <w:vAlign w:val="bottom"/>
          </w:tcPr>
          <w:p w14:paraId="7DCFFDD0" w14:textId="77777777" w:rsidR="00C1563E" w:rsidRDefault="000B648B">
            <w:pPr>
              <w:textAlignment w:val="bottom"/>
            </w:pPr>
            <w:r>
              <w:rPr>
                <w:rFonts w:ascii="Times New Roman" w:eastAsia="宋体" w:hAnsi="Times New Roman"/>
                <w:color w:val="000000"/>
                <w:sz w:val="20"/>
                <w:szCs w:val="20"/>
              </w:rPr>
              <w:t>5.30% due October 2029</w:t>
            </w:r>
          </w:p>
        </w:tc>
        <w:tc>
          <w:tcPr>
            <w:tcW w:w="0" w:type="auto"/>
            <w:gridSpan w:val="2"/>
            <w:shd w:val="clear" w:color="auto" w:fill="FFFFFF"/>
            <w:tcMar>
              <w:top w:w="40" w:type="dxa"/>
              <w:left w:w="20" w:type="dxa"/>
              <w:bottom w:w="40" w:type="dxa"/>
              <w:right w:w="0" w:type="dxa"/>
            </w:tcMar>
            <w:vAlign w:val="bottom"/>
          </w:tcPr>
          <w:p w14:paraId="7DCFFDD1" w14:textId="77777777" w:rsidR="00C1563E" w:rsidRDefault="000B648B">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DCFFDD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D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D4" w14:textId="77777777" w:rsidR="00C1563E" w:rsidRDefault="000B648B">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DCFFDD5" w14:textId="77777777" w:rsidR="00C1563E" w:rsidRDefault="00C1563E">
            <w:pPr>
              <w:jc w:val="right"/>
              <w:rPr>
                <w:rFonts w:ascii="宋体"/>
              </w:rPr>
            </w:pPr>
          </w:p>
        </w:tc>
      </w:tr>
      <w:tr w:rsidR="00C1563E" w14:paraId="7DCFFDDD" w14:textId="77777777">
        <w:tc>
          <w:tcPr>
            <w:tcW w:w="0" w:type="auto"/>
            <w:gridSpan w:val="3"/>
            <w:shd w:val="clear" w:color="auto" w:fill="CCEEFF"/>
            <w:tcMar>
              <w:top w:w="40" w:type="dxa"/>
              <w:left w:w="20" w:type="dxa"/>
              <w:bottom w:w="40" w:type="dxa"/>
              <w:right w:w="20" w:type="dxa"/>
            </w:tcMar>
            <w:vAlign w:val="bottom"/>
          </w:tcPr>
          <w:p w14:paraId="7DCFFDD7" w14:textId="77777777" w:rsidR="00C1563E" w:rsidRDefault="000B648B">
            <w:pPr>
              <w:textAlignment w:val="bottom"/>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bottom"/>
          </w:tcPr>
          <w:p w14:paraId="7DCFFDD8"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DCFFDD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D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D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DDC" w14:textId="77777777" w:rsidR="00C1563E" w:rsidRDefault="00C1563E">
            <w:pPr>
              <w:jc w:val="right"/>
              <w:rPr>
                <w:rFonts w:ascii="宋体"/>
              </w:rPr>
            </w:pPr>
          </w:p>
        </w:tc>
      </w:tr>
      <w:tr w:rsidR="00C1563E" w14:paraId="7DCFFDE4" w14:textId="77777777">
        <w:tc>
          <w:tcPr>
            <w:tcW w:w="0" w:type="auto"/>
            <w:gridSpan w:val="3"/>
            <w:shd w:val="clear" w:color="auto" w:fill="FFFFFF"/>
            <w:tcMar>
              <w:top w:w="40" w:type="dxa"/>
              <w:left w:w="20" w:type="dxa"/>
              <w:bottom w:w="40" w:type="dxa"/>
              <w:right w:w="20" w:type="dxa"/>
            </w:tcMar>
            <w:vAlign w:val="bottom"/>
          </w:tcPr>
          <w:p w14:paraId="7DCFFDDE" w14:textId="77777777" w:rsidR="00C1563E" w:rsidRDefault="000B648B">
            <w:pPr>
              <w:textAlignment w:val="bottom"/>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bottom"/>
          </w:tcPr>
          <w:p w14:paraId="7DCFFDDF"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DCFFDE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E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E2"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DCFFDE3" w14:textId="77777777" w:rsidR="00C1563E" w:rsidRDefault="00C1563E">
            <w:pPr>
              <w:jc w:val="right"/>
              <w:rPr>
                <w:rFonts w:ascii="宋体"/>
              </w:rPr>
            </w:pPr>
          </w:p>
        </w:tc>
      </w:tr>
      <w:tr w:rsidR="00C1563E" w14:paraId="7DCFFDEB" w14:textId="77777777">
        <w:tc>
          <w:tcPr>
            <w:tcW w:w="0" w:type="auto"/>
            <w:gridSpan w:val="3"/>
            <w:shd w:val="clear" w:color="auto" w:fill="CCEEFF"/>
            <w:tcMar>
              <w:top w:w="40" w:type="dxa"/>
              <w:left w:w="20" w:type="dxa"/>
              <w:bottom w:w="40" w:type="dxa"/>
              <w:right w:w="20" w:type="dxa"/>
            </w:tcMar>
            <w:vAlign w:val="bottom"/>
          </w:tcPr>
          <w:p w14:paraId="7DCFFDE5" w14:textId="77777777" w:rsidR="00C1563E" w:rsidRDefault="000B648B">
            <w:pPr>
              <w:textAlignment w:val="bottom"/>
            </w:pPr>
            <w:r>
              <w:rPr>
                <w:rFonts w:ascii="Times New Roman" w:eastAsia="宋体" w:hAnsi="Times New Roman"/>
                <w:color w:val="000000"/>
                <w:sz w:val="20"/>
                <w:szCs w:val="20"/>
              </w:rPr>
              <w:t xml:space="preserve">8.35% </w:t>
            </w:r>
            <w:r>
              <w:rPr>
                <w:rFonts w:ascii="Times New Roman" w:eastAsia="宋体" w:hAnsi="Times New Roman"/>
                <w:color w:val="000000"/>
                <w:sz w:val="20"/>
                <w:szCs w:val="20"/>
              </w:rPr>
              <w:t>due July 2046</w:t>
            </w:r>
          </w:p>
        </w:tc>
        <w:tc>
          <w:tcPr>
            <w:tcW w:w="0" w:type="auto"/>
            <w:gridSpan w:val="2"/>
            <w:shd w:val="clear" w:color="auto" w:fill="CCEEFF"/>
            <w:tcMar>
              <w:top w:w="40" w:type="dxa"/>
              <w:left w:w="20" w:type="dxa"/>
              <w:bottom w:w="40" w:type="dxa"/>
              <w:right w:w="0" w:type="dxa"/>
            </w:tcMar>
            <w:vAlign w:val="bottom"/>
          </w:tcPr>
          <w:p w14:paraId="7DCFFDE6" w14:textId="77777777" w:rsidR="00C1563E" w:rsidRDefault="000B648B">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DCFFD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DE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DE9" w14:textId="77777777" w:rsidR="00C1563E" w:rsidRDefault="000B648B">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DCFFDEA" w14:textId="77777777" w:rsidR="00C1563E" w:rsidRDefault="00C1563E">
            <w:pPr>
              <w:jc w:val="right"/>
              <w:rPr>
                <w:rFonts w:ascii="宋体"/>
              </w:rPr>
            </w:pPr>
          </w:p>
        </w:tc>
      </w:tr>
      <w:tr w:rsidR="00C1563E" w14:paraId="7DCFFDF0" w14:textId="77777777">
        <w:tc>
          <w:tcPr>
            <w:tcW w:w="0" w:type="auto"/>
            <w:gridSpan w:val="3"/>
            <w:shd w:val="clear" w:color="auto" w:fill="FFFFFF"/>
            <w:tcMar>
              <w:top w:w="40" w:type="dxa"/>
              <w:left w:w="20" w:type="dxa"/>
              <w:bottom w:w="40" w:type="dxa"/>
              <w:right w:w="20" w:type="dxa"/>
            </w:tcMar>
            <w:vAlign w:val="bottom"/>
          </w:tcPr>
          <w:p w14:paraId="7DCFFDEC" w14:textId="77777777" w:rsidR="00C1563E" w:rsidRDefault="000B648B">
            <w:pPr>
              <w:textAlignment w:val="bottom"/>
            </w:pPr>
            <w:r>
              <w:rPr>
                <w:rFonts w:ascii="Times New Roman" w:eastAsia="宋体" w:hAnsi="Times New Roman"/>
                <w:b/>
                <w:bCs/>
                <w:color w:val="000000"/>
                <w:sz w:val="20"/>
                <w:szCs w:val="20"/>
              </w:rPr>
              <w:t>Unsecured Debt</w:t>
            </w:r>
          </w:p>
        </w:tc>
        <w:tc>
          <w:tcPr>
            <w:tcW w:w="0" w:type="auto"/>
            <w:gridSpan w:val="3"/>
            <w:shd w:val="clear" w:color="auto" w:fill="FFFFFF"/>
            <w:tcMar>
              <w:top w:w="0" w:type="dxa"/>
              <w:left w:w="20" w:type="dxa"/>
              <w:bottom w:w="0" w:type="dxa"/>
              <w:right w:w="20" w:type="dxa"/>
            </w:tcMar>
          </w:tcPr>
          <w:p w14:paraId="7DCFFDE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E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DEF" w14:textId="77777777" w:rsidR="00C1563E" w:rsidRDefault="00C1563E">
            <w:pPr>
              <w:rPr>
                <w:rFonts w:ascii="宋体"/>
              </w:rPr>
            </w:pPr>
          </w:p>
        </w:tc>
      </w:tr>
      <w:tr w:rsidR="00C1563E" w14:paraId="7DCFFDF5" w14:textId="77777777">
        <w:tc>
          <w:tcPr>
            <w:tcW w:w="0" w:type="auto"/>
            <w:gridSpan w:val="3"/>
            <w:shd w:val="clear" w:color="auto" w:fill="CCEEFF"/>
            <w:tcMar>
              <w:top w:w="40" w:type="dxa"/>
              <w:left w:w="155" w:type="dxa"/>
              <w:bottom w:w="40" w:type="dxa"/>
              <w:right w:w="20" w:type="dxa"/>
            </w:tcMar>
            <w:vAlign w:val="bottom"/>
          </w:tcPr>
          <w:p w14:paraId="7DCFFDF1" w14:textId="77777777" w:rsidR="00C1563E" w:rsidRDefault="000B648B">
            <w:pPr>
              <w:textAlignment w:val="bottom"/>
            </w:pPr>
            <w:r>
              <w:rPr>
                <w:rFonts w:ascii="Times New Roman" w:eastAsia="宋体" w:hAnsi="Times New Roman"/>
                <w:color w:val="000000"/>
                <w:sz w:val="20"/>
                <w:szCs w:val="20"/>
              </w:rPr>
              <w:t>Unsecured Notes and Debentures:</w:t>
            </w:r>
          </w:p>
        </w:tc>
        <w:tc>
          <w:tcPr>
            <w:tcW w:w="0" w:type="auto"/>
            <w:gridSpan w:val="3"/>
            <w:shd w:val="clear" w:color="auto" w:fill="CCEEFF"/>
            <w:tcMar>
              <w:top w:w="0" w:type="dxa"/>
              <w:left w:w="20" w:type="dxa"/>
              <w:bottom w:w="0" w:type="dxa"/>
              <w:right w:w="20" w:type="dxa"/>
            </w:tcMar>
          </w:tcPr>
          <w:p w14:paraId="7DCFFDF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DF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DF4" w14:textId="77777777" w:rsidR="00C1563E" w:rsidRDefault="00C1563E">
            <w:pPr>
              <w:rPr>
                <w:rFonts w:ascii="宋体"/>
              </w:rPr>
            </w:pPr>
          </w:p>
        </w:tc>
      </w:tr>
      <w:tr w:rsidR="00C1563E" w14:paraId="7DCFFDFA" w14:textId="77777777">
        <w:trPr>
          <w:hidden/>
        </w:trPr>
        <w:tc>
          <w:tcPr>
            <w:tcW w:w="0" w:type="auto"/>
            <w:gridSpan w:val="3"/>
            <w:shd w:val="clear" w:color="auto" w:fill="auto"/>
          </w:tcPr>
          <w:p w14:paraId="7DCFFDF6" w14:textId="77777777" w:rsidR="00C1563E" w:rsidRDefault="00C1563E">
            <w:pPr>
              <w:rPr>
                <w:rFonts w:ascii="宋体"/>
                <w:vanish/>
              </w:rPr>
            </w:pPr>
          </w:p>
        </w:tc>
        <w:tc>
          <w:tcPr>
            <w:tcW w:w="0" w:type="auto"/>
            <w:gridSpan w:val="3"/>
            <w:shd w:val="clear" w:color="auto" w:fill="auto"/>
          </w:tcPr>
          <w:p w14:paraId="7DCFFDF7" w14:textId="77777777" w:rsidR="00C1563E" w:rsidRDefault="00C1563E">
            <w:pPr>
              <w:rPr>
                <w:rFonts w:ascii="宋体"/>
                <w:vanish/>
              </w:rPr>
            </w:pPr>
          </w:p>
        </w:tc>
        <w:tc>
          <w:tcPr>
            <w:tcW w:w="0" w:type="auto"/>
            <w:gridSpan w:val="3"/>
            <w:shd w:val="clear" w:color="auto" w:fill="auto"/>
          </w:tcPr>
          <w:p w14:paraId="7DCFFDF8" w14:textId="77777777" w:rsidR="00C1563E" w:rsidRDefault="00C1563E">
            <w:pPr>
              <w:rPr>
                <w:rFonts w:ascii="宋体"/>
                <w:vanish/>
              </w:rPr>
            </w:pPr>
          </w:p>
        </w:tc>
        <w:tc>
          <w:tcPr>
            <w:tcW w:w="0" w:type="auto"/>
            <w:gridSpan w:val="3"/>
            <w:shd w:val="clear" w:color="auto" w:fill="auto"/>
          </w:tcPr>
          <w:p w14:paraId="7DCFFDF9" w14:textId="77777777" w:rsidR="00C1563E" w:rsidRDefault="00C1563E">
            <w:pPr>
              <w:rPr>
                <w:rFonts w:ascii="宋体"/>
                <w:vanish/>
              </w:rPr>
            </w:pPr>
          </w:p>
        </w:tc>
      </w:tr>
      <w:tr w:rsidR="00C1563E" w14:paraId="7DCFFE01" w14:textId="77777777">
        <w:tc>
          <w:tcPr>
            <w:tcW w:w="0" w:type="auto"/>
            <w:gridSpan w:val="3"/>
            <w:shd w:val="clear" w:color="auto" w:fill="FFFFFF"/>
            <w:tcMar>
              <w:top w:w="40" w:type="dxa"/>
              <w:left w:w="20" w:type="dxa"/>
              <w:bottom w:w="40" w:type="dxa"/>
              <w:right w:w="20" w:type="dxa"/>
            </w:tcMar>
            <w:vAlign w:val="bottom"/>
          </w:tcPr>
          <w:p w14:paraId="7DCFFDFB" w14:textId="77777777" w:rsidR="00C1563E" w:rsidRDefault="000B648B">
            <w:pPr>
              <w:textAlignment w:val="bottom"/>
            </w:pPr>
            <w:r>
              <w:rPr>
                <w:rFonts w:ascii="Times New Roman" w:eastAsia="宋体" w:hAnsi="Times New Roman"/>
                <w:color w:val="000000"/>
                <w:sz w:val="20"/>
                <w:szCs w:val="20"/>
              </w:rPr>
              <w:t>4.625% due April 2021</w:t>
            </w:r>
          </w:p>
        </w:tc>
        <w:tc>
          <w:tcPr>
            <w:tcW w:w="0" w:type="auto"/>
            <w:gridSpan w:val="2"/>
            <w:shd w:val="clear" w:color="auto" w:fill="FFFFFF"/>
            <w:tcMar>
              <w:top w:w="40" w:type="dxa"/>
              <w:left w:w="20" w:type="dxa"/>
              <w:bottom w:w="40" w:type="dxa"/>
              <w:right w:w="0" w:type="dxa"/>
            </w:tcMar>
            <w:vAlign w:val="bottom"/>
          </w:tcPr>
          <w:p w14:paraId="7DCFFDFC" w14:textId="77777777" w:rsidR="00C1563E" w:rsidRDefault="000B648B">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DCFFDF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DF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DFF" w14:textId="77777777" w:rsidR="00C1563E" w:rsidRDefault="000B648B">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DCFFE00" w14:textId="77777777" w:rsidR="00C1563E" w:rsidRDefault="00C1563E">
            <w:pPr>
              <w:jc w:val="right"/>
              <w:rPr>
                <w:rFonts w:ascii="宋体"/>
              </w:rPr>
            </w:pPr>
          </w:p>
        </w:tc>
      </w:tr>
      <w:tr w:rsidR="00C1563E" w14:paraId="7DCFFE08" w14:textId="77777777">
        <w:tc>
          <w:tcPr>
            <w:tcW w:w="0" w:type="auto"/>
            <w:gridSpan w:val="3"/>
            <w:shd w:val="clear" w:color="auto" w:fill="CCEEFF"/>
            <w:tcMar>
              <w:top w:w="40" w:type="dxa"/>
              <w:left w:w="20" w:type="dxa"/>
              <w:bottom w:w="40" w:type="dxa"/>
              <w:right w:w="20" w:type="dxa"/>
            </w:tcMar>
            <w:vAlign w:val="bottom"/>
          </w:tcPr>
          <w:p w14:paraId="7DCFFE02" w14:textId="77777777" w:rsidR="00C1563E" w:rsidRDefault="000B648B">
            <w:pPr>
              <w:textAlignment w:val="bottom"/>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bottom"/>
          </w:tcPr>
          <w:p w14:paraId="7DCFFE03" w14:textId="77777777" w:rsidR="00C1563E" w:rsidRDefault="000B648B">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7DCFFE0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0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06" w14:textId="77777777" w:rsidR="00C1563E" w:rsidRDefault="000B648B">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7DCFFE07" w14:textId="77777777" w:rsidR="00C1563E" w:rsidRDefault="00C1563E">
            <w:pPr>
              <w:jc w:val="right"/>
              <w:rPr>
                <w:rFonts w:ascii="宋体"/>
              </w:rPr>
            </w:pPr>
          </w:p>
        </w:tc>
      </w:tr>
      <w:tr w:rsidR="00C1563E" w14:paraId="7DCFFE0F" w14:textId="77777777">
        <w:tc>
          <w:tcPr>
            <w:tcW w:w="0" w:type="auto"/>
            <w:gridSpan w:val="3"/>
            <w:shd w:val="clear" w:color="auto" w:fill="FFFFFF"/>
            <w:tcMar>
              <w:top w:w="40" w:type="dxa"/>
              <w:left w:w="20" w:type="dxa"/>
              <w:bottom w:w="40" w:type="dxa"/>
              <w:right w:w="20" w:type="dxa"/>
            </w:tcMar>
            <w:vAlign w:val="bottom"/>
          </w:tcPr>
          <w:p w14:paraId="7DCFFE09" w14:textId="77777777" w:rsidR="00C1563E" w:rsidRDefault="000B648B">
            <w:pPr>
              <w:textAlignment w:val="bottom"/>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bottom"/>
          </w:tcPr>
          <w:p w14:paraId="7DCFFE0A" w14:textId="77777777" w:rsidR="00C1563E" w:rsidRDefault="000B648B">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7DCFFE0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0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0D" w14:textId="77777777" w:rsidR="00C1563E" w:rsidRDefault="000B648B">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7DCFFE0E" w14:textId="77777777" w:rsidR="00C1563E" w:rsidRDefault="00C1563E">
            <w:pPr>
              <w:jc w:val="right"/>
              <w:rPr>
                <w:rFonts w:ascii="宋体"/>
              </w:rPr>
            </w:pPr>
          </w:p>
        </w:tc>
      </w:tr>
      <w:tr w:rsidR="00C1563E" w14:paraId="7DCFFE16" w14:textId="77777777">
        <w:tc>
          <w:tcPr>
            <w:tcW w:w="0" w:type="auto"/>
            <w:gridSpan w:val="3"/>
            <w:shd w:val="clear" w:color="auto" w:fill="CCEEFF"/>
            <w:tcMar>
              <w:top w:w="40" w:type="dxa"/>
              <w:left w:w="20" w:type="dxa"/>
              <w:bottom w:w="40" w:type="dxa"/>
              <w:right w:w="20" w:type="dxa"/>
            </w:tcMar>
            <w:vAlign w:val="bottom"/>
          </w:tcPr>
          <w:p w14:paraId="7DCFFE10" w14:textId="77777777" w:rsidR="00C1563E" w:rsidRDefault="000B648B">
            <w:pPr>
              <w:textAlignment w:val="bottom"/>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bottom"/>
          </w:tcPr>
          <w:p w14:paraId="7DCFFE11" w14:textId="77777777" w:rsidR="00C1563E" w:rsidRDefault="000B648B">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DCFFE1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1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14" w14:textId="77777777" w:rsidR="00C1563E" w:rsidRDefault="000B648B">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DCFFE15" w14:textId="77777777" w:rsidR="00C1563E" w:rsidRDefault="00C1563E">
            <w:pPr>
              <w:jc w:val="right"/>
              <w:rPr>
                <w:rFonts w:ascii="宋体"/>
              </w:rPr>
            </w:pPr>
          </w:p>
        </w:tc>
      </w:tr>
      <w:tr w:rsidR="00C1563E" w14:paraId="7DCFFE1B" w14:textId="77777777">
        <w:tc>
          <w:tcPr>
            <w:tcW w:w="0" w:type="auto"/>
            <w:gridSpan w:val="3"/>
            <w:shd w:val="clear" w:color="auto" w:fill="FFFFFF"/>
            <w:tcMar>
              <w:top w:w="40" w:type="dxa"/>
              <w:left w:w="155" w:type="dxa"/>
              <w:bottom w:w="40" w:type="dxa"/>
              <w:right w:w="20" w:type="dxa"/>
            </w:tcMar>
            <w:vAlign w:val="bottom"/>
          </w:tcPr>
          <w:p w14:paraId="7DCFFE17" w14:textId="77777777" w:rsidR="00C1563E" w:rsidRDefault="000B648B">
            <w:pPr>
              <w:textAlignment w:val="bottom"/>
            </w:pPr>
            <w:r>
              <w:rPr>
                <w:rFonts w:ascii="Times New Roman" w:eastAsia="宋体" w:hAnsi="Times New Roman"/>
                <w:color w:val="000000"/>
                <w:sz w:val="20"/>
                <w:szCs w:val="20"/>
              </w:rPr>
              <w:t>Senior Notes:</w:t>
            </w:r>
          </w:p>
        </w:tc>
        <w:tc>
          <w:tcPr>
            <w:tcW w:w="0" w:type="auto"/>
            <w:gridSpan w:val="3"/>
            <w:shd w:val="clear" w:color="auto" w:fill="FFFFFF"/>
            <w:tcMar>
              <w:top w:w="0" w:type="dxa"/>
              <w:left w:w="20" w:type="dxa"/>
              <w:bottom w:w="0" w:type="dxa"/>
              <w:right w:w="20" w:type="dxa"/>
            </w:tcMar>
          </w:tcPr>
          <w:p w14:paraId="7DCFFE1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1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1A" w14:textId="77777777" w:rsidR="00C1563E" w:rsidRDefault="00C1563E">
            <w:pPr>
              <w:rPr>
                <w:rFonts w:ascii="宋体"/>
              </w:rPr>
            </w:pPr>
          </w:p>
        </w:tc>
      </w:tr>
      <w:tr w:rsidR="00C1563E" w14:paraId="7DCFFE22" w14:textId="77777777">
        <w:tc>
          <w:tcPr>
            <w:tcW w:w="0" w:type="auto"/>
            <w:gridSpan w:val="3"/>
            <w:shd w:val="clear" w:color="auto" w:fill="CCEEFF"/>
            <w:tcMar>
              <w:top w:w="40" w:type="dxa"/>
              <w:left w:w="20" w:type="dxa"/>
              <w:bottom w:w="40" w:type="dxa"/>
              <w:right w:w="20" w:type="dxa"/>
            </w:tcMar>
            <w:vAlign w:val="bottom"/>
          </w:tcPr>
          <w:p w14:paraId="7DCFFE1C" w14:textId="77777777" w:rsidR="00C1563E" w:rsidRDefault="000B648B">
            <w:pPr>
              <w:textAlignment w:val="bottom"/>
            </w:pPr>
            <w:r>
              <w:rPr>
                <w:rFonts w:ascii="Times New Roman" w:eastAsia="宋体" w:hAnsi="Times New Roman"/>
                <w:color w:val="000000"/>
                <w:sz w:val="20"/>
                <w:szCs w:val="20"/>
              </w:rPr>
              <w:t>5.875% due June 2021</w:t>
            </w:r>
          </w:p>
        </w:tc>
        <w:tc>
          <w:tcPr>
            <w:tcW w:w="0" w:type="auto"/>
            <w:gridSpan w:val="2"/>
            <w:shd w:val="clear" w:color="auto" w:fill="CCEEFF"/>
            <w:tcMar>
              <w:top w:w="40" w:type="dxa"/>
              <w:left w:w="20" w:type="dxa"/>
              <w:bottom w:w="40" w:type="dxa"/>
              <w:right w:w="0" w:type="dxa"/>
            </w:tcMar>
            <w:vAlign w:val="bottom"/>
          </w:tcPr>
          <w:p w14:paraId="7DCFFE1D" w14:textId="77777777" w:rsidR="00C1563E" w:rsidRDefault="000B648B">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bottom"/>
          </w:tcPr>
          <w:p w14:paraId="7DCFFE1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1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20" w14:textId="77777777" w:rsidR="00C1563E" w:rsidRDefault="000B648B">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bottom"/>
          </w:tcPr>
          <w:p w14:paraId="7DCFFE21" w14:textId="77777777" w:rsidR="00C1563E" w:rsidRDefault="00C1563E">
            <w:pPr>
              <w:jc w:val="right"/>
              <w:rPr>
                <w:rFonts w:ascii="宋体"/>
              </w:rPr>
            </w:pPr>
          </w:p>
        </w:tc>
      </w:tr>
      <w:tr w:rsidR="00C1563E" w14:paraId="7DCFFE29" w14:textId="77777777">
        <w:tc>
          <w:tcPr>
            <w:tcW w:w="0" w:type="auto"/>
            <w:gridSpan w:val="3"/>
            <w:shd w:val="clear" w:color="auto" w:fill="FFFFFF"/>
            <w:tcMar>
              <w:top w:w="40" w:type="dxa"/>
              <w:left w:w="20" w:type="dxa"/>
              <w:bottom w:w="40" w:type="dxa"/>
              <w:right w:w="20" w:type="dxa"/>
            </w:tcMar>
            <w:vAlign w:val="bottom"/>
          </w:tcPr>
          <w:p w14:paraId="7DCFFE23" w14:textId="77777777" w:rsidR="00C1563E" w:rsidRDefault="000B648B">
            <w:pPr>
              <w:textAlignment w:val="bottom"/>
            </w:pPr>
            <w:r>
              <w:rPr>
                <w:rFonts w:ascii="Times New Roman" w:eastAsia="宋体" w:hAnsi="Times New Roman"/>
                <w:color w:val="000000"/>
                <w:sz w:val="20"/>
                <w:szCs w:val="20"/>
              </w:rPr>
              <w:t>7.125% due June 2024</w:t>
            </w:r>
          </w:p>
        </w:tc>
        <w:tc>
          <w:tcPr>
            <w:tcW w:w="0" w:type="auto"/>
            <w:gridSpan w:val="2"/>
            <w:shd w:val="clear" w:color="auto" w:fill="FFFFFF"/>
            <w:tcMar>
              <w:top w:w="40" w:type="dxa"/>
              <w:left w:w="20" w:type="dxa"/>
              <w:bottom w:w="40" w:type="dxa"/>
              <w:right w:w="0" w:type="dxa"/>
            </w:tcMar>
            <w:vAlign w:val="bottom"/>
          </w:tcPr>
          <w:p w14:paraId="7DCFFE24" w14:textId="77777777" w:rsidR="00C1563E" w:rsidRDefault="000B648B">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7DCFFE2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2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27" w14:textId="77777777" w:rsidR="00C1563E" w:rsidRDefault="000B648B">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7DCFFE28" w14:textId="77777777" w:rsidR="00C1563E" w:rsidRDefault="00C1563E">
            <w:pPr>
              <w:jc w:val="right"/>
              <w:rPr>
                <w:rFonts w:ascii="宋体"/>
              </w:rPr>
            </w:pPr>
          </w:p>
        </w:tc>
      </w:tr>
      <w:tr w:rsidR="00C1563E" w14:paraId="7DCFFE2E" w14:textId="77777777">
        <w:tc>
          <w:tcPr>
            <w:tcW w:w="0" w:type="auto"/>
            <w:gridSpan w:val="3"/>
            <w:shd w:val="clear" w:color="auto" w:fill="CCEEFF"/>
            <w:tcMar>
              <w:top w:w="40" w:type="dxa"/>
              <w:left w:w="155" w:type="dxa"/>
              <w:bottom w:w="40" w:type="dxa"/>
              <w:right w:w="20" w:type="dxa"/>
            </w:tcMar>
            <w:vAlign w:val="bottom"/>
          </w:tcPr>
          <w:p w14:paraId="7DCFFE2A" w14:textId="77777777" w:rsidR="00C1563E" w:rsidRDefault="000B648B">
            <w:pPr>
              <w:textAlignment w:val="bottom"/>
            </w:pPr>
            <w:r>
              <w:rPr>
                <w:rFonts w:ascii="Times New Roman" w:eastAsia="宋体" w:hAnsi="Times New Roman"/>
                <w:color w:val="000000"/>
                <w:sz w:val="20"/>
                <w:szCs w:val="20"/>
              </w:rPr>
              <w:t>EMC Notes:</w:t>
            </w:r>
          </w:p>
        </w:tc>
        <w:tc>
          <w:tcPr>
            <w:tcW w:w="0" w:type="auto"/>
            <w:gridSpan w:val="3"/>
            <w:shd w:val="clear" w:color="auto" w:fill="CCEEFF"/>
            <w:tcMar>
              <w:top w:w="0" w:type="dxa"/>
              <w:left w:w="20" w:type="dxa"/>
              <w:bottom w:w="0" w:type="dxa"/>
              <w:right w:w="20" w:type="dxa"/>
            </w:tcMar>
          </w:tcPr>
          <w:p w14:paraId="7DCFFE2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E2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E2D" w14:textId="77777777" w:rsidR="00C1563E" w:rsidRDefault="00C1563E">
            <w:pPr>
              <w:rPr>
                <w:rFonts w:ascii="宋体"/>
              </w:rPr>
            </w:pPr>
          </w:p>
        </w:tc>
      </w:tr>
      <w:tr w:rsidR="00C1563E" w14:paraId="7DCFFE35" w14:textId="77777777">
        <w:tc>
          <w:tcPr>
            <w:tcW w:w="0" w:type="auto"/>
            <w:gridSpan w:val="3"/>
            <w:shd w:val="clear" w:color="auto" w:fill="FFFFFF"/>
            <w:tcMar>
              <w:top w:w="40" w:type="dxa"/>
              <w:left w:w="20" w:type="dxa"/>
              <w:bottom w:w="40" w:type="dxa"/>
              <w:right w:w="20" w:type="dxa"/>
            </w:tcMar>
            <w:vAlign w:val="bottom"/>
          </w:tcPr>
          <w:p w14:paraId="7DCFFE2F" w14:textId="77777777" w:rsidR="00C1563E" w:rsidRDefault="000B648B">
            <w:pPr>
              <w:textAlignment w:val="bottom"/>
            </w:pPr>
            <w:r>
              <w:rPr>
                <w:rFonts w:ascii="Times New Roman" w:eastAsia="宋体" w:hAnsi="Times New Roman"/>
                <w:color w:val="000000"/>
                <w:sz w:val="20"/>
                <w:szCs w:val="20"/>
              </w:rPr>
              <w:t>2.650% due June 2020</w:t>
            </w:r>
          </w:p>
        </w:tc>
        <w:tc>
          <w:tcPr>
            <w:tcW w:w="0" w:type="auto"/>
            <w:gridSpan w:val="2"/>
            <w:shd w:val="clear" w:color="auto" w:fill="FFFFFF"/>
            <w:tcMar>
              <w:top w:w="40" w:type="dxa"/>
              <w:left w:w="20" w:type="dxa"/>
              <w:bottom w:w="40" w:type="dxa"/>
              <w:right w:w="0" w:type="dxa"/>
            </w:tcMar>
            <w:vAlign w:val="bottom"/>
          </w:tcPr>
          <w:p w14:paraId="7DCFFE3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E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33" w14:textId="77777777" w:rsidR="00C1563E" w:rsidRDefault="000B648B">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7DCFFE34" w14:textId="77777777" w:rsidR="00C1563E" w:rsidRDefault="00C1563E">
            <w:pPr>
              <w:jc w:val="right"/>
              <w:rPr>
                <w:rFonts w:ascii="宋体"/>
              </w:rPr>
            </w:pPr>
          </w:p>
        </w:tc>
      </w:tr>
      <w:tr w:rsidR="00C1563E" w14:paraId="7DCFFE3C" w14:textId="77777777">
        <w:tc>
          <w:tcPr>
            <w:tcW w:w="0" w:type="auto"/>
            <w:gridSpan w:val="3"/>
            <w:shd w:val="clear" w:color="auto" w:fill="CCEEFF"/>
            <w:tcMar>
              <w:top w:w="40" w:type="dxa"/>
              <w:left w:w="20" w:type="dxa"/>
              <w:bottom w:w="40" w:type="dxa"/>
              <w:right w:w="20" w:type="dxa"/>
            </w:tcMar>
            <w:vAlign w:val="bottom"/>
          </w:tcPr>
          <w:p w14:paraId="7DCFFE36" w14:textId="77777777" w:rsidR="00C1563E" w:rsidRDefault="000B648B">
            <w:pPr>
              <w:textAlignment w:val="bottom"/>
            </w:pPr>
            <w:r>
              <w:rPr>
                <w:rFonts w:ascii="Times New Roman" w:eastAsia="宋体" w:hAnsi="Times New Roman"/>
                <w:color w:val="000000"/>
                <w:sz w:val="20"/>
                <w:szCs w:val="20"/>
              </w:rPr>
              <w:t>3.375% due June 2023</w:t>
            </w:r>
          </w:p>
        </w:tc>
        <w:tc>
          <w:tcPr>
            <w:tcW w:w="0" w:type="auto"/>
            <w:gridSpan w:val="2"/>
            <w:shd w:val="clear" w:color="auto" w:fill="CCEEFF"/>
            <w:tcMar>
              <w:top w:w="40" w:type="dxa"/>
              <w:left w:w="20" w:type="dxa"/>
              <w:bottom w:w="40" w:type="dxa"/>
              <w:right w:w="0" w:type="dxa"/>
            </w:tcMar>
            <w:vAlign w:val="bottom"/>
          </w:tcPr>
          <w:p w14:paraId="7DCFFE37"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FE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3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3A"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FE3B" w14:textId="77777777" w:rsidR="00C1563E" w:rsidRDefault="00C1563E">
            <w:pPr>
              <w:jc w:val="right"/>
              <w:rPr>
                <w:rFonts w:ascii="宋体"/>
              </w:rPr>
            </w:pPr>
          </w:p>
        </w:tc>
      </w:tr>
      <w:tr w:rsidR="00C1563E" w14:paraId="7DCFFE41" w14:textId="77777777">
        <w:tc>
          <w:tcPr>
            <w:tcW w:w="0" w:type="auto"/>
            <w:gridSpan w:val="3"/>
            <w:shd w:val="clear" w:color="auto" w:fill="FFFFFF"/>
            <w:tcMar>
              <w:top w:w="40" w:type="dxa"/>
              <w:left w:w="20" w:type="dxa"/>
              <w:bottom w:w="40" w:type="dxa"/>
              <w:right w:w="20" w:type="dxa"/>
            </w:tcMar>
            <w:vAlign w:val="bottom"/>
          </w:tcPr>
          <w:p w14:paraId="7DCFFE3D" w14:textId="77777777" w:rsidR="00C1563E" w:rsidRDefault="000B648B">
            <w:pPr>
              <w:textAlignment w:val="bottom"/>
            </w:pPr>
            <w:r>
              <w:rPr>
                <w:rFonts w:ascii="Times New Roman" w:eastAsia="宋体" w:hAnsi="Times New Roman"/>
                <w:b/>
                <w:bCs/>
                <w:color w:val="000000"/>
                <w:sz w:val="20"/>
                <w:szCs w:val="20"/>
              </w:rPr>
              <w:t>Debt of Public Subsidiary</w:t>
            </w:r>
          </w:p>
        </w:tc>
        <w:tc>
          <w:tcPr>
            <w:tcW w:w="0" w:type="auto"/>
            <w:gridSpan w:val="3"/>
            <w:shd w:val="clear" w:color="auto" w:fill="FFFFFF"/>
            <w:tcMar>
              <w:top w:w="0" w:type="dxa"/>
              <w:left w:w="20" w:type="dxa"/>
              <w:bottom w:w="0" w:type="dxa"/>
              <w:right w:w="20" w:type="dxa"/>
            </w:tcMar>
          </w:tcPr>
          <w:p w14:paraId="7DCFFE3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3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40" w14:textId="77777777" w:rsidR="00C1563E" w:rsidRDefault="00C1563E">
            <w:pPr>
              <w:rPr>
                <w:rFonts w:ascii="宋体"/>
              </w:rPr>
            </w:pPr>
          </w:p>
        </w:tc>
      </w:tr>
      <w:tr w:rsidR="00C1563E" w14:paraId="7DCFFE46" w14:textId="77777777">
        <w:tc>
          <w:tcPr>
            <w:tcW w:w="0" w:type="auto"/>
            <w:gridSpan w:val="3"/>
            <w:shd w:val="clear" w:color="auto" w:fill="CCEEFF"/>
            <w:tcMar>
              <w:top w:w="40" w:type="dxa"/>
              <w:left w:w="155" w:type="dxa"/>
              <w:bottom w:w="40" w:type="dxa"/>
              <w:right w:w="20" w:type="dxa"/>
            </w:tcMar>
            <w:vAlign w:val="bottom"/>
          </w:tcPr>
          <w:p w14:paraId="7DCFFE42" w14:textId="77777777" w:rsidR="00C1563E" w:rsidRDefault="000B648B">
            <w:pPr>
              <w:textAlignment w:val="bottom"/>
            </w:pPr>
            <w:r>
              <w:rPr>
                <w:rFonts w:ascii="Times New Roman" w:eastAsia="宋体" w:hAnsi="Times New Roman"/>
                <w:color w:val="000000"/>
                <w:sz w:val="20"/>
                <w:szCs w:val="20"/>
              </w:rPr>
              <w:t>VMware Notes:</w:t>
            </w:r>
          </w:p>
        </w:tc>
        <w:tc>
          <w:tcPr>
            <w:tcW w:w="0" w:type="auto"/>
            <w:gridSpan w:val="3"/>
            <w:shd w:val="clear" w:color="auto" w:fill="CCEEFF"/>
            <w:tcMar>
              <w:top w:w="0" w:type="dxa"/>
              <w:left w:w="20" w:type="dxa"/>
              <w:bottom w:w="0" w:type="dxa"/>
              <w:right w:w="20" w:type="dxa"/>
            </w:tcMar>
          </w:tcPr>
          <w:p w14:paraId="7DCFFE4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E4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CFFE45" w14:textId="77777777" w:rsidR="00C1563E" w:rsidRDefault="00C1563E">
            <w:pPr>
              <w:rPr>
                <w:rFonts w:ascii="宋体"/>
              </w:rPr>
            </w:pPr>
          </w:p>
        </w:tc>
      </w:tr>
      <w:tr w:rsidR="00C1563E" w14:paraId="7DCFFE4D" w14:textId="77777777">
        <w:tc>
          <w:tcPr>
            <w:tcW w:w="0" w:type="auto"/>
            <w:gridSpan w:val="3"/>
            <w:shd w:val="clear" w:color="auto" w:fill="FFFFFF"/>
            <w:tcMar>
              <w:top w:w="40" w:type="dxa"/>
              <w:left w:w="20" w:type="dxa"/>
              <w:bottom w:w="40" w:type="dxa"/>
              <w:right w:w="20" w:type="dxa"/>
            </w:tcMar>
            <w:vAlign w:val="bottom"/>
          </w:tcPr>
          <w:p w14:paraId="7DCFFE47" w14:textId="77777777" w:rsidR="00C1563E" w:rsidRDefault="000B648B">
            <w:pPr>
              <w:textAlignment w:val="bottom"/>
            </w:pPr>
            <w:r>
              <w:rPr>
                <w:rFonts w:ascii="Times New Roman" w:eastAsia="宋体" w:hAnsi="Times New Roman"/>
                <w:color w:val="000000"/>
                <w:sz w:val="20"/>
                <w:szCs w:val="20"/>
              </w:rPr>
              <w:t>2.30% due August 2020</w:t>
            </w:r>
          </w:p>
        </w:tc>
        <w:tc>
          <w:tcPr>
            <w:tcW w:w="0" w:type="auto"/>
            <w:gridSpan w:val="2"/>
            <w:shd w:val="clear" w:color="auto" w:fill="FFFFFF"/>
            <w:tcMar>
              <w:top w:w="40" w:type="dxa"/>
              <w:left w:w="20" w:type="dxa"/>
              <w:bottom w:w="40" w:type="dxa"/>
              <w:right w:w="0" w:type="dxa"/>
            </w:tcMar>
            <w:vAlign w:val="bottom"/>
          </w:tcPr>
          <w:p w14:paraId="7DCFFE4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E4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4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4B" w14:textId="77777777" w:rsidR="00C1563E" w:rsidRDefault="000B648B">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7DCFFE4C" w14:textId="77777777" w:rsidR="00C1563E" w:rsidRDefault="00C1563E">
            <w:pPr>
              <w:jc w:val="right"/>
              <w:rPr>
                <w:rFonts w:ascii="宋体"/>
              </w:rPr>
            </w:pPr>
          </w:p>
        </w:tc>
      </w:tr>
      <w:tr w:rsidR="00C1563E" w14:paraId="7DCFFE54" w14:textId="77777777">
        <w:tc>
          <w:tcPr>
            <w:tcW w:w="0" w:type="auto"/>
            <w:gridSpan w:val="3"/>
            <w:shd w:val="clear" w:color="auto" w:fill="CCEEFF"/>
            <w:tcMar>
              <w:top w:w="40" w:type="dxa"/>
              <w:left w:w="20" w:type="dxa"/>
              <w:bottom w:w="40" w:type="dxa"/>
              <w:right w:w="20" w:type="dxa"/>
            </w:tcMar>
            <w:vAlign w:val="bottom"/>
          </w:tcPr>
          <w:p w14:paraId="7DCFFE4E" w14:textId="77777777" w:rsidR="00C1563E" w:rsidRDefault="000B648B">
            <w:pPr>
              <w:textAlignment w:val="bottom"/>
            </w:pPr>
            <w:r>
              <w:rPr>
                <w:rFonts w:ascii="Times New Roman" w:eastAsia="宋体" w:hAnsi="Times New Roman"/>
                <w:color w:val="000000"/>
                <w:sz w:val="20"/>
                <w:szCs w:val="20"/>
              </w:rPr>
              <w:t>2.95% due August 2022</w:t>
            </w:r>
          </w:p>
        </w:tc>
        <w:tc>
          <w:tcPr>
            <w:tcW w:w="0" w:type="auto"/>
            <w:gridSpan w:val="2"/>
            <w:shd w:val="clear" w:color="auto" w:fill="CCEEFF"/>
            <w:tcMar>
              <w:top w:w="40" w:type="dxa"/>
              <w:left w:w="20" w:type="dxa"/>
              <w:bottom w:w="40" w:type="dxa"/>
              <w:right w:w="0" w:type="dxa"/>
            </w:tcMar>
            <w:vAlign w:val="bottom"/>
          </w:tcPr>
          <w:p w14:paraId="7DCFFE4F"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7DCFFE5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5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52"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7DCFFE53" w14:textId="77777777" w:rsidR="00C1563E" w:rsidRDefault="00C1563E">
            <w:pPr>
              <w:jc w:val="right"/>
              <w:rPr>
                <w:rFonts w:ascii="宋体"/>
              </w:rPr>
            </w:pPr>
          </w:p>
        </w:tc>
      </w:tr>
      <w:tr w:rsidR="00C1563E" w14:paraId="7DCFFE5B" w14:textId="77777777">
        <w:tc>
          <w:tcPr>
            <w:tcW w:w="0" w:type="auto"/>
            <w:gridSpan w:val="3"/>
            <w:shd w:val="clear" w:color="auto" w:fill="FFFFFF"/>
            <w:tcMar>
              <w:top w:w="40" w:type="dxa"/>
              <w:left w:w="20" w:type="dxa"/>
              <w:bottom w:w="40" w:type="dxa"/>
              <w:right w:w="20" w:type="dxa"/>
            </w:tcMar>
            <w:vAlign w:val="bottom"/>
          </w:tcPr>
          <w:p w14:paraId="7DCFFE55" w14:textId="77777777" w:rsidR="00C1563E" w:rsidRDefault="000B648B">
            <w:pPr>
              <w:textAlignment w:val="bottom"/>
            </w:pPr>
            <w:r>
              <w:rPr>
                <w:rFonts w:ascii="Times New Roman" w:eastAsia="宋体" w:hAnsi="Times New Roman"/>
                <w:color w:val="000000"/>
                <w:sz w:val="20"/>
                <w:szCs w:val="20"/>
              </w:rPr>
              <w:t>4.50% due May 2025</w:t>
            </w:r>
          </w:p>
        </w:tc>
        <w:tc>
          <w:tcPr>
            <w:tcW w:w="0" w:type="auto"/>
            <w:gridSpan w:val="2"/>
            <w:shd w:val="clear" w:color="auto" w:fill="FFFFFF"/>
            <w:tcMar>
              <w:top w:w="40" w:type="dxa"/>
              <w:left w:w="20" w:type="dxa"/>
              <w:bottom w:w="40" w:type="dxa"/>
              <w:right w:w="0" w:type="dxa"/>
            </w:tcMar>
            <w:vAlign w:val="bottom"/>
          </w:tcPr>
          <w:p w14:paraId="7DCFFE56"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DCFFE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5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E5A" w14:textId="77777777" w:rsidR="00C1563E" w:rsidRDefault="00C1563E">
            <w:pPr>
              <w:jc w:val="right"/>
              <w:rPr>
                <w:rFonts w:ascii="宋体"/>
              </w:rPr>
            </w:pPr>
          </w:p>
        </w:tc>
      </w:tr>
      <w:tr w:rsidR="00C1563E" w14:paraId="7DCFFE62" w14:textId="77777777">
        <w:tc>
          <w:tcPr>
            <w:tcW w:w="0" w:type="auto"/>
            <w:gridSpan w:val="3"/>
            <w:shd w:val="clear" w:color="auto" w:fill="CCEEFF"/>
            <w:tcMar>
              <w:top w:w="40" w:type="dxa"/>
              <w:left w:w="20" w:type="dxa"/>
              <w:bottom w:w="40" w:type="dxa"/>
              <w:right w:w="20" w:type="dxa"/>
            </w:tcMar>
            <w:vAlign w:val="bottom"/>
          </w:tcPr>
          <w:p w14:paraId="7DCFFE5C" w14:textId="77777777" w:rsidR="00C1563E" w:rsidRDefault="000B648B">
            <w:pPr>
              <w:textAlignment w:val="bottom"/>
            </w:pPr>
            <w:r>
              <w:rPr>
                <w:rFonts w:ascii="Times New Roman" w:eastAsia="宋体" w:hAnsi="Times New Roman"/>
                <w:color w:val="000000"/>
                <w:sz w:val="20"/>
                <w:szCs w:val="20"/>
              </w:rPr>
              <w:t>4.65% due May 2027</w:t>
            </w:r>
          </w:p>
        </w:tc>
        <w:tc>
          <w:tcPr>
            <w:tcW w:w="0" w:type="auto"/>
            <w:gridSpan w:val="2"/>
            <w:shd w:val="clear" w:color="auto" w:fill="CCEEFF"/>
            <w:tcMar>
              <w:top w:w="40" w:type="dxa"/>
              <w:left w:w="20" w:type="dxa"/>
              <w:bottom w:w="40" w:type="dxa"/>
              <w:right w:w="0" w:type="dxa"/>
            </w:tcMar>
            <w:vAlign w:val="bottom"/>
          </w:tcPr>
          <w:p w14:paraId="7DCFFE5D" w14:textId="77777777" w:rsidR="00C1563E" w:rsidRDefault="000B648B">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DCFFE5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5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6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E61" w14:textId="77777777" w:rsidR="00C1563E" w:rsidRDefault="00C1563E">
            <w:pPr>
              <w:jc w:val="right"/>
              <w:rPr>
                <w:rFonts w:ascii="宋体"/>
              </w:rPr>
            </w:pPr>
          </w:p>
        </w:tc>
      </w:tr>
      <w:tr w:rsidR="00C1563E" w14:paraId="7DCFFE69" w14:textId="77777777">
        <w:tc>
          <w:tcPr>
            <w:tcW w:w="0" w:type="auto"/>
            <w:gridSpan w:val="3"/>
            <w:shd w:val="clear" w:color="auto" w:fill="FFFFFF"/>
            <w:tcMar>
              <w:top w:w="40" w:type="dxa"/>
              <w:left w:w="20" w:type="dxa"/>
              <w:bottom w:w="40" w:type="dxa"/>
              <w:right w:w="20" w:type="dxa"/>
            </w:tcMar>
            <w:vAlign w:val="bottom"/>
          </w:tcPr>
          <w:p w14:paraId="7DCFFE63" w14:textId="77777777" w:rsidR="00C1563E" w:rsidRDefault="000B648B">
            <w:pPr>
              <w:textAlignment w:val="bottom"/>
            </w:pPr>
            <w:r>
              <w:rPr>
                <w:rFonts w:ascii="Times New Roman" w:eastAsia="宋体" w:hAnsi="Times New Roman"/>
                <w:color w:val="000000"/>
                <w:sz w:val="20"/>
                <w:szCs w:val="20"/>
              </w:rPr>
              <w:t>3.90% due August 2027</w:t>
            </w:r>
          </w:p>
        </w:tc>
        <w:tc>
          <w:tcPr>
            <w:tcW w:w="0" w:type="auto"/>
            <w:gridSpan w:val="2"/>
            <w:shd w:val="clear" w:color="auto" w:fill="FFFFFF"/>
            <w:tcMar>
              <w:top w:w="40" w:type="dxa"/>
              <w:left w:w="20" w:type="dxa"/>
              <w:bottom w:w="40" w:type="dxa"/>
              <w:right w:w="0" w:type="dxa"/>
            </w:tcMar>
            <w:vAlign w:val="bottom"/>
          </w:tcPr>
          <w:p w14:paraId="7DCFFE64" w14:textId="77777777" w:rsidR="00C1563E" w:rsidRDefault="000B648B">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7DCFFE6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6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67" w14:textId="77777777" w:rsidR="00C1563E" w:rsidRDefault="000B648B">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7DCFFE68" w14:textId="77777777" w:rsidR="00C1563E" w:rsidRDefault="00C1563E">
            <w:pPr>
              <w:jc w:val="right"/>
              <w:rPr>
                <w:rFonts w:ascii="宋体"/>
              </w:rPr>
            </w:pPr>
          </w:p>
        </w:tc>
      </w:tr>
      <w:tr w:rsidR="00C1563E" w14:paraId="7DCFFE70" w14:textId="77777777">
        <w:tc>
          <w:tcPr>
            <w:tcW w:w="0" w:type="auto"/>
            <w:gridSpan w:val="3"/>
            <w:shd w:val="clear" w:color="auto" w:fill="CCEEFF"/>
            <w:tcMar>
              <w:top w:w="40" w:type="dxa"/>
              <w:left w:w="20" w:type="dxa"/>
              <w:bottom w:w="40" w:type="dxa"/>
              <w:right w:w="20" w:type="dxa"/>
            </w:tcMar>
            <w:vAlign w:val="bottom"/>
          </w:tcPr>
          <w:p w14:paraId="7DCFFE6A" w14:textId="77777777" w:rsidR="00C1563E" w:rsidRDefault="000B648B">
            <w:pPr>
              <w:textAlignment w:val="bottom"/>
            </w:pPr>
            <w:r>
              <w:rPr>
                <w:rFonts w:ascii="Times New Roman" w:eastAsia="宋体" w:hAnsi="Times New Roman"/>
                <w:color w:val="000000"/>
                <w:sz w:val="20"/>
                <w:szCs w:val="20"/>
              </w:rPr>
              <w:t>4.70% due May 2030</w:t>
            </w:r>
          </w:p>
        </w:tc>
        <w:tc>
          <w:tcPr>
            <w:tcW w:w="0" w:type="auto"/>
            <w:gridSpan w:val="2"/>
            <w:shd w:val="clear" w:color="auto" w:fill="CCEEFF"/>
            <w:tcMar>
              <w:top w:w="40" w:type="dxa"/>
              <w:left w:w="20" w:type="dxa"/>
              <w:bottom w:w="40" w:type="dxa"/>
              <w:right w:w="0" w:type="dxa"/>
            </w:tcMar>
            <w:vAlign w:val="bottom"/>
          </w:tcPr>
          <w:p w14:paraId="7DCFFE6B"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DCFFE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6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6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E6F" w14:textId="77777777" w:rsidR="00C1563E" w:rsidRDefault="00C1563E">
            <w:pPr>
              <w:jc w:val="right"/>
              <w:rPr>
                <w:rFonts w:ascii="宋体"/>
              </w:rPr>
            </w:pPr>
          </w:p>
        </w:tc>
      </w:tr>
      <w:tr w:rsidR="00C1563E" w14:paraId="7DCFFE77" w14:textId="77777777">
        <w:tc>
          <w:tcPr>
            <w:tcW w:w="0" w:type="auto"/>
            <w:gridSpan w:val="3"/>
            <w:shd w:val="clear" w:color="auto" w:fill="FFFFFF"/>
            <w:tcMar>
              <w:top w:w="40" w:type="dxa"/>
              <w:left w:w="155" w:type="dxa"/>
              <w:bottom w:w="40" w:type="dxa"/>
              <w:right w:w="20" w:type="dxa"/>
            </w:tcMar>
            <w:vAlign w:val="bottom"/>
          </w:tcPr>
          <w:p w14:paraId="7DCFFE71" w14:textId="77777777" w:rsidR="00C1563E" w:rsidRDefault="000B648B">
            <w:pPr>
              <w:textAlignment w:val="bottom"/>
            </w:pPr>
            <w:r>
              <w:rPr>
                <w:rFonts w:ascii="Times New Roman" w:eastAsia="宋体" w:hAnsi="Times New Roman"/>
                <w:color w:val="000000"/>
                <w:sz w:val="20"/>
                <w:szCs w:val="20"/>
              </w:rPr>
              <w:t>VMware Term Loan Facility</w:t>
            </w:r>
          </w:p>
        </w:tc>
        <w:tc>
          <w:tcPr>
            <w:tcW w:w="0" w:type="auto"/>
            <w:gridSpan w:val="2"/>
            <w:shd w:val="clear" w:color="auto" w:fill="FFFFFF"/>
            <w:tcMar>
              <w:top w:w="40" w:type="dxa"/>
              <w:left w:w="20" w:type="dxa"/>
              <w:bottom w:w="40" w:type="dxa"/>
              <w:right w:w="0" w:type="dxa"/>
            </w:tcMar>
            <w:vAlign w:val="bottom"/>
          </w:tcPr>
          <w:p w14:paraId="7DCFFE7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E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7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75"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DCFFE76" w14:textId="77777777" w:rsidR="00C1563E" w:rsidRDefault="00C1563E">
            <w:pPr>
              <w:jc w:val="right"/>
              <w:rPr>
                <w:rFonts w:ascii="宋体"/>
              </w:rPr>
            </w:pPr>
          </w:p>
        </w:tc>
      </w:tr>
      <w:tr w:rsidR="00C1563E" w14:paraId="7DCFFE7E" w14:textId="77777777">
        <w:tc>
          <w:tcPr>
            <w:tcW w:w="0" w:type="auto"/>
            <w:gridSpan w:val="3"/>
            <w:shd w:val="clear" w:color="auto" w:fill="CCEEFF"/>
            <w:tcMar>
              <w:top w:w="40" w:type="dxa"/>
              <w:left w:w="20" w:type="dxa"/>
              <w:bottom w:w="40" w:type="dxa"/>
              <w:right w:w="20" w:type="dxa"/>
            </w:tcMar>
            <w:vAlign w:val="bottom"/>
          </w:tcPr>
          <w:p w14:paraId="7DCFFE78" w14:textId="77777777" w:rsidR="00C1563E" w:rsidRDefault="000B648B">
            <w:pPr>
              <w:textAlignment w:val="bottom"/>
            </w:pPr>
            <w:r>
              <w:rPr>
                <w:rFonts w:ascii="Times New Roman" w:eastAsia="宋体" w:hAnsi="Times New Roman"/>
                <w:b/>
                <w:bCs/>
                <w:color w:val="000000"/>
                <w:sz w:val="20"/>
                <w:szCs w:val="20"/>
              </w:rPr>
              <w:t>DFS Debt (Note 4)</w:t>
            </w:r>
          </w:p>
        </w:tc>
        <w:tc>
          <w:tcPr>
            <w:tcW w:w="0" w:type="auto"/>
            <w:gridSpan w:val="2"/>
            <w:shd w:val="clear" w:color="auto" w:fill="CCEEFF"/>
            <w:tcMar>
              <w:top w:w="40" w:type="dxa"/>
              <w:left w:w="20" w:type="dxa"/>
              <w:bottom w:w="40" w:type="dxa"/>
              <w:right w:w="0" w:type="dxa"/>
            </w:tcMar>
            <w:vAlign w:val="bottom"/>
          </w:tcPr>
          <w:p w14:paraId="7DCFFE79" w14:textId="77777777" w:rsidR="00C1563E" w:rsidRDefault="000B648B">
            <w:pPr>
              <w:jc w:val="right"/>
              <w:textAlignment w:val="bottom"/>
            </w:pPr>
            <w:r>
              <w:rPr>
                <w:rFonts w:ascii="Times New Roman" w:eastAsia="宋体" w:hAnsi="Times New Roman"/>
                <w:color w:val="000000"/>
                <w:sz w:val="20"/>
                <w:szCs w:val="20"/>
              </w:rPr>
              <w:t>9,666 </w:t>
            </w:r>
          </w:p>
        </w:tc>
        <w:tc>
          <w:tcPr>
            <w:tcW w:w="0" w:type="auto"/>
            <w:shd w:val="clear" w:color="auto" w:fill="CCEEFF"/>
            <w:tcMar>
              <w:top w:w="40" w:type="dxa"/>
              <w:left w:w="0" w:type="dxa"/>
              <w:bottom w:w="40" w:type="dxa"/>
              <w:right w:w="20" w:type="dxa"/>
            </w:tcMar>
            <w:vAlign w:val="bottom"/>
          </w:tcPr>
          <w:p w14:paraId="7DCFFE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7C" w14:textId="77777777" w:rsidR="00C1563E" w:rsidRDefault="000B648B">
            <w:pPr>
              <w:jc w:val="right"/>
              <w:textAlignment w:val="bottom"/>
            </w:pPr>
            <w:r>
              <w:rPr>
                <w:rFonts w:ascii="Times New Roman" w:eastAsia="宋体" w:hAnsi="Times New Roman"/>
                <w:color w:val="000000"/>
                <w:sz w:val="20"/>
                <w:szCs w:val="20"/>
              </w:rPr>
              <w:t>7,765 </w:t>
            </w:r>
          </w:p>
        </w:tc>
        <w:tc>
          <w:tcPr>
            <w:tcW w:w="0" w:type="auto"/>
            <w:shd w:val="clear" w:color="auto" w:fill="CCEEFF"/>
            <w:tcMar>
              <w:top w:w="40" w:type="dxa"/>
              <w:left w:w="0" w:type="dxa"/>
              <w:bottom w:w="40" w:type="dxa"/>
              <w:right w:w="20" w:type="dxa"/>
            </w:tcMar>
            <w:vAlign w:val="bottom"/>
          </w:tcPr>
          <w:p w14:paraId="7DCFFE7D" w14:textId="77777777" w:rsidR="00C1563E" w:rsidRDefault="00C1563E">
            <w:pPr>
              <w:jc w:val="right"/>
              <w:rPr>
                <w:rFonts w:ascii="宋体"/>
              </w:rPr>
            </w:pPr>
          </w:p>
        </w:tc>
      </w:tr>
      <w:tr w:rsidR="00C1563E" w14:paraId="7DCFFE83" w14:textId="77777777">
        <w:tc>
          <w:tcPr>
            <w:tcW w:w="0" w:type="auto"/>
            <w:gridSpan w:val="3"/>
            <w:shd w:val="clear" w:color="auto" w:fill="FFFFFF"/>
            <w:tcMar>
              <w:top w:w="40" w:type="dxa"/>
              <w:left w:w="20" w:type="dxa"/>
              <w:bottom w:w="40" w:type="dxa"/>
              <w:right w:w="20" w:type="dxa"/>
            </w:tcMar>
            <w:vAlign w:val="bottom"/>
          </w:tcPr>
          <w:p w14:paraId="7DCFFE7F" w14:textId="77777777" w:rsidR="00C1563E" w:rsidRDefault="000B648B">
            <w:pPr>
              <w:textAlignment w:val="bottom"/>
            </w:pPr>
            <w:r>
              <w:rPr>
                <w:rFonts w:ascii="Times New Roman" w:eastAsia="宋体" w:hAnsi="Times New Roman"/>
                <w:b/>
                <w:bCs/>
                <w:color w:val="000000"/>
                <w:sz w:val="20"/>
                <w:szCs w:val="20"/>
              </w:rPr>
              <w:t>Other</w:t>
            </w:r>
          </w:p>
        </w:tc>
        <w:tc>
          <w:tcPr>
            <w:tcW w:w="0" w:type="auto"/>
            <w:gridSpan w:val="3"/>
            <w:shd w:val="clear" w:color="auto" w:fill="FFFFFF"/>
            <w:tcMar>
              <w:top w:w="0" w:type="dxa"/>
              <w:left w:w="20" w:type="dxa"/>
              <w:bottom w:w="0" w:type="dxa"/>
              <w:right w:w="20" w:type="dxa"/>
            </w:tcMar>
          </w:tcPr>
          <w:p w14:paraId="7DCFFE8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8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CFFE82" w14:textId="77777777" w:rsidR="00C1563E" w:rsidRDefault="00C1563E">
            <w:pPr>
              <w:rPr>
                <w:rFonts w:ascii="宋体"/>
              </w:rPr>
            </w:pPr>
          </w:p>
        </w:tc>
      </w:tr>
      <w:tr w:rsidR="00C1563E" w14:paraId="7DCFFE8A" w14:textId="77777777">
        <w:tc>
          <w:tcPr>
            <w:tcW w:w="0" w:type="auto"/>
            <w:gridSpan w:val="3"/>
            <w:shd w:val="clear" w:color="auto" w:fill="CCEEFF"/>
            <w:tcMar>
              <w:top w:w="40" w:type="dxa"/>
              <w:left w:w="20" w:type="dxa"/>
              <w:bottom w:w="40" w:type="dxa"/>
              <w:right w:w="20" w:type="dxa"/>
            </w:tcMar>
            <w:vAlign w:val="bottom"/>
          </w:tcPr>
          <w:p w14:paraId="7DCFFE84" w14:textId="77777777" w:rsidR="00C1563E" w:rsidRDefault="000B648B">
            <w:pPr>
              <w:textAlignment w:val="bottom"/>
            </w:pPr>
            <w:r>
              <w:rPr>
                <w:rFonts w:ascii="Times New Roman" w:eastAsia="宋体" w:hAnsi="Times New Roman"/>
                <w:color w:val="000000"/>
                <w:sz w:val="20"/>
                <w:szCs w:val="20"/>
              </w:rPr>
              <w:t>2.46% Margin Loan Facility due April 2022</w:t>
            </w:r>
          </w:p>
        </w:tc>
        <w:tc>
          <w:tcPr>
            <w:tcW w:w="0" w:type="auto"/>
            <w:gridSpan w:val="2"/>
            <w:shd w:val="clear" w:color="auto" w:fill="CCEEFF"/>
            <w:tcMar>
              <w:top w:w="40" w:type="dxa"/>
              <w:left w:w="20" w:type="dxa"/>
              <w:bottom w:w="40" w:type="dxa"/>
              <w:right w:w="0" w:type="dxa"/>
            </w:tcMar>
            <w:vAlign w:val="bottom"/>
          </w:tcPr>
          <w:p w14:paraId="7DCFFE85" w14:textId="77777777" w:rsidR="00C1563E" w:rsidRDefault="000B648B">
            <w:pPr>
              <w:jc w:val="right"/>
              <w:textAlignment w:val="bottom"/>
            </w:pPr>
            <w:r>
              <w:rPr>
                <w:rFonts w:ascii="Times New Roman" w:eastAsia="宋体" w:hAnsi="Times New Roman"/>
                <w:color w:val="000000"/>
                <w:sz w:val="20"/>
                <w:szCs w:val="20"/>
              </w:rPr>
              <w:t>4,000 </w:t>
            </w:r>
          </w:p>
        </w:tc>
        <w:tc>
          <w:tcPr>
            <w:tcW w:w="0" w:type="auto"/>
            <w:shd w:val="clear" w:color="auto" w:fill="CCEEFF"/>
            <w:tcMar>
              <w:top w:w="40" w:type="dxa"/>
              <w:left w:w="0" w:type="dxa"/>
              <w:bottom w:w="40" w:type="dxa"/>
              <w:right w:w="20" w:type="dxa"/>
            </w:tcMar>
            <w:vAlign w:val="bottom"/>
          </w:tcPr>
          <w:p w14:paraId="7DCFFE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88" w14:textId="77777777" w:rsidR="00C1563E" w:rsidRDefault="000B648B">
            <w:pPr>
              <w:jc w:val="right"/>
              <w:textAlignment w:val="bottom"/>
            </w:pPr>
            <w:r>
              <w:rPr>
                <w:rFonts w:ascii="Times New Roman" w:eastAsia="宋体" w:hAnsi="Times New Roman"/>
                <w:color w:val="000000"/>
                <w:sz w:val="20"/>
                <w:szCs w:val="20"/>
              </w:rPr>
              <w:t>4,000 </w:t>
            </w:r>
          </w:p>
        </w:tc>
        <w:tc>
          <w:tcPr>
            <w:tcW w:w="0" w:type="auto"/>
            <w:shd w:val="clear" w:color="auto" w:fill="CCEEFF"/>
            <w:tcMar>
              <w:top w:w="40" w:type="dxa"/>
              <w:left w:w="0" w:type="dxa"/>
              <w:bottom w:w="40" w:type="dxa"/>
              <w:right w:w="20" w:type="dxa"/>
            </w:tcMar>
            <w:vAlign w:val="bottom"/>
          </w:tcPr>
          <w:p w14:paraId="7DCFFE89" w14:textId="77777777" w:rsidR="00C1563E" w:rsidRDefault="00C1563E">
            <w:pPr>
              <w:jc w:val="right"/>
              <w:rPr>
                <w:rFonts w:ascii="宋体"/>
              </w:rPr>
            </w:pPr>
          </w:p>
        </w:tc>
      </w:tr>
      <w:tr w:rsidR="00C1563E" w14:paraId="7DCFFE91" w14:textId="77777777">
        <w:tc>
          <w:tcPr>
            <w:tcW w:w="0" w:type="auto"/>
            <w:gridSpan w:val="3"/>
            <w:shd w:val="clear" w:color="auto" w:fill="FFFFFF"/>
            <w:tcMar>
              <w:top w:w="40" w:type="dxa"/>
              <w:left w:w="245" w:type="dxa"/>
              <w:bottom w:w="40" w:type="dxa"/>
              <w:right w:w="20" w:type="dxa"/>
            </w:tcMar>
            <w:vAlign w:val="bottom"/>
          </w:tcPr>
          <w:p w14:paraId="7DCFFE8B"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DCFFE8C" w14:textId="77777777" w:rsidR="00C1563E" w:rsidRDefault="000B648B">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7DCFFE8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8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8F" w14:textId="77777777" w:rsidR="00C1563E" w:rsidRDefault="000B648B">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7DCFFE90" w14:textId="77777777" w:rsidR="00C1563E" w:rsidRDefault="00C1563E">
            <w:pPr>
              <w:jc w:val="right"/>
              <w:rPr>
                <w:rFonts w:ascii="宋体"/>
              </w:rPr>
            </w:pPr>
          </w:p>
        </w:tc>
      </w:tr>
      <w:tr w:rsidR="00C1563E" w14:paraId="7DCFFE9A" w14:textId="77777777">
        <w:tc>
          <w:tcPr>
            <w:tcW w:w="0" w:type="auto"/>
            <w:gridSpan w:val="3"/>
            <w:shd w:val="clear" w:color="auto" w:fill="CCEEFF"/>
            <w:tcMar>
              <w:top w:w="40" w:type="dxa"/>
              <w:left w:w="380" w:type="dxa"/>
              <w:bottom w:w="40" w:type="dxa"/>
              <w:right w:w="20" w:type="dxa"/>
            </w:tcMar>
            <w:vAlign w:val="bottom"/>
          </w:tcPr>
          <w:p w14:paraId="7DCFFE92" w14:textId="77777777" w:rsidR="00C1563E" w:rsidRDefault="000B648B">
            <w:pPr>
              <w:textAlignment w:val="bottom"/>
            </w:pPr>
            <w:r>
              <w:rPr>
                <w:rFonts w:ascii="Times New Roman" w:eastAsia="宋体" w:hAnsi="Times New Roman"/>
                <w:b/>
                <w:bCs/>
                <w:color w:val="000000"/>
                <w:sz w:val="20"/>
                <w:szCs w:val="20"/>
              </w:rPr>
              <w:t>Total debt, principal amount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E9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E94" w14:textId="77777777" w:rsidR="00C1563E" w:rsidRDefault="000B648B">
            <w:pPr>
              <w:jc w:val="right"/>
              <w:textAlignment w:val="bottom"/>
            </w:pPr>
            <w:r>
              <w:rPr>
                <w:rFonts w:ascii="Times New Roman" w:eastAsia="宋体" w:hAnsi="Times New Roman"/>
                <w:color w:val="000000"/>
                <w:sz w:val="20"/>
                <w:szCs w:val="20"/>
              </w:rPr>
              <w:t>48,480 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E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96"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CFFE9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CFFE98" w14:textId="77777777" w:rsidR="00C1563E" w:rsidRDefault="000B648B">
            <w:pPr>
              <w:jc w:val="right"/>
              <w:textAlignment w:val="bottom"/>
            </w:pPr>
            <w:r>
              <w:rPr>
                <w:rFonts w:ascii="Times New Roman" w:eastAsia="宋体" w:hAnsi="Times New Roman"/>
                <w:color w:val="000000"/>
                <w:sz w:val="20"/>
                <w:szCs w:val="20"/>
              </w:rPr>
              <w:t>52,665 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CFFE99" w14:textId="77777777" w:rsidR="00C1563E" w:rsidRDefault="00C1563E">
            <w:pPr>
              <w:jc w:val="right"/>
              <w:rPr>
                <w:rFonts w:ascii="宋体"/>
              </w:rPr>
            </w:pPr>
          </w:p>
        </w:tc>
      </w:tr>
    </w:tbl>
    <w:p w14:paraId="7DCFFE9B" w14:textId="77777777" w:rsidR="00C1563E" w:rsidRDefault="00C1563E">
      <w:pPr>
        <w:jc w:val="center"/>
      </w:pPr>
    </w:p>
    <w:p w14:paraId="7DCFFE9C" w14:textId="77777777" w:rsidR="00C1563E" w:rsidRDefault="000B648B">
      <w:pPr>
        <w:jc w:val="center"/>
      </w:pPr>
      <w:r>
        <w:rPr>
          <w:rFonts w:ascii="Times New Roman" w:eastAsia="宋体" w:hAnsi="Times New Roman"/>
          <w:color w:val="000000"/>
          <w:sz w:val="20"/>
          <w:szCs w:val="20"/>
        </w:rPr>
        <w:t>109</w:t>
      </w:r>
    </w:p>
    <w:p w14:paraId="7DCFFE9D" w14:textId="77777777" w:rsidR="00C1563E" w:rsidRDefault="00C1563E">
      <w:pPr>
        <w:jc w:val="center"/>
      </w:pPr>
    </w:p>
    <w:p w14:paraId="7DCFFE9E" w14:textId="77777777" w:rsidR="00C1563E" w:rsidRDefault="000B648B">
      <w:r>
        <w:pict w14:anchorId="7DD025D7">
          <v:rect id="_x0000_i1133" style="width:415.3pt;height:1.5pt" o:hralign="center" o:hrstd="t" o:hr="t" fillcolor="#a0a0a0" stroked="f"/>
        </w:pict>
      </w:r>
    </w:p>
    <w:p w14:paraId="7DCFFE9F" w14:textId="77777777" w:rsidR="00C1563E" w:rsidRDefault="000B648B">
      <w:hyperlink r:id="rId292"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04"/>
        <w:gridCol w:w="37"/>
        <w:gridCol w:w="120"/>
        <w:gridCol w:w="1218"/>
        <w:gridCol w:w="36"/>
        <w:gridCol w:w="36"/>
        <w:gridCol w:w="36"/>
        <w:gridCol w:w="36"/>
        <w:gridCol w:w="120"/>
        <w:gridCol w:w="1219"/>
        <w:gridCol w:w="36"/>
      </w:tblGrid>
      <w:tr w:rsidR="00C1563E" w14:paraId="7DCFFEAC" w14:textId="77777777">
        <w:trPr>
          <w:jc w:val="center"/>
        </w:trPr>
        <w:tc>
          <w:tcPr>
            <w:tcW w:w="50" w:type="pct"/>
            <w:shd w:val="clear" w:color="auto" w:fill="auto"/>
          </w:tcPr>
          <w:p w14:paraId="7DCFFEA0" w14:textId="77777777" w:rsidR="00C1563E" w:rsidRDefault="00C1563E">
            <w:pPr>
              <w:rPr>
                <w:rFonts w:ascii="宋体"/>
              </w:rPr>
            </w:pPr>
          </w:p>
        </w:tc>
        <w:tc>
          <w:tcPr>
            <w:tcW w:w="3278" w:type="pct"/>
            <w:shd w:val="clear" w:color="auto" w:fill="auto"/>
          </w:tcPr>
          <w:p w14:paraId="7DCFFEA1" w14:textId="77777777" w:rsidR="00C1563E" w:rsidRDefault="00C1563E">
            <w:pPr>
              <w:rPr>
                <w:rFonts w:ascii="宋体"/>
              </w:rPr>
            </w:pPr>
          </w:p>
        </w:tc>
        <w:tc>
          <w:tcPr>
            <w:tcW w:w="5" w:type="pct"/>
            <w:shd w:val="clear" w:color="auto" w:fill="auto"/>
          </w:tcPr>
          <w:p w14:paraId="7DCFFEA2" w14:textId="77777777" w:rsidR="00C1563E" w:rsidRDefault="00C1563E">
            <w:pPr>
              <w:rPr>
                <w:rFonts w:ascii="宋体"/>
              </w:rPr>
            </w:pPr>
          </w:p>
        </w:tc>
        <w:tc>
          <w:tcPr>
            <w:tcW w:w="50" w:type="pct"/>
            <w:shd w:val="clear" w:color="auto" w:fill="auto"/>
          </w:tcPr>
          <w:p w14:paraId="7DCFFEA3" w14:textId="77777777" w:rsidR="00C1563E" w:rsidRDefault="00C1563E">
            <w:pPr>
              <w:rPr>
                <w:rFonts w:ascii="宋体"/>
              </w:rPr>
            </w:pPr>
          </w:p>
        </w:tc>
        <w:tc>
          <w:tcPr>
            <w:tcW w:w="763" w:type="pct"/>
            <w:shd w:val="clear" w:color="auto" w:fill="auto"/>
          </w:tcPr>
          <w:p w14:paraId="7DCFFEA4" w14:textId="77777777" w:rsidR="00C1563E" w:rsidRDefault="00C1563E">
            <w:pPr>
              <w:rPr>
                <w:rFonts w:ascii="宋体"/>
              </w:rPr>
            </w:pPr>
          </w:p>
        </w:tc>
        <w:tc>
          <w:tcPr>
            <w:tcW w:w="5" w:type="pct"/>
            <w:shd w:val="clear" w:color="auto" w:fill="auto"/>
          </w:tcPr>
          <w:p w14:paraId="7DCFFEA5" w14:textId="77777777" w:rsidR="00C1563E" w:rsidRDefault="00C1563E">
            <w:pPr>
              <w:rPr>
                <w:rFonts w:ascii="宋体"/>
              </w:rPr>
            </w:pPr>
          </w:p>
        </w:tc>
        <w:tc>
          <w:tcPr>
            <w:tcW w:w="5" w:type="pct"/>
            <w:shd w:val="clear" w:color="auto" w:fill="auto"/>
          </w:tcPr>
          <w:p w14:paraId="7DCFFEA6" w14:textId="77777777" w:rsidR="00C1563E" w:rsidRDefault="00C1563E">
            <w:pPr>
              <w:rPr>
                <w:rFonts w:ascii="宋体"/>
              </w:rPr>
            </w:pPr>
          </w:p>
        </w:tc>
        <w:tc>
          <w:tcPr>
            <w:tcW w:w="19" w:type="pct"/>
            <w:shd w:val="clear" w:color="auto" w:fill="auto"/>
          </w:tcPr>
          <w:p w14:paraId="7DCFFEA7" w14:textId="77777777" w:rsidR="00C1563E" w:rsidRDefault="00C1563E">
            <w:pPr>
              <w:rPr>
                <w:rFonts w:ascii="宋体"/>
              </w:rPr>
            </w:pPr>
          </w:p>
        </w:tc>
        <w:tc>
          <w:tcPr>
            <w:tcW w:w="5" w:type="pct"/>
            <w:shd w:val="clear" w:color="auto" w:fill="auto"/>
          </w:tcPr>
          <w:p w14:paraId="7DCFFEA8" w14:textId="77777777" w:rsidR="00C1563E" w:rsidRDefault="00C1563E">
            <w:pPr>
              <w:rPr>
                <w:rFonts w:ascii="宋体"/>
              </w:rPr>
            </w:pPr>
          </w:p>
        </w:tc>
        <w:tc>
          <w:tcPr>
            <w:tcW w:w="50" w:type="pct"/>
            <w:shd w:val="clear" w:color="auto" w:fill="auto"/>
          </w:tcPr>
          <w:p w14:paraId="7DCFFEA9" w14:textId="77777777" w:rsidR="00C1563E" w:rsidRDefault="00C1563E">
            <w:pPr>
              <w:rPr>
                <w:rFonts w:ascii="宋体"/>
              </w:rPr>
            </w:pPr>
          </w:p>
        </w:tc>
        <w:tc>
          <w:tcPr>
            <w:tcW w:w="763" w:type="pct"/>
            <w:shd w:val="clear" w:color="auto" w:fill="auto"/>
          </w:tcPr>
          <w:p w14:paraId="7DCFFEAA" w14:textId="77777777" w:rsidR="00C1563E" w:rsidRDefault="00C1563E">
            <w:pPr>
              <w:rPr>
                <w:rFonts w:ascii="宋体"/>
              </w:rPr>
            </w:pPr>
          </w:p>
        </w:tc>
        <w:tc>
          <w:tcPr>
            <w:tcW w:w="5" w:type="pct"/>
            <w:shd w:val="clear" w:color="auto" w:fill="auto"/>
          </w:tcPr>
          <w:p w14:paraId="7DCFFEAB" w14:textId="77777777" w:rsidR="00C1563E" w:rsidRDefault="00C1563E">
            <w:pPr>
              <w:rPr>
                <w:rFonts w:ascii="宋体"/>
              </w:rPr>
            </w:pPr>
          </w:p>
        </w:tc>
      </w:tr>
      <w:tr w:rsidR="00C1563E" w14:paraId="7DCFFEB1" w14:textId="77777777">
        <w:trPr>
          <w:jc w:val="center"/>
        </w:trPr>
        <w:tc>
          <w:tcPr>
            <w:tcW w:w="0" w:type="auto"/>
            <w:gridSpan w:val="3"/>
            <w:shd w:val="clear" w:color="auto" w:fill="auto"/>
            <w:tcMar>
              <w:top w:w="0" w:type="dxa"/>
              <w:left w:w="20" w:type="dxa"/>
              <w:bottom w:w="0" w:type="dxa"/>
              <w:right w:w="20" w:type="dxa"/>
            </w:tcMar>
          </w:tcPr>
          <w:p w14:paraId="7DCFFEA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CFFEAE"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CFFEAF"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CFFEB0"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CFFEB4" w14:textId="77777777">
        <w:trPr>
          <w:jc w:val="center"/>
        </w:trPr>
        <w:tc>
          <w:tcPr>
            <w:tcW w:w="0" w:type="auto"/>
            <w:gridSpan w:val="3"/>
            <w:shd w:val="clear" w:color="auto" w:fill="auto"/>
            <w:tcMar>
              <w:top w:w="0" w:type="dxa"/>
              <w:left w:w="20" w:type="dxa"/>
              <w:bottom w:w="0" w:type="dxa"/>
              <w:right w:w="20" w:type="dxa"/>
            </w:tcMar>
          </w:tcPr>
          <w:p w14:paraId="7DCFFEB2"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CFFEB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EBD" w14:textId="77777777">
        <w:trPr>
          <w:jc w:val="center"/>
        </w:trPr>
        <w:tc>
          <w:tcPr>
            <w:tcW w:w="0" w:type="auto"/>
            <w:gridSpan w:val="3"/>
            <w:shd w:val="clear" w:color="auto" w:fill="CCEEFF"/>
            <w:tcMar>
              <w:top w:w="40" w:type="dxa"/>
              <w:left w:w="380" w:type="dxa"/>
              <w:bottom w:w="40" w:type="dxa"/>
              <w:right w:w="20" w:type="dxa"/>
            </w:tcMar>
            <w:vAlign w:val="bottom"/>
          </w:tcPr>
          <w:p w14:paraId="7DCFFEB5" w14:textId="77777777" w:rsidR="00C1563E" w:rsidRDefault="000B648B">
            <w:pPr>
              <w:textAlignment w:val="bottom"/>
            </w:pPr>
            <w:r>
              <w:rPr>
                <w:rFonts w:ascii="Times New Roman" w:eastAsia="宋体" w:hAnsi="Times New Roman"/>
                <w:b/>
                <w:bCs/>
                <w:color w:val="000000"/>
                <w:sz w:val="20"/>
                <w:szCs w:val="20"/>
              </w:rPr>
              <w:t xml:space="preserve">Total debt, </w:t>
            </w:r>
            <w:r>
              <w:rPr>
                <w:rFonts w:ascii="Times New Roman" w:eastAsia="宋体" w:hAnsi="Times New Roman"/>
                <w:b/>
                <w:bCs/>
                <w:color w:val="000000"/>
                <w:sz w:val="20"/>
                <w:szCs w:val="20"/>
              </w:rPr>
              <w:t>principal amount</w:t>
            </w:r>
          </w:p>
        </w:tc>
        <w:tc>
          <w:tcPr>
            <w:tcW w:w="0" w:type="auto"/>
            <w:shd w:val="clear" w:color="auto" w:fill="CCEEFF"/>
            <w:tcMar>
              <w:top w:w="40" w:type="dxa"/>
              <w:left w:w="20" w:type="dxa"/>
              <w:bottom w:w="40" w:type="dxa"/>
              <w:right w:w="0" w:type="dxa"/>
            </w:tcMar>
            <w:vAlign w:val="bottom"/>
          </w:tcPr>
          <w:p w14:paraId="7DCFFEB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EB7" w14:textId="77777777" w:rsidR="00C1563E" w:rsidRDefault="000B648B">
            <w:pPr>
              <w:jc w:val="right"/>
              <w:textAlignment w:val="bottom"/>
            </w:pPr>
            <w:r>
              <w:rPr>
                <w:rFonts w:ascii="Times New Roman" w:eastAsia="宋体" w:hAnsi="Times New Roman"/>
                <w:color w:val="000000"/>
                <w:sz w:val="20"/>
                <w:szCs w:val="20"/>
              </w:rPr>
              <w:t>48,480 </w:t>
            </w:r>
          </w:p>
        </w:tc>
        <w:tc>
          <w:tcPr>
            <w:tcW w:w="0" w:type="auto"/>
            <w:shd w:val="clear" w:color="auto" w:fill="CCEEFF"/>
            <w:tcMar>
              <w:top w:w="40" w:type="dxa"/>
              <w:left w:w="0" w:type="dxa"/>
              <w:bottom w:w="40" w:type="dxa"/>
              <w:right w:w="20" w:type="dxa"/>
            </w:tcMar>
            <w:vAlign w:val="bottom"/>
          </w:tcPr>
          <w:p w14:paraId="7DCFFE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B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EB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EBB" w14:textId="77777777" w:rsidR="00C1563E" w:rsidRDefault="000B648B">
            <w:pPr>
              <w:jc w:val="right"/>
              <w:textAlignment w:val="bottom"/>
            </w:pPr>
            <w:r>
              <w:rPr>
                <w:rFonts w:ascii="Times New Roman" w:eastAsia="宋体" w:hAnsi="Times New Roman"/>
                <w:color w:val="000000"/>
                <w:sz w:val="20"/>
                <w:szCs w:val="20"/>
              </w:rPr>
              <w:t>52,665 </w:t>
            </w:r>
          </w:p>
        </w:tc>
        <w:tc>
          <w:tcPr>
            <w:tcW w:w="0" w:type="auto"/>
            <w:shd w:val="clear" w:color="auto" w:fill="CCEEFF"/>
            <w:tcMar>
              <w:top w:w="40" w:type="dxa"/>
              <w:left w:w="0" w:type="dxa"/>
              <w:bottom w:w="40" w:type="dxa"/>
              <w:right w:w="20" w:type="dxa"/>
            </w:tcMar>
            <w:vAlign w:val="bottom"/>
          </w:tcPr>
          <w:p w14:paraId="7DCFFEBC" w14:textId="77777777" w:rsidR="00C1563E" w:rsidRDefault="00C1563E">
            <w:pPr>
              <w:jc w:val="right"/>
              <w:rPr>
                <w:rFonts w:ascii="宋体"/>
              </w:rPr>
            </w:pPr>
          </w:p>
        </w:tc>
      </w:tr>
      <w:tr w:rsidR="00C1563E" w14:paraId="7DCFFEC4" w14:textId="77777777">
        <w:trPr>
          <w:jc w:val="center"/>
        </w:trPr>
        <w:tc>
          <w:tcPr>
            <w:tcW w:w="0" w:type="auto"/>
            <w:gridSpan w:val="3"/>
            <w:shd w:val="clear" w:color="auto" w:fill="FFFFFF"/>
            <w:tcMar>
              <w:top w:w="40" w:type="dxa"/>
              <w:left w:w="485" w:type="dxa"/>
              <w:bottom w:w="40" w:type="dxa"/>
              <w:right w:w="20" w:type="dxa"/>
            </w:tcMar>
            <w:vAlign w:val="bottom"/>
          </w:tcPr>
          <w:p w14:paraId="7DCFFEBE" w14:textId="77777777" w:rsidR="00C1563E" w:rsidRDefault="000B648B">
            <w:pPr>
              <w:textAlignment w:val="bottom"/>
            </w:pPr>
            <w:r>
              <w:rPr>
                <w:rFonts w:ascii="Times New Roman" w:eastAsia="宋体" w:hAnsi="Times New Roman"/>
                <w:color w:val="000000"/>
                <w:sz w:val="20"/>
                <w:szCs w:val="20"/>
              </w:rPr>
              <w:t>Unamortized discount, net of unamortized premium</w:t>
            </w:r>
          </w:p>
        </w:tc>
        <w:tc>
          <w:tcPr>
            <w:tcW w:w="0" w:type="auto"/>
            <w:gridSpan w:val="2"/>
            <w:shd w:val="clear" w:color="auto" w:fill="FFFFFF"/>
            <w:tcMar>
              <w:top w:w="40" w:type="dxa"/>
              <w:left w:w="20" w:type="dxa"/>
              <w:bottom w:w="40" w:type="dxa"/>
              <w:right w:w="0" w:type="dxa"/>
            </w:tcMar>
            <w:vAlign w:val="bottom"/>
          </w:tcPr>
          <w:p w14:paraId="7DCFFEBF" w14:textId="77777777" w:rsidR="00C1563E" w:rsidRDefault="000B648B">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7DCFFEC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C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EC2" w14:textId="77777777" w:rsidR="00C1563E" w:rsidRDefault="000B648B">
            <w:pPr>
              <w:jc w:val="right"/>
              <w:textAlignment w:val="bottom"/>
            </w:pPr>
            <w:r>
              <w:rPr>
                <w:rFonts w:ascii="Times New Roman" w:eastAsia="宋体" w:hAnsi="Times New Roman"/>
                <w:color w:val="000000"/>
                <w:sz w:val="20"/>
                <w:szCs w:val="20"/>
              </w:rPr>
              <w:t>(241)</w:t>
            </w:r>
          </w:p>
        </w:tc>
        <w:tc>
          <w:tcPr>
            <w:tcW w:w="0" w:type="auto"/>
            <w:shd w:val="clear" w:color="auto" w:fill="FFFFFF"/>
            <w:tcMar>
              <w:top w:w="40" w:type="dxa"/>
              <w:left w:w="0" w:type="dxa"/>
              <w:bottom w:w="40" w:type="dxa"/>
              <w:right w:w="20" w:type="dxa"/>
            </w:tcMar>
            <w:vAlign w:val="bottom"/>
          </w:tcPr>
          <w:p w14:paraId="7DCFFEC3" w14:textId="77777777" w:rsidR="00C1563E" w:rsidRDefault="00C1563E">
            <w:pPr>
              <w:jc w:val="right"/>
              <w:rPr>
                <w:rFonts w:ascii="宋体"/>
              </w:rPr>
            </w:pPr>
          </w:p>
        </w:tc>
      </w:tr>
      <w:tr w:rsidR="00C1563E" w14:paraId="7DCFFECB" w14:textId="77777777">
        <w:trPr>
          <w:jc w:val="center"/>
        </w:trPr>
        <w:tc>
          <w:tcPr>
            <w:tcW w:w="0" w:type="auto"/>
            <w:gridSpan w:val="3"/>
            <w:shd w:val="clear" w:color="auto" w:fill="CCEEFF"/>
            <w:tcMar>
              <w:top w:w="40" w:type="dxa"/>
              <w:left w:w="485" w:type="dxa"/>
              <w:bottom w:w="40" w:type="dxa"/>
              <w:right w:w="20" w:type="dxa"/>
            </w:tcMar>
            <w:vAlign w:val="bottom"/>
          </w:tcPr>
          <w:p w14:paraId="7DCFFEC5" w14:textId="77777777" w:rsidR="00C1563E" w:rsidRDefault="000B648B">
            <w:pPr>
              <w:textAlignment w:val="bottom"/>
            </w:pPr>
            <w:r>
              <w:rPr>
                <w:rFonts w:ascii="Times New Roman" w:eastAsia="宋体" w:hAnsi="Times New Roman"/>
                <w:color w:val="000000"/>
                <w:sz w:val="20"/>
                <w:szCs w:val="20"/>
              </w:rPr>
              <w:t>Debt issuance costs</w:t>
            </w:r>
          </w:p>
        </w:tc>
        <w:tc>
          <w:tcPr>
            <w:tcW w:w="0" w:type="auto"/>
            <w:gridSpan w:val="2"/>
            <w:shd w:val="clear" w:color="auto" w:fill="CCEEFF"/>
            <w:tcMar>
              <w:top w:w="40" w:type="dxa"/>
              <w:left w:w="20" w:type="dxa"/>
              <w:bottom w:w="40" w:type="dxa"/>
              <w:right w:w="0" w:type="dxa"/>
            </w:tcMar>
            <w:vAlign w:val="bottom"/>
          </w:tcPr>
          <w:p w14:paraId="7DCFFEC6" w14:textId="77777777" w:rsidR="00C1563E" w:rsidRDefault="000B648B">
            <w:pPr>
              <w:jc w:val="right"/>
              <w:textAlignment w:val="bottom"/>
            </w:pPr>
            <w:r>
              <w:rPr>
                <w:rFonts w:ascii="Times New Roman" w:eastAsia="宋体" w:hAnsi="Times New Roman"/>
                <w:color w:val="000000"/>
                <w:sz w:val="20"/>
                <w:szCs w:val="20"/>
              </w:rPr>
              <w:t>(302)</w:t>
            </w:r>
          </w:p>
        </w:tc>
        <w:tc>
          <w:tcPr>
            <w:tcW w:w="0" w:type="auto"/>
            <w:shd w:val="clear" w:color="auto" w:fill="CCEEFF"/>
            <w:tcMar>
              <w:top w:w="40" w:type="dxa"/>
              <w:left w:w="0" w:type="dxa"/>
              <w:bottom w:w="40" w:type="dxa"/>
              <w:right w:w="20" w:type="dxa"/>
            </w:tcMar>
            <w:vAlign w:val="bottom"/>
          </w:tcPr>
          <w:p w14:paraId="7DCFFE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C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EC9" w14:textId="77777777" w:rsidR="00C1563E" w:rsidRDefault="000B648B">
            <w:pPr>
              <w:jc w:val="right"/>
              <w:textAlignment w:val="bottom"/>
            </w:pPr>
            <w:r>
              <w:rPr>
                <w:rFonts w:ascii="Times New Roman" w:eastAsia="宋体" w:hAnsi="Times New Roman"/>
                <w:color w:val="000000"/>
                <w:sz w:val="20"/>
                <w:szCs w:val="20"/>
              </w:rPr>
              <w:t>(368)</w:t>
            </w:r>
          </w:p>
        </w:tc>
        <w:tc>
          <w:tcPr>
            <w:tcW w:w="0" w:type="auto"/>
            <w:shd w:val="clear" w:color="auto" w:fill="CCEEFF"/>
            <w:tcMar>
              <w:top w:w="40" w:type="dxa"/>
              <w:left w:w="0" w:type="dxa"/>
              <w:bottom w:w="40" w:type="dxa"/>
              <w:right w:w="20" w:type="dxa"/>
            </w:tcMar>
            <w:vAlign w:val="bottom"/>
          </w:tcPr>
          <w:p w14:paraId="7DCFFECA" w14:textId="77777777" w:rsidR="00C1563E" w:rsidRDefault="00C1563E">
            <w:pPr>
              <w:jc w:val="right"/>
              <w:rPr>
                <w:rFonts w:ascii="宋体"/>
              </w:rPr>
            </w:pPr>
          </w:p>
        </w:tc>
      </w:tr>
      <w:tr w:rsidR="00C1563E" w14:paraId="7DCFFED4" w14:textId="77777777">
        <w:trPr>
          <w:jc w:val="center"/>
        </w:trPr>
        <w:tc>
          <w:tcPr>
            <w:tcW w:w="0" w:type="auto"/>
            <w:gridSpan w:val="3"/>
            <w:shd w:val="clear" w:color="auto" w:fill="FFFFFF"/>
            <w:tcMar>
              <w:top w:w="40" w:type="dxa"/>
              <w:left w:w="380" w:type="dxa"/>
              <w:bottom w:w="40" w:type="dxa"/>
              <w:right w:w="20" w:type="dxa"/>
            </w:tcMar>
            <w:vAlign w:val="bottom"/>
          </w:tcPr>
          <w:p w14:paraId="7DCFFECC" w14:textId="77777777" w:rsidR="00C1563E" w:rsidRDefault="000B648B">
            <w:pPr>
              <w:textAlignment w:val="bottom"/>
            </w:pPr>
            <w:r>
              <w:rPr>
                <w:rFonts w:ascii="Times New Roman" w:eastAsia="宋体" w:hAnsi="Times New Roman"/>
                <w:b/>
                <w:bCs/>
                <w:color w:val="000000"/>
                <w:sz w:val="20"/>
                <w:szCs w:val="20"/>
              </w:rPr>
              <w:t>Total debt, carrying value</w:t>
            </w:r>
          </w:p>
        </w:tc>
        <w:tc>
          <w:tcPr>
            <w:tcW w:w="0" w:type="auto"/>
            <w:tcBorders>
              <w:top w:val="single" w:sz="8" w:space="0" w:color="000000"/>
            </w:tcBorders>
            <w:shd w:val="clear" w:color="auto" w:fill="FFFFFF"/>
            <w:tcMar>
              <w:top w:w="40" w:type="dxa"/>
              <w:left w:w="20" w:type="dxa"/>
              <w:bottom w:w="40" w:type="dxa"/>
              <w:right w:w="0" w:type="dxa"/>
            </w:tcMar>
            <w:vAlign w:val="bottom"/>
          </w:tcPr>
          <w:p w14:paraId="7DCFFEC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ECE" w14:textId="77777777" w:rsidR="00C1563E" w:rsidRDefault="000B648B">
            <w:pPr>
              <w:jc w:val="right"/>
              <w:textAlignment w:val="bottom"/>
            </w:pPr>
            <w:r>
              <w:rPr>
                <w:rFonts w:ascii="Times New Roman" w:eastAsia="宋体" w:hAnsi="Times New Roman"/>
                <w:color w:val="000000"/>
                <w:sz w:val="20"/>
                <w:szCs w:val="20"/>
              </w:rPr>
              <w:t>47,984 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EC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D0"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CFFED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CFFED2" w14:textId="77777777" w:rsidR="00C1563E" w:rsidRDefault="000B648B">
            <w:pPr>
              <w:jc w:val="right"/>
              <w:textAlignment w:val="bottom"/>
            </w:pPr>
            <w:r>
              <w:rPr>
                <w:rFonts w:ascii="Times New Roman" w:eastAsia="宋体" w:hAnsi="Times New Roman"/>
                <w:color w:val="000000"/>
                <w:sz w:val="20"/>
                <w:szCs w:val="20"/>
              </w:rPr>
              <w:t>52,056 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CFFED3" w14:textId="77777777" w:rsidR="00C1563E" w:rsidRDefault="00C1563E">
            <w:pPr>
              <w:jc w:val="right"/>
              <w:rPr>
                <w:rFonts w:ascii="宋体"/>
              </w:rPr>
            </w:pPr>
          </w:p>
        </w:tc>
      </w:tr>
      <w:tr w:rsidR="00C1563E" w14:paraId="7DCFFEDD" w14:textId="77777777">
        <w:trPr>
          <w:jc w:val="center"/>
        </w:trPr>
        <w:tc>
          <w:tcPr>
            <w:tcW w:w="0" w:type="auto"/>
            <w:gridSpan w:val="3"/>
            <w:shd w:val="clear" w:color="auto" w:fill="CCEEFF"/>
            <w:tcMar>
              <w:top w:w="40" w:type="dxa"/>
              <w:left w:w="515" w:type="dxa"/>
              <w:bottom w:w="40" w:type="dxa"/>
              <w:right w:w="20" w:type="dxa"/>
            </w:tcMar>
            <w:vAlign w:val="bottom"/>
          </w:tcPr>
          <w:p w14:paraId="7DCFFED5" w14:textId="77777777" w:rsidR="00C1563E" w:rsidRDefault="000B648B">
            <w:pPr>
              <w:textAlignment w:val="bottom"/>
            </w:pPr>
            <w:r>
              <w:rPr>
                <w:rFonts w:ascii="Times New Roman" w:eastAsia="宋体" w:hAnsi="Times New Roman"/>
                <w:b/>
                <w:bCs/>
                <w:color w:val="000000"/>
                <w:sz w:val="20"/>
                <w:szCs w:val="20"/>
              </w:rPr>
              <w:t>Total short-term debt, carrying value</w:t>
            </w:r>
          </w:p>
        </w:tc>
        <w:tc>
          <w:tcPr>
            <w:tcW w:w="0" w:type="auto"/>
            <w:tcBorders>
              <w:top w:val="double" w:sz="6" w:space="0" w:color="000000"/>
            </w:tcBorders>
            <w:shd w:val="clear" w:color="auto" w:fill="CCEEFF"/>
            <w:tcMar>
              <w:top w:w="40" w:type="dxa"/>
              <w:left w:w="20" w:type="dxa"/>
              <w:bottom w:w="40" w:type="dxa"/>
              <w:right w:w="0" w:type="dxa"/>
            </w:tcMar>
            <w:vAlign w:val="bottom"/>
          </w:tcPr>
          <w:p w14:paraId="7DCFFED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ED7" w14:textId="77777777" w:rsidR="00C1563E" w:rsidRDefault="000B648B">
            <w:pPr>
              <w:jc w:val="right"/>
              <w:textAlignment w:val="bottom"/>
            </w:pPr>
            <w:r>
              <w:rPr>
                <w:rFonts w:ascii="Times New Roman" w:eastAsia="宋体" w:hAnsi="Times New Roman"/>
                <w:color w:val="000000"/>
                <w:sz w:val="20"/>
                <w:szCs w:val="20"/>
              </w:rPr>
              <w:t>6,362 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ED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ED9"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CFFED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CFFEDB" w14:textId="77777777" w:rsidR="00C1563E" w:rsidRDefault="000B648B">
            <w:pPr>
              <w:jc w:val="right"/>
              <w:textAlignment w:val="bottom"/>
            </w:pPr>
            <w:r>
              <w:rPr>
                <w:rFonts w:ascii="Times New Roman" w:eastAsia="宋体" w:hAnsi="Times New Roman"/>
                <w:color w:val="000000"/>
                <w:sz w:val="20"/>
                <w:szCs w:val="20"/>
              </w:rPr>
              <w:t>7,737 </w:t>
            </w:r>
          </w:p>
        </w:tc>
        <w:tc>
          <w:tcPr>
            <w:tcW w:w="0" w:type="auto"/>
            <w:tcBorders>
              <w:top w:val="double" w:sz="6" w:space="0" w:color="000000"/>
            </w:tcBorders>
            <w:shd w:val="clear" w:color="auto" w:fill="CCEEFF"/>
            <w:tcMar>
              <w:top w:w="40" w:type="dxa"/>
              <w:left w:w="0" w:type="dxa"/>
              <w:bottom w:w="40" w:type="dxa"/>
              <w:right w:w="20" w:type="dxa"/>
            </w:tcMar>
            <w:vAlign w:val="bottom"/>
          </w:tcPr>
          <w:p w14:paraId="7DCFFEDC" w14:textId="77777777" w:rsidR="00C1563E" w:rsidRDefault="00C1563E">
            <w:pPr>
              <w:jc w:val="right"/>
              <w:rPr>
                <w:rFonts w:ascii="宋体"/>
              </w:rPr>
            </w:pPr>
          </w:p>
        </w:tc>
      </w:tr>
      <w:tr w:rsidR="00C1563E" w14:paraId="7DCFFEE6" w14:textId="77777777">
        <w:trPr>
          <w:jc w:val="center"/>
        </w:trPr>
        <w:tc>
          <w:tcPr>
            <w:tcW w:w="0" w:type="auto"/>
            <w:gridSpan w:val="3"/>
            <w:shd w:val="clear" w:color="auto" w:fill="FFFFFF"/>
            <w:tcMar>
              <w:top w:w="40" w:type="dxa"/>
              <w:left w:w="515" w:type="dxa"/>
              <w:bottom w:w="40" w:type="dxa"/>
              <w:right w:w="20" w:type="dxa"/>
            </w:tcMar>
            <w:vAlign w:val="bottom"/>
          </w:tcPr>
          <w:p w14:paraId="7DCFFEDE" w14:textId="77777777" w:rsidR="00C1563E" w:rsidRDefault="000B648B">
            <w:pPr>
              <w:textAlignment w:val="bottom"/>
            </w:pPr>
            <w:r>
              <w:rPr>
                <w:rFonts w:ascii="Times New Roman" w:eastAsia="宋体" w:hAnsi="Times New Roman"/>
                <w:b/>
                <w:bCs/>
                <w:color w:val="000000"/>
                <w:sz w:val="20"/>
                <w:szCs w:val="20"/>
              </w:rPr>
              <w:t>Total long-term debt, carrying value</w:t>
            </w:r>
          </w:p>
        </w:tc>
        <w:tc>
          <w:tcPr>
            <w:tcW w:w="0" w:type="auto"/>
            <w:shd w:val="clear" w:color="auto" w:fill="FFFFFF"/>
            <w:tcMar>
              <w:top w:w="40" w:type="dxa"/>
              <w:left w:w="20" w:type="dxa"/>
              <w:bottom w:w="40" w:type="dxa"/>
              <w:right w:w="0" w:type="dxa"/>
            </w:tcMar>
            <w:vAlign w:val="bottom"/>
          </w:tcPr>
          <w:p w14:paraId="7DCFFED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EE0" w14:textId="77777777" w:rsidR="00C1563E" w:rsidRDefault="000B648B">
            <w:pPr>
              <w:jc w:val="right"/>
              <w:textAlignment w:val="bottom"/>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bottom"/>
          </w:tcPr>
          <w:p w14:paraId="7DCFFEE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EE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CFFEE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CFFEE4" w14:textId="77777777" w:rsidR="00C1563E" w:rsidRDefault="000B648B">
            <w:pPr>
              <w:jc w:val="right"/>
              <w:textAlignment w:val="bottom"/>
            </w:pPr>
            <w:r>
              <w:rPr>
                <w:rFonts w:ascii="Times New Roman" w:eastAsia="宋体" w:hAnsi="Times New Roman"/>
                <w:color w:val="000000"/>
                <w:sz w:val="20"/>
                <w:szCs w:val="20"/>
              </w:rPr>
              <w:t>44,319 </w:t>
            </w:r>
          </w:p>
        </w:tc>
        <w:tc>
          <w:tcPr>
            <w:tcW w:w="0" w:type="auto"/>
            <w:shd w:val="clear" w:color="auto" w:fill="FFFFFF"/>
            <w:tcMar>
              <w:top w:w="40" w:type="dxa"/>
              <w:left w:w="0" w:type="dxa"/>
              <w:bottom w:w="40" w:type="dxa"/>
              <w:right w:w="20" w:type="dxa"/>
            </w:tcMar>
            <w:vAlign w:val="bottom"/>
          </w:tcPr>
          <w:p w14:paraId="7DCFFEE5" w14:textId="77777777" w:rsidR="00C1563E" w:rsidRDefault="00C1563E">
            <w:pPr>
              <w:jc w:val="right"/>
              <w:rPr>
                <w:rFonts w:ascii="宋体"/>
              </w:rPr>
            </w:pPr>
          </w:p>
        </w:tc>
      </w:tr>
    </w:tbl>
    <w:p w14:paraId="7DCFFEE7" w14:textId="77777777" w:rsidR="00C1563E" w:rsidRDefault="00C1563E"/>
    <w:p w14:paraId="7DCFFEE8" w14:textId="77777777" w:rsidR="00C1563E" w:rsidRDefault="000B648B">
      <w:r>
        <w:rPr>
          <w:rFonts w:ascii="Times New Roman" w:eastAsia="宋体" w:hAnsi="Times New Roman"/>
          <w:color w:val="000000"/>
          <w:sz w:val="20"/>
          <w:szCs w:val="20"/>
        </w:rPr>
        <w:t>During the fiscal year ended January 29, 2021, the net decrease in the Company’s debt balance was primarily due to:</w:t>
      </w:r>
    </w:p>
    <w:p w14:paraId="7DCFFEE9" w14:textId="77777777" w:rsidR="00C1563E" w:rsidRDefault="000B648B">
      <w:pPr>
        <w:ind w:hanging="360"/>
      </w:pPr>
      <w:r>
        <w:rPr>
          <w:rFonts w:ascii="Times New Roman" w:eastAsia="宋体" w:hAnsi="Times New Roman"/>
          <w:color w:val="000000"/>
          <w:sz w:val="20"/>
          <w:szCs w:val="20"/>
        </w:rPr>
        <w:t xml:space="preserve">•retirement of $4.5 billion principal amount of 4.42% First Lien Notes due </w:t>
      </w:r>
      <w:r>
        <w:rPr>
          <w:rFonts w:ascii="Times New Roman" w:eastAsia="宋体" w:hAnsi="Times New Roman"/>
          <w:color w:val="000000"/>
          <w:sz w:val="20"/>
          <w:szCs w:val="20"/>
        </w:rPr>
        <w:t>June 2021 via repayment of $4,265 million and open market repurchases of $235 million;</w:t>
      </w:r>
    </w:p>
    <w:p w14:paraId="7DCFFEEA" w14:textId="77777777" w:rsidR="00C1563E" w:rsidRDefault="000B648B">
      <w:pPr>
        <w:ind w:hanging="360"/>
      </w:pPr>
      <w:r>
        <w:rPr>
          <w:rFonts w:ascii="Times New Roman" w:eastAsia="宋体" w:hAnsi="Times New Roman"/>
          <w:color w:val="000000"/>
          <w:sz w:val="20"/>
          <w:szCs w:val="20"/>
        </w:rPr>
        <w:t>•repayment of the remaining $679 million principal amount of the Term Loan A-4 Facility;</w:t>
      </w:r>
    </w:p>
    <w:p w14:paraId="7DCFFEEB" w14:textId="77777777" w:rsidR="00C1563E" w:rsidRDefault="000B648B">
      <w:pPr>
        <w:ind w:hanging="360"/>
      </w:pPr>
      <w:r>
        <w:rPr>
          <w:rFonts w:ascii="Times New Roman" w:eastAsia="宋体" w:hAnsi="Times New Roman"/>
          <w:color w:val="000000"/>
          <w:sz w:val="20"/>
          <w:szCs w:val="20"/>
        </w:rPr>
        <w:t xml:space="preserve">•repayment of $1,595 million principal amount of the Term Loan B-1 </w:t>
      </w:r>
      <w:r>
        <w:rPr>
          <w:rFonts w:ascii="Times New Roman" w:eastAsia="宋体" w:hAnsi="Times New Roman"/>
          <w:color w:val="000000"/>
          <w:sz w:val="20"/>
          <w:szCs w:val="20"/>
        </w:rPr>
        <w:t>Facility;</w:t>
      </w:r>
    </w:p>
    <w:p w14:paraId="7DCFFEEC" w14:textId="77777777" w:rsidR="00C1563E" w:rsidRDefault="000B648B">
      <w:pPr>
        <w:ind w:hanging="360"/>
      </w:pPr>
      <w:r>
        <w:rPr>
          <w:rFonts w:ascii="Times New Roman" w:eastAsia="宋体" w:hAnsi="Times New Roman"/>
          <w:color w:val="000000"/>
          <w:sz w:val="20"/>
          <w:szCs w:val="20"/>
        </w:rPr>
        <w:t xml:space="preserve">•repayment of $363 million principal amount of the Term Loan A-6 Facility; </w:t>
      </w:r>
    </w:p>
    <w:p w14:paraId="7DCFFEED" w14:textId="77777777" w:rsidR="00C1563E" w:rsidRDefault="000B648B">
      <w:pPr>
        <w:ind w:hanging="360"/>
      </w:pPr>
      <w:r>
        <w:rPr>
          <w:rFonts w:ascii="Times New Roman" w:eastAsia="宋体" w:hAnsi="Times New Roman"/>
          <w:color w:val="000000"/>
          <w:sz w:val="20"/>
          <w:szCs w:val="20"/>
        </w:rPr>
        <w:t>•repayment of $1.5 billion principal amount of the VMware Term Loan Facility upon maturity;</w:t>
      </w:r>
    </w:p>
    <w:p w14:paraId="7DCFFEEE" w14:textId="77777777" w:rsidR="00C1563E" w:rsidRDefault="000B648B">
      <w:pPr>
        <w:ind w:hanging="360"/>
      </w:pPr>
      <w:r>
        <w:rPr>
          <w:rFonts w:ascii="Times New Roman" w:eastAsia="宋体" w:hAnsi="Times New Roman"/>
          <w:color w:val="000000"/>
          <w:sz w:val="20"/>
          <w:szCs w:val="20"/>
        </w:rPr>
        <w:t xml:space="preserve">•repayment of $1.25 billion principal amount of 2.30% VMware Notes due August </w:t>
      </w:r>
      <w:r>
        <w:rPr>
          <w:rFonts w:ascii="Times New Roman" w:eastAsia="宋体" w:hAnsi="Times New Roman"/>
          <w:color w:val="000000"/>
          <w:sz w:val="20"/>
          <w:szCs w:val="20"/>
        </w:rPr>
        <w:t>2020; and</w:t>
      </w:r>
    </w:p>
    <w:p w14:paraId="7DCFFEEF" w14:textId="77777777" w:rsidR="00C1563E" w:rsidRDefault="000B648B">
      <w:pPr>
        <w:ind w:hanging="360"/>
      </w:pPr>
      <w:r>
        <w:rPr>
          <w:rFonts w:ascii="Times New Roman" w:eastAsia="宋体" w:hAnsi="Times New Roman"/>
          <w:color w:val="000000"/>
          <w:sz w:val="20"/>
          <w:szCs w:val="20"/>
        </w:rPr>
        <w:t>•repayment of $600 million principal amount of 2.650% EMC Notes due June 2020 upon maturity.</w:t>
      </w:r>
    </w:p>
    <w:p w14:paraId="7DCFFEF0" w14:textId="77777777" w:rsidR="00C1563E" w:rsidRDefault="00C1563E"/>
    <w:p w14:paraId="7DCFFEF1" w14:textId="77777777" w:rsidR="00C1563E" w:rsidRDefault="000B648B">
      <w:r>
        <w:rPr>
          <w:rFonts w:ascii="Times New Roman" w:eastAsia="宋体" w:hAnsi="Times New Roman"/>
          <w:color w:val="000000"/>
          <w:sz w:val="20"/>
          <w:szCs w:val="20"/>
        </w:rPr>
        <w:t>These decreases in the Company’s debt balance during the fiscal year ended January 29, 2021 were partially offset by:</w:t>
      </w:r>
    </w:p>
    <w:p w14:paraId="7DCFFEF2" w14:textId="77777777" w:rsidR="00C1563E" w:rsidRDefault="000B648B">
      <w:pPr>
        <w:ind w:hanging="360"/>
      </w:pPr>
      <w:r>
        <w:rPr>
          <w:rFonts w:ascii="Times New Roman" w:eastAsia="宋体" w:hAnsi="Times New Roman"/>
          <w:color w:val="000000"/>
          <w:sz w:val="20"/>
          <w:szCs w:val="20"/>
        </w:rPr>
        <w:t>•issuance of $2.25 billion aggrega</w:t>
      </w:r>
      <w:r>
        <w:rPr>
          <w:rFonts w:ascii="Times New Roman" w:eastAsia="宋体" w:hAnsi="Times New Roman"/>
          <w:color w:val="000000"/>
          <w:sz w:val="20"/>
          <w:szCs w:val="20"/>
        </w:rPr>
        <w:t>te principal amount of First Lien Notes on April 9, 2020, described below;</w:t>
      </w:r>
    </w:p>
    <w:p w14:paraId="7DCFFEF3" w14:textId="77777777" w:rsidR="00C1563E" w:rsidRDefault="000B648B">
      <w:pPr>
        <w:ind w:hanging="360"/>
      </w:pPr>
      <w:r>
        <w:rPr>
          <w:rFonts w:ascii="Times New Roman" w:eastAsia="宋体" w:hAnsi="Times New Roman"/>
          <w:color w:val="000000"/>
          <w:sz w:val="20"/>
          <w:szCs w:val="20"/>
        </w:rPr>
        <w:t>•issuance of $2.0 billion aggregate principal amount of VMware Notes on April 7, 2020, described below; and</w:t>
      </w:r>
    </w:p>
    <w:p w14:paraId="7DCFFEF4" w14:textId="77777777" w:rsidR="00C1563E" w:rsidRDefault="000B648B">
      <w:pPr>
        <w:ind w:hanging="360"/>
      </w:pPr>
      <w:r>
        <w:rPr>
          <w:rFonts w:ascii="Times New Roman" w:eastAsia="宋体" w:hAnsi="Times New Roman"/>
          <w:color w:val="000000"/>
          <w:sz w:val="20"/>
          <w:szCs w:val="20"/>
        </w:rPr>
        <w:t>•incurrence of an additional $1.9 billion, net, in DFS debt to support th</w:t>
      </w:r>
      <w:r>
        <w:rPr>
          <w:rFonts w:ascii="Times New Roman" w:eastAsia="宋体" w:hAnsi="Times New Roman"/>
          <w:color w:val="000000"/>
          <w:sz w:val="20"/>
          <w:szCs w:val="20"/>
        </w:rPr>
        <w:t>e expansion of its financing receivables portfolio.</w:t>
      </w:r>
    </w:p>
    <w:p w14:paraId="7DCFFEF5" w14:textId="77777777" w:rsidR="00C1563E" w:rsidRDefault="00C1563E"/>
    <w:p w14:paraId="7DCFFEF6" w14:textId="77777777" w:rsidR="00C1563E" w:rsidRDefault="000B648B">
      <w:r>
        <w:rPr>
          <w:rFonts w:ascii="Times New Roman" w:eastAsia="宋体" w:hAnsi="Times New Roman"/>
          <w:color w:val="000000"/>
          <w:sz w:val="20"/>
          <w:szCs w:val="20"/>
        </w:rPr>
        <w:t>During the fiscal year ended January 31, 2020, the net decrease in the Company’s debt balance was primarily due to:</w:t>
      </w:r>
    </w:p>
    <w:p w14:paraId="7DCFFEF7" w14:textId="77777777" w:rsidR="00C1563E" w:rsidRDefault="000B648B">
      <w:pPr>
        <w:ind w:hanging="360"/>
      </w:pPr>
      <w:r>
        <w:rPr>
          <w:rFonts w:ascii="Times New Roman" w:eastAsia="宋体" w:hAnsi="Times New Roman"/>
          <w:color w:val="000000"/>
          <w:sz w:val="20"/>
          <w:szCs w:val="20"/>
        </w:rPr>
        <w:t>•repayment of $1.4 billion principal amount of 2.650% EMC Notes due June 2020;</w:t>
      </w:r>
    </w:p>
    <w:p w14:paraId="7DCFFEF8" w14:textId="77777777" w:rsidR="00C1563E" w:rsidRDefault="000B648B">
      <w:pPr>
        <w:ind w:hanging="360"/>
      </w:pPr>
      <w:r>
        <w:rPr>
          <w:rFonts w:ascii="Times New Roman" w:eastAsia="宋体" w:hAnsi="Times New Roman"/>
          <w:color w:val="000000"/>
          <w:sz w:val="20"/>
          <w:szCs w:val="20"/>
        </w:rPr>
        <w:t>•repayme</w:t>
      </w:r>
      <w:r>
        <w:rPr>
          <w:rFonts w:ascii="Times New Roman" w:eastAsia="宋体" w:hAnsi="Times New Roman"/>
          <w:color w:val="000000"/>
          <w:sz w:val="20"/>
          <w:szCs w:val="20"/>
        </w:rPr>
        <w:t>nt of $550 million principal amount of 5.875% senior unsecured notes due June 2021;</w:t>
      </w:r>
    </w:p>
    <w:p w14:paraId="7DCFFEF9" w14:textId="77777777" w:rsidR="00C1563E" w:rsidRDefault="000B648B">
      <w:pPr>
        <w:ind w:hanging="360"/>
      </w:pPr>
      <w:r>
        <w:rPr>
          <w:rFonts w:ascii="Times New Roman" w:eastAsia="宋体" w:hAnsi="Times New Roman"/>
          <w:color w:val="000000"/>
          <w:sz w:val="20"/>
          <w:szCs w:val="20"/>
        </w:rPr>
        <w:t>•repayment of $600 million principal amount of 5.875% senior unsecured notes due June 2019;</w:t>
      </w:r>
    </w:p>
    <w:p w14:paraId="7DCFFEFA" w14:textId="77777777" w:rsidR="00C1563E" w:rsidRDefault="000B648B">
      <w:pPr>
        <w:ind w:hanging="360"/>
      </w:pPr>
      <w:r>
        <w:rPr>
          <w:rFonts w:ascii="Times New Roman" w:eastAsia="宋体" w:hAnsi="Times New Roman"/>
          <w:color w:val="000000"/>
          <w:sz w:val="20"/>
          <w:szCs w:val="20"/>
        </w:rPr>
        <w:t>•repayment of $950 million principal amount of the Term Loan A-4 Facility;</w:t>
      </w:r>
    </w:p>
    <w:p w14:paraId="7DCFFEFB" w14:textId="77777777" w:rsidR="00C1563E" w:rsidRDefault="000B648B">
      <w:pPr>
        <w:ind w:hanging="360"/>
      </w:pPr>
      <w:r>
        <w:rPr>
          <w:rFonts w:ascii="Times New Roman" w:eastAsia="宋体" w:hAnsi="Times New Roman"/>
          <w:color w:val="000000"/>
          <w:sz w:val="20"/>
          <w:szCs w:val="20"/>
        </w:rPr>
        <w:t>•amor</w:t>
      </w:r>
      <w:r>
        <w:rPr>
          <w:rFonts w:ascii="Times New Roman" w:eastAsia="宋体" w:hAnsi="Times New Roman"/>
          <w:color w:val="000000"/>
          <w:sz w:val="20"/>
          <w:szCs w:val="20"/>
        </w:rPr>
        <w:t>tization of approximately $193 million of principal under the Company’s term loan facilities;</w:t>
      </w:r>
    </w:p>
    <w:p w14:paraId="7DCFFEFC" w14:textId="77777777" w:rsidR="00C1563E" w:rsidRDefault="000B648B">
      <w:pPr>
        <w:ind w:hanging="360"/>
      </w:pPr>
      <w:r>
        <w:rPr>
          <w:rFonts w:ascii="Times New Roman" w:eastAsia="宋体" w:hAnsi="Times New Roman"/>
          <w:color w:val="000000"/>
          <w:sz w:val="20"/>
          <w:szCs w:val="20"/>
        </w:rPr>
        <w:t>•repayment of $162.5 million principal amount as part of the Term Loan B Facility refinancing as described below under “Refinancing Transactions during Fiscal 202</w:t>
      </w:r>
      <w:r>
        <w:rPr>
          <w:rFonts w:ascii="Times New Roman" w:eastAsia="宋体" w:hAnsi="Times New Roman"/>
          <w:color w:val="000000"/>
          <w:sz w:val="20"/>
          <w:szCs w:val="20"/>
        </w:rPr>
        <w:t>0”; and</w:t>
      </w:r>
    </w:p>
    <w:p w14:paraId="7DCFFEFD" w14:textId="77777777" w:rsidR="00C1563E" w:rsidRDefault="000B648B">
      <w:pPr>
        <w:ind w:hanging="360"/>
      </w:pPr>
      <w:r>
        <w:rPr>
          <w:rFonts w:ascii="Times New Roman" w:eastAsia="宋体" w:hAnsi="Times New Roman"/>
          <w:color w:val="000000"/>
          <w:sz w:val="20"/>
          <w:szCs w:val="20"/>
        </w:rPr>
        <w:t>•repayment of the remaining principal amount of approximately $1,277 million of the Term Loan A-2 Facility in connection with the First Lien Notes issued on March 20, 2019, as described below under “Refinancing Transactions during Fiscal 2020.”</w:t>
      </w:r>
    </w:p>
    <w:p w14:paraId="7DCFFEFE" w14:textId="77777777" w:rsidR="00C1563E" w:rsidRDefault="00C1563E"/>
    <w:p w14:paraId="7DCFFEFF" w14:textId="77777777" w:rsidR="00C1563E" w:rsidRDefault="000B648B">
      <w:r>
        <w:rPr>
          <w:rFonts w:ascii="Times New Roman" w:eastAsia="宋体" w:hAnsi="Times New Roman"/>
          <w:color w:val="000000"/>
          <w:sz w:val="20"/>
          <w:szCs w:val="20"/>
        </w:rPr>
        <w:t>Th</w:t>
      </w:r>
      <w:r>
        <w:rPr>
          <w:rFonts w:ascii="Times New Roman" w:eastAsia="宋体" w:hAnsi="Times New Roman"/>
          <w:color w:val="000000"/>
          <w:sz w:val="20"/>
          <w:szCs w:val="20"/>
        </w:rPr>
        <w:t>ese decreases in the Company’s debt balance during the fiscal year ended January 31, 2020 were partially offset by:</w:t>
      </w:r>
    </w:p>
    <w:p w14:paraId="7DCFFF00" w14:textId="77777777" w:rsidR="00C1563E" w:rsidRDefault="000B648B">
      <w:pPr>
        <w:ind w:hanging="360"/>
      </w:pPr>
      <w:r>
        <w:rPr>
          <w:rFonts w:ascii="Times New Roman" w:eastAsia="宋体" w:hAnsi="Times New Roman"/>
          <w:color w:val="000000"/>
          <w:sz w:val="20"/>
          <w:szCs w:val="20"/>
        </w:rPr>
        <w:t>•debt issuances in connection with refinancing activities described below under “Refinancing Transactions during Fiscal 2020”; and</w:t>
      </w:r>
    </w:p>
    <w:p w14:paraId="7DCFFF01" w14:textId="77777777" w:rsidR="00C1563E" w:rsidRDefault="000B648B">
      <w:pPr>
        <w:ind w:hanging="360"/>
      </w:pPr>
      <w:r>
        <w:rPr>
          <w:rFonts w:ascii="Times New Roman" w:eastAsia="宋体" w:hAnsi="Times New Roman"/>
          <w:color w:val="000000"/>
          <w:sz w:val="20"/>
          <w:szCs w:val="20"/>
        </w:rPr>
        <w:t>•incurren</w:t>
      </w:r>
      <w:r>
        <w:rPr>
          <w:rFonts w:ascii="Times New Roman" w:eastAsia="宋体" w:hAnsi="Times New Roman"/>
          <w:color w:val="000000"/>
          <w:sz w:val="20"/>
          <w:szCs w:val="20"/>
        </w:rPr>
        <w:t>ce of an additional $1.8 billion, net, in DFS debt to support the expansion of its financing receivables portfolio. See Note 4 of the Notes to the Consolidated Financial Statements for more information about DFS debt.</w:t>
      </w:r>
    </w:p>
    <w:p w14:paraId="7DCFFF02" w14:textId="77777777" w:rsidR="00C1563E" w:rsidRDefault="00C1563E"/>
    <w:p w14:paraId="7DCFFF03" w14:textId="77777777" w:rsidR="00C1563E" w:rsidRDefault="000B648B">
      <w:r>
        <w:rPr>
          <w:rFonts w:ascii="Times New Roman" w:eastAsia="宋体" w:hAnsi="Times New Roman"/>
          <w:b/>
          <w:bCs/>
          <w:color w:val="000000"/>
          <w:sz w:val="20"/>
          <w:szCs w:val="20"/>
        </w:rPr>
        <w:t>Refinancing Transactions during Fisca</w:t>
      </w:r>
      <w:r>
        <w:rPr>
          <w:rFonts w:ascii="Times New Roman" w:eastAsia="宋体" w:hAnsi="Times New Roman"/>
          <w:b/>
          <w:bCs/>
          <w:color w:val="000000"/>
          <w:sz w:val="20"/>
          <w:szCs w:val="20"/>
        </w:rPr>
        <w:t>l 2020</w:t>
      </w:r>
    </w:p>
    <w:p w14:paraId="7DCFFF04" w14:textId="77777777" w:rsidR="00C1563E" w:rsidRDefault="00C1563E"/>
    <w:p w14:paraId="7DCFFF05" w14:textId="77777777" w:rsidR="00C1563E" w:rsidRDefault="000B648B">
      <w:r>
        <w:rPr>
          <w:rFonts w:ascii="Times New Roman" w:eastAsia="宋体" w:hAnsi="Times New Roman"/>
          <w:color w:val="000000"/>
          <w:sz w:val="20"/>
          <w:szCs w:val="20"/>
        </w:rPr>
        <w:t>In connection with the Class V transaction described in Note 1 of the Notes to the Consolidated Financial Statements, on December 20, 2018, the Company entered into an amendment to the credit agreement for the Senior Secured Credit Facilities, desc</w:t>
      </w:r>
      <w:r>
        <w:rPr>
          <w:rFonts w:ascii="Times New Roman" w:eastAsia="宋体" w:hAnsi="Times New Roman"/>
          <w:color w:val="000000"/>
          <w:sz w:val="20"/>
          <w:szCs w:val="20"/>
        </w:rPr>
        <w:t>ribed below, which included (a) a new senior secured Term Loan A-4 Facility under its Senior Secured Credit Facilities consisting of an aggregate principal amount of $1.7 billion term A-4 loans, (b) a new senior secured Term Loan A-5 Facility under the Sen</w:t>
      </w:r>
      <w:r>
        <w:rPr>
          <w:rFonts w:ascii="Times New Roman" w:eastAsia="宋体" w:hAnsi="Times New Roman"/>
          <w:color w:val="000000"/>
          <w:sz w:val="20"/>
          <w:szCs w:val="20"/>
        </w:rPr>
        <w:t>ior Secured Credit Facilities consisting of an aggregate principal amount of $2.0 billion term A-5 loans, (c) $1.4 billion in incremental loans under the Margin Loan Facility, and (d) an increase in the aggregate revolving commitments available under the R</w:t>
      </w:r>
      <w:r>
        <w:rPr>
          <w:rFonts w:ascii="Times New Roman" w:eastAsia="宋体" w:hAnsi="Times New Roman"/>
          <w:color w:val="000000"/>
          <w:sz w:val="20"/>
          <w:szCs w:val="20"/>
        </w:rPr>
        <w:t>evolving Credit Facility to $4.5 billion. See below for additional information regarding the Senior Secured Credit Facilities, the Margin Loan Facility, and the Revolving Credit Facility.</w:t>
      </w:r>
    </w:p>
    <w:p w14:paraId="7DCFFF06" w14:textId="77777777" w:rsidR="00C1563E" w:rsidRDefault="00C1563E">
      <w:pPr>
        <w:jc w:val="center"/>
      </w:pPr>
    </w:p>
    <w:p w14:paraId="7DCFFF07" w14:textId="77777777" w:rsidR="00C1563E" w:rsidRDefault="000B648B">
      <w:pPr>
        <w:jc w:val="center"/>
      </w:pPr>
      <w:r>
        <w:rPr>
          <w:rFonts w:ascii="Times New Roman" w:eastAsia="宋体" w:hAnsi="Times New Roman"/>
          <w:color w:val="000000"/>
          <w:sz w:val="20"/>
          <w:szCs w:val="20"/>
        </w:rPr>
        <w:t>110</w:t>
      </w:r>
    </w:p>
    <w:p w14:paraId="7DCFFF08" w14:textId="77777777" w:rsidR="00C1563E" w:rsidRDefault="00C1563E">
      <w:pPr>
        <w:jc w:val="center"/>
      </w:pPr>
    </w:p>
    <w:p w14:paraId="7DCFFF09" w14:textId="77777777" w:rsidR="00C1563E" w:rsidRDefault="000B648B">
      <w:r>
        <w:pict w14:anchorId="7DD025D8">
          <v:rect id="_x0000_i1134" style="width:415.3pt;height:1.5pt" o:hralign="center" o:hrstd="t" o:hr="t" fillcolor="#a0a0a0" stroked="f"/>
        </w:pict>
      </w:r>
    </w:p>
    <w:p w14:paraId="7DCFFF0A" w14:textId="77777777" w:rsidR="00C1563E" w:rsidRDefault="000B648B">
      <w:hyperlink r:id="rId293" w:anchor="i418e32e4a35149ffbf7d3a25d66881b8_10" w:history="1">
        <w:r>
          <w:rPr>
            <w:rStyle w:val="a5"/>
            <w:rFonts w:ascii="Times New Roman" w:eastAsia="宋体" w:hAnsi="Times New Roman"/>
            <w:sz w:val="20"/>
            <w:szCs w:val="20"/>
          </w:rPr>
          <w:t>Table of Contents</w:t>
        </w:r>
      </w:hyperlink>
    </w:p>
    <w:p w14:paraId="7DCFFF0B" w14:textId="77777777" w:rsidR="00C1563E" w:rsidRDefault="00C1563E"/>
    <w:p w14:paraId="7DCFFF0C" w14:textId="77777777" w:rsidR="00C1563E" w:rsidRDefault="000B648B">
      <w:r>
        <w:rPr>
          <w:rFonts w:ascii="Times New Roman" w:eastAsia="宋体" w:hAnsi="Times New Roman"/>
          <w:color w:val="000000"/>
          <w:sz w:val="20"/>
          <w:szCs w:val="20"/>
        </w:rPr>
        <w:t>On March 7, 2019, the Company amended the Margin Loan Facility agreement to increas</w:t>
      </w:r>
      <w:r>
        <w:rPr>
          <w:rFonts w:ascii="Times New Roman" w:eastAsia="宋体" w:hAnsi="Times New Roman"/>
          <w:color w:val="000000"/>
          <w:sz w:val="20"/>
          <w:szCs w:val="20"/>
        </w:rPr>
        <w:t xml:space="preserve">e the aggregate principal amount of borrowings under the Margin Loan Facility by $650 million. </w:t>
      </w:r>
    </w:p>
    <w:p w14:paraId="7DCFFF0D" w14:textId="77777777" w:rsidR="00C1563E" w:rsidRDefault="00C1563E"/>
    <w:p w14:paraId="7DCFFF0E" w14:textId="77777777" w:rsidR="00C1563E" w:rsidRDefault="000B648B">
      <w:r>
        <w:rPr>
          <w:rFonts w:ascii="Times New Roman" w:eastAsia="宋体" w:hAnsi="Times New Roman"/>
          <w:color w:val="000000"/>
          <w:sz w:val="20"/>
          <w:szCs w:val="20"/>
        </w:rPr>
        <w:t>On March 13, 2019, the Company entered into an amendment to the credit agreement for the Senior Secured Credit Facilities to obtain a new senior secured Term L</w:t>
      </w:r>
      <w:r>
        <w:rPr>
          <w:rFonts w:ascii="Times New Roman" w:eastAsia="宋体" w:hAnsi="Times New Roman"/>
          <w:color w:val="000000"/>
          <w:sz w:val="20"/>
          <w:szCs w:val="20"/>
        </w:rPr>
        <w:t>oan A-6 Facility in order to refinance the $5 billion aggregate principal amount of debt incurred in connection with the Class V transaction described in Note 1 of the Notes to the Consolidated Financial Statements. The Term Loan A-6 Facility aggregate pri</w:t>
      </w:r>
      <w:r>
        <w:rPr>
          <w:rFonts w:ascii="Times New Roman" w:eastAsia="宋体" w:hAnsi="Times New Roman"/>
          <w:color w:val="000000"/>
          <w:sz w:val="20"/>
          <w:szCs w:val="20"/>
        </w:rPr>
        <w:t>ncipal amount of $3,634 million matures on March 13, 2024, of which $2,839 million aggregate principal amount represents the amounts outstanding under the Term Loan A-2 Facility that rolled over into the new facility. The remaining principal amount outstan</w:t>
      </w:r>
      <w:r>
        <w:rPr>
          <w:rFonts w:ascii="Times New Roman" w:eastAsia="宋体" w:hAnsi="Times New Roman"/>
          <w:color w:val="000000"/>
          <w:sz w:val="20"/>
          <w:szCs w:val="20"/>
        </w:rPr>
        <w:t xml:space="preserve">ding under the Term Loan A-2 Facility was subsequently repaid in full during the fiscal year ended January 31, 2020, partially with proceeds from a private offering of First Lien Notes described below. </w:t>
      </w:r>
    </w:p>
    <w:p w14:paraId="7DCFFF0F" w14:textId="77777777" w:rsidR="00C1563E" w:rsidRDefault="00C1563E"/>
    <w:p w14:paraId="7DCFFF10" w14:textId="77777777" w:rsidR="00C1563E" w:rsidRDefault="000B648B">
      <w:r>
        <w:rPr>
          <w:rFonts w:ascii="Times New Roman" w:eastAsia="宋体" w:hAnsi="Times New Roman"/>
          <w:color w:val="000000"/>
          <w:sz w:val="20"/>
          <w:szCs w:val="20"/>
        </w:rPr>
        <w:t>On March 20, 2019, Dell International L.L.C. and EMC</w:t>
      </w:r>
      <w:r>
        <w:rPr>
          <w:rFonts w:ascii="Times New Roman" w:eastAsia="宋体" w:hAnsi="Times New Roman"/>
          <w:color w:val="000000"/>
          <w:sz w:val="20"/>
          <w:szCs w:val="20"/>
        </w:rPr>
        <w:t xml:space="preserve"> Corporation, both of which are wholly-owned subsidiaries of Dell Technologies Inc., completed a private offering of multiple series of First Lien Notes in an aggregate principal amount of $4.5 billion. A majority of the proceeds from the First Lien Notes </w:t>
      </w:r>
      <w:r>
        <w:rPr>
          <w:rFonts w:ascii="Times New Roman" w:eastAsia="宋体" w:hAnsi="Times New Roman"/>
          <w:color w:val="000000"/>
          <w:sz w:val="20"/>
          <w:szCs w:val="20"/>
        </w:rPr>
        <w:t xml:space="preserve">issued on March 20, 2019 was used to repay all of the outstanding $3,750 million principal amount of 3.48% First Lien Notes due June 2019. In addition, proceeds of approximately $800 million of borrowings under the new Term Loan A-6 Facility, the proceeds </w:t>
      </w:r>
      <w:r>
        <w:rPr>
          <w:rFonts w:ascii="Times New Roman" w:eastAsia="宋体" w:hAnsi="Times New Roman"/>
          <w:color w:val="000000"/>
          <w:sz w:val="20"/>
          <w:szCs w:val="20"/>
        </w:rPr>
        <w:t>of the $650 million increase in the Margin Loan Facility, and a portion of the proceeds from the 2019 First Lien Notes were used to repay all $2,016 million of outstanding amounts under the Term Loan A-5 Facility due December 2019. The remaining proceeds a</w:t>
      </w:r>
      <w:r>
        <w:rPr>
          <w:rFonts w:ascii="Times New Roman" w:eastAsia="宋体" w:hAnsi="Times New Roman"/>
          <w:color w:val="000000"/>
          <w:sz w:val="20"/>
          <w:szCs w:val="20"/>
        </w:rPr>
        <w:t xml:space="preserve">vailable from the 2019 First Lien Notes were used to repay a portion of outstanding amounts under the Term Loan A-2 Facility as described above, and to pay related premiums, accrued interest, fees, and expenses. </w:t>
      </w:r>
    </w:p>
    <w:p w14:paraId="7DCFFF11" w14:textId="77777777" w:rsidR="00C1563E" w:rsidRDefault="00C1563E"/>
    <w:p w14:paraId="7DCFFF12" w14:textId="77777777" w:rsidR="00C1563E" w:rsidRDefault="000B648B">
      <w:r>
        <w:rPr>
          <w:rFonts w:ascii="Times New Roman" w:eastAsia="宋体" w:hAnsi="Times New Roman"/>
          <w:color w:val="000000"/>
          <w:sz w:val="20"/>
          <w:szCs w:val="20"/>
        </w:rPr>
        <w:t>On September 19, 2019, the Company entered</w:t>
      </w:r>
      <w:r>
        <w:rPr>
          <w:rFonts w:ascii="Times New Roman" w:eastAsia="宋体" w:hAnsi="Times New Roman"/>
          <w:color w:val="000000"/>
          <w:sz w:val="20"/>
          <w:szCs w:val="20"/>
        </w:rPr>
        <w:t xml:space="preserve"> into a sixth refinancing amendment to the Senior Secured Credit Agreement (the “Sixth Refinancing Amendment”) to refinance the Term Loan B Facility due September 2023 with a new term loan B facility consisting of an aggregate principal amount of $4,750 mi</w:t>
      </w:r>
      <w:r>
        <w:rPr>
          <w:rFonts w:ascii="Times New Roman" w:eastAsia="宋体" w:hAnsi="Times New Roman"/>
          <w:color w:val="000000"/>
          <w:sz w:val="20"/>
          <w:szCs w:val="20"/>
        </w:rPr>
        <w:t>llion refinancing term B-1 loans maturing on September 19, 2025 (the “Term Loan B-1 Facility”). The Company used the proceeds from the Term Loan B-1 Facility, together with other available funds, to repay $4,913 million of outstanding amounts under the Ter</w:t>
      </w:r>
      <w:r>
        <w:rPr>
          <w:rFonts w:ascii="Times New Roman" w:eastAsia="宋体" w:hAnsi="Times New Roman"/>
          <w:color w:val="000000"/>
          <w:sz w:val="20"/>
          <w:szCs w:val="20"/>
        </w:rPr>
        <w:t xml:space="preserve">m Loan B Facility due September 2023 and to pay related accrued interest, fees, and expenses. </w:t>
      </w:r>
    </w:p>
    <w:p w14:paraId="7DCFFF13" w14:textId="77777777" w:rsidR="00C1563E" w:rsidRDefault="00C1563E"/>
    <w:p w14:paraId="7DCFFF14" w14:textId="77777777" w:rsidR="00C1563E" w:rsidRDefault="000B648B">
      <w:r>
        <w:rPr>
          <w:rFonts w:ascii="Times New Roman" w:eastAsia="宋体" w:hAnsi="Times New Roman"/>
          <w:color w:val="000000"/>
          <w:sz w:val="20"/>
          <w:szCs w:val="20"/>
        </w:rPr>
        <w:t>The refinancing and amendments were evaluated in accordance with FASB ASC 470, “Debt-Modifications and Extinguishments.” The amendment to the Margin Loan Facili</w:t>
      </w:r>
      <w:r>
        <w:rPr>
          <w:rFonts w:ascii="Times New Roman" w:eastAsia="宋体" w:hAnsi="Times New Roman"/>
          <w:color w:val="000000"/>
          <w:sz w:val="20"/>
          <w:szCs w:val="20"/>
        </w:rPr>
        <w:t>ty agreement on March 7, 2019, the term debt refinancing on March 13, 2019, and the Term Loan B Facility refinancing on September 19, 2019 were accounted for as modifications for all existing lenders and as new issuances for new lenders. The First Lien Not</w:t>
      </w:r>
      <w:r>
        <w:rPr>
          <w:rFonts w:ascii="Times New Roman" w:eastAsia="宋体" w:hAnsi="Times New Roman"/>
          <w:color w:val="000000"/>
          <w:sz w:val="20"/>
          <w:szCs w:val="20"/>
        </w:rPr>
        <w:t xml:space="preserve">es issued on March 20, 2019 were accounted for as new issuances for all lenders, and repayment of the Company’s outstanding amounts under the Term Loan A-5 Facility was accounted for as an extinguishment. </w:t>
      </w:r>
    </w:p>
    <w:p w14:paraId="7DCFFF15" w14:textId="77777777" w:rsidR="00C1563E" w:rsidRDefault="00C1563E"/>
    <w:p w14:paraId="7DCFFF16" w14:textId="77777777" w:rsidR="00C1563E" w:rsidRDefault="000B648B">
      <w:r>
        <w:rPr>
          <w:rFonts w:ascii="Times New Roman" w:eastAsia="宋体" w:hAnsi="Times New Roman"/>
          <w:b/>
          <w:bCs/>
          <w:color w:val="000000"/>
          <w:sz w:val="20"/>
          <w:szCs w:val="20"/>
        </w:rPr>
        <w:t>Secured Debt</w:t>
      </w:r>
    </w:p>
    <w:p w14:paraId="7DCFFF17" w14:textId="77777777" w:rsidR="00C1563E" w:rsidRDefault="00C1563E"/>
    <w:p w14:paraId="7DCFFF18" w14:textId="77777777" w:rsidR="00C1563E" w:rsidRDefault="000B648B">
      <w:r>
        <w:rPr>
          <w:rFonts w:ascii="Times New Roman" w:eastAsia="宋体" w:hAnsi="Times New Roman"/>
          <w:i/>
          <w:iCs/>
          <w:color w:val="000000"/>
          <w:sz w:val="20"/>
          <w:szCs w:val="20"/>
        </w:rPr>
        <w:t>Senior Secured Credit Facilities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The Company has entered into a credit agreement that provides for senior secured credit facilities (the “Senior Secured Credit Facilities”) comprising (a) term loan facilities and (b) a senior secured Revolving Credit Facility, which provides for a borrowi</w:t>
      </w:r>
      <w:r>
        <w:rPr>
          <w:rFonts w:ascii="Times New Roman" w:eastAsia="宋体" w:hAnsi="Times New Roman"/>
          <w:color w:val="000000"/>
          <w:sz w:val="20"/>
          <w:szCs w:val="20"/>
        </w:rPr>
        <w:t>ng capacity of up to $4.5 billion for general corporate purposes, including capacity for up to $0.5 billion of letters of credit and for borrowings of up to $0.4 billion under swing-line loans.</w:t>
      </w:r>
    </w:p>
    <w:p w14:paraId="7DCFFF19" w14:textId="77777777" w:rsidR="00C1563E" w:rsidRDefault="00C1563E"/>
    <w:p w14:paraId="7DCFFF1A" w14:textId="77777777" w:rsidR="00C1563E" w:rsidRDefault="000B648B">
      <w:r>
        <w:rPr>
          <w:rFonts w:ascii="Times New Roman" w:eastAsia="宋体" w:hAnsi="Times New Roman"/>
          <w:color w:val="000000"/>
          <w:sz w:val="20"/>
          <w:szCs w:val="20"/>
        </w:rPr>
        <w:t>As of January 29, 2021, available borrowings under the Revolv</w:t>
      </w:r>
      <w:r>
        <w:rPr>
          <w:rFonts w:ascii="Times New Roman" w:eastAsia="宋体" w:hAnsi="Times New Roman"/>
          <w:color w:val="000000"/>
          <w:sz w:val="20"/>
          <w:szCs w:val="20"/>
        </w:rPr>
        <w:t>ing Credit Facility totaled $4.5 billion. The Senior Secured Credit Facilities provide that the borrowers have the right at any time, subject to customary conditions, to request incremental term loans or incremental revolving commitments.</w:t>
      </w:r>
    </w:p>
    <w:p w14:paraId="7DCFFF1B" w14:textId="77777777" w:rsidR="00C1563E" w:rsidRDefault="00C1563E"/>
    <w:p w14:paraId="7DCFFF1C" w14:textId="77777777" w:rsidR="00C1563E" w:rsidRDefault="000B648B">
      <w:r>
        <w:rPr>
          <w:rFonts w:ascii="Times New Roman" w:eastAsia="宋体" w:hAnsi="Times New Roman"/>
          <w:color w:val="000000"/>
          <w:sz w:val="20"/>
          <w:szCs w:val="20"/>
        </w:rPr>
        <w:t>Borrowings under</w:t>
      </w:r>
      <w:r>
        <w:rPr>
          <w:rFonts w:ascii="Times New Roman" w:eastAsia="宋体" w:hAnsi="Times New Roman"/>
          <w:color w:val="000000"/>
          <w:sz w:val="20"/>
          <w:szCs w:val="20"/>
        </w:rPr>
        <w:t xml:space="preserve"> the Senior Secured Credit Facilities bear interest at a rate per annum equal to an applicable margin, plus, at the borrowers’ option, either (a) a base rate, or (b) a London Interbank Offered Rate (“LIBOR”). The Term Loan B-1 Facility bears interest at LI</w:t>
      </w:r>
      <w:r>
        <w:rPr>
          <w:rFonts w:ascii="Times New Roman" w:eastAsia="宋体" w:hAnsi="Times New Roman"/>
          <w:color w:val="000000"/>
          <w:sz w:val="20"/>
          <w:szCs w:val="20"/>
        </w:rPr>
        <w:t>BOR plus an applicable margin of 2.00% or a base rate plus an applicable margin of 1.00%. The Term Loan A-6 Facility bears interest at LIBOR plus an applicable margin ranging from 1.25% to 2.00% or a base rate plus an applicable margin ranging from 0.25% t</w:t>
      </w:r>
      <w:r>
        <w:rPr>
          <w:rFonts w:ascii="Times New Roman" w:eastAsia="宋体" w:hAnsi="Times New Roman"/>
          <w:color w:val="000000"/>
          <w:sz w:val="20"/>
          <w:szCs w:val="20"/>
        </w:rPr>
        <w:t>o 1.00%. Interest is payable, in the case of loans bearing interest based on LIBOR, at the end of each interest period (but at least every three months), in arrears and, in the case of loans bearing interest based on the base rate, quarterly in arrears.</w:t>
      </w:r>
    </w:p>
    <w:p w14:paraId="7DCFFF1D" w14:textId="77777777" w:rsidR="00C1563E" w:rsidRDefault="00C1563E"/>
    <w:p w14:paraId="7DCFFF1E" w14:textId="77777777" w:rsidR="00C1563E" w:rsidRDefault="00C1563E">
      <w:pPr>
        <w:jc w:val="center"/>
      </w:pPr>
    </w:p>
    <w:p w14:paraId="7DCFFF1F" w14:textId="77777777" w:rsidR="00C1563E" w:rsidRDefault="000B648B">
      <w:pPr>
        <w:jc w:val="center"/>
      </w:pPr>
      <w:r>
        <w:rPr>
          <w:rFonts w:ascii="Times New Roman" w:eastAsia="宋体" w:hAnsi="Times New Roman"/>
          <w:color w:val="000000"/>
          <w:sz w:val="20"/>
          <w:szCs w:val="20"/>
        </w:rPr>
        <w:t>111</w:t>
      </w:r>
    </w:p>
    <w:p w14:paraId="7DCFFF20" w14:textId="77777777" w:rsidR="00C1563E" w:rsidRDefault="00C1563E">
      <w:pPr>
        <w:jc w:val="center"/>
      </w:pPr>
    </w:p>
    <w:p w14:paraId="7DCFFF21" w14:textId="77777777" w:rsidR="00C1563E" w:rsidRDefault="000B648B">
      <w:r>
        <w:pict w14:anchorId="7DD025D9">
          <v:rect id="_x0000_i1135" style="width:415.3pt;height:1.5pt" o:hralign="center" o:hrstd="t" o:hr="t" fillcolor="#a0a0a0" stroked="f"/>
        </w:pict>
      </w:r>
    </w:p>
    <w:p w14:paraId="7DCFFF22" w14:textId="77777777" w:rsidR="00C1563E" w:rsidRDefault="000B648B">
      <w:hyperlink r:id="rId294" w:anchor="i418e32e4a35149ffbf7d3a25d66881b8_10" w:history="1">
        <w:r>
          <w:rPr>
            <w:rStyle w:val="a5"/>
            <w:rFonts w:ascii="Times New Roman" w:eastAsia="宋体" w:hAnsi="Times New Roman"/>
            <w:sz w:val="20"/>
            <w:szCs w:val="20"/>
          </w:rPr>
          <w:t>Table of Contents</w:t>
        </w:r>
      </w:hyperlink>
    </w:p>
    <w:p w14:paraId="7DCFFF23" w14:textId="77777777" w:rsidR="00C1563E" w:rsidRDefault="000B648B">
      <w:r>
        <w:rPr>
          <w:rFonts w:ascii="Times New Roman" w:eastAsia="宋体" w:hAnsi="Times New Roman"/>
          <w:color w:val="000000"/>
          <w:sz w:val="20"/>
          <w:szCs w:val="20"/>
        </w:rPr>
        <w:t>The Term Loan B-1 Facility amortizes in equal quarterly installments in aggregate annual amounts equal to 1% of the original principal amount. The Term Loan A-6 Facility amortizes in equal quarterly installments in aggregate annual amounts equal to 5% of t</w:t>
      </w:r>
      <w:r>
        <w:rPr>
          <w:rFonts w:ascii="Times New Roman" w:eastAsia="宋体" w:hAnsi="Times New Roman"/>
          <w:color w:val="000000"/>
          <w:sz w:val="20"/>
          <w:szCs w:val="20"/>
        </w:rPr>
        <w:t xml:space="preserve">he original principal amount in each of the first four years after the facility closing date of March 13, 2019, and 80% of the original principal amount in the fifth year after March 13, 2019. The Revolving Credit Facility has no amortization. </w:t>
      </w:r>
    </w:p>
    <w:p w14:paraId="7DCFFF24" w14:textId="77777777" w:rsidR="00C1563E" w:rsidRDefault="00C1563E"/>
    <w:p w14:paraId="7DCFFF25" w14:textId="77777777" w:rsidR="00C1563E" w:rsidRDefault="000B648B">
      <w:r>
        <w:rPr>
          <w:rFonts w:ascii="Times New Roman" w:eastAsia="宋体" w:hAnsi="Times New Roman"/>
          <w:color w:val="000000"/>
          <w:sz w:val="20"/>
          <w:szCs w:val="20"/>
        </w:rPr>
        <w:t>The borrow</w:t>
      </w:r>
      <w:r>
        <w:rPr>
          <w:rFonts w:ascii="Times New Roman" w:eastAsia="宋体" w:hAnsi="Times New Roman"/>
          <w:color w:val="000000"/>
          <w:sz w:val="20"/>
          <w:szCs w:val="20"/>
        </w:rPr>
        <w:t xml:space="preserve">ers may voluntarily repay outstanding loans under the term loan facilities and the Revolving Credit Facility at any time without premium or penalty, other than customary “breakage” costs. </w:t>
      </w:r>
    </w:p>
    <w:p w14:paraId="7DCFFF26" w14:textId="77777777" w:rsidR="00C1563E" w:rsidRDefault="00C1563E"/>
    <w:p w14:paraId="7DCFFF27" w14:textId="77777777" w:rsidR="00C1563E" w:rsidRDefault="000B648B">
      <w:r>
        <w:rPr>
          <w:rFonts w:ascii="Times New Roman" w:eastAsia="宋体" w:hAnsi="Times New Roman"/>
          <w:color w:val="000000"/>
          <w:sz w:val="20"/>
          <w:szCs w:val="20"/>
        </w:rPr>
        <w:t>All obligations of the borrowers under the Senior Secured Credit F</w:t>
      </w:r>
      <w:r>
        <w:rPr>
          <w:rFonts w:ascii="Times New Roman" w:eastAsia="宋体" w:hAnsi="Times New Roman"/>
          <w:color w:val="000000"/>
          <w:sz w:val="20"/>
          <w:szCs w:val="20"/>
        </w:rPr>
        <w:t>acilities and certain swap agreements, cash management arrangements, and certain letters of credit provided by any lender or agent party to the Senior Secured Credit Facilities or any of its affiliates and certain other persons are secured by (a) a first-p</w:t>
      </w:r>
      <w:r>
        <w:rPr>
          <w:rFonts w:ascii="Times New Roman" w:eastAsia="宋体" w:hAnsi="Times New Roman"/>
          <w:color w:val="000000"/>
          <w:sz w:val="20"/>
          <w:szCs w:val="20"/>
        </w:rPr>
        <w:t>riority security interest in certain tangible and intangible assets of the borrowers and the guarantors and (b) a first-priority pledge of 100% of the capital stock of the borrowers, Dell Inc., a wholly</w:t>
      </w:r>
      <w:r>
        <w:rPr>
          <w:rFonts w:ascii="Times New Roman" w:eastAsia="宋体" w:hAnsi="Times New Roman"/>
          <w:color w:val="000000"/>
          <w:sz w:val="20"/>
          <w:szCs w:val="20"/>
        </w:rPr>
        <w:noBreakHyphen/>
        <w:t>owned subsidiary of the Company (“Dell”), and each wh</w:t>
      </w:r>
      <w:r>
        <w:rPr>
          <w:rFonts w:ascii="Times New Roman" w:eastAsia="宋体" w:hAnsi="Times New Roman"/>
          <w:color w:val="000000"/>
          <w:sz w:val="20"/>
          <w:szCs w:val="20"/>
        </w:rPr>
        <w:t>olly-owned material restricted subsidiary of the borrowers and the guarantors, in each case subject to certain thresholds, exceptions, and permitted liens.</w:t>
      </w:r>
    </w:p>
    <w:p w14:paraId="7DCFFF28" w14:textId="77777777" w:rsidR="00C1563E" w:rsidRDefault="00C1563E"/>
    <w:p w14:paraId="7DCFFF29" w14:textId="77777777" w:rsidR="00C1563E" w:rsidRDefault="000B648B">
      <w:r>
        <w:rPr>
          <w:rFonts w:ascii="Times New Roman" w:eastAsia="宋体" w:hAnsi="Times New Roman"/>
          <w:i/>
          <w:iCs/>
          <w:color w:val="000000"/>
          <w:sz w:val="20"/>
          <w:szCs w:val="20"/>
        </w:rPr>
        <w:t xml:space="preserve">First Lien Notes </w:t>
      </w:r>
      <w:r>
        <w:rPr>
          <w:rFonts w:ascii="Times New Roman" w:eastAsia="宋体" w:hAnsi="Times New Roman"/>
          <w:color w:val="000000"/>
          <w:sz w:val="20"/>
          <w:szCs w:val="20"/>
        </w:rPr>
        <w:t>— Dell International L.L.C. and EMC Corporation, both of which are wholly-owned su</w:t>
      </w:r>
      <w:r>
        <w:rPr>
          <w:rFonts w:ascii="Times New Roman" w:eastAsia="宋体" w:hAnsi="Times New Roman"/>
          <w:color w:val="000000"/>
          <w:sz w:val="20"/>
          <w:szCs w:val="20"/>
        </w:rPr>
        <w:t>bsidiaries of Dell Technologies Inc., completed private offerings of multiple series of senior secured notes (collectively, the “First Lien Notes”) which were issued on June 1, 2016, March 20, 2019, and April 9, 2020 in aggregate principal amounts of $20.0</w:t>
      </w:r>
      <w:r>
        <w:rPr>
          <w:rFonts w:ascii="Times New Roman" w:eastAsia="宋体" w:hAnsi="Times New Roman"/>
          <w:color w:val="000000"/>
          <w:sz w:val="20"/>
          <w:szCs w:val="20"/>
        </w:rPr>
        <w:t xml:space="preserve"> billion, $4.5 billion, and $2.25 billion, respectively. Interest on these borrowings is payable semiannually. The First Lien Notes are secured on a pari passu basis with the Senior Secured Credit Facilities, on a first-priority basis by substantially all </w:t>
      </w:r>
      <w:r>
        <w:rPr>
          <w:rFonts w:ascii="Times New Roman" w:eastAsia="宋体" w:hAnsi="Times New Roman"/>
          <w:color w:val="000000"/>
          <w:sz w:val="20"/>
          <w:szCs w:val="20"/>
        </w:rPr>
        <w:t>of the tangible and intangible assets of the issuers and guarantors that secure obligations under the Senior Secured Credit Facilities, including pledges of all capital stock of the issuers, Dell, and certain wholly-owned material subsidiaries of the issue</w:t>
      </w:r>
      <w:r>
        <w:rPr>
          <w:rFonts w:ascii="Times New Roman" w:eastAsia="宋体" w:hAnsi="Times New Roman"/>
          <w:color w:val="000000"/>
          <w:sz w:val="20"/>
          <w:szCs w:val="20"/>
        </w:rPr>
        <w:t>rs and the guarantors, subject to certain exceptions.</w:t>
      </w:r>
    </w:p>
    <w:p w14:paraId="7DCFFF2A" w14:textId="77777777" w:rsidR="00C1563E" w:rsidRDefault="00C1563E"/>
    <w:p w14:paraId="7DCFFF2B" w14:textId="77777777" w:rsidR="00C1563E" w:rsidRDefault="000B648B">
      <w:r>
        <w:rPr>
          <w:rFonts w:ascii="Times New Roman" w:eastAsia="宋体" w:hAnsi="Times New Roman"/>
          <w:color w:val="000000"/>
          <w:sz w:val="20"/>
          <w:szCs w:val="20"/>
        </w:rPr>
        <w:t>The Company has agreed to use commercially reasonable efforts to register with the SEC notes having terms substantially identical to the terms of the First Lien Notes as part of an offer to exchange su</w:t>
      </w:r>
      <w:r>
        <w:rPr>
          <w:rFonts w:ascii="Times New Roman" w:eastAsia="宋体" w:hAnsi="Times New Roman"/>
          <w:color w:val="000000"/>
          <w:sz w:val="20"/>
          <w:szCs w:val="20"/>
        </w:rPr>
        <w:t>ch registered notes for the First Lien Notes. The Company will be obligated to pay additional interest on the First Lien Notes if it fails to consummate such an exchange offer within five years after the closing date of the EMC merger transaction, in the c</w:t>
      </w:r>
      <w:r>
        <w:rPr>
          <w:rFonts w:ascii="Times New Roman" w:eastAsia="宋体" w:hAnsi="Times New Roman"/>
          <w:color w:val="000000"/>
          <w:sz w:val="20"/>
          <w:szCs w:val="20"/>
        </w:rPr>
        <w:t>ase of the First Lien Notes issued on June 1, 2016, and within five years after their respective issue dates, in the case of the First Lien Notes issued on March 20, 2019 and April 9, 2020. The Company intends to register with the SEC notes having terms su</w:t>
      </w:r>
      <w:r>
        <w:rPr>
          <w:rFonts w:ascii="Times New Roman" w:eastAsia="宋体" w:hAnsi="Times New Roman"/>
          <w:color w:val="000000"/>
          <w:sz w:val="20"/>
          <w:szCs w:val="20"/>
        </w:rPr>
        <w:t>bstantially identical to the terms of the First Lien Notes as part of an offer to exchange such registered notes for such First Lien Notes during the first half of Fiscal 2022.</w:t>
      </w:r>
    </w:p>
    <w:p w14:paraId="7DCFFF2C" w14:textId="77777777" w:rsidR="00C1563E" w:rsidRDefault="00C1563E"/>
    <w:p w14:paraId="7DCFFF2D" w14:textId="77777777" w:rsidR="00C1563E" w:rsidRDefault="000B648B">
      <w:r>
        <w:rPr>
          <w:rFonts w:ascii="Times New Roman" w:eastAsia="宋体" w:hAnsi="Times New Roman"/>
          <w:i/>
          <w:iCs/>
          <w:color w:val="000000"/>
          <w:sz w:val="20"/>
          <w:szCs w:val="20"/>
        </w:rPr>
        <w:t>China Revolving Credit Facility</w:t>
      </w:r>
      <w:r>
        <w:rPr>
          <w:rFonts w:ascii="Times New Roman" w:eastAsia="宋体" w:hAnsi="Times New Roman"/>
          <w:color w:val="000000"/>
          <w:sz w:val="20"/>
          <w:szCs w:val="20"/>
        </w:rPr>
        <w:t xml:space="preserve"> — The Company entered into a new revolving cre</w:t>
      </w:r>
      <w:r>
        <w:rPr>
          <w:rFonts w:ascii="Times New Roman" w:eastAsia="宋体" w:hAnsi="Times New Roman"/>
          <w:color w:val="000000"/>
          <w:sz w:val="20"/>
          <w:szCs w:val="20"/>
        </w:rPr>
        <w:t>dit facility for China (the “China Revolving Credit Facility”) effective May 25, 2020. The new terms provide for collateralized and non-collateralized principal amounts not to exceed $1.0 billion Chinese renminbi and $1.8 billion Chinese renminbi, respecti</w:t>
      </w:r>
      <w:r>
        <w:rPr>
          <w:rFonts w:ascii="Times New Roman" w:eastAsia="宋体" w:hAnsi="Times New Roman"/>
          <w:color w:val="000000"/>
          <w:sz w:val="20"/>
          <w:szCs w:val="20"/>
        </w:rPr>
        <w:t>vely, or equivalent amounts in U.S. dollars. Outstanding borrowings under the collateralized portion of the China Revolving Credit Facility bore interest at the loan prime rate (“LPR”) less 0.2%, for borrowings denominated in Chinese renminbi, or LIBOR plu</w:t>
      </w:r>
      <w:r>
        <w:rPr>
          <w:rFonts w:ascii="Times New Roman" w:eastAsia="宋体" w:hAnsi="Times New Roman"/>
          <w:color w:val="000000"/>
          <w:sz w:val="20"/>
          <w:szCs w:val="20"/>
        </w:rPr>
        <w:t>s 1.0%, for borrowings denominated in U.S. dollars, and outstanding borrowings under the non-collateralized portion bore interest at LPR less 0.2%, for borrowings denominated in Chinese renminbi, or LIBOR plus 1.4%, for borrowings denominated in U.S. dolla</w:t>
      </w:r>
      <w:r>
        <w:rPr>
          <w:rFonts w:ascii="Times New Roman" w:eastAsia="宋体" w:hAnsi="Times New Roman"/>
          <w:color w:val="000000"/>
          <w:sz w:val="20"/>
          <w:szCs w:val="20"/>
        </w:rPr>
        <w:t>rs. The new facility expired on August 30, 2020.</w:t>
      </w:r>
    </w:p>
    <w:p w14:paraId="7DCFFF2E" w14:textId="77777777" w:rsidR="00C1563E" w:rsidRDefault="00C1563E"/>
    <w:p w14:paraId="7DCFFF2F" w14:textId="77777777" w:rsidR="00C1563E" w:rsidRDefault="000B648B">
      <w:r>
        <w:rPr>
          <w:rFonts w:ascii="Times New Roman" w:eastAsia="宋体" w:hAnsi="Times New Roman"/>
          <w:color w:val="000000"/>
          <w:sz w:val="20"/>
          <w:szCs w:val="20"/>
        </w:rPr>
        <w:t>During the fiscal year ended January 31, 2020, the Company renewed the credit agreement for its legacy China revolving credit facility with a bank lender, which provided an uncommitted line with an aggregat</w:t>
      </w:r>
      <w:r>
        <w:rPr>
          <w:rFonts w:ascii="Times New Roman" w:eastAsia="宋体" w:hAnsi="Times New Roman"/>
          <w:color w:val="000000"/>
          <w:sz w:val="20"/>
          <w:szCs w:val="20"/>
        </w:rPr>
        <w:t xml:space="preserve">e principal amount not to exceed $500 million at an interest rate of LIBOR plus 0.6% per annum. The facility was terminated upon expiration on February 26, 2020. </w:t>
      </w:r>
    </w:p>
    <w:p w14:paraId="7DCFFF30" w14:textId="77777777" w:rsidR="00C1563E" w:rsidRDefault="00C1563E"/>
    <w:p w14:paraId="7DCFFF31" w14:textId="77777777" w:rsidR="00C1563E" w:rsidRDefault="000B648B">
      <w:r>
        <w:rPr>
          <w:rFonts w:ascii="Times New Roman" w:eastAsia="宋体" w:hAnsi="Times New Roman"/>
          <w:b/>
          <w:bCs/>
          <w:color w:val="000000"/>
          <w:sz w:val="20"/>
          <w:szCs w:val="20"/>
        </w:rPr>
        <w:t>Unsecured Debt</w:t>
      </w:r>
    </w:p>
    <w:p w14:paraId="7DCFFF32" w14:textId="77777777" w:rsidR="00C1563E" w:rsidRDefault="00C1563E"/>
    <w:p w14:paraId="7DCFFF33" w14:textId="77777777" w:rsidR="00C1563E" w:rsidRDefault="000B648B">
      <w:r>
        <w:rPr>
          <w:rFonts w:ascii="Times New Roman" w:eastAsia="宋体" w:hAnsi="Times New Roman"/>
          <w:i/>
          <w:iCs/>
          <w:color w:val="000000"/>
          <w:sz w:val="20"/>
          <w:szCs w:val="20"/>
        </w:rPr>
        <w:t>Unsecured Notes and Debentures</w:t>
      </w:r>
      <w:r>
        <w:rPr>
          <w:rFonts w:ascii="Times New Roman" w:eastAsia="宋体" w:hAnsi="Times New Roman"/>
          <w:color w:val="000000"/>
          <w:sz w:val="20"/>
          <w:szCs w:val="20"/>
        </w:rPr>
        <w:t xml:space="preserve"> — The Company has outstanding unsecured notes</w:t>
      </w:r>
      <w:r>
        <w:rPr>
          <w:rFonts w:ascii="Times New Roman" w:eastAsia="宋体" w:hAnsi="Times New Roman"/>
          <w:color w:val="000000"/>
          <w:sz w:val="20"/>
          <w:szCs w:val="20"/>
        </w:rPr>
        <w:t xml:space="preserve"> and debentures (collectively, the “Unsecured Notes and Debentures”) that were issued by Dell prior to the acquisition of Dell by Dell Technologies Inc. in the going-private transaction that closed in October 2013. Interest on these borrowings is payable s</w:t>
      </w:r>
      <w:r>
        <w:rPr>
          <w:rFonts w:ascii="Times New Roman" w:eastAsia="宋体" w:hAnsi="Times New Roman"/>
          <w:color w:val="000000"/>
          <w:sz w:val="20"/>
          <w:szCs w:val="20"/>
        </w:rPr>
        <w:t>emiannually.</w:t>
      </w:r>
    </w:p>
    <w:p w14:paraId="7DCFFF34" w14:textId="77777777" w:rsidR="00C1563E" w:rsidRDefault="00C1563E"/>
    <w:p w14:paraId="7DCFFF35" w14:textId="77777777" w:rsidR="00C1563E" w:rsidRDefault="000B648B">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The senior unsecured notes (collectively, the “Senior Notes”) were issued on June 22, 2016 in an aggregate principal amount of $3.25 billion. Interest on these borrowings is payable semiannually.</w:t>
      </w:r>
    </w:p>
    <w:p w14:paraId="7DCFFF36" w14:textId="77777777" w:rsidR="00C1563E" w:rsidRDefault="00C1563E"/>
    <w:p w14:paraId="7DCFFF37" w14:textId="77777777" w:rsidR="00C1563E" w:rsidRDefault="00C1563E">
      <w:pPr>
        <w:jc w:val="center"/>
      </w:pPr>
    </w:p>
    <w:p w14:paraId="7DCFFF38" w14:textId="77777777" w:rsidR="00C1563E" w:rsidRDefault="000B648B">
      <w:pPr>
        <w:jc w:val="center"/>
      </w:pPr>
      <w:r>
        <w:rPr>
          <w:rFonts w:ascii="Times New Roman" w:eastAsia="宋体" w:hAnsi="Times New Roman"/>
          <w:color w:val="000000"/>
          <w:sz w:val="20"/>
          <w:szCs w:val="20"/>
        </w:rPr>
        <w:t>112</w:t>
      </w:r>
    </w:p>
    <w:p w14:paraId="7DCFFF39" w14:textId="77777777" w:rsidR="00C1563E" w:rsidRDefault="00C1563E">
      <w:pPr>
        <w:jc w:val="center"/>
      </w:pPr>
    </w:p>
    <w:p w14:paraId="7DCFFF3A" w14:textId="77777777" w:rsidR="00C1563E" w:rsidRDefault="000B648B">
      <w:r>
        <w:pict w14:anchorId="7DD025DA">
          <v:rect id="_x0000_i1136" style="width:415.3pt;height:1.5pt" o:hralign="center" o:hrstd="t" o:hr="t" fillcolor="#a0a0a0" stroked="f"/>
        </w:pict>
      </w:r>
    </w:p>
    <w:p w14:paraId="7DCFFF3B" w14:textId="77777777" w:rsidR="00C1563E" w:rsidRDefault="000B648B">
      <w:hyperlink r:id="rId295" w:anchor="i418e32e4a35149ffbf7d3a25d66881b8_10" w:history="1">
        <w:r>
          <w:rPr>
            <w:rStyle w:val="a5"/>
            <w:rFonts w:ascii="Times New Roman" w:eastAsia="宋体" w:hAnsi="Times New Roman"/>
            <w:sz w:val="20"/>
            <w:szCs w:val="20"/>
          </w:rPr>
          <w:t>Table of Contents</w:t>
        </w:r>
      </w:hyperlink>
    </w:p>
    <w:p w14:paraId="7DCFFF3C" w14:textId="77777777" w:rsidR="00C1563E" w:rsidRDefault="000B648B">
      <w:r>
        <w:rPr>
          <w:rFonts w:ascii="Times New Roman" w:eastAsia="宋体" w:hAnsi="Times New Roman"/>
          <w:i/>
          <w:iCs/>
          <w:color w:val="000000"/>
          <w:sz w:val="20"/>
          <w:szCs w:val="20"/>
        </w:rPr>
        <w:t>EMC Notes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7, 2016, EMC had outstanding $2.5 billion aggregate principal amount of its 1.875% Notes due June 2018 and $2.0 billion aggregate principal amount of its 2.650% Notes due June 2020, each of which was fully repaid as of the respective maturit</w:t>
      </w:r>
      <w:r>
        <w:rPr>
          <w:rFonts w:ascii="Times New Roman" w:eastAsia="宋体" w:hAnsi="Times New Roman"/>
          <w:color w:val="000000"/>
          <w:sz w:val="20"/>
          <w:szCs w:val="20"/>
        </w:rPr>
        <w:t xml:space="preserve">y dates, and $1.0 billion aggregate principal amount of its 3.375% Notes due June 2023 (collectively, the “EMC Notes”). Interest on the outstanding borrowings is payable semiannually. </w:t>
      </w:r>
    </w:p>
    <w:p w14:paraId="7DCFFF3D" w14:textId="77777777" w:rsidR="00C1563E" w:rsidRDefault="00C1563E"/>
    <w:p w14:paraId="7DCFFF3E" w14:textId="77777777" w:rsidR="00C1563E" w:rsidRDefault="000B648B">
      <w:r>
        <w:rPr>
          <w:rFonts w:ascii="Times New Roman" w:eastAsia="宋体" w:hAnsi="Times New Roman"/>
          <w:i/>
          <w:iCs/>
          <w:color w:val="000000"/>
          <w:sz w:val="20"/>
          <w:szCs w:val="20"/>
        </w:rPr>
        <w:t xml:space="preserve">VMware Notes </w:t>
      </w:r>
      <w:r>
        <w:rPr>
          <w:rFonts w:ascii="Times New Roman" w:eastAsia="宋体" w:hAnsi="Times New Roman"/>
          <w:color w:val="000000"/>
          <w:sz w:val="20"/>
          <w:szCs w:val="20"/>
        </w:rPr>
        <w:t>— VMware, Inc. completed public offerings of unsecured se</w:t>
      </w:r>
      <w:r>
        <w:rPr>
          <w:rFonts w:ascii="Times New Roman" w:eastAsia="宋体" w:hAnsi="Times New Roman"/>
          <w:color w:val="000000"/>
          <w:sz w:val="20"/>
          <w:szCs w:val="20"/>
        </w:rPr>
        <w:t>nior notes in the aggregate amounts of $4.0 billion and $2.0 billion on August 21, 2017 and April 7, 2020, respectively (collectively, the “VMware Notes”). None of the net proceeds of such borrowings will be made available to support the operations or sati</w:t>
      </w:r>
      <w:r>
        <w:rPr>
          <w:rFonts w:ascii="Times New Roman" w:eastAsia="宋体" w:hAnsi="Times New Roman"/>
          <w:color w:val="000000"/>
          <w:sz w:val="20"/>
          <w:szCs w:val="20"/>
        </w:rPr>
        <w:t xml:space="preserve">sfy any corporate purposes of Dell Technologies, other than the operations and corporate purposes of VMware, Inc. and VMware, Inc.’s subsidiaries. </w:t>
      </w:r>
    </w:p>
    <w:p w14:paraId="7DCFFF3F" w14:textId="77777777" w:rsidR="00C1563E" w:rsidRDefault="00C1563E"/>
    <w:p w14:paraId="7DCFFF40" w14:textId="77777777" w:rsidR="00C1563E" w:rsidRDefault="000B648B">
      <w:r>
        <w:rPr>
          <w:rFonts w:ascii="Times New Roman" w:eastAsia="宋体" w:hAnsi="Times New Roman"/>
          <w:i/>
          <w:iCs/>
          <w:color w:val="000000"/>
          <w:sz w:val="20"/>
          <w:szCs w:val="20"/>
        </w:rPr>
        <w:t xml:space="preserve">VMware Revolving Credit Facility </w:t>
      </w:r>
      <w:r>
        <w:rPr>
          <w:rFonts w:ascii="Times New Roman" w:eastAsia="宋体" w:hAnsi="Times New Roman"/>
          <w:color w:val="000000"/>
          <w:sz w:val="20"/>
          <w:szCs w:val="20"/>
        </w:rPr>
        <w:t xml:space="preserve">— On September 12, 2017, VMware, Inc. entered into an unsecured </w:t>
      </w:r>
      <w:r>
        <w:rPr>
          <w:rFonts w:ascii="Times New Roman" w:eastAsia="宋体" w:hAnsi="Times New Roman"/>
          <w:color w:val="000000"/>
          <w:sz w:val="20"/>
          <w:szCs w:val="20"/>
        </w:rPr>
        <w:t>credit agreement, establishing a revolving credit facility (the “VMware Revolving Credit Facility”), with a syndicate of lenders that provides the company with a borrowing capacity of up to $1.0 billion for VMware, Inc. general corporate purposes. Commitme</w:t>
      </w:r>
      <w:r>
        <w:rPr>
          <w:rFonts w:ascii="Times New Roman" w:eastAsia="宋体" w:hAnsi="Times New Roman"/>
          <w:color w:val="000000"/>
          <w:sz w:val="20"/>
          <w:szCs w:val="20"/>
        </w:rPr>
        <w:t>nts under the VMware Revolving Credit Facility are available for a period of five years, which may be extended, subject to the satisfaction of certain conditions, by up to two one year periods. The credit agreement contains certain representations, warrant</w:t>
      </w:r>
      <w:r>
        <w:rPr>
          <w:rFonts w:ascii="Times New Roman" w:eastAsia="宋体" w:hAnsi="Times New Roman"/>
          <w:color w:val="000000"/>
          <w:sz w:val="20"/>
          <w:szCs w:val="20"/>
        </w:rPr>
        <w:t>ies, and covenants. Commitment fees, interest rates, and other terms of borrowings under the VMware Revolving Credit Facility may vary based on VMware, Inc.’s external credit ratings. None of the net proceeds of such borrowings will be made available to su</w:t>
      </w:r>
      <w:r>
        <w:rPr>
          <w:rFonts w:ascii="Times New Roman" w:eastAsia="宋体" w:hAnsi="Times New Roman"/>
          <w:color w:val="000000"/>
          <w:sz w:val="20"/>
          <w:szCs w:val="20"/>
        </w:rPr>
        <w:t>pport the operations or satisfy any corporate purposes of Dell Technologies, other than the operations and corporate purposes of VMware, Inc. and VMware, Inc.’s subsidiaries. As of January 29, 2021, there were no outstanding borrowings under the VMware Rev</w:t>
      </w:r>
      <w:r>
        <w:rPr>
          <w:rFonts w:ascii="Times New Roman" w:eastAsia="宋体" w:hAnsi="Times New Roman"/>
          <w:color w:val="000000"/>
          <w:sz w:val="20"/>
          <w:szCs w:val="20"/>
        </w:rPr>
        <w:t>olving Credit Facility.</w:t>
      </w:r>
    </w:p>
    <w:p w14:paraId="7DCFFF41" w14:textId="77777777" w:rsidR="00C1563E" w:rsidRDefault="00C1563E"/>
    <w:p w14:paraId="7DCFFF42" w14:textId="77777777" w:rsidR="00C1563E" w:rsidRDefault="000B648B">
      <w:r>
        <w:rPr>
          <w:rFonts w:ascii="Times New Roman" w:eastAsia="宋体" w:hAnsi="Times New Roman"/>
          <w:i/>
          <w:iCs/>
          <w:color w:val="000000"/>
          <w:sz w:val="20"/>
          <w:szCs w:val="20"/>
        </w:rPr>
        <w:t xml:space="preserve">VMware Term Loan Facility </w:t>
      </w:r>
      <w:r>
        <w:rPr>
          <w:rFonts w:ascii="Times New Roman" w:eastAsia="宋体" w:hAnsi="Times New Roman"/>
          <w:color w:val="000000"/>
          <w:sz w:val="20"/>
          <w:szCs w:val="20"/>
        </w:rPr>
        <w:t>— On September 26, 2019, VMware, Inc. entered into a senior unsecured term loan facility (the “VMware Term Loan Facility”) with a syndicate of lenders that provided VMware, Inc. with a borrowing capacity o</w:t>
      </w:r>
      <w:r>
        <w:rPr>
          <w:rFonts w:ascii="Times New Roman" w:eastAsia="宋体" w:hAnsi="Times New Roman"/>
          <w:color w:val="000000"/>
          <w:sz w:val="20"/>
          <w:szCs w:val="20"/>
        </w:rPr>
        <w:t>f up to $2.0 billion through February 7, 2020 for VMware, Inc. general corporate purposes. During the three months ended October 30, 2020, VMware, Inc. repaid the outstanding borrowings of $1.5 billion under the VMware Term Loan Facility.</w:t>
      </w:r>
    </w:p>
    <w:p w14:paraId="7DCFFF43" w14:textId="77777777" w:rsidR="00C1563E" w:rsidRDefault="00C1563E"/>
    <w:p w14:paraId="7DCFFF44" w14:textId="77777777" w:rsidR="00C1563E" w:rsidRDefault="000B648B">
      <w:r>
        <w:rPr>
          <w:rFonts w:ascii="Times New Roman" w:eastAsia="宋体" w:hAnsi="Times New Roman"/>
          <w:b/>
          <w:bCs/>
          <w:color w:val="000000"/>
          <w:sz w:val="20"/>
          <w:szCs w:val="20"/>
        </w:rPr>
        <w:t>DFS Debt</w:t>
      </w:r>
    </w:p>
    <w:p w14:paraId="7DCFFF45" w14:textId="77777777" w:rsidR="00C1563E" w:rsidRDefault="00C1563E"/>
    <w:p w14:paraId="7DCFFF46" w14:textId="77777777" w:rsidR="00C1563E" w:rsidRDefault="000B648B">
      <w:r>
        <w:rPr>
          <w:rFonts w:ascii="Times New Roman" w:eastAsia="宋体" w:hAnsi="Times New Roman"/>
          <w:color w:val="000000"/>
          <w:sz w:val="20"/>
          <w:szCs w:val="20"/>
        </w:rPr>
        <w:t>See No</w:t>
      </w:r>
      <w:r>
        <w:rPr>
          <w:rFonts w:ascii="Times New Roman" w:eastAsia="宋体" w:hAnsi="Times New Roman"/>
          <w:color w:val="000000"/>
          <w:sz w:val="20"/>
          <w:szCs w:val="20"/>
        </w:rPr>
        <w:t>te 4 and Note 7 of the Notes to the Consolidated Financial Statements, respectively, for discussion of DFS debt and the interest rate swap agreements that hedge a portion of that debt.</w:t>
      </w:r>
    </w:p>
    <w:p w14:paraId="7DCFFF47" w14:textId="77777777" w:rsidR="00C1563E" w:rsidRDefault="00C1563E"/>
    <w:p w14:paraId="7DCFFF48" w14:textId="77777777" w:rsidR="00C1563E" w:rsidRDefault="000B648B">
      <w:r>
        <w:rPr>
          <w:rFonts w:ascii="Times New Roman" w:eastAsia="宋体" w:hAnsi="Times New Roman"/>
          <w:b/>
          <w:bCs/>
          <w:color w:val="000000"/>
          <w:sz w:val="20"/>
          <w:szCs w:val="20"/>
        </w:rPr>
        <w:t>Other</w:t>
      </w:r>
    </w:p>
    <w:p w14:paraId="7DCFFF49" w14:textId="77777777" w:rsidR="00C1563E" w:rsidRDefault="00C1563E"/>
    <w:p w14:paraId="7DCFFF4A" w14:textId="77777777" w:rsidR="00C1563E" w:rsidRDefault="000B648B">
      <w:r>
        <w:rPr>
          <w:rFonts w:ascii="Times New Roman" w:eastAsia="宋体" w:hAnsi="Times New Roman"/>
          <w:i/>
          <w:iCs/>
          <w:color w:val="000000"/>
          <w:sz w:val="20"/>
          <w:szCs w:val="20"/>
        </w:rPr>
        <w:t>Margin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April 12, 2017, the Company entered i</w:t>
      </w:r>
      <w:r>
        <w:rPr>
          <w:rFonts w:ascii="Times New Roman" w:eastAsia="宋体" w:hAnsi="Times New Roman"/>
          <w:color w:val="000000"/>
          <w:sz w:val="20"/>
          <w:szCs w:val="20"/>
        </w:rPr>
        <w:t>nto the Margin Loan Facility in an aggregate principal amount of $2.0 billion, under which VMW Holdco LLC, a wholly-owned subsidiary of EMC, is the borrower. In connection with the Class V transaction described in Note 1 of the Notes to the Consolidated Fi</w:t>
      </w:r>
      <w:r>
        <w:rPr>
          <w:rFonts w:ascii="Times New Roman" w:eastAsia="宋体" w:hAnsi="Times New Roman"/>
          <w:color w:val="000000"/>
          <w:sz w:val="20"/>
          <w:szCs w:val="20"/>
        </w:rPr>
        <w:t>nancial Statements, on December 20, 2018, the Company amended the Margin Loan Facility to increase the aggregate principal amount of the facility to $3.35 billion. In connection with obtaining the Term Loan A-6 Facility during the fiscal year ended January</w:t>
      </w:r>
      <w:r>
        <w:rPr>
          <w:rFonts w:ascii="Times New Roman" w:eastAsia="宋体" w:hAnsi="Times New Roman"/>
          <w:color w:val="000000"/>
          <w:sz w:val="20"/>
          <w:szCs w:val="20"/>
        </w:rPr>
        <w:t xml:space="preserve"> 31, 2020, the Company increased the aggregate principal amount of the Margin Loan Facility to $4.0 billion. </w:t>
      </w:r>
    </w:p>
    <w:p w14:paraId="7DCFFF4B" w14:textId="77777777" w:rsidR="00C1563E" w:rsidRDefault="00C1563E"/>
    <w:p w14:paraId="7DCFFF4C" w14:textId="77777777" w:rsidR="00C1563E" w:rsidRDefault="000B648B">
      <w:r>
        <w:rPr>
          <w:rFonts w:ascii="Times New Roman" w:eastAsia="宋体" w:hAnsi="Times New Roman"/>
          <w:color w:val="000000"/>
          <w:sz w:val="20"/>
          <w:szCs w:val="20"/>
        </w:rPr>
        <w:t xml:space="preserve">During the three months ended May 1, 2020, due to volatility in the U.S. stock market resulting from the outbreak of COVID-19, VMware Holdco LLC </w:t>
      </w:r>
      <w:r>
        <w:rPr>
          <w:rFonts w:ascii="Times New Roman" w:eastAsia="宋体" w:hAnsi="Times New Roman"/>
          <w:color w:val="000000"/>
          <w:sz w:val="20"/>
          <w:szCs w:val="20"/>
        </w:rPr>
        <w:t>proactively pledged additional shares of VMware, Inc. common stock to secure its obligations under the Margin Loan Facility agreement. This resulted in an aggregate number of shares pledged of approximately 76 million shares of Class B common stock of VMwa</w:t>
      </w:r>
      <w:r>
        <w:rPr>
          <w:rFonts w:ascii="Times New Roman" w:eastAsia="宋体" w:hAnsi="Times New Roman"/>
          <w:color w:val="000000"/>
          <w:sz w:val="20"/>
          <w:szCs w:val="20"/>
        </w:rPr>
        <w:t xml:space="preserve">re, Inc. and approximately 24 million shares of Class A common stock of VMware, Inc. </w:t>
      </w:r>
    </w:p>
    <w:p w14:paraId="7DCFFF4D" w14:textId="77777777" w:rsidR="00C1563E" w:rsidRDefault="00C1563E"/>
    <w:p w14:paraId="7DCFFF4E" w14:textId="77777777" w:rsidR="00C1563E" w:rsidRDefault="000B648B">
      <w:r>
        <w:rPr>
          <w:rFonts w:ascii="Times New Roman" w:eastAsia="宋体" w:hAnsi="Times New Roman"/>
          <w:color w:val="000000"/>
          <w:sz w:val="20"/>
          <w:szCs w:val="20"/>
        </w:rPr>
        <w:t xml:space="preserve">Loans under the Margin Loan Facility bear interest at a rate per annum payable, at the borrower’s option, either at (a) a base rate plus 1.25% or (b) a LIBOR-based rate </w:t>
      </w:r>
      <w:r>
        <w:rPr>
          <w:rFonts w:ascii="Times New Roman" w:eastAsia="宋体" w:hAnsi="Times New Roman"/>
          <w:color w:val="000000"/>
          <w:sz w:val="20"/>
          <w:szCs w:val="20"/>
        </w:rPr>
        <w:t xml:space="preserve">plus 2.25%. Interest under the Margin Loan Facility is payable quarterly. The Margin Loan Facility will mature in April 2022. The borrower may voluntarily repay outstanding loans under the Margin Loan Facility at any time without premium or penalty, other </w:t>
      </w:r>
      <w:r>
        <w:rPr>
          <w:rFonts w:ascii="Times New Roman" w:eastAsia="宋体" w:hAnsi="Times New Roman"/>
          <w:color w:val="000000"/>
          <w:sz w:val="20"/>
          <w:szCs w:val="20"/>
        </w:rPr>
        <w:t>than customary “breakage” costs, subject to certain minimum threshold amounts for prepayment.</w:t>
      </w:r>
    </w:p>
    <w:p w14:paraId="7DCFFF4F" w14:textId="77777777" w:rsidR="00C1563E" w:rsidRDefault="00C1563E"/>
    <w:p w14:paraId="7DCFFF50" w14:textId="77777777" w:rsidR="00C1563E" w:rsidRDefault="00C1563E">
      <w:pPr>
        <w:jc w:val="center"/>
      </w:pPr>
    </w:p>
    <w:p w14:paraId="7DCFFF51" w14:textId="77777777" w:rsidR="00C1563E" w:rsidRDefault="000B648B">
      <w:pPr>
        <w:jc w:val="center"/>
      </w:pPr>
      <w:r>
        <w:rPr>
          <w:rFonts w:ascii="Times New Roman" w:eastAsia="宋体" w:hAnsi="Times New Roman"/>
          <w:color w:val="000000"/>
          <w:sz w:val="20"/>
          <w:szCs w:val="20"/>
        </w:rPr>
        <w:t>113</w:t>
      </w:r>
    </w:p>
    <w:p w14:paraId="7DCFFF52" w14:textId="77777777" w:rsidR="00C1563E" w:rsidRDefault="00C1563E">
      <w:pPr>
        <w:jc w:val="center"/>
      </w:pPr>
    </w:p>
    <w:p w14:paraId="7DCFFF53" w14:textId="77777777" w:rsidR="00C1563E" w:rsidRDefault="000B648B">
      <w:r>
        <w:pict w14:anchorId="7DD025DB">
          <v:rect id="_x0000_i1137" style="width:415.3pt;height:1.5pt" o:hralign="center" o:hrstd="t" o:hr="t" fillcolor="#a0a0a0" stroked="f"/>
        </w:pict>
      </w:r>
    </w:p>
    <w:p w14:paraId="7DCFFF54" w14:textId="77777777" w:rsidR="00C1563E" w:rsidRDefault="000B648B">
      <w:hyperlink r:id="rId296" w:anchor="i418e32e4a35149ffbf7d3a25d66881b8_10"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7DCFFF55" w14:textId="77777777" w:rsidR="00C1563E" w:rsidRDefault="000B648B">
      <w:r>
        <w:rPr>
          <w:rFonts w:ascii="Times New Roman" w:eastAsia="宋体" w:hAnsi="Times New Roman"/>
          <w:b/>
          <w:bCs/>
          <w:color w:val="000000"/>
          <w:sz w:val="20"/>
          <w:szCs w:val="20"/>
        </w:rPr>
        <w:t xml:space="preserve">Aggregate Future Maturities </w:t>
      </w:r>
    </w:p>
    <w:p w14:paraId="7DCFFF56" w14:textId="77777777" w:rsidR="00C1563E" w:rsidRDefault="00C1563E"/>
    <w:p w14:paraId="7DCFFF57" w14:textId="77777777" w:rsidR="00C1563E" w:rsidRDefault="000B648B">
      <w:pPr>
        <w:spacing w:after="120"/>
      </w:pPr>
      <w:r>
        <w:rPr>
          <w:rFonts w:ascii="Times New Roman" w:eastAsia="宋体" w:hAnsi="Times New Roman"/>
          <w:color w:val="000000"/>
          <w:sz w:val="20"/>
          <w:szCs w:val="20"/>
        </w:rPr>
        <w:t>The following tables presents the aggregate future maturities of the Company’s debt as of January 29, 2021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87"/>
        <w:gridCol w:w="39"/>
        <w:gridCol w:w="120"/>
        <w:gridCol w:w="570"/>
        <w:gridCol w:w="36"/>
        <w:gridCol w:w="36"/>
        <w:gridCol w:w="36"/>
        <w:gridCol w:w="36"/>
        <w:gridCol w:w="120"/>
        <w:gridCol w:w="570"/>
        <w:gridCol w:w="36"/>
        <w:gridCol w:w="36"/>
        <w:gridCol w:w="36"/>
        <w:gridCol w:w="36"/>
        <w:gridCol w:w="120"/>
        <w:gridCol w:w="570"/>
        <w:gridCol w:w="36"/>
        <w:gridCol w:w="36"/>
        <w:gridCol w:w="36"/>
        <w:gridCol w:w="36"/>
        <w:gridCol w:w="120"/>
        <w:gridCol w:w="570"/>
        <w:gridCol w:w="36"/>
        <w:gridCol w:w="36"/>
        <w:gridCol w:w="36"/>
        <w:gridCol w:w="36"/>
        <w:gridCol w:w="120"/>
        <w:gridCol w:w="570"/>
        <w:gridCol w:w="36"/>
        <w:gridCol w:w="36"/>
        <w:gridCol w:w="36"/>
        <w:gridCol w:w="36"/>
        <w:gridCol w:w="121"/>
        <w:gridCol w:w="857"/>
        <w:gridCol w:w="36"/>
        <w:gridCol w:w="36"/>
        <w:gridCol w:w="36"/>
        <w:gridCol w:w="36"/>
        <w:gridCol w:w="120"/>
        <w:gridCol w:w="620"/>
        <w:gridCol w:w="36"/>
      </w:tblGrid>
      <w:tr w:rsidR="00C1563E" w14:paraId="7DCFFF82" w14:textId="77777777">
        <w:trPr>
          <w:jc w:val="center"/>
        </w:trPr>
        <w:tc>
          <w:tcPr>
            <w:tcW w:w="50" w:type="pct"/>
            <w:shd w:val="clear" w:color="auto" w:fill="auto"/>
          </w:tcPr>
          <w:p w14:paraId="7DCFFF58" w14:textId="77777777" w:rsidR="00C1563E" w:rsidRDefault="00C1563E">
            <w:pPr>
              <w:rPr>
                <w:rFonts w:ascii="宋体"/>
              </w:rPr>
            </w:pPr>
          </w:p>
        </w:tc>
        <w:tc>
          <w:tcPr>
            <w:tcW w:w="1428" w:type="pct"/>
            <w:shd w:val="clear" w:color="auto" w:fill="auto"/>
          </w:tcPr>
          <w:p w14:paraId="7DCFFF59" w14:textId="77777777" w:rsidR="00C1563E" w:rsidRDefault="00C1563E">
            <w:pPr>
              <w:rPr>
                <w:rFonts w:ascii="宋体"/>
              </w:rPr>
            </w:pPr>
          </w:p>
        </w:tc>
        <w:tc>
          <w:tcPr>
            <w:tcW w:w="5" w:type="pct"/>
            <w:shd w:val="clear" w:color="auto" w:fill="auto"/>
          </w:tcPr>
          <w:p w14:paraId="7DCFFF5A" w14:textId="77777777" w:rsidR="00C1563E" w:rsidRDefault="00C1563E">
            <w:pPr>
              <w:rPr>
                <w:rFonts w:ascii="宋体"/>
              </w:rPr>
            </w:pPr>
          </w:p>
        </w:tc>
        <w:tc>
          <w:tcPr>
            <w:tcW w:w="50" w:type="pct"/>
            <w:shd w:val="clear" w:color="auto" w:fill="auto"/>
          </w:tcPr>
          <w:p w14:paraId="7DCFFF5B" w14:textId="77777777" w:rsidR="00C1563E" w:rsidRDefault="00C1563E">
            <w:pPr>
              <w:rPr>
                <w:rFonts w:ascii="宋体"/>
              </w:rPr>
            </w:pPr>
          </w:p>
        </w:tc>
        <w:tc>
          <w:tcPr>
            <w:tcW w:w="412" w:type="pct"/>
            <w:shd w:val="clear" w:color="auto" w:fill="auto"/>
          </w:tcPr>
          <w:p w14:paraId="7DCFFF5C" w14:textId="77777777" w:rsidR="00C1563E" w:rsidRDefault="00C1563E">
            <w:pPr>
              <w:rPr>
                <w:rFonts w:ascii="宋体"/>
              </w:rPr>
            </w:pPr>
          </w:p>
        </w:tc>
        <w:tc>
          <w:tcPr>
            <w:tcW w:w="5" w:type="pct"/>
            <w:shd w:val="clear" w:color="auto" w:fill="auto"/>
          </w:tcPr>
          <w:p w14:paraId="7DCFFF5D" w14:textId="77777777" w:rsidR="00C1563E" w:rsidRDefault="00C1563E">
            <w:pPr>
              <w:rPr>
                <w:rFonts w:ascii="宋体"/>
              </w:rPr>
            </w:pPr>
          </w:p>
        </w:tc>
        <w:tc>
          <w:tcPr>
            <w:tcW w:w="5" w:type="pct"/>
            <w:shd w:val="clear" w:color="auto" w:fill="auto"/>
          </w:tcPr>
          <w:p w14:paraId="7DCFFF5E" w14:textId="77777777" w:rsidR="00C1563E" w:rsidRDefault="00C1563E">
            <w:pPr>
              <w:rPr>
                <w:rFonts w:ascii="宋体"/>
              </w:rPr>
            </w:pPr>
          </w:p>
        </w:tc>
        <w:tc>
          <w:tcPr>
            <w:tcW w:w="19" w:type="pct"/>
            <w:shd w:val="clear" w:color="auto" w:fill="auto"/>
          </w:tcPr>
          <w:p w14:paraId="7DCFFF5F" w14:textId="77777777" w:rsidR="00C1563E" w:rsidRDefault="00C1563E">
            <w:pPr>
              <w:rPr>
                <w:rFonts w:ascii="宋体"/>
              </w:rPr>
            </w:pPr>
          </w:p>
        </w:tc>
        <w:tc>
          <w:tcPr>
            <w:tcW w:w="5" w:type="pct"/>
            <w:shd w:val="clear" w:color="auto" w:fill="auto"/>
          </w:tcPr>
          <w:p w14:paraId="7DCFFF60" w14:textId="77777777" w:rsidR="00C1563E" w:rsidRDefault="00C1563E">
            <w:pPr>
              <w:rPr>
                <w:rFonts w:ascii="宋体"/>
              </w:rPr>
            </w:pPr>
          </w:p>
        </w:tc>
        <w:tc>
          <w:tcPr>
            <w:tcW w:w="50" w:type="pct"/>
            <w:shd w:val="clear" w:color="auto" w:fill="auto"/>
          </w:tcPr>
          <w:p w14:paraId="7DCFFF61" w14:textId="77777777" w:rsidR="00C1563E" w:rsidRDefault="00C1563E">
            <w:pPr>
              <w:rPr>
                <w:rFonts w:ascii="宋体"/>
              </w:rPr>
            </w:pPr>
          </w:p>
        </w:tc>
        <w:tc>
          <w:tcPr>
            <w:tcW w:w="412" w:type="pct"/>
            <w:shd w:val="clear" w:color="auto" w:fill="auto"/>
          </w:tcPr>
          <w:p w14:paraId="7DCFFF62" w14:textId="77777777" w:rsidR="00C1563E" w:rsidRDefault="00C1563E">
            <w:pPr>
              <w:rPr>
                <w:rFonts w:ascii="宋体"/>
              </w:rPr>
            </w:pPr>
          </w:p>
        </w:tc>
        <w:tc>
          <w:tcPr>
            <w:tcW w:w="5" w:type="pct"/>
            <w:shd w:val="clear" w:color="auto" w:fill="auto"/>
          </w:tcPr>
          <w:p w14:paraId="7DCFFF63" w14:textId="77777777" w:rsidR="00C1563E" w:rsidRDefault="00C1563E">
            <w:pPr>
              <w:rPr>
                <w:rFonts w:ascii="宋体"/>
              </w:rPr>
            </w:pPr>
          </w:p>
        </w:tc>
        <w:tc>
          <w:tcPr>
            <w:tcW w:w="5" w:type="pct"/>
            <w:shd w:val="clear" w:color="auto" w:fill="auto"/>
          </w:tcPr>
          <w:p w14:paraId="7DCFFF64" w14:textId="77777777" w:rsidR="00C1563E" w:rsidRDefault="00C1563E">
            <w:pPr>
              <w:rPr>
                <w:rFonts w:ascii="宋体"/>
              </w:rPr>
            </w:pPr>
          </w:p>
        </w:tc>
        <w:tc>
          <w:tcPr>
            <w:tcW w:w="19" w:type="pct"/>
            <w:shd w:val="clear" w:color="auto" w:fill="auto"/>
          </w:tcPr>
          <w:p w14:paraId="7DCFFF65" w14:textId="77777777" w:rsidR="00C1563E" w:rsidRDefault="00C1563E">
            <w:pPr>
              <w:rPr>
                <w:rFonts w:ascii="宋体"/>
              </w:rPr>
            </w:pPr>
          </w:p>
        </w:tc>
        <w:tc>
          <w:tcPr>
            <w:tcW w:w="5" w:type="pct"/>
            <w:shd w:val="clear" w:color="auto" w:fill="auto"/>
          </w:tcPr>
          <w:p w14:paraId="7DCFFF66" w14:textId="77777777" w:rsidR="00C1563E" w:rsidRDefault="00C1563E">
            <w:pPr>
              <w:rPr>
                <w:rFonts w:ascii="宋体"/>
              </w:rPr>
            </w:pPr>
          </w:p>
        </w:tc>
        <w:tc>
          <w:tcPr>
            <w:tcW w:w="50" w:type="pct"/>
            <w:shd w:val="clear" w:color="auto" w:fill="auto"/>
          </w:tcPr>
          <w:p w14:paraId="7DCFFF67" w14:textId="77777777" w:rsidR="00C1563E" w:rsidRDefault="00C1563E">
            <w:pPr>
              <w:rPr>
                <w:rFonts w:ascii="宋体"/>
              </w:rPr>
            </w:pPr>
          </w:p>
        </w:tc>
        <w:tc>
          <w:tcPr>
            <w:tcW w:w="412" w:type="pct"/>
            <w:shd w:val="clear" w:color="auto" w:fill="auto"/>
          </w:tcPr>
          <w:p w14:paraId="7DCFFF68" w14:textId="77777777" w:rsidR="00C1563E" w:rsidRDefault="00C1563E">
            <w:pPr>
              <w:rPr>
                <w:rFonts w:ascii="宋体"/>
              </w:rPr>
            </w:pPr>
          </w:p>
        </w:tc>
        <w:tc>
          <w:tcPr>
            <w:tcW w:w="5" w:type="pct"/>
            <w:shd w:val="clear" w:color="auto" w:fill="auto"/>
          </w:tcPr>
          <w:p w14:paraId="7DCFFF69" w14:textId="77777777" w:rsidR="00C1563E" w:rsidRDefault="00C1563E">
            <w:pPr>
              <w:rPr>
                <w:rFonts w:ascii="宋体"/>
              </w:rPr>
            </w:pPr>
          </w:p>
        </w:tc>
        <w:tc>
          <w:tcPr>
            <w:tcW w:w="5" w:type="pct"/>
            <w:shd w:val="clear" w:color="auto" w:fill="auto"/>
          </w:tcPr>
          <w:p w14:paraId="7DCFFF6A" w14:textId="77777777" w:rsidR="00C1563E" w:rsidRDefault="00C1563E">
            <w:pPr>
              <w:rPr>
                <w:rFonts w:ascii="宋体"/>
              </w:rPr>
            </w:pPr>
          </w:p>
        </w:tc>
        <w:tc>
          <w:tcPr>
            <w:tcW w:w="19" w:type="pct"/>
            <w:shd w:val="clear" w:color="auto" w:fill="auto"/>
          </w:tcPr>
          <w:p w14:paraId="7DCFFF6B" w14:textId="77777777" w:rsidR="00C1563E" w:rsidRDefault="00C1563E">
            <w:pPr>
              <w:rPr>
                <w:rFonts w:ascii="宋体"/>
              </w:rPr>
            </w:pPr>
          </w:p>
        </w:tc>
        <w:tc>
          <w:tcPr>
            <w:tcW w:w="5" w:type="pct"/>
            <w:shd w:val="clear" w:color="auto" w:fill="auto"/>
          </w:tcPr>
          <w:p w14:paraId="7DCFFF6C" w14:textId="77777777" w:rsidR="00C1563E" w:rsidRDefault="00C1563E">
            <w:pPr>
              <w:rPr>
                <w:rFonts w:ascii="宋体"/>
              </w:rPr>
            </w:pPr>
          </w:p>
        </w:tc>
        <w:tc>
          <w:tcPr>
            <w:tcW w:w="50" w:type="pct"/>
            <w:shd w:val="clear" w:color="auto" w:fill="auto"/>
          </w:tcPr>
          <w:p w14:paraId="7DCFFF6D" w14:textId="77777777" w:rsidR="00C1563E" w:rsidRDefault="00C1563E">
            <w:pPr>
              <w:rPr>
                <w:rFonts w:ascii="宋体"/>
              </w:rPr>
            </w:pPr>
          </w:p>
        </w:tc>
        <w:tc>
          <w:tcPr>
            <w:tcW w:w="412" w:type="pct"/>
            <w:shd w:val="clear" w:color="auto" w:fill="auto"/>
          </w:tcPr>
          <w:p w14:paraId="7DCFFF6E" w14:textId="77777777" w:rsidR="00C1563E" w:rsidRDefault="00C1563E">
            <w:pPr>
              <w:rPr>
                <w:rFonts w:ascii="宋体"/>
              </w:rPr>
            </w:pPr>
          </w:p>
        </w:tc>
        <w:tc>
          <w:tcPr>
            <w:tcW w:w="5" w:type="pct"/>
            <w:shd w:val="clear" w:color="auto" w:fill="auto"/>
          </w:tcPr>
          <w:p w14:paraId="7DCFFF6F" w14:textId="77777777" w:rsidR="00C1563E" w:rsidRDefault="00C1563E">
            <w:pPr>
              <w:rPr>
                <w:rFonts w:ascii="宋体"/>
              </w:rPr>
            </w:pPr>
          </w:p>
        </w:tc>
        <w:tc>
          <w:tcPr>
            <w:tcW w:w="5" w:type="pct"/>
            <w:shd w:val="clear" w:color="auto" w:fill="auto"/>
          </w:tcPr>
          <w:p w14:paraId="7DCFFF70" w14:textId="77777777" w:rsidR="00C1563E" w:rsidRDefault="00C1563E">
            <w:pPr>
              <w:rPr>
                <w:rFonts w:ascii="宋体"/>
              </w:rPr>
            </w:pPr>
          </w:p>
        </w:tc>
        <w:tc>
          <w:tcPr>
            <w:tcW w:w="19" w:type="pct"/>
            <w:shd w:val="clear" w:color="auto" w:fill="auto"/>
          </w:tcPr>
          <w:p w14:paraId="7DCFFF71" w14:textId="77777777" w:rsidR="00C1563E" w:rsidRDefault="00C1563E">
            <w:pPr>
              <w:rPr>
                <w:rFonts w:ascii="宋体"/>
              </w:rPr>
            </w:pPr>
          </w:p>
        </w:tc>
        <w:tc>
          <w:tcPr>
            <w:tcW w:w="5" w:type="pct"/>
            <w:shd w:val="clear" w:color="auto" w:fill="auto"/>
          </w:tcPr>
          <w:p w14:paraId="7DCFFF72" w14:textId="77777777" w:rsidR="00C1563E" w:rsidRDefault="00C1563E">
            <w:pPr>
              <w:rPr>
                <w:rFonts w:ascii="宋体"/>
              </w:rPr>
            </w:pPr>
          </w:p>
        </w:tc>
        <w:tc>
          <w:tcPr>
            <w:tcW w:w="50" w:type="pct"/>
            <w:shd w:val="clear" w:color="auto" w:fill="auto"/>
          </w:tcPr>
          <w:p w14:paraId="7DCFFF73" w14:textId="77777777" w:rsidR="00C1563E" w:rsidRDefault="00C1563E">
            <w:pPr>
              <w:rPr>
                <w:rFonts w:ascii="宋体"/>
              </w:rPr>
            </w:pPr>
          </w:p>
        </w:tc>
        <w:tc>
          <w:tcPr>
            <w:tcW w:w="412" w:type="pct"/>
            <w:shd w:val="clear" w:color="auto" w:fill="auto"/>
          </w:tcPr>
          <w:p w14:paraId="7DCFFF74" w14:textId="77777777" w:rsidR="00C1563E" w:rsidRDefault="00C1563E">
            <w:pPr>
              <w:rPr>
                <w:rFonts w:ascii="宋体"/>
              </w:rPr>
            </w:pPr>
          </w:p>
        </w:tc>
        <w:tc>
          <w:tcPr>
            <w:tcW w:w="5" w:type="pct"/>
            <w:shd w:val="clear" w:color="auto" w:fill="auto"/>
          </w:tcPr>
          <w:p w14:paraId="7DCFFF75" w14:textId="77777777" w:rsidR="00C1563E" w:rsidRDefault="00C1563E">
            <w:pPr>
              <w:rPr>
                <w:rFonts w:ascii="宋体"/>
              </w:rPr>
            </w:pPr>
          </w:p>
        </w:tc>
        <w:tc>
          <w:tcPr>
            <w:tcW w:w="5" w:type="pct"/>
            <w:shd w:val="clear" w:color="auto" w:fill="auto"/>
          </w:tcPr>
          <w:p w14:paraId="7DCFFF76" w14:textId="77777777" w:rsidR="00C1563E" w:rsidRDefault="00C1563E">
            <w:pPr>
              <w:rPr>
                <w:rFonts w:ascii="宋体"/>
              </w:rPr>
            </w:pPr>
          </w:p>
        </w:tc>
        <w:tc>
          <w:tcPr>
            <w:tcW w:w="19" w:type="pct"/>
            <w:shd w:val="clear" w:color="auto" w:fill="auto"/>
          </w:tcPr>
          <w:p w14:paraId="7DCFFF77" w14:textId="77777777" w:rsidR="00C1563E" w:rsidRDefault="00C1563E">
            <w:pPr>
              <w:rPr>
                <w:rFonts w:ascii="宋体"/>
              </w:rPr>
            </w:pPr>
          </w:p>
        </w:tc>
        <w:tc>
          <w:tcPr>
            <w:tcW w:w="5" w:type="pct"/>
            <w:shd w:val="clear" w:color="auto" w:fill="auto"/>
          </w:tcPr>
          <w:p w14:paraId="7DCFFF78" w14:textId="77777777" w:rsidR="00C1563E" w:rsidRDefault="00C1563E">
            <w:pPr>
              <w:rPr>
                <w:rFonts w:ascii="宋体"/>
              </w:rPr>
            </w:pPr>
          </w:p>
        </w:tc>
        <w:tc>
          <w:tcPr>
            <w:tcW w:w="50" w:type="pct"/>
            <w:shd w:val="clear" w:color="auto" w:fill="auto"/>
          </w:tcPr>
          <w:p w14:paraId="7DCFFF79" w14:textId="77777777" w:rsidR="00C1563E" w:rsidRDefault="00C1563E">
            <w:pPr>
              <w:rPr>
                <w:rFonts w:ascii="宋体"/>
              </w:rPr>
            </w:pPr>
          </w:p>
        </w:tc>
        <w:tc>
          <w:tcPr>
            <w:tcW w:w="449" w:type="pct"/>
            <w:shd w:val="clear" w:color="auto" w:fill="auto"/>
          </w:tcPr>
          <w:p w14:paraId="7DCFFF7A" w14:textId="77777777" w:rsidR="00C1563E" w:rsidRDefault="00C1563E">
            <w:pPr>
              <w:rPr>
                <w:rFonts w:ascii="宋体"/>
              </w:rPr>
            </w:pPr>
          </w:p>
        </w:tc>
        <w:tc>
          <w:tcPr>
            <w:tcW w:w="5" w:type="pct"/>
            <w:shd w:val="clear" w:color="auto" w:fill="auto"/>
          </w:tcPr>
          <w:p w14:paraId="7DCFFF7B" w14:textId="77777777" w:rsidR="00C1563E" w:rsidRDefault="00C1563E">
            <w:pPr>
              <w:rPr>
                <w:rFonts w:ascii="宋体"/>
              </w:rPr>
            </w:pPr>
          </w:p>
        </w:tc>
        <w:tc>
          <w:tcPr>
            <w:tcW w:w="5" w:type="pct"/>
            <w:shd w:val="clear" w:color="auto" w:fill="auto"/>
          </w:tcPr>
          <w:p w14:paraId="7DCFFF7C" w14:textId="77777777" w:rsidR="00C1563E" w:rsidRDefault="00C1563E">
            <w:pPr>
              <w:rPr>
                <w:rFonts w:ascii="宋体"/>
              </w:rPr>
            </w:pPr>
          </w:p>
        </w:tc>
        <w:tc>
          <w:tcPr>
            <w:tcW w:w="19" w:type="pct"/>
            <w:shd w:val="clear" w:color="auto" w:fill="auto"/>
          </w:tcPr>
          <w:p w14:paraId="7DCFFF7D" w14:textId="77777777" w:rsidR="00C1563E" w:rsidRDefault="00C1563E">
            <w:pPr>
              <w:rPr>
                <w:rFonts w:ascii="宋体"/>
              </w:rPr>
            </w:pPr>
          </w:p>
        </w:tc>
        <w:tc>
          <w:tcPr>
            <w:tcW w:w="5" w:type="pct"/>
            <w:shd w:val="clear" w:color="auto" w:fill="auto"/>
          </w:tcPr>
          <w:p w14:paraId="7DCFFF7E" w14:textId="77777777" w:rsidR="00C1563E" w:rsidRDefault="00C1563E">
            <w:pPr>
              <w:rPr>
                <w:rFonts w:ascii="宋体"/>
              </w:rPr>
            </w:pPr>
          </w:p>
        </w:tc>
        <w:tc>
          <w:tcPr>
            <w:tcW w:w="50" w:type="pct"/>
            <w:shd w:val="clear" w:color="auto" w:fill="auto"/>
          </w:tcPr>
          <w:p w14:paraId="7DCFFF7F" w14:textId="77777777" w:rsidR="00C1563E" w:rsidRDefault="00C1563E">
            <w:pPr>
              <w:rPr>
                <w:rFonts w:ascii="宋体"/>
              </w:rPr>
            </w:pPr>
          </w:p>
        </w:tc>
        <w:tc>
          <w:tcPr>
            <w:tcW w:w="442" w:type="pct"/>
            <w:shd w:val="clear" w:color="auto" w:fill="auto"/>
          </w:tcPr>
          <w:p w14:paraId="7DCFFF80" w14:textId="77777777" w:rsidR="00C1563E" w:rsidRDefault="00C1563E">
            <w:pPr>
              <w:rPr>
                <w:rFonts w:ascii="宋体"/>
              </w:rPr>
            </w:pPr>
          </w:p>
        </w:tc>
        <w:tc>
          <w:tcPr>
            <w:tcW w:w="5" w:type="pct"/>
            <w:shd w:val="clear" w:color="auto" w:fill="auto"/>
          </w:tcPr>
          <w:p w14:paraId="7DCFFF81" w14:textId="77777777" w:rsidR="00C1563E" w:rsidRDefault="00C1563E">
            <w:pPr>
              <w:rPr>
                <w:rFonts w:ascii="宋体"/>
              </w:rPr>
            </w:pPr>
          </w:p>
        </w:tc>
      </w:tr>
      <w:tr w:rsidR="00C1563E" w14:paraId="7DCFFF85" w14:textId="77777777">
        <w:trPr>
          <w:jc w:val="center"/>
        </w:trPr>
        <w:tc>
          <w:tcPr>
            <w:tcW w:w="0" w:type="auto"/>
            <w:gridSpan w:val="3"/>
            <w:shd w:val="clear" w:color="auto" w:fill="auto"/>
            <w:tcMar>
              <w:top w:w="40" w:type="dxa"/>
              <w:left w:w="20" w:type="dxa"/>
              <w:bottom w:w="40" w:type="dxa"/>
              <w:right w:w="20" w:type="dxa"/>
            </w:tcMar>
            <w:vAlign w:val="bottom"/>
          </w:tcPr>
          <w:p w14:paraId="7DCFFF83"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7DCFFF84" w14:textId="77777777" w:rsidR="00C1563E" w:rsidRDefault="000B648B">
            <w:pPr>
              <w:jc w:val="center"/>
              <w:textAlignment w:val="bottom"/>
            </w:pPr>
            <w:r>
              <w:rPr>
                <w:rFonts w:ascii="Times New Roman" w:eastAsia="宋体" w:hAnsi="Times New Roman"/>
                <w:b/>
                <w:bCs/>
                <w:color w:val="000000"/>
                <w:sz w:val="20"/>
                <w:szCs w:val="20"/>
              </w:rPr>
              <w:t>Maturities by Fiscal Year</w:t>
            </w:r>
          </w:p>
        </w:tc>
      </w:tr>
      <w:tr w:rsidR="00C1563E" w14:paraId="7DCFFF94" w14:textId="77777777">
        <w:trPr>
          <w:jc w:val="center"/>
        </w:trPr>
        <w:tc>
          <w:tcPr>
            <w:tcW w:w="0" w:type="auto"/>
            <w:gridSpan w:val="3"/>
            <w:shd w:val="clear" w:color="auto" w:fill="auto"/>
            <w:tcMar>
              <w:top w:w="40" w:type="dxa"/>
              <w:left w:w="20" w:type="dxa"/>
              <w:bottom w:w="40" w:type="dxa"/>
              <w:right w:w="20" w:type="dxa"/>
            </w:tcMar>
            <w:vAlign w:val="bottom"/>
          </w:tcPr>
          <w:p w14:paraId="7DCFFF86"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CFFF87" w14:textId="77777777" w:rsidR="00C1563E" w:rsidRDefault="000B648B">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tcPr>
          <w:p w14:paraId="7DCFFF8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89" w14:textId="77777777" w:rsidR="00C1563E" w:rsidRDefault="000B648B">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top w:w="0" w:type="dxa"/>
              <w:left w:w="20" w:type="dxa"/>
              <w:bottom w:w="0" w:type="dxa"/>
              <w:right w:w="20" w:type="dxa"/>
            </w:tcMar>
          </w:tcPr>
          <w:p w14:paraId="7DCFFF8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8B" w14:textId="77777777" w:rsidR="00C1563E" w:rsidRDefault="000B648B">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top w:w="0" w:type="dxa"/>
              <w:left w:w="20" w:type="dxa"/>
              <w:bottom w:w="0" w:type="dxa"/>
              <w:right w:w="20" w:type="dxa"/>
            </w:tcMar>
          </w:tcPr>
          <w:p w14:paraId="7DCFFF8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8D" w14:textId="77777777" w:rsidR="00C1563E" w:rsidRDefault="000B648B">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top w:w="0" w:type="dxa"/>
              <w:left w:w="20" w:type="dxa"/>
              <w:bottom w:w="0" w:type="dxa"/>
              <w:right w:w="20" w:type="dxa"/>
            </w:tcMar>
          </w:tcPr>
          <w:p w14:paraId="7DCFFF8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8F" w14:textId="77777777" w:rsidR="00C1563E" w:rsidRDefault="000B648B">
            <w:pPr>
              <w:jc w:val="center"/>
              <w:textAlignment w:val="bottom"/>
            </w:pPr>
            <w:r>
              <w:rPr>
                <w:rFonts w:ascii="Times New Roman" w:eastAsia="宋体" w:hAnsi="Times New Roman"/>
                <w:b/>
                <w:bCs/>
                <w:color w:val="000000"/>
                <w:sz w:val="20"/>
                <w:szCs w:val="20"/>
              </w:rPr>
              <w:t>2026</w:t>
            </w:r>
          </w:p>
        </w:tc>
        <w:tc>
          <w:tcPr>
            <w:tcW w:w="0" w:type="auto"/>
            <w:gridSpan w:val="3"/>
            <w:tcBorders>
              <w:top w:val="single" w:sz="8" w:space="0" w:color="000000"/>
            </w:tcBorders>
            <w:shd w:val="clear" w:color="auto" w:fill="auto"/>
            <w:tcMar>
              <w:top w:w="0" w:type="dxa"/>
              <w:left w:w="20" w:type="dxa"/>
              <w:bottom w:w="0" w:type="dxa"/>
              <w:right w:w="20" w:type="dxa"/>
            </w:tcMar>
          </w:tcPr>
          <w:p w14:paraId="7DCFFF9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91" w14:textId="77777777" w:rsidR="00C1563E" w:rsidRDefault="000B648B">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top w:w="0" w:type="dxa"/>
              <w:left w:w="20" w:type="dxa"/>
              <w:bottom w:w="0" w:type="dxa"/>
              <w:right w:w="20" w:type="dxa"/>
            </w:tcMar>
          </w:tcPr>
          <w:p w14:paraId="7DCFFF9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CFFF93"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CFFF97" w14:textId="77777777">
        <w:trPr>
          <w:jc w:val="center"/>
        </w:trPr>
        <w:tc>
          <w:tcPr>
            <w:tcW w:w="0" w:type="auto"/>
            <w:gridSpan w:val="3"/>
            <w:shd w:val="clear" w:color="auto" w:fill="auto"/>
            <w:tcMar>
              <w:top w:w="40" w:type="dxa"/>
              <w:left w:w="20" w:type="dxa"/>
              <w:bottom w:w="40" w:type="dxa"/>
              <w:right w:w="20" w:type="dxa"/>
            </w:tcMar>
            <w:vAlign w:val="bottom"/>
          </w:tcPr>
          <w:p w14:paraId="7DCFFF95"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9"/>
            <w:tcBorders>
              <w:top w:val="single" w:sz="8" w:space="0" w:color="000000"/>
            </w:tcBorders>
            <w:shd w:val="clear" w:color="auto" w:fill="auto"/>
            <w:tcMar>
              <w:top w:w="40" w:type="dxa"/>
              <w:left w:w="20" w:type="dxa"/>
              <w:bottom w:w="40" w:type="dxa"/>
              <w:right w:w="20" w:type="dxa"/>
            </w:tcMar>
            <w:vAlign w:val="bottom"/>
          </w:tcPr>
          <w:p w14:paraId="7DCFFF96"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CFFFB4" w14:textId="77777777">
        <w:trPr>
          <w:jc w:val="center"/>
        </w:trPr>
        <w:tc>
          <w:tcPr>
            <w:tcW w:w="0" w:type="auto"/>
            <w:gridSpan w:val="3"/>
            <w:shd w:val="clear" w:color="auto" w:fill="CCEEFF"/>
            <w:tcMar>
              <w:top w:w="40" w:type="dxa"/>
              <w:left w:w="20" w:type="dxa"/>
              <w:bottom w:w="40" w:type="dxa"/>
              <w:right w:w="20" w:type="dxa"/>
            </w:tcMar>
            <w:vAlign w:val="bottom"/>
          </w:tcPr>
          <w:p w14:paraId="7DCFFF98" w14:textId="77777777" w:rsidR="00C1563E" w:rsidRDefault="000B648B">
            <w:pPr>
              <w:textAlignment w:val="bottom"/>
            </w:pPr>
            <w:r>
              <w:rPr>
                <w:rFonts w:ascii="Times New Roman" w:eastAsia="宋体" w:hAnsi="Times New Roman"/>
                <w:color w:val="000000"/>
                <w:sz w:val="20"/>
                <w:szCs w:val="20"/>
              </w:rPr>
              <w:t>Senior Secured Credit Facilities and First Lien Notes</w:t>
            </w:r>
          </w:p>
        </w:tc>
        <w:tc>
          <w:tcPr>
            <w:tcW w:w="0" w:type="auto"/>
            <w:shd w:val="clear" w:color="auto" w:fill="CCEEFF"/>
            <w:tcMar>
              <w:top w:w="40" w:type="dxa"/>
              <w:left w:w="20" w:type="dxa"/>
              <w:bottom w:w="40" w:type="dxa"/>
              <w:right w:w="0" w:type="dxa"/>
            </w:tcMar>
            <w:vAlign w:val="bottom"/>
          </w:tcPr>
          <w:p w14:paraId="7DCFFF9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9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F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9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9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9E" w14:textId="77777777" w:rsidR="00C1563E" w:rsidRDefault="000B648B">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left w:w="0" w:type="dxa"/>
              <w:bottom w:w="40" w:type="dxa"/>
              <w:right w:w="20" w:type="dxa"/>
            </w:tcMar>
            <w:vAlign w:val="bottom"/>
          </w:tcPr>
          <w:p w14:paraId="7DCFFF9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A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A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A2" w14:textId="77777777" w:rsidR="00C1563E" w:rsidRDefault="000B648B">
            <w:pPr>
              <w:jc w:val="right"/>
              <w:textAlignment w:val="bottom"/>
            </w:pPr>
            <w:r>
              <w:rPr>
                <w:rFonts w:ascii="Times New Roman" w:eastAsia="宋体" w:hAnsi="Times New Roman"/>
                <w:color w:val="000000"/>
                <w:sz w:val="20"/>
                <w:szCs w:val="20"/>
              </w:rPr>
              <w:t>6,023 </w:t>
            </w:r>
          </w:p>
        </w:tc>
        <w:tc>
          <w:tcPr>
            <w:tcW w:w="0" w:type="auto"/>
            <w:shd w:val="clear" w:color="auto" w:fill="CCEEFF"/>
            <w:tcMar>
              <w:top w:w="40" w:type="dxa"/>
              <w:left w:w="0" w:type="dxa"/>
              <w:bottom w:w="40" w:type="dxa"/>
              <w:right w:w="20" w:type="dxa"/>
            </w:tcMar>
            <w:vAlign w:val="bottom"/>
          </w:tcPr>
          <w:p w14:paraId="7DCFFFA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A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A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A6" w14:textId="77777777" w:rsidR="00C1563E" w:rsidRDefault="000B648B">
            <w:pPr>
              <w:jc w:val="right"/>
              <w:textAlignment w:val="bottom"/>
            </w:pPr>
            <w:r>
              <w:rPr>
                <w:rFonts w:ascii="Times New Roman" w:eastAsia="宋体" w:hAnsi="Times New Roman"/>
                <w:color w:val="000000"/>
                <w:sz w:val="20"/>
                <w:szCs w:val="20"/>
              </w:rPr>
              <w:t>1,774 </w:t>
            </w:r>
          </w:p>
        </w:tc>
        <w:tc>
          <w:tcPr>
            <w:tcW w:w="0" w:type="auto"/>
            <w:shd w:val="clear" w:color="auto" w:fill="CCEEFF"/>
            <w:tcMar>
              <w:top w:w="40" w:type="dxa"/>
              <w:left w:w="0" w:type="dxa"/>
              <w:bottom w:w="40" w:type="dxa"/>
              <w:right w:w="20" w:type="dxa"/>
            </w:tcMar>
            <w:vAlign w:val="bottom"/>
          </w:tcPr>
          <w:p w14:paraId="7DCFFFA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A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A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AA" w14:textId="77777777" w:rsidR="00C1563E" w:rsidRDefault="000B648B">
            <w:pPr>
              <w:jc w:val="right"/>
              <w:textAlignment w:val="bottom"/>
            </w:pPr>
            <w:r>
              <w:rPr>
                <w:rFonts w:ascii="Times New Roman" w:eastAsia="宋体" w:hAnsi="Times New Roman"/>
                <w:color w:val="000000"/>
                <w:sz w:val="20"/>
                <w:szCs w:val="20"/>
              </w:rPr>
              <w:t>3,989 </w:t>
            </w:r>
          </w:p>
        </w:tc>
        <w:tc>
          <w:tcPr>
            <w:tcW w:w="0" w:type="auto"/>
            <w:shd w:val="clear" w:color="auto" w:fill="CCEEFF"/>
            <w:tcMar>
              <w:top w:w="40" w:type="dxa"/>
              <w:left w:w="0" w:type="dxa"/>
              <w:bottom w:w="40" w:type="dxa"/>
              <w:right w:w="20" w:type="dxa"/>
            </w:tcMar>
            <w:vAlign w:val="bottom"/>
          </w:tcPr>
          <w:p w14:paraId="7DCFFFA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A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A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AE" w14:textId="77777777" w:rsidR="00C1563E" w:rsidRDefault="000B648B">
            <w:pPr>
              <w:jc w:val="right"/>
              <w:textAlignment w:val="bottom"/>
            </w:pPr>
            <w:r>
              <w:rPr>
                <w:rFonts w:ascii="Times New Roman" w:eastAsia="宋体" w:hAnsi="Times New Roman"/>
                <w:color w:val="000000"/>
                <w:sz w:val="20"/>
                <w:szCs w:val="20"/>
              </w:rPr>
              <w:t>12,750 </w:t>
            </w:r>
          </w:p>
        </w:tc>
        <w:tc>
          <w:tcPr>
            <w:tcW w:w="0" w:type="auto"/>
            <w:shd w:val="clear" w:color="auto" w:fill="CCEEFF"/>
            <w:tcMar>
              <w:top w:w="40" w:type="dxa"/>
              <w:left w:w="0" w:type="dxa"/>
              <w:bottom w:w="40" w:type="dxa"/>
              <w:right w:w="20" w:type="dxa"/>
            </w:tcMar>
            <w:vAlign w:val="bottom"/>
          </w:tcPr>
          <w:p w14:paraId="7DCFFF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B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CFFFB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CFFFB2" w14:textId="77777777" w:rsidR="00C1563E" w:rsidRDefault="000B648B">
            <w:pPr>
              <w:jc w:val="right"/>
              <w:textAlignment w:val="bottom"/>
            </w:pPr>
            <w:r>
              <w:rPr>
                <w:rFonts w:ascii="Times New Roman" w:eastAsia="宋体" w:hAnsi="Times New Roman"/>
                <w:color w:val="000000"/>
                <w:sz w:val="20"/>
                <w:szCs w:val="20"/>
              </w:rPr>
              <w:t>24,777 </w:t>
            </w:r>
          </w:p>
        </w:tc>
        <w:tc>
          <w:tcPr>
            <w:tcW w:w="0" w:type="auto"/>
            <w:shd w:val="clear" w:color="auto" w:fill="CCEEFF"/>
            <w:tcMar>
              <w:top w:w="40" w:type="dxa"/>
              <w:left w:w="0" w:type="dxa"/>
              <w:bottom w:w="40" w:type="dxa"/>
              <w:right w:w="20" w:type="dxa"/>
            </w:tcMar>
            <w:vAlign w:val="bottom"/>
          </w:tcPr>
          <w:p w14:paraId="7DCFFFB3" w14:textId="77777777" w:rsidR="00C1563E" w:rsidRDefault="00C1563E">
            <w:pPr>
              <w:jc w:val="right"/>
              <w:rPr>
                <w:rFonts w:ascii="宋体"/>
              </w:rPr>
            </w:pPr>
          </w:p>
        </w:tc>
      </w:tr>
      <w:tr w:rsidR="00C1563E" w14:paraId="7DCFFFCA" w14:textId="77777777">
        <w:trPr>
          <w:jc w:val="center"/>
        </w:trPr>
        <w:tc>
          <w:tcPr>
            <w:tcW w:w="0" w:type="auto"/>
            <w:gridSpan w:val="3"/>
            <w:shd w:val="clear" w:color="auto" w:fill="FFFFFF"/>
            <w:tcMar>
              <w:top w:w="40" w:type="dxa"/>
              <w:left w:w="20" w:type="dxa"/>
              <w:bottom w:w="40" w:type="dxa"/>
              <w:right w:w="20" w:type="dxa"/>
            </w:tcMar>
            <w:vAlign w:val="bottom"/>
          </w:tcPr>
          <w:p w14:paraId="7DCFFFB5" w14:textId="77777777" w:rsidR="00C1563E" w:rsidRDefault="000B648B">
            <w:pPr>
              <w:textAlignment w:val="bottom"/>
            </w:pPr>
            <w:r>
              <w:rPr>
                <w:rFonts w:ascii="Times New Roman" w:eastAsia="宋体" w:hAnsi="Times New Roman"/>
                <w:color w:val="000000"/>
                <w:sz w:val="20"/>
                <w:szCs w:val="20"/>
              </w:rPr>
              <w:t>Unsecured Notes and Debentures</w:t>
            </w:r>
          </w:p>
        </w:tc>
        <w:tc>
          <w:tcPr>
            <w:tcW w:w="0" w:type="auto"/>
            <w:gridSpan w:val="2"/>
            <w:shd w:val="clear" w:color="auto" w:fill="FFFFFF"/>
            <w:tcMar>
              <w:top w:w="40" w:type="dxa"/>
              <w:left w:w="20" w:type="dxa"/>
              <w:bottom w:w="40" w:type="dxa"/>
              <w:right w:w="0" w:type="dxa"/>
            </w:tcMar>
            <w:vAlign w:val="bottom"/>
          </w:tcPr>
          <w:p w14:paraId="7DCFFFB6" w14:textId="77777777" w:rsidR="00C1563E" w:rsidRDefault="000B648B">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DCFFFB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B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B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B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B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B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B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B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B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C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C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C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C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C5" w14:textId="77777777" w:rsidR="00C1563E" w:rsidRDefault="000B648B">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7DCFFFC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C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C8" w14:textId="77777777" w:rsidR="00C1563E" w:rsidRDefault="000B648B">
            <w:pPr>
              <w:jc w:val="right"/>
              <w:textAlignment w:val="bottom"/>
            </w:pPr>
            <w:r>
              <w:rPr>
                <w:rFonts w:ascii="Times New Roman" w:eastAsia="宋体" w:hAnsi="Times New Roman"/>
                <w:color w:val="000000"/>
                <w:sz w:val="20"/>
                <w:szCs w:val="20"/>
              </w:rPr>
              <w:t>1,352 </w:t>
            </w:r>
          </w:p>
        </w:tc>
        <w:tc>
          <w:tcPr>
            <w:tcW w:w="0" w:type="auto"/>
            <w:shd w:val="clear" w:color="auto" w:fill="FFFFFF"/>
            <w:tcMar>
              <w:top w:w="40" w:type="dxa"/>
              <w:left w:w="0" w:type="dxa"/>
              <w:bottom w:w="40" w:type="dxa"/>
              <w:right w:w="20" w:type="dxa"/>
            </w:tcMar>
            <w:vAlign w:val="bottom"/>
          </w:tcPr>
          <w:p w14:paraId="7DCFFFC9" w14:textId="77777777" w:rsidR="00C1563E" w:rsidRDefault="00C1563E">
            <w:pPr>
              <w:jc w:val="right"/>
              <w:rPr>
                <w:rFonts w:ascii="宋体"/>
              </w:rPr>
            </w:pPr>
          </w:p>
        </w:tc>
      </w:tr>
      <w:tr w:rsidR="00C1563E" w14:paraId="7DCFFFE0" w14:textId="77777777">
        <w:trPr>
          <w:jc w:val="center"/>
        </w:trPr>
        <w:tc>
          <w:tcPr>
            <w:tcW w:w="0" w:type="auto"/>
            <w:gridSpan w:val="3"/>
            <w:shd w:val="clear" w:color="auto" w:fill="CCEEFF"/>
            <w:tcMar>
              <w:top w:w="40" w:type="dxa"/>
              <w:left w:w="20" w:type="dxa"/>
              <w:bottom w:w="40" w:type="dxa"/>
              <w:right w:w="20" w:type="dxa"/>
            </w:tcMar>
            <w:vAlign w:val="bottom"/>
          </w:tcPr>
          <w:p w14:paraId="7DCFFFCB" w14:textId="77777777" w:rsidR="00C1563E" w:rsidRDefault="000B648B">
            <w:pPr>
              <w:textAlignment w:val="bottom"/>
            </w:pPr>
            <w:r>
              <w:rPr>
                <w:rFonts w:ascii="Times New Roman" w:eastAsia="宋体" w:hAnsi="Times New Roman"/>
                <w:color w:val="000000"/>
                <w:sz w:val="20"/>
                <w:szCs w:val="20"/>
              </w:rPr>
              <w:t>Senior Notes and EMC Notes</w:t>
            </w:r>
          </w:p>
        </w:tc>
        <w:tc>
          <w:tcPr>
            <w:tcW w:w="0" w:type="auto"/>
            <w:gridSpan w:val="2"/>
            <w:shd w:val="clear" w:color="auto" w:fill="CCEEFF"/>
            <w:tcMar>
              <w:top w:w="40" w:type="dxa"/>
              <w:left w:w="20" w:type="dxa"/>
              <w:bottom w:w="40" w:type="dxa"/>
              <w:right w:w="0" w:type="dxa"/>
            </w:tcMar>
            <w:vAlign w:val="bottom"/>
          </w:tcPr>
          <w:p w14:paraId="7DCFFFCC" w14:textId="77777777" w:rsidR="00C1563E" w:rsidRDefault="000B648B">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bottom"/>
          </w:tcPr>
          <w:p w14:paraId="7DCFFFC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C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C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FD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D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D2" w14:textId="77777777" w:rsidR="00C1563E" w:rsidRDefault="000B648B">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DCFFF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D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D5" w14:textId="77777777" w:rsidR="00C1563E" w:rsidRDefault="000B648B">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left w:w="0" w:type="dxa"/>
              <w:bottom w:w="40" w:type="dxa"/>
              <w:right w:w="20" w:type="dxa"/>
            </w:tcMar>
            <w:vAlign w:val="bottom"/>
          </w:tcPr>
          <w:p w14:paraId="7DCFFFD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D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D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FD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D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D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CFFFD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D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DE" w14:textId="77777777" w:rsidR="00C1563E" w:rsidRDefault="000B648B">
            <w:pPr>
              <w:jc w:val="right"/>
              <w:textAlignment w:val="bottom"/>
            </w:pPr>
            <w:r>
              <w:rPr>
                <w:rFonts w:ascii="Times New Roman" w:eastAsia="宋体" w:hAnsi="Times New Roman"/>
                <w:color w:val="000000"/>
                <w:sz w:val="20"/>
                <w:szCs w:val="20"/>
              </w:rPr>
              <w:t>3,700 </w:t>
            </w:r>
          </w:p>
        </w:tc>
        <w:tc>
          <w:tcPr>
            <w:tcW w:w="0" w:type="auto"/>
            <w:shd w:val="clear" w:color="auto" w:fill="CCEEFF"/>
            <w:tcMar>
              <w:top w:w="40" w:type="dxa"/>
              <w:left w:w="0" w:type="dxa"/>
              <w:bottom w:w="40" w:type="dxa"/>
              <w:right w:w="20" w:type="dxa"/>
            </w:tcMar>
            <w:vAlign w:val="bottom"/>
          </w:tcPr>
          <w:p w14:paraId="7DCFFFDF" w14:textId="77777777" w:rsidR="00C1563E" w:rsidRDefault="00C1563E">
            <w:pPr>
              <w:jc w:val="right"/>
              <w:rPr>
                <w:rFonts w:ascii="宋体"/>
              </w:rPr>
            </w:pPr>
          </w:p>
        </w:tc>
      </w:tr>
      <w:tr w:rsidR="00C1563E" w14:paraId="7DCFFFF6" w14:textId="77777777">
        <w:trPr>
          <w:jc w:val="center"/>
        </w:trPr>
        <w:tc>
          <w:tcPr>
            <w:tcW w:w="0" w:type="auto"/>
            <w:gridSpan w:val="3"/>
            <w:shd w:val="clear" w:color="auto" w:fill="FFFFFF"/>
            <w:tcMar>
              <w:top w:w="40" w:type="dxa"/>
              <w:left w:w="20" w:type="dxa"/>
              <w:bottom w:w="40" w:type="dxa"/>
              <w:right w:w="20" w:type="dxa"/>
            </w:tcMar>
            <w:vAlign w:val="bottom"/>
          </w:tcPr>
          <w:p w14:paraId="7DCFFFE1" w14:textId="77777777" w:rsidR="00C1563E" w:rsidRDefault="000B648B">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7DCFFFE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E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E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E5" w14:textId="77777777" w:rsidR="00C1563E" w:rsidRDefault="000B648B">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DCFFFE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E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E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E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E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E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CFFFE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E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EE" w14:textId="77777777" w:rsidR="00C1563E" w:rsidRDefault="000B648B">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DCFFFE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F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F1" w14:textId="77777777" w:rsidR="00C1563E" w:rsidRDefault="000B648B">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DCFFF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CFFFF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CFFFF4" w14:textId="77777777" w:rsidR="00C1563E" w:rsidRDefault="000B648B">
            <w:pPr>
              <w:jc w:val="right"/>
              <w:textAlignment w:val="bottom"/>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bottom"/>
          </w:tcPr>
          <w:p w14:paraId="7DCFFFF5" w14:textId="77777777" w:rsidR="00C1563E" w:rsidRDefault="00C1563E">
            <w:pPr>
              <w:jc w:val="right"/>
              <w:rPr>
                <w:rFonts w:ascii="宋体"/>
              </w:rPr>
            </w:pPr>
          </w:p>
        </w:tc>
      </w:tr>
      <w:tr w:rsidR="00C1563E" w14:paraId="7DD0000C" w14:textId="77777777">
        <w:trPr>
          <w:jc w:val="center"/>
        </w:trPr>
        <w:tc>
          <w:tcPr>
            <w:tcW w:w="0" w:type="auto"/>
            <w:gridSpan w:val="3"/>
            <w:shd w:val="clear" w:color="auto" w:fill="CCEEFF"/>
            <w:tcMar>
              <w:top w:w="40" w:type="dxa"/>
              <w:left w:w="20" w:type="dxa"/>
              <w:bottom w:w="40" w:type="dxa"/>
              <w:right w:w="20" w:type="dxa"/>
            </w:tcMar>
            <w:vAlign w:val="bottom"/>
          </w:tcPr>
          <w:p w14:paraId="7DCFFFF7" w14:textId="77777777" w:rsidR="00C1563E" w:rsidRDefault="000B648B">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7DCFFFF8" w14:textId="77777777" w:rsidR="00C1563E" w:rsidRDefault="000B648B">
            <w:pPr>
              <w:jc w:val="right"/>
              <w:textAlignment w:val="bottom"/>
            </w:pPr>
            <w:r>
              <w:rPr>
                <w:rFonts w:ascii="Times New Roman" w:eastAsia="宋体" w:hAnsi="Times New Roman"/>
                <w:color w:val="000000"/>
                <w:sz w:val="20"/>
                <w:szCs w:val="20"/>
              </w:rPr>
              <w:t>4,888 </w:t>
            </w:r>
          </w:p>
        </w:tc>
        <w:tc>
          <w:tcPr>
            <w:tcW w:w="0" w:type="auto"/>
            <w:shd w:val="clear" w:color="auto" w:fill="CCEEFF"/>
            <w:tcMar>
              <w:top w:w="40" w:type="dxa"/>
              <w:left w:w="0" w:type="dxa"/>
              <w:bottom w:w="40" w:type="dxa"/>
              <w:right w:w="20" w:type="dxa"/>
            </w:tcMar>
            <w:vAlign w:val="bottom"/>
          </w:tcPr>
          <w:p w14:paraId="7DCFFFF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F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FB" w14:textId="77777777" w:rsidR="00C1563E" w:rsidRDefault="000B648B">
            <w:pPr>
              <w:jc w:val="right"/>
              <w:textAlignment w:val="bottom"/>
            </w:pPr>
            <w:r>
              <w:rPr>
                <w:rFonts w:ascii="Times New Roman" w:eastAsia="宋体" w:hAnsi="Times New Roman"/>
                <w:color w:val="000000"/>
                <w:sz w:val="20"/>
                <w:szCs w:val="20"/>
              </w:rPr>
              <w:t>3,722 </w:t>
            </w:r>
          </w:p>
        </w:tc>
        <w:tc>
          <w:tcPr>
            <w:tcW w:w="0" w:type="auto"/>
            <w:shd w:val="clear" w:color="auto" w:fill="CCEEFF"/>
            <w:tcMar>
              <w:top w:w="40" w:type="dxa"/>
              <w:left w:w="0" w:type="dxa"/>
              <w:bottom w:w="40" w:type="dxa"/>
              <w:right w:w="20" w:type="dxa"/>
            </w:tcMar>
            <w:vAlign w:val="bottom"/>
          </w:tcPr>
          <w:p w14:paraId="7DCFFFF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CFFFF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CFFFFE" w14:textId="77777777" w:rsidR="00C1563E" w:rsidRDefault="000B648B">
            <w:pPr>
              <w:jc w:val="right"/>
              <w:textAlignment w:val="bottom"/>
            </w:pPr>
            <w:r>
              <w:rPr>
                <w:rFonts w:ascii="Times New Roman" w:eastAsia="宋体" w:hAnsi="Times New Roman"/>
                <w:color w:val="000000"/>
                <w:sz w:val="20"/>
                <w:szCs w:val="20"/>
              </w:rPr>
              <w:t>339 </w:t>
            </w:r>
          </w:p>
        </w:tc>
        <w:tc>
          <w:tcPr>
            <w:tcW w:w="0" w:type="auto"/>
            <w:shd w:val="clear" w:color="auto" w:fill="CCEEFF"/>
            <w:tcMar>
              <w:top w:w="40" w:type="dxa"/>
              <w:left w:w="0" w:type="dxa"/>
              <w:bottom w:w="40" w:type="dxa"/>
              <w:right w:w="20" w:type="dxa"/>
            </w:tcMar>
            <w:vAlign w:val="bottom"/>
          </w:tcPr>
          <w:p w14:paraId="7DCFFFF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0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01" w14:textId="77777777" w:rsidR="00C1563E" w:rsidRDefault="000B648B">
            <w:pPr>
              <w:jc w:val="right"/>
              <w:textAlignment w:val="bottom"/>
            </w:pPr>
            <w:r>
              <w:rPr>
                <w:rFonts w:ascii="Times New Roman" w:eastAsia="宋体" w:hAnsi="Times New Roman"/>
                <w:color w:val="000000"/>
                <w:sz w:val="20"/>
                <w:szCs w:val="20"/>
              </w:rPr>
              <w:t>7</w:t>
            </w:r>
            <w:r>
              <w:rPr>
                <w:rFonts w:ascii="Times New Roman" w:eastAsia="宋体" w:hAnsi="Times New Roman"/>
                <w:color w:val="000000"/>
                <w:sz w:val="20"/>
                <w:szCs w:val="20"/>
              </w:rPr>
              <w:t>09 </w:t>
            </w:r>
          </w:p>
        </w:tc>
        <w:tc>
          <w:tcPr>
            <w:tcW w:w="0" w:type="auto"/>
            <w:shd w:val="clear" w:color="auto" w:fill="CCEEFF"/>
            <w:tcMar>
              <w:top w:w="40" w:type="dxa"/>
              <w:left w:w="0" w:type="dxa"/>
              <w:bottom w:w="40" w:type="dxa"/>
              <w:right w:w="20" w:type="dxa"/>
            </w:tcMar>
            <w:vAlign w:val="bottom"/>
          </w:tcPr>
          <w:p w14:paraId="7DD0000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0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04" w14:textId="77777777" w:rsidR="00C1563E" w:rsidRDefault="000B648B">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DD0000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0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0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00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0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0A" w14:textId="77777777" w:rsidR="00C1563E" w:rsidRDefault="000B648B">
            <w:pPr>
              <w:jc w:val="right"/>
              <w:textAlignment w:val="bottom"/>
            </w:pPr>
            <w:r>
              <w:rPr>
                <w:rFonts w:ascii="Times New Roman" w:eastAsia="宋体" w:hAnsi="Times New Roman"/>
                <w:color w:val="000000"/>
                <w:sz w:val="20"/>
                <w:szCs w:val="20"/>
              </w:rPr>
              <w:t>9,666 </w:t>
            </w:r>
          </w:p>
        </w:tc>
        <w:tc>
          <w:tcPr>
            <w:tcW w:w="0" w:type="auto"/>
            <w:shd w:val="clear" w:color="auto" w:fill="CCEEFF"/>
            <w:tcMar>
              <w:top w:w="40" w:type="dxa"/>
              <w:left w:w="0" w:type="dxa"/>
              <w:bottom w:w="40" w:type="dxa"/>
              <w:right w:w="20" w:type="dxa"/>
            </w:tcMar>
            <w:vAlign w:val="bottom"/>
          </w:tcPr>
          <w:p w14:paraId="7DD0000B" w14:textId="77777777" w:rsidR="00C1563E" w:rsidRDefault="00C1563E">
            <w:pPr>
              <w:jc w:val="right"/>
              <w:rPr>
                <w:rFonts w:ascii="宋体"/>
              </w:rPr>
            </w:pPr>
          </w:p>
        </w:tc>
      </w:tr>
      <w:tr w:rsidR="00C1563E" w14:paraId="7DD00022" w14:textId="77777777">
        <w:trPr>
          <w:jc w:val="center"/>
        </w:trPr>
        <w:tc>
          <w:tcPr>
            <w:tcW w:w="0" w:type="auto"/>
            <w:gridSpan w:val="3"/>
            <w:shd w:val="clear" w:color="auto" w:fill="FFFFFF"/>
            <w:tcMar>
              <w:top w:w="40" w:type="dxa"/>
              <w:left w:w="20" w:type="dxa"/>
              <w:bottom w:w="40" w:type="dxa"/>
              <w:right w:w="20" w:type="dxa"/>
            </w:tcMar>
            <w:vAlign w:val="bottom"/>
          </w:tcPr>
          <w:p w14:paraId="7DD0000D" w14:textId="77777777" w:rsidR="00C1563E" w:rsidRDefault="000B648B">
            <w:pPr>
              <w:textAlignment w:val="bottom"/>
            </w:pPr>
            <w:r>
              <w:rPr>
                <w:rFonts w:ascii="Times New Roman" w:eastAsia="宋体" w:hAnsi="Times New Roman"/>
                <w:color w:val="000000"/>
                <w:sz w:val="20"/>
                <w:szCs w:val="20"/>
              </w:rPr>
              <w:t>Margin Loan Facility</w:t>
            </w:r>
          </w:p>
        </w:tc>
        <w:tc>
          <w:tcPr>
            <w:tcW w:w="0" w:type="auto"/>
            <w:gridSpan w:val="2"/>
            <w:shd w:val="clear" w:color="auto" w:fill="FFFFFF"/>
            <w:tcMar>
              <w:top w:w="40" w:type="dxa"/>
              <w:left w:w="20" w:type="dxa"/>
              <w:bottom w:w="40" w:type="dxa"/>
              <w:right w:w="0" w:type="dxa"/>
            </w:tcMar>
            <w:vAlign w:val="bottom"/>
          </w:tcPr>
          <w:p w14:paraId="7DD0000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0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11" w14:textId="77777777" w:rsidR="00C1563E" w:rsidRDefault="000B648B">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DD0001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1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01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1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01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1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01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1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01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1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020" w14:textId="77777777" w:rsidR="00C1563E" w:rsidRDefault="000B648B">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DD00021" w14:textId="77777777" w:rsidR="00C1563E" w:rsidRDefault="00C1563E">
            <w:pPr>
              <w:jc w:val="right"/>
              <w:rPr>
                <w:rFonts w:ascii="宋体"/>
              </w:rPr>
            </w:pPr>
          </w:p>
        </w:tc>
      </w:tr>
      <w:tr w:rsidR="00C1563E" w14:paraId="7DD00038" w14:textId="77777777">
        <w:trPr>
          <w:jc w:val="center"/>
        </w:trPr>
        <w:tc>
          <w:tcPr>
            <w:tcW w:w="0" w:type="auto"/>
            <w:gridSpan w:val="3"/>
            <w:shd w:val="clear" w:color="auto" w:fill="CCEEFF"/>
            <w:tcMar>
              <w:top w:w="40" w:type="dxa"/>
              <w:left w:w="20" w:type="dxa"/>
              <w:bottom w:w="40" w:type="dxa"/>
              <w:right w:w="20" w:type="dxa"/>
            </w:tcMar>
            <w:vAlign w:val="bottom"/>
          </w:tcPr>
          <w:p w14:paraId="7DD00023"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0024"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D0002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2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27" w14:textId="77777777" w:rsidR="00C1563E" w:rsidRDefault="000B648B">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DD0002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2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2A" w14:textId="77777777" w:rsidR="00C1563E" w:rsidRDefault="000B648B">
            <w:pPr>
              <w:jc w:val="right"/>
              <w:textAlignment w:val="bottom"/>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bottom"/>
          </w:tcPr>
          <w:p w14:paraId="7DD0002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2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2D" w14:textId="77777777" w:rsidR="00C1563E" w:rsidRDefault="000B648B">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DD0002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2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30"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DD0003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3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33" w14:textId="77777777" w:rsidR="00C1563E" w:rsidRDefault="000B648B">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DD0003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3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36" w14:textId="77777777" w:rsidR="00C1563E" w:rsidRDefault="000B648B">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7DD00037" w14:textId="77777777" w:rsidR="00C1563E" w:rsidRDefault="00C1563E">
            <w:pPr>
              <w:jc w:val="right"/>
              <w:rPr>
                <w:rFonts w:ascii="宋体"/>
              </w:rPr>
            </w:pPr>
          </w:p>
        </w:tc>
      </w:tr>
      <w:tr w:rsidR="00C1563E" w14:paraId="7DD0004E" w14:textId="77777777">
        <w:trPr>
          <w:jc w:val="center"/>
        </w:trPr>
        <w:tc>
          <w:tcPr>
            <w:tcW w:w="0" w:type="auto"/>
            <w:gridSpan w:val="3"/>
            <w:shd w:val="clear" w:color="auto" w:fill="FFFFFF"/>
            <w:tcMar>
              <w:top w:w="40" w:type="dxa"/>
              <w:left w:w="155" w:type="dxa"/>
              <w:bottom w:w="40" w:type="dxa"/>
              <w:right w:w="20" w:type="dxa"/>
            </w:tcMar>
            <w:vAlign w:val="bottom"/>
          </w:tcPr>
          <w:p w14:paraId="7DD00039" w14:textId="77777777" w:rsidR="00C1563E" w:rsidRDefault="000B648B">
            <w:pPr>
              <w:textAlignment w:val="bottom"/>
            </w:pPr>
            <w:r>
              <w:rPr>
                <w:rFonts w:ascii="Times New Roman" w:eastAsia="宋体" w:hAnsi="Times New Roman"/>
                <w:color w:val="000000"/>
                <w:sz w:val="20"/>
                <w:szCs w:val="20"/>
              </w:rPr>
              <w:t>Total maturities, princ</w:t>
            </w:r>
            <w:r>
              <w:rPr>
                <w:rFonts w:ascii="Times New Roman" w:eastAsia="宋体" w:hAnsi="Times New Roman"/>
                <w:color w:val="000000"/>
                <w:sz w:val="20"/>
                <w:szCs w:val="20"/>
              </w:rPr>
              <w:t>ipal amount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3A" w14:textId="77777777" w:rsidR="00C1563E" w:rsidRDefault="000B648B">
            <w:pPr>
              <w:jc w:val="right"/>
              <w:textAlignment w:val="bottom"/>
            </w:pPr>
            <w:r>
              <w:rPr>
                <w:rFonts w:ascii="Times New Roman" w:eastAsia="宋体" w:hAnsi="Times New Roman"/>
                <w:color w:val="000000"/>
                <w:sz w:val="20"/>
                <w:szCs w:val="20"/>
              </w:rPr>
              <w:t>6,374 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3C"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3D" w14:textId="77777777" w:rsidR="00C1563E" w:rsidRDefault="000B648B">
            <w:pPr>
              <w:jc w:val="right"/>
              <w:textAlignment w:val="bottom"/>
            </w:pPr>
            <w:r>
              <w:rPr>
                <w:rFonts w:ascii="Times New Roman" w:eastAsia="宋体" w:hAnsi="Times New Roman"/>
                <w:color w:val="000000"/>
                <w:sz w:val="20"/>
                <w:szCs w:val="20"/>
              </w:rPr>
              <w:t>9,475 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3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3F"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40" w14:textId="77777777" w:rsidR="00C1563E" w:rsidRDefault="000B648B">
            <w:pPr>
              <w:jc w:val="right"/>
              <w:textAlignment w:val="bottom"/>
            </w:pPr>
            <w:r>
              <w:rPr>
                <w:rFonts w:ascii="Times New Roman" w:eastAsia="宋体" w:hAnsi="Times New Roman"/>
                <w:color w:val="000000"/>
                <w:sz w:val="20"/>
                <w:szCs w:val="20"/>
              </w:rPr>
              <w:t>7,534 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4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42"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43" w14:textId="77777777" w:rsidR="00C1563E" w:rsidRDefault="000B648B">
            <w:pPr>
              <w:jc w:val="right"/>
              <w:textAlignment w:val="bottom"/>
            </w:pPr>
            <w:r>
              <w:rPr>
                <w:rFonts w:ascii="Times New Roman" w:eastAsia="宋体" w:hAnsi="Times New Roman"/>
                <w:color w:val="000000"/>
                <w:sz w:val="20"/>
                <w:szCs w:val="20"/>
              </w:rPr>
              <w:t>4,115 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4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45"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46" w14:textId="77777777" w:rsidR="00C1563E" w:rsidRDefault="000B648B">
            <w:pPr>
              <w:jc w:val="right"/>
              <w:textAlignment w:val="bottom"/>
            </w:pPr>
            <w:r>
              <w:rPr>
                <w:rFonts w:ascii="Times New Roman" w:eastAsia="宋体" w:hAnsi="Times New Roman"/>
                <w:color w:val="000000"/>
                <w:sz w:val="20"/>
                <w:szCs w:val="20"/>
              </w:rPr>
              <w:t>4,756 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4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48"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49" w14:textId="77777777" w:rsidR="00C1563E" w:rsidRDefault="000B648B">
            <w:pPr>
              <w:jc w:val="right"/>
              <w:textAlignment w:val="bottom"/>
            </w:pPr>
            <w:r>
              <w:rPr>
                <w:rFonts w:ascii="Times New Roman" w:eastAsia="宋体" w:hAnsi="Times New Roman"/>
                <w:color w:val="000000"/>
                <w:sz w:val="20"/>
                <w:szCs w:val="20"/>
              </w:rPr>
              <w:t>16,226 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4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4B"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04C" w14:textId="77777777" w:rsidR="00C1563E" w:rsidRDefault="000B648B">
            <w:pPr>
              <w:jc w:val="right"/>
              <w:textAlignment w:val="bottom"/>
            </w:pPr>
            <w:r>
              <w:rPr>
                <w:rFonts w:ascii="Times New Roman" w:eastAsia="宋体" w:hAnsi="Times New Roman"/>
                <w:color w:val="000000"/>
                <w:sz w:val="20"/>
                <w:szCs w:val="20"/>
              </w:rPr>
              <w:t>48,480 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4D" w14:textId="77777777" w:rsidR="00C1563E" w:rsidRDefault="00C1563E">
            <w:pPr>
              <w:jc w:val="right"/>
              <w:rPr>
                <w:rFonts w:ascii="宋体"/>
              </w:rPr>
            </w:pPr>
          </w:p>
        </w:tc>
      </w:tr>
      <w:tr w:rsidR="00C1563E" w14:paraId="7DD00064" w14:textId="77777777">
        <w:trPr>
          <w:jc w:val="center"/>
        </w:trPr>
        <w:tc>
          <w:tcPr>
            <w:tcW w:w="0" w:type="auto"/>
            <w:gridSpan w:val="3"/>
            <w:shd w:val="clear" w:color="auto" w:fill="CCEEFF"/>
            <w:tcMar>
              <w:top w:w="40" w:type="dxa"/>
              <w:left w:w="260" w:type="dxa"/>
              <w:bottom w:w="40" w:type="dxa"/>
              <w:right w:w="20" w:type="dxa"/>
            </w:tcMar>
            <w:vAlign w:val="bottom"/>
          </w:tcPr>
          <w:p w14:paraId="7DD0004F" w14:textId="77777777" w:rsidR="00C1563E" w:rsidRDefault="000B648B">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CCEEFF"/>
            <w:tcMar>
              <w:top w:w="40" w:type="dxa"/>
              <w:left w:w="20" w:type="dxa"/>
              <w:bottom w:w="40" w:type="dxa"/>
              <w:right w:w="0" w:type="dxa"/>
            </w:tcMar>
            <w:vAlign w:val="bottom"/>
          </w:tcPr>
          <w:p w14:paraId="7DD00050" w14:textId="77777777" w:rsidR="00C1563E" w:rsidRDefault="000B648B">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7DD0005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5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53" w14:textId="77777777" w:rsidR="00C1563E" w:rsidRDefault="000B648B">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7DD0005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5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56" w14:textId="77777777" w:rsidR="00C1563E" w:rsidRDefault="000B648B">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7DD0005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5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59" w14:textId="77777777" w:rsidR="00C1563E" w:rsidRDefault="000B648B">
            <w:pPr>
              <w:jc w:val="right"/>
              <w:textAlignment w:val="bottom"/>
            </w:pPr>
            <w:r>
              <w:rPr>
                <w:rFonts w:ascii="Times New Roman" w:eastAsia="宋体" w:hAnsi="Times New Roman"/>
                <w:color w:val="000000"/>
                <w:sz w:val="20"/>
                <w:szCs w:val="20"/>
              </w:rPr>
              <w:t>(74)</w:t>
            </w:r>
          </w:p>
        </w:tc>
        <w:tc>
          <w:tcPr>
            <w:tcW w:w="0" w:type="auto"/>
            <w:shd w:val="clear" w:color="auto" w:fill="CCEEFF"/>
            <w:tcMar>
              <w:top w:w="40" w:type="dxa"/>
              <w:left w:w="0" w:type="dxa"/>
              <w:bottom w:w="40" w:type="dxa"/>
              <w:right w:w="20" w:type="dxa"/>
            </w:tcMar>
            <w:vAlign w:val="bottom"/>
          </w:tcPr>
          <w:p w14:paraId="7DD0005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5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5C" w14:textId="77777777" w:rsidR="00C1563E" w:rsidRDefault="000B648B">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7DD0005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5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5F" w14:textId="77777777" w:rsidR="00C1563E" w:rsidRDefault="000B648B">
            <w:pPr>
              <w:jc w:val="right"/>
              <w:textAlignment w:val="bottom"/>
            </w:pPr>
            <w:r>
              <w:rPr>
                <w:rFonts w:ascii="Times New Roman" w:eastAsia="宋体" w:hAnsi="Times New Roman"/>
                <w:color w:val="000000"/>
                <w:sz w:val="20"/>
                <w:szCs w:val="20"/>
              </w:rPr>
              <w:t>(316)</w:t>
            </w:r>
          </w:p>
        </w:tc>
        <w:tc>
          <w:tcPr>
            <w:tcW w:w="0" w:type="auto"/>
            <w:shd w:val="clear" w:color="auto" w:fill="CCEEFF"/>
            <w:tcMar>
              <w:top w:w="40" w:type="dxa"/>
              <w:left w:w="0" w:type="dxa"/>
              <w:bottom w:w="40" w:type="dxa"/>
              <w:right w:w="20" w:type="dxa"/>
            </w:tcMar>
            <w:vAlign w:val="bottom"/>
          </w:tcPr>
          <w:p w14:paraId="7DD000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6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62" w14:textId="77777777" w:rsidR="00C1563E" w:rsidRDefault="000B648B">
            <w:pPr>
              <w:jc w:val="right"/>
              <w:textAlignment w:val="bottom"/>
            </w:pPr>
            <w:r>
              <w:rPr>
                <w:rFonts w:ascii="Times New Roman" w:eastAsia="宋体" w:hAnsi="Times New Roman"/>
                <w:color w:val="000000"/>
                <w:sz w:val="20"/>
                <w:szCs w:val="20"/>
              </w:rPr>
              <w:t>(496)</w:t>
            </w:r>
          </w:p>
        </w:tc>
        <w:tc>
          <w:tcPr>
            <w:tcW w:w="0" w:type="auto"/>
            <w:shd w:val="clear" w:color="auto" w:fill="CCEEFF"/>
            <w:tcMar>
              <w:top w:w="40" w:type="dxa"/>
              <w:left w:w="0" w:type="dxa"/>
              <w:bottom w:w="40" w:type="dxa"/>
              <w:right w:w="20" w:type="dxa"/>
            </w:tcMar>
            <w:vAlign w:val="bottom"/>
          </w:tcPr>
          <w:p w14:paraId="7DD00063" w14:textId="77777777" w:rsidR="00C1563E" w:rsidRDefault="00C1563E">
            <w:pPr>
              <w:jc w:val="right"/>
              <w:rPr>
                <w:rFonts w:ascii="宋体"/>
              </w:rPr>
            </w:pPr>
          </w:p>
        </w:tc>
      </w:tr>
      <w:tr w:rsidR="00C1563E" w14:paraId="7DD00081" w14:textId="77777777">
        <w:trPr>
          <w:jc w:val="center"/>
        </w:trPr>
        <w:tc>
          <w:tcPr>
            <w:tcW w:w="0" w:type="auto"/>
            <w:gridSpan w:val="3"/>
            <w:shd w:val="clear" w:color="auto" w:fill="FFFFFF"/>
            <w:tcMar>
              <w:top w:w="40" w:type="dxa"/>
              <w:left w:w="155" w:type="dxa"/>
              <w:bottom w:w="40" w:type="dxa"/>
              <w:right w:w="20" w:type="dxa"/>
            </w:tcMar>
            <w:vAlign w:val="bottom"/>
          </w:tcPr>
          <w:p w14:paraId="7DD00065" w14:textId="77777777" w:rsidR="00C1563E" w:rsidRDefault="000B648B">
            <w:pPr>
              <w:textAlignment w:val="bottom"/>
            </w:pPr>
            <w:r>
              <w:rPr>
                <w:rFonts w:ascii="Times New Roman" w:eastAsia="宋体" w:hAnsi="Times New Roman"/>
                <w:color w:val="000000"/>
                <w:sz w:val="20"/>
                <w:szCs w:val="20"/>
              </w:rPr>
              <w:t>Total maturities, carrying val</w:t>
            </w:r>
            <w:r>
              <w:rPr>
                <w:rFonts w:ascii="Times New Roman" w:eastAsia="宋体" w:hAnsi="Times New Roman"/>
                <w:color w:val="000000"/>
                <w:sz w:val="20"/>
                <w:szCs w:val="20"/>
              </w:rPr>
              <w:t>ue amount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6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67" w14:textId="77777777" w:rsidR="00C1563E" w:rsidRDefault="000B648B">
            <w:pPr>
              <w:jc w:val="right"/>
              <w:textAlignment w:val="bottom"/>
            </w:pPr>
            <w:r>
              <w:rPr>
                <w:rFonts w:ascii="Times New Roman" w:eastAsia="宋体" w:hAnsi="Times New Roman"/>
                <w:color w:val="000000"/>
                <w:sz w:val="20"/>
                <w:szCs w:val="20"/>
              </w:rPr>
              <w:t>6,362 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6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6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6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6B" w14:textId="77777777" w:rsidR="00C1563E" w:rsidRDefault="000B648B">
            <w:pPr>
              <w:jc w:val="right"/>
              <w:textAlignment w:val="bottom"/>
            </w:pPr>
            <w:r>
              <w:rPr>
                <w:rFonts w:ascii="Times New Roman" w:eastAsia="宋体" w:hAnsi="Times New Roman"/>
                <w:color w:val="000000"/>
                <w:sz w:val="20"/>
                <w:szCs w:val="20"/>
              </w:rPr>
              <w:t>9,458 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6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6D"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6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6F" w14:textId="77777777" w:rsidR="00C1563E" w:rsidRDefault="000B648B">
            <w:pPr>
              <w:jc w:val="right"/>
              <w:textAlignment w:val="bottom"/>
            </w:pPr>
            <w:r>
              <w:rPr>
                <w:rFonts w:ascii="Times New Roman" w:eastAsia="宋体" w:hAnsi="Times New Roman"/>
                <w:color w:val="000000"/>
                <w:sz w:val="20"/>
                <w:szCs w:val="20"/>
              </w:rPr>
              <w:t>7,501 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71"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7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73" w14:textId="77777777" w:rsidR="00C1563E" w:rsidRDefault="000B648B">
            <w:pPr>
              <w:jc w:val="right"/>
              <w:textAlignment w:val="bottom"/>
            </w:pPr>
            <w:r>
              <w:rPr>
                <w:rFonts w:ascii="Times New Roman" w:eastAsia="宋体" w:hAnsi="Times New Roman"/>
                <w:color w:val="000000"/>
                <w:sz w:val="20"/>
                <w:szCs w:val="20"/>
              </w:rPr>
              <w:t>4,041 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7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75"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7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77" w14:textId="77777777" w:rsidR="00C1563E" w:rsidRDefault="000B648B">
            <w:pPr>
              <w:jc w:val="right"/>
              <w:textAlignment w:val="bottom"/>
            </w:pPr>
            <w:r>
              <w:rPr>
                <w:rFonts w:ascii="Times New Roman" w:eastAsia="宋体" w:hAnsi="Times New Roman"/>
                <w:color w:val="000000"/>
                <w:sz w:val="20"/>
                <w:szCs w:val="20"/>
              </w:rPr>
              <w:t>4,712 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7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7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7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7B" w14:textId="77777777" w:rsidR="00C1563E" w:rsidRDefault="000B648B">
            <w:pPr>
              <w:jc w:val="right"/>
              <w:textAlignment w:val="bottom"/>
            </w:pPr>
            <w:r>
              <w:rPr>
                <w:rFonts w:ascii="Times New Roman" w:eastAsia="宋体" w:hAnsi="Times New Roman"/>
                <w:color w:val="000000"/>
                <w:sz w:val="20"/>
                <w:szCs w:val="20"/>
              </w:rPr>
              <w:t>15,910 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7D"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07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07F" w14:textId="77777777" w:rsidR="00C1563E" w:rsidRDefault="000B648B">
            <w:pPr>
              <w:jc w:val="right"/>
              <w:textAlignment w:val="bottom"/>
            </w:pPr>
            <w:r>
              <w:rPr>
                <w:rFonts w:ascii="Times New Roman" w:eastAsia="宋体" w:hAnsi="Times New Roman"/>
                <w:color w:val="000000"/>
                <w:sz w:val="20"/>
                <w:szCs w:val="20"/>
              </w:rPr>
              <w:t>47,984 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080" w14:textId="77777777" w:rsidR="00C1563E" w:rsidRDefault="00C1563E">
            <w:pPr>
              <w:jc w:val="right"/>
              <w:rPr>
                <w:rFonts w:ascii="宋体"/>
              </w:rPr>
            </w:pPr>
          </w:p>
        </w:tc>
      </w:tr>
    </w:tbl>
    <w:p w14:paraId="7DD00082" w14:textId="77777777" w:rsidR="00C1563E" w:rsidRDefault="00C1563E"/>
    <w:p w14:paraId="7DD00083" w14:textId="77777777" w:rsidR="00C1563E" w:rsidRDefault="000B648B">
      <w:r>
        <w:rPr>
          <w:rFonts w:ascii="Times New Roman" w:eastAsia="宋体" w:hAnsi="Times New Roman"/>
          <w:i/>
          <w:iCs/>
          <w:color w:val="000000"/>
          <w:sz w:val="20"/>
          <w:szCs w:val="20"/>
        </w:rPr>
        <w:t>Covenants and Unrestricted Net Assets</w:t>
      </w:r>
      <w:r>
        <w:rPr>
          <w:rFonts w:ascii="Times New Roman" w:eastAsia="宋体" w:hAnsi="Times New Roman"/>
          <w:color w:val="000000"/>
          <w:sz w:val="20"/>
          <w:szCs w:val="20"/>
        </w:rPr>
        <w:t xml:space="preserve"> </w:t>
      </w:r>
      <w:r>
        <w:rPr>
          <w:rFonts w:ascii="Times New Roman" w:eastAsia="宋体" w:hAnsi="Times New Roman"/>
          <w:b/>
          <w:bCs/>
          <w:i/>
          <w:iCs/>
          <w:color w:val="000000"/>
          <w:sz w:val="20"/>
          <w:szCs w:val="20"/>
        </w:rPr>
        <w:t>—</w:t>
      </w:r>
      <w:r>
        <w:rPr>
          <w:rFonts w:ascii="Times New Roman" w:eastAsia="宋体" w:hAnsi="Times New Roman"/>
          <w:color w:val="000000"/>
          <w:sz w:val="20"/>
          <w:szCs w:val="20"/>
        </w:rPr>
        <w:t xml:space="preserve"> The credit agreement for th</w:t>
      </w:r>
      <w:r>
        <w:rPr>
          <w:rFonts w:ascii="Times New Roman" w:eastAsia="宋体" w:hAnsi="Times New Roman"/>
          <w:color w:val="000000"/>
          <w:sz w:val="20"/>
          <w:szCs w:val="20"/>
        </w:rPr>
        <w:t xml:space="preserve">e Senior Secured Credit Facilities contains customary negative covenants that generally limit the ability of Denali Intermediate Inc., a wholly-owned subsidiary of Dell Technologies, Dell, and Dell’s and Denali Intermediate’s other restricted subsidiaries </w:t>
      </w:r>
      <w:r>
        <w:rPr>
          <w:rFonts w:ascii="Times New Roman" w:eastAsia="宋体" w:hAnsi="Times New Roman"/>
          <w:color w:val="000000"/>
          <w:sz w:val="20"/>
          <w:szCs w:val="20"/>
        </w:rPr>
        <w:t>to incur debt, create liens, make fundamental changes, enter into asset sales, make certain investments, pay dividends or distribute or redeem certain equity interests, prepay or redeem certain debt, and enter into certain transactions with affiliates. The</w:t>
      </w:r>
      <w:r>
        <w:rPr>
          <w:rFonts w:ascii="Times New Roman" w:eastAsia="宋体" w:hAnsi="Times New Roman"/>
          <w:color w:val="000000"/>
          <w:sz w:val="20"/>
          <w:szCs w:val="20"/>
        </w:rPr>
        <w:t xml:space="preserve"> indenture governing the Senior Notes contains customary negative covenants that generally limit the ability of Denali Intermediate, Dell, and Dell’s and Denali Intermediate’s other restricted subsidiaries to incur additional debt or issue certain preferre</w:t>
      </w:r>
      <w:r>
        <w:rPr>
          <w:rFonts w:ascii="Times New Roman" w:eastAsia="宋体" w:hAnsi="Times New Roman"/>
          <w:color w:val="000000"/>
          <w:sz w:val="20"/>
          <w:szCs w:val="20"/>
        </w:rPr>
        <w:t>d shares, pay dividends on or make other distributions in respect of capital stock or make other restricted payments, make certain investments, sell or transfer certain assets, create liens on certain assets to secure debt, consolidate, merge, sell, or oth</w:t>
      </w:r>
      <w:r>
        <w:rPr>
          <w:rFonts w:ascii="Times New Roman" w:eastAsia="宋体" w:hAnsi="Times New Roman"/>
          <w:color w:val="000000"/>
          <w:sz w:val="20"/>
          <w:szCs w:val="20"/>
        </w:rPr>
        <w:t>erwise dispose of all or substantially all assets, enter into certain transactions with affiliates, and designate subsidiaries as unrestricted subsidiaries. The negative covenants under such credit agreements and indenture are subject to certain exceptions</w:t>
      </w:r>
      <w:r>
        <w:rPr>
          <w:rFonts w:ascii="Times New Roman" w:eastAsia="宋体" w:hAnsi="Times New Roman"/>
          <w:color w:val="000000"/>
          <w:sz w:val="20"/>
          <w:szCs w:val="20"/>
        </w:rPr>
        <w:t>, qualifications, and “baskets.” The indentures governing the First Lien Notes, the Unsecured Notes and Debentures, and the EMC Notes variously impose limitations, subject to specified exceptions, on creating certain liens, entering into sale and lease-bac</w:t>
      </w:r>
      <w:r>
        <w:rPr>
          <w:rFonts w:ascii="Times New Roman" w:eastAsia="宋体" w:hAnsi="Times New Roman"/>
          <w:color w:val="000000"/>
          <w:sz w:val="20"/>
          <w:szCs w:val="20"/>
        </w:rPr>
        <w:t>k transactions, and entering into certain asset sales. The foregoing credit agreements and indentures contain customary events of default, including failure to make required payments, failure to comply with covenants, and the occurrence of certain events o</w:t>
      </w:r>
      <w:r>
        <w:rPr>
          <w:rFonts w:ascii="Times New Roman" w:eastAsia="宋体" w:hAnsi="Times New Roman"/>
          <w:color w:val="000000"/>
          <w:sz w:val="20"/>
          <w:szCs w:val="20"/>
        </w:rPr>
        <w:t>f bankruptcy and insolvency.</w:t>
      </w:r>
    </w:p>
    <w:p w14:paraId="7DD00084" w14:textId="77777777" w:rsidR="00C1563E" w:rsidRDefault="00C1563E"/>
    <w:p w14:paraId="7DD00085" w14:textId="77777777" w:rsidR="00C1563E" w:rsidRDefault="000B648B">
      <w:r>
        <w:rPr>
          <w:rFonts w:ascii="Times New Roman" w:eastAsia="宋体" w:hAnsi="Times New Roman"/>
          <w:color w:val="000000"/>
          <w:sz w:val="20"/>
          <w:szCs w:val="20"/>
        </w:rPr>
        <w:t>As of January 29, 2021, the Company had certain consolidated subsidiaries that were designated as unrestricted subsidiaries for all purposes of the applicable credit agreements and the indentures governing the First Lien Notes</w:t>
      </w:r>
      <w:r>
        <w:rPr>
          <w:rFonts w:ascii="Times New Roman" w:eastAsia="宋体" w:hAnsi="Times New Roman"/>
          <w:color w:val="000000"/>
          <w:sz w:val="20"/>
          <w:szCs w:val="20"/>
        </w:rPr>
        <w:t xml:space="preserve"> and the Senior Notes. Substantially all of the net assets of the Company’s consolidated subsidiaries were restricted, with the exception of the Company’s unrestricted subsidiaries, primarily VMware Inc., Secureworks, and their respective subsidiaries, as </w:t>
      </w:r>
      <w:r>
        <w:rPr>
          <w:rFonts w:ascii="Times New Roman" w:eastAsia="宋体" w:hAnsi="Times New Roman"/>
          <w:color w:val="000000"/>
          <w:sz w:val="20"/>
          <w:szCs w:val="20"/>
        </w:rPr>
        <w:t xml:space="preserve">of January 29, 2021. </w:t>
      </w:r>
    </w:p>
    <w:p w14:paraId="7DD00086" w14:textId="77777777" w:rsidR="00C1563E" w:rsidRDefault="00C1563E"/>
    <w:p w14:paraId="7DD00087" w14:textId="77777777" w:rsidR="00C1563E" w:rsidRDefault="000B648B">
      <w:r>
        <w:rPr>
          <w:rFonts w:ascii="Times New Roman" w:eastAsia="宋体" w:hAnsi="Times New Roman"/>
          <w:color w:val="000000"/>
          <w:sz w:val="20"/>
          <w:szCs w:val="20"/>
        </w:rPr>
        <w:t>The Term Loan A-6 Facility and the Revolving Credit Facility are subject to a first lien leverage ratio covenant that is tested at the end of each fiscal quarter of Dell with respect to Dell’s preceding four fiscal quarters. The Comp</w:t>
      </w:r>
      <w:r>
        <w:rPr>
          <w:rFonts w:ascii="Times New Roman" w:eastAsia="宋体" w:hAnsi="Times New Roman"/>
          <w:color w:val="000000"/>
          <w:sz w:val="20"/>
          <w:szCs w:val="20"/>
        </w:rPr>
        <w:t>any was in compliance with all financial covenants as of January 29, 2021.</w:t>
      </w:r>
    </w:p>
    <w:p w14:paraId="7DD00088" w14:textId="77777777" w:rsidR="00C1563E" w:rsidRDefault="00C1563E"/>
    <w:p w14:paraId="7DD00089" w14:textId="77777777" w:rsidR="00C1563E" w:rsidRDefault="00C1563E">
      <w:pPr>
        <w:jc w:val="center"/>
      </w:pPr>
    </w:p>
    <w:p w14:paraId="7DD0008A" w14:textId="77777777" w:rsidR="00C1563E" w:rsidRDefault="000B648B">
      <w:pPr>
        <w:jc w:val="center"/>
      </w:pPr>
      <w:r>
        <w:rPr>
          <w:rFonts w:ascii="Times New Roman" w:eastAsia="宋体" w:hAnsi="Times New Roman"/>
          <w:color w:val="000000"/>
          <w:sz w:val="20"/>
          <w:szCs w:val="20"/>
        </w:rPr>
        <w:t>114</w:t>
      </w:r>
    </w:p>
    <w:p w14:paraId="7DD0008B" w14:textId="77777777" w:rsidR="00C1563E" w:rsidRDefault="00C1563E">
      <w:pPr>
        <w:jc w:val="center"/>
      </w:pPr>
    </w:p>
    <w:p w14:paraId="7DD0008C" w14:textId="77777777" w:rsidR="00C1563E" w:rsidRDefault="000B648B">
      <w:r>
        <w:pict w14:anchorId="7DD025DC">
          <v:rect id="_x0000_i1138" style="width:415.3pt;height:1.5pt" o:hralign="center" o:hrstd="t" o:hr="t" fillcolor="#a0a0a0" stroked="f"/>
        </w:pict>
      </w:r>
    </w:p>
    <w:p w14:paraId="7DD0008D" w14:textId="77777777" w:rsidR="00C1563E" w:rsidRDefault="000B648B">
      <w:hyperlink r:id="rId297" w:anchor="i418e32e4a35149ffbf7d3a25d66881b8_10" w:history="1">
        <w:r>
          <w:rPr>
            <w:rStyle w:val="a5"/>
            <w:rFonts w:ascii="Times New Roman" w:eastAsia="宋体" w:hAnsi="Times New Roman"/>
            <w:sz w:val="20"/>
            <w:szCs w:val="20"/>
          </w:rPr>
          <w:t>Table of Contents</w:t>
        </w:r>
      </w:hyperlink>
    </w:p>
    <w:p w14:paraId="7DD0008E" w14:textId="77777777" w:rsidR="00C1563E" w:rsidRDefault="000B648B">
      <w:r>
        <w:rPr>
          <w:rFonts w:ascii="Times New Roman" w:eastAsia="宋体" w:hAnsi="Times New Roman"/>
          <w:b/>
          <w:bCs/>
          <w:color w:val="000000"/>
          <w:sz w:val="20"/>
          <w:szCs w:val="20"/>
        </w:rPr>
        <w:t xml:space="preserve">NOTE 7 — DERIVATIVE INSTRUMENTS AND HEDGING ACTIVITIES </w:t>
      </w:r>
    </w:p>
    <w:p w14:paraId="7DD0008F" w14:textId="77777777" w:rsidR="00C1563E" w:rsidRDefault="00C1563E"/>
    <w:p w14:paraId="7DD00090" w14:textId="77777777" w:rsidR="00C1563E" w:rsidRDefault="000B648B">
      <w:r>
        <w:rPr>
          <w:rFonts w:ascii="Times New Roman" w:eastAsia="宋体" w:hAnsi="Times New Roman"/>
          <w:color w:val="000000"/>
          <w:sz w:val="20"/>
          <w:szCs w:val="20"/>
        </w:rPr>
        <w:t>As part of its risk management strategy, the Company uses derivative instruments, primarily foreign currency forward and option contracts and interest rate swaps, to hedge certain foreign currency an</w:t>
      </w:r>
      <w:r>
        <w:rPr>
          <w:rFonts w:ascii="Times New Roman" w:eastAsia="宋体" w:hAnsi="Times New Roman"/>
          <w:color w:val="000000"/>
          <w:sz w:val="20"/>
          <w:szCs w:val="20"/>
        </w:rPr>
        <w:t>d interest rate exposures, respectively.</w:t>
      </w:r>
    </w:p>
    <w:p w14:paraId="7DD00091" w14:textId="77777777" w:rsidR="00C1563E" w:rsidRDefault="00C1563E"/>
    <w:p w14:paraId="7DD00092" w14:textId="77777777" w:rsidR="00C1563E" w:rsidRDefault="000B648B">
      <w:r>
        <w:rPr>
          <w:rFonts w:ascii="Times New Roman" w:eastAsia="宋体" w:hAnsi="Times New Roman"/>
          <w:color w:val="000000"/>
          <w:sz w:val="20"/>
          <w:szCs w:val="20"/>
        </w:rPr>
        <w:t>The Company’s objective is to offset gains and losses resulting from these exposures with gains and losses on the derivative contracts used to hedge the exposures, thereby reducing volatility of earnings and protec</w:t>
      </w:r>
      <w:r>
        <w:rPr>
          <w:rFonts w:ascii="Times New Roman" w:eastAsia="宋体" w:hAnsi="Times New Roman"/>
          <w:color w:val="000000"/>
          <w:sz w:val="20"/>
          <w:szCs w:val="20"/>
        </w:rPr>
        <w:t>ting the fair values of assets and liabilities. The earnings effects of the derivative instruments are presented in the same income statement line items as the earnings effects of the hedged items. For derivatives designated as cash flow hedges, the Compan</w:t>
      </w:r>
      <w:r>
        <w:rPr>
          <w:rFonts w:ascii="Times New Roman" w:eastAsia="宋体" w:hAnsi="Times New Roman"/>
          <w:color w:val="000000"/>
          <w:sz w:val="20"/>
          <w:szCs w:val="20"/>
        </w:rPr>
        <w:t>y assesses hedge effectiveness both at the onset of the hedge and at regular intervals throughout the life of the derivative. The Company does not have any derivatives designated as fair value hedges.</w:t>
      </w:r>
    </w:p>
    <w:p w14:paraId="7DD00093" w14:textId="77777777" w:rsidR="00C1563E" w:rsidRDefault="00C1563E"/>
    <w:p w14:paraId="7DD00094" w14:textId="77777777" w:rsidR="00C1563E" w:rsidRDefault="000B648B">
      <w:r>
        <w:rPr>
          <w:rFonts w:ascii="Times New Roman" w:eastAsia="宋体" w:hAnsi="Times New Roman"/>
          <w:b/>
          <w:bCs/>
          <w:color w:val="000000"/>
          <w:sz w:val="20"/>
          <w:szCs w:val="20"/>
        </w:rPr>
        <w:t>Foreign Exchange Risk</w:t>
      </w:r>
    </w:p>
    <w:p w14:paraId="7DD00095" w14:textId="77777777" w:rsidR="00C1563E" w:rsidRDefault="00C1563E"/>
    <w:p w14:paraId="7DD00096" w14:textId="77777777" w:rsidR="00C1563E" w:rsidRDefault="000B648B">
      <w:r>
        <w:rPr>
          <w:rFonts w:ascii="Times New Roman" w:eastAsia="宋体" w:hAnsi="Times New Roman"/>
          <w:color w:val="000000"/>
          <w:sz w:val="20"/>
          <w:szCs w:val="20"/>
        </w:rPr>
        <w:t>The Company uses foreign curren</w:t>
      </w:r>
      <w:r>
        <w:rPr>
          <w:rFonts w:ascii="Times New Roman" w:eastAsia="宋体" w:hAnsi="Times New Roman"/>
          <w:color w:val="000000"/>
          <w:sz w:val="20"/>
          <w:szCs w:val="20"/>
        </w:rPr>
        <w:t xml:space="preserve">cy forward and option contracts designated as cash flow hedges to protect against the foreign currency exchange rate risks inherent in its forecasted transactions denominated in currencies other than the U.S. Dollar. Hedge accounting is applied based upon </w:t>
      </w:r>
      <w:r>
        <w:rPr>
          <w:rFonts w:ascii="Times New Roman" w:eastAsia="宋体" w:hAnsi="Times New Roman"/>
          <w:color w:val="000000"/>
          <w:sz w:val="20"/>
          <w:szCs w:val="20"/>
        </w:rPr>
        <w:t>the criteria established by accounting guidance for derivative instruments and hedging activities. The risk of loss associated with purchased options is limited to premium amounts paid for the option contracts. The risk of loss associated with forward cont</w:t>
      </w:r>
      <w:r>
        <w:rPr>
          <w:rFonts w:ascii="Times New Roman" w:eastAsia="宋体" w:hAnsi="Times New Roman"/>
          <w:color w:val="000000"/>
          <w:sz w:val="20"/>
          <w:szCs w:val="20"/>
        </w:rPr>
        <w:t>racts is equal to the exchange rate differential from the time the contract is entered into until the time it is settled. The majority of these contracts typically expire in twelve months or less.</w:t>
      </w:r>
    </w:p>
    <w:p w14:paraId="7DD00097" w14:textId="77777777" w:rsidR="00C1563E" w:rsidRDefault="00C1563E"/>
    <w:p w14:paraId="7DD00098" w14:textId="77777777" w:rsidR="00C1563E" w:rsidRDefault="000B648B">
      <w:r>
        <w:rPr>
          <w:rFonts w:ascii="Times New Roman" w:eastAsia="宋体" w:hAnsi="Times New Roman"/>
          <w:color w:val="000000"/>
          <w:sz w:val="20"/>
          <w:szCs w:val="20"/>
        </w:rPr>
        <w:t>During the fiscal years ended January 29, 2021, January 31</w:t>
      </w:r>
      <w:r>
        <w:rPr>
          <w:rFonts w:ascii="Times New Roman" w:eastAsia="宋体" w:hAnsi="Times New Roman"/>
          <w:color w:val="000000"/>
          <w:sz w:val="20"/>
          <w:szCs w:val="20"/>
        </w:rPr>
        <w:t>, 2020, and February 1, 2019, the Company did not discontinue any cash flow hedges related to foreign exchange contracts that had a material impact on the Company’s results of operations due to the probability that the forecasted cash flows would not occur</w:t>
      </w:r>
      <w:r>
        <w:rPr>
          <w:rFonts w:ascii="Times New Roman" w:eastAsia="宋体" w:hAnsi="Times New Roman"/>
          <w:color w:val="000000"/>
          <w:sz w:val="20"/>
          <w:szCs w:val="20"/>
        </w:rPr>
        <w:t>.</w:t>
      </w:r>
    </w:p>
    <w:p w14:paraId="7DD00099" w14:textId="77777777" w:rsidR="00C1563E" w:rsidRDefault="00C1563E"/>
    <w:p w14:paraId="7DD0009A" w14:textId="77777777" w:rsidR="00C1563E" w:rsidRDefault="000B648B">
      <w:r>
        <w:rPr>
          <w:rFonts w:ascii="Times New Roman" w:eastAsia="宋体" w:hAnsi="Times New Roman"/>
          <w:color w:val="00000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w:t>
      </w:r>
      <w:r>
        <w:rPr>
          <w:rFonts w:ascii="Times New Roman" w:eastAsia="宋体" w:hAnsi="Times New Roman"/>
          <w:color w:val="000000"/>
          <w:sz w:val="20"/>
          <w:szCs w:val="20"/>
        </w:rPr>
        <w:t>nge in the fair value of these instruments represents a natural hedge as their gains and losses offset the changes in the underlying fair value of the monetary assets and liabilities due to movements in currency exchange rates.</w:t>
      </w:r>
    </w:p>
    <w:p w14:paraId="7DD0009B" w14:textId="77777777" w:rsidR="00C1563E" w:rsidRDefault="00C1563E"/>
    <w:p w14:paraId="7DD0009C" w14:textId="77777777" w:rsidR="00C1563E" w:rsidRDefault="000B648B">
      <w:r>
        <w:rPr>
          <w:rFonts w:ascii="Times New Roman" w:eastAsia="宋体" w:hAnsi="Times New Roman"/>
          <w:color w:val="000000"/>
          <w:sz w:val="20"/>
          <w:szCs w:val="20"/>
        </w:rPr>
        <w:t>In connection with expanded</w:t>
      </w:r>
      <w:r>
        <w:rPr>
          <w:rFonts w:ascii="Times New Roman" w:eastAsia="宋体" w:hAnsi="Times New Roman"/>
          <w:color w:val="000000"/>
          <w:sz w:val="20"/>
          <w:szCs w:val="20"/>
        </w:rPr>
        <w:t xml:space="preserve"> offerings of DFS in Europe, forward contracts are used to hedge financing receivables denominated in foreign currencies other than Euro. These contracts are not designated for hedge accounting and most expire within three years or less.</w:t>
      </w:r>
    </w:p>
    <w:p w14:paraId="7DD0009D" w14:textId="77777777" w:rsidR="00C1563E" w:rsidRDefault="00C1563E"/>
    <w:p w14:paraId="7DD0009E" w14:textId="77777777" w:rsidR="00C1563E" w:rsidRDefault="000B648B">
      <w:r>
        <w:rPr>
          <w:rFonts w:ascii="Times New Roman" w:eastAsia="宋体" w:hAnsi="Times New Roman"/>
          <w:b/>
          <w:bCs/>
          <w:color w:val="000000"/>
          <w:sz w:val="20"/>
          <w:szCs w:val="20"/>
        </w:rPr>
        <w:t>Interest Rate Ris</w:t>
      </w:r>
      <w:r>
        <w:rPr>
          <w:rFonts w:ascii="Times New Roman" w:eastAsia="宋体" w:hAnsi="Times New Roman"/>
          <w:b/>
          <w:bCs/>
          <w:color w:val="000000"/>
          <w:sz w:val="20"/>
          <w:szCs w:val="20"/>
        </w:rPr>
        <w:t>k</w:t>
      </w:r>
    </w:p>
    <w:p w14:paraId="7DD0009F" w14:textId="77777777" w:rsidR="00C1563E" w:rsidRDefault="00C1563E"/>
    <w:p w14:paraId="7DD000A0" w14:textId="77777777" w:rsidR="00C1563E" w:rsidRDefault="000B648B">
      <w:r>
        <w:rPr>
          <w:rFonts w:ascii="Times New Roman" w:eastAsia="宋体" w:hAnsi="Times New Roman"/>
          <w:color w:val="00000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w:t>
      </w:r>
      <w:r>
        <w:rPr>
          <w:rFonts w:ascii="Times New Roman" w:eastAsia="宋体" w:hAnsi="Times New Roman"/>
          <w:color w:val="000000"/>
          <w:sz w:val="20"/>
          <w:szCs w:val="20"/>
        </w:rPr>
        <w:t>terest rate to match the underlying fixed rate being received on fixed-term customer leases and loans. These contracts are not designated for hedge accounting and most expire within three years or less.</w:t>
      </w:r>
    </w:p>
    <w:p w14:paraId="7DD000A1" w14:textId="77777777" w:rsidR="00C1563E" w:rsidRDefault="00C1563E">
      <w:pPr>
        <w:jc w:val="both"/>
      </w:pPr>
    </w:p>
    <w:p w14:paraId="7DD000A2" w14:textId="77777777" w:rsidR="00C1563E" w:rsidRDefault="000B648B">
      <w:r>
        <w:rPr>
          <w:rFonts w:ascii="Times New Roman" w:eastAsia="宋体" w:hAnsi="Times New Roman"/>
          <w:color w:val="000000"/>
          <w:sz w:val="20"/>
          <w:szCs w:val="20"/>
        </w:rPr>
        <w:t>Interest rate swaps are utilized to manage the inter</w:t>
      </w:r>
      <w:r>
        <w:rPr>
          <w:rFonts w:ascii="Times New Roman" w:eastAsia="宋体" w:hAnsi="Times New Roman"/>
          <w:color w:val="000000"/>
          <w:sz w:val="20"/>
          <w:szCs w:val="20"/>
        </w:rPr>
        <w:t>est rate risk, at a portfolio level, associated with DFS operations in Europe. The interest rate swaps economically convert the fixed rate on financing receivables to a three-month Euribor floating rate basis in order to match the floating rate nature of t</w:t>
      </w:r>
      <w:r>
        <w:rPr>
          <w:rFonts w:ascii="Times New Roman" w:eastAsia="宋体" w:hAnsi="Times New Roman"/>
          <w:color w:val="000000"/>
          <w:sz w:val="20"/>
          <w:szCs w:val="20"/>
        </w:rPr>
        <w:t>he banks’ funding pool. These contracts are not designated for hedge accounting and most expire within five years or less.</w:t>
      </w:r>
    </w:p>
    <w:p w14:paraId="7DD000A3" w14:textId="77777777" w:rsidR="00C1563E" w:rsidRDefault="00C1563E"/>
    <w:p w14:paraId="7DD000A4" w14:textId="77777777" w:rsidR="00C1563E" w:rsidRDefault="000B648B">
      <w:r>
        <w:rPr>
          <w:rFonts w:ascii="Times New Roman" w:eastAsia="宋体" w:hAnsi="Times New Roman"/>
          <w:color w:val="0D0D0D"/>
          <w:sz w:val="20"/>
          <w:szCs w:val="20"/>
        </w:rPr>
        <w:t>The Company utilizes cross currency amortizing swaps to hedge the currency and interest rate risk exposure associated with the secur</w:t>
      </w:r>
      <w:r>
        <w:rPr>
          <w:rFonts w:ascii="Times New Roman" w:eastAsia="宋体" w:hAnsi="Times New Roman"/>
          <w:color w:val="0D0D0D"/>
          <w:sz w:val="20"/>
          <w:szCs w:val="20"/>
        </w:rPr>
        <w:t>itization program that was established in Europe in January 2017.  The cross currency swaps combine a Euro-based interest rate swap with a British Pound or U.S. Dollar foreign exchange forward contract in which the Company pays a fixed British Pound or U.S</w:t>
      </w:r>
      <w:r>
        <w:rPr>
          <w:rFonts w:ascii="Times New Roman" w:eastAsia="宋体" w:hAnsi="Times New Roman"/>
          <w:color w:val="0D0D0D"/>
          <w:sz w:val="20"/>
          <w:szCs w:val="20"/>
        </w:rPr>
        <w:t>. Dollar amount and receives a floating amount in Euros linked to the one-month Euribor.  The notional value of the swaps amortizes in line with the expected cash flows and run-off of the securitized assets.  The swaps are not designated for hedge accounti</w:t>
      </w:r>
      <w:r>
        <w:rPr>
          <w:rFonts w:ascii="Times New Roman" w:eastAsia="宋体" w:hAnsi="Times New Roman"/>
          <w:color w:val="0D0D0D"/>
          <w:sz w:val="20"/>
          <w:szCs w:val="20"/>
        </w:rPr>
        <w:t xml:space="preserve">ng and expire within </w:t>
      </w:r>
      <w:r>
        <w:rPr>
          <w:rFonts w:ascii="Times New Roman" w:eastAsia="宋体" w:hAnsi="Times New Roman"/>
          <w:color w:val="000000"/>
          <w:sz w:val="20"/>
          <w:szCs w:val="20"/>
        </w:rPr>
        <w:t>five years</w:t>
      </w:r>
      <w:r>
        <w:rPr>
          <w:rFonts w:ascii="Times New Roman" w:eastAsia="宋体" w:hAnsi="Times New Roman"/>
          <w:color w:val="0D0D0D"/>
          <w:sz w:val="20"/>
          <w:szCs w:val="20"/>
        </w:rPr>
        <w:t xml:space="preserve"> or less.</w:t>
      </w:r>
    </w:p>
    <w:p w14:paraId="7DD000A5" w14:textId="77777777" w:rsidR="00C1563E" w:rsidRDefault="00C1563E"/>
    <w:p w14:paraId="7DD000A6" w14:textId="77777777" w:rsidR="00C1563E" w:rsidRDefault="00C1563E">
      <w:pPr>
        <w:jc w:val="center"/>
      </w:pPr>
    </w:p>
    <w:p w14:paraId="7DD000A7" w14:textId="77777777" w:rsidR="00C1563E" w:rsidRDefault="000B648B">
      <w:pPr>
        <w:jc w:val="center"/>
      </w:pPr>
      <w:r>
        <w:rPr>
          <w:rFonts w:ascii="Times New Roman" w:eastAsia="宋体" w:hAnsi="Times New Roman"/>
          <w:color w:val="000000"/>
          <w:sz w:val="20"/>
          <w:szCs w:val="20"/>
        </w:rPr>
        <w:t>115</w:t>
      </w:r>
    </w:p>
    <w:p w14:paraId="7DD000A8" w14:textId="77777777" w:rsidR="00C1563E" w:rsidRDefault="00C1563E">
      <w:pPr>
        <w:jc w:val="center"/>
      </w:pPr>
    </w:p>
    <w:p w14:paraId="7DD000A9" w14:textId="77777777" w:rsidR="00C1563E" w:rsidRDefault="000B648B">
      <w:r>
        <w:pict w14:anchorId="7DD025DD">
          <v:rect id="_x0000_i1139" style="width:415.3pt;height:1.5pt" o:hralign="center" o:hrstd="t" o:hr="t" fillcolor="#a0a0a0" stroked="f"/>
        </w:pict>
      </w:r>
    </w:p>
    <w:p w14:paraId="7DD000AA" w14:textId="77777777" w:rsidR="00C1563E" w:rsidRDefault="000B648B">
      <w:hyperlink r:id="rId298" w:anchor="i418e32e4a35149ffbf7d3a25d66881b8_10" w:history="1">
        <w:r>
          <w:rPr>
            <w:rStyle w:val="a5"/>
            <w:rFonts w:ascii="Times New Roman" w:eastAsia="宋体" w:hAnsi="Times New Roman"/>
            <w:sz w:val="20"/>
            <w:szCs w:val="20"/>
          </w:rPr>
          <w:t>Table of Contents</w:t>
        </w:r>
      </w:hyperlink>
    </w:p>
    <w:p w14:paraId="7DD000AB" w14:textId="77777777" w:rsidR="00C1563E" w:rsidRDefault="000B648B">
      <w:r>
        <w:rPr>
          <w:rFonts w:ascii="Times New Roman" w:eastAsia="宋体" w:hAnsi="Times New Roman"/>
          <w:b/>
          <w:bCs/>
          <w:color w:val="000000"/>
          <w:sz w:val="20"/>
          <w:szCs w:val="20"/>
        </w:rPr>
        <w:t>Derivative Instruments</w:t>
      </w:r>
    </w:p>
    <w:p w14:paraId="7DD000AC" w14:textId="77777777" w:rsidR="00C1563E" w:rsidRDefault="00C1563E"/>
    <w:p w14:paraId="7DD000AD" w14:textId="77777777" w:rsidR="00C1563E" w:rsidRDefault="000B648B">
      <w:pPr>
        <w:spacing w:after="120"/>
      </w:pPr>
      <w:r>
        <w:rPr>
          <w:rFonts w:ascii="Times New Roman" w:eastAsia="宋体" w:hAnsi="Times New Roman"/>
          <w:i/>
          <w:iCs/>
          <w:color w:val="000000"/>
          <w:sz w:val="20"/>
          <w:szCs w:val="20"/>
          <w:u w:val="single"/>
        </w:rPr>
        <w:t>Notional Amounts of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88"/>
        <w:gridCol w:w="38"/>
        <w:gridCol w:w="120"/>
        <w:gridCol w:w="1475"/>
        <w:gridCol w:w="36"/>
        <w:gridCol w:w="36"/>
        <w:gridCol w:w="36"/>
        <w:gridCol w:w="36"/>
        <w:gridCol w:w="120"/>
        <w:gridCol w:w="1475"/>
        <w:gridCol w:w="36"/>
      </w:tblGrid>
      <w:tr w:rsidR="00C1563E" w14:paraId="7DD000BA" w14:textId="77777777">
        <w:trPr>
          <w:jc w:val="center"/>
        </w:trPr>
        <w:tc>
          <w:tcPr>
            <w:tcW w:w="50" w:type="pct"/>
            <w:shd w:val="clear" w:color="auto" w:fill="auto"/>
          </w:tcPr>
          <w:p w14:paraId="7DD000AE" w14:textId="77777777" w:rsidR="00C1563E" w:rsidRDefault="00C1563E">
            <w:pPr>
              <w:rPr>
                <w:rFonts w:ascii="宋体"/>
              </w:rPr>
            </w:pPr>
          </w:p>
        </w:tc>
        <w:tc>
          <w:tcPr>
            <w:tcW w:w="2971" w:type="pct"/>
            <w:shd w:val="clear" w:color="auto" w:fill="auto"/>
          </w:tcPr>
          <w:p w14:paraId="7DD000AF" w14:textId="77777777" w:rsidR="00C1563E" w:rsidRDefault="00C1563E">
            <w:pPr>
              <w:rPr>
                <w:rFonts w:ascii="宋体"/>
              </w:rPr>
            </w:pPr>
          </w:p>
        </w:tc>
        <w:tc>
          <w:tcPr>
            <w:tcW w:w="5" w:type="pct"/>
            <w:shd w:val="clear" w:color="auto" w:fill="auto"/>
          </w:tcPr>
          <w:p w14:paraId="7DD000B0" w14:textId="77777777" w:rsidR="00C1563E" w:rsidRDefault="00C1563E">
            <w:pPr>
              <w:rPr>
                <w:rFonts w:ascii="宋体"/>
              </w:rPr>
            </w:pPr>
          </w:p>
        </w:tc>
        <w:tc>
          <w:tcPr>
            <w:tcW w:w="50" w:type="pct"/>
            <w:shd w:val="clear" w:color="auto" w:fill="auto"/>
          </w:tcPr>
          <w:p w14:paraId="7DD000B1" w14:textId="77777777" w:rsidR="00C1563E" w:rsidRDefault="00C1563E">
            <w:pPr>
              <w:rPr>
                <w:rFonts w:ascii="宋体"/>
              </w:rPr>
            </w:pPr>
          </w:p>
        </w:tc>
        <w:tc>
          <w:tcPr>
            <w:tcW w:w="917" w:type="pct"/>
            <w:shd w:val="clear" w:color="auto" w:fill="auto"/>
          </w:tcPr>
          <w:p w14:paraId="7DD000B2" w14:textId="77777777" w:rsidR="00C1563E" w:rsidRDefault="00C1563E">
            <w:pPr>
              <w:rPr>
                <w:rFonts w:ascii="宋体"/>
              </w:rPr>
            </w:pPr>
          </w:p>
        </w:tc>
        <w:tc>
          <w:tcPr>
            <w:tcW w:w="5" w:type="pct"/>
            <w:shd w:val="clear" w:color="auto" w:fill="auto"/>
          </w:tcPr>
          <w:p w14:paraId="7DD000B3" w14:textId="77777777" w:rsidR="00C1563E" w:rsidRDefault="00C1563E">
            <w:pPr>
              <w:rPr>
                <w:rFonts w:ascii="宋体"/>
              </w:rPr>
            </w:pPr>
          </w:p>
        </w:tc>
        <w:tc>
          <w:tcPr>
            <w:tcW w:w="5" w:type="pct"/>
            <w:shd w:val="clear" w:color="auto" w:fill="auto"/>
          </w:tcPr>
          <w:p w14:paraId="7DD000B4" w14:textId="77777777" w:rsidR="00C1563E" w:rsidRDefault="00C1563E">
            <w:pPr>
              <w:rPr>
                <w:rFonts w:ascii="宋体"/>
              </w:rPr>
            </w:pPr>
          </w:p>
        </w:tc>
        <w:tc>
          <w:tcPr>
            <w:tcW w:w="19" w:type="pct"/>
            <w:shd w:val="clear" w:color="auto" w:fill="auto"/>
          </w:tcPr>
          <w:p w14:paraId="7DD000B5" w14:textId="77777777" w:rsidR="00C1563E" w:rsidRDefault="00C1563E">
            <w:pPr>
              <w:rPr>
                <w:rFonts w:ascii="宋体"/>
              </w:rPr>
            </w:pPr>
          </w:p>
        </w:tc>
        <w:tc>
          <w:tcPr>
            <w:tcW w:w="5" w:type="pct"/>
            <w:shd w:val="clear" w:color="auto" w:fill="auto"/>
          </w:tcPr>
          <w:p w14:paraId="7DD000B6" w14:textId="77777777" w:rsidR="00C1563E" w:rsidRDefault="00C1563E">
            <w:pPr>
              <w:rPr>
                <w:rFonts w:ascii="宋体"/>
              </w:rPr>
            </w:pPr>
          </w:p>
        </w:tc>
        <w:tc>
          <w:tcPr>
            <w:tcW w:w="50" w:type="pct"/>
            <w:shd w:val="clear" w:color="auto" w:fill="auto"/>
          </w:tcPr>
          <w:p w14:paraId="7DD000B7" w14:textId="77777777" w:rsidR="00C1563E" w:rsidRDefault="00C1563E">
            <w:pPr>
              <w:rPr>
                <w:rFonts w:ascii="宋体"/>
              </w:rPr>
            </w:pPr>
          </w:p>
        </w:tc>
        <w:tc>
          <w:tcPr>
            <w:tcW w:w="917" w:type="pct"/>
            <w:shd w:val="clear" w:color="auto" w:fill="auto"/>
          </w:tcPr>
          <w:p w14:paraId="7DD000B8" w14:textId="77777777" w:rsidR="00C1563E" w:rsidRDefault="00C1563E">
            <w:pPr>
              <w:rPr>
                <w:rFonts w:ascii="宋体"/>
              </w:rPr>
            </w:pPr>
          </w:p>
        </w:tc>
        <w:tc>
          <w:tcPr>
            <w:tcW w:w="5" w:type="pct"/>
            <w:shd w:val="clear" w:color="auto" w:fill="auto"/>
          </w:tcPr>
          <w:p w14:paraId="7DD000B9" w14:textId="77777777" w:rsidR="00C1563E" w:rsidRDefault="00C1563E">
            <w:pPr>
              <w:rPr>
                <w:rFonts w:ascii="宋体"/>
              </w:rPr>
            </w:pPr>
          </w:p>
        </w:tc>
      </w:tr>
      <w:tr w:rsidR="00C1563E" w14:paraId="7DD000BF" w14:textId="77777777">
        <w:trPr>
          <w:jc w:val="center"/>
        </w:trPr>
        <w:tc>
          <w:tcPr>
            <w:tcW w:w="0" w:type="auto"/>
            <w:gridSpan w:val="3"/>
            <w:shd w:val="clear" w:color="auto" w:fill="auto"/>
            <w:tcMar>
              <w:top w:w="40" w:type="dxa"/>
              <w:left w:w="132" w:type="dxa"/>
              <w:bottom w:w="40" w:type="dxa"/>
              <w:right w:w="132" w:type="dxa"/>
            </w:tcMar>
            <w:vAlign w:val="bottom"/>
          </w:tcPr>
          <w:p w14:paraId="7DD000BB"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DD000BC"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00BD"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0BE"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0C2" w14:textId="77777777">
        <w:trPr>
          <w:jc w:val="center"/>
        </w:trPr>
        <w:tc>
          <w:tcPr>
            <w:tcW w:w="0" w:type="auto"/>
            <w:gridSpan w:val="3"/>
            <w:shd w:val="clear" w:color="auto" w:fill="auto"/>
            <w:tcMar>
              <w:top w:w="40" w:type="dxa"/>
              <w:left w:w="20" w:type="dxa"/>
              <w:bottom w:w="40" w:type="dxa"/>
              <w:right w:w="20" w:type="dxa"/>
            </w:tcMar>
            <w:vAlign w:val="bottom"/>
          </w:tcPr>
          <w:p w14:paraId="7DD000C0"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00C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0C7" w14:textId="77777777">
        <w:trPr>
          <w:jc w:val="center"/>
        </w:trPr>
        <w:tc>
          <w:tcPr>
            <w:tcW w:w="0" w:type="auto"/>
            <w:gridSpan w:val="3"/>
            <w:shd w:val="clear" w:color="auto" w:fill="CCEEFF"/>
            <w:tcMar>
              <w:top w:w="40" w:type="dxa"/>
              <w:left w:w="20" w:type="dxa"/>
              <w:bottom w:w="40" w:type="dxa"/>
              <w:right w:w="20" w:type="dxa"/>
            </w:tcMar>
            <w:vAlign w:val="bottom"/>
          </w:tcPr>
          <w:p w14:paraId="7DD000C3" w14:textId="77777777" w:rsidR="00C1563E" w:rsidRDefault="000B648B">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7DD000C4"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00C5"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0C6" w14:textId="77777777" w:rsidR="00C1563E" w:rsidRDefault="000B648B">
            <w:pPr>
              <w:jc w:val="right"/>
              <w:textAlignment w:val="bottom"/>
            </w:pPr>
            <w:r>
              <w:rPr>
                <w:rFonts w:ascii="Times New Roman" w:eastAsia="宋体" w:hAnsi="Times New Roman"/>
                <w:color w:val="000000"/>
                <w:sz w:val="20"/>
                <w:szCs w:val="20"/>
              </w:rPr>
              <w:t> </w:t>
            </w:r>
          </w:p>
        </w:tc>
      </w:tr>
      <w:tr w:rsidR="00C1563E" w14:paraId="7DD000D0" w14:textId="77777777">
        <w:trPr>
          <w:jc w:val="center"/>
        </w:trPr>
        <w:tc>
          <w:tcPr>
            <w:tcW w:w="0" w:type="auto"/>
            <w:gridSpan w:val="3"/>
            <w:shd w:val="clear" w:color="auto" w:fill="FFFFFF"/>
            <w:tcMar>
              <w:top w:w="40" w:type="dxa"/>
              <w:left w:w="155" w:type="dxa"/>
              <w:bottom w:w="40" w:type="dxa"/>
              <w:right w:w="20" w:type="dxa"/>
            </w:tcMar>
            <w:vAlign w:val="bottom"/>
          </w:tcPr>
          <w:p w14:paraId="7DD000C8" w14:textId="77777777" w:rsidR="00C1563E" w:rsidRDefault="000B648B">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right w:w="0" w:type="dxa"/>
            </w:tcMar>
            <w:vAlign w:val="bottom"/>
          </w:tcPr>
          <w:p w14:paraId="7DD000C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0CA" w14:textId="77777777" w:rsidR="00C1563E" w:rsidRDefault="000B648B">
            <w:pPr>
              <w:jc w:val="right"/>
              <w:textAlignment w:val="bottom"/>
            </w:pPr>
            <w:r>
              <w:rPr>
                <w:rFonts w:ascii="Times New Roman" w:eastAsia="宋体" w:hAnsi="Times New Roman"/>
                <w:color w:val="000000"/>
                <w:sz w:val="20"/>
                <w:szCs w:val="20"/>
              </w:rPr>
              <w:t>6,840 </w:t>
            </w:r>
          </w:p>
        </w:tc>
        <w:tc>
          <w:tcPr>
            <w:tcW w:w="0" w:type="auto"/>
            <w:shd w:val="clear" w:color="auto" w:fill="FFFFFF"/>
            <w:tcMar>
              <w:top w:w="40" w:type="dxa"/>
              <w:left w:w="0" w:type="dxa"/>
              <w:bottom w:w="40" w:type="dxa"/>
              <w:right w:w="20" w:type="dxa"/>
            </w:tcMar>
            <w:vAlign w:val="bottom"/>
          </w:tcPr>
          <w:p w14:paraId="7DD000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C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0C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0CE" w14:textId="77777777" w:rsidR="00C1563E" w:rsidRDefault="000B648B">
            <w:pPr>
              <w:jc w:val="right"/>
              <w:textAlignment w:val="bottom"/>
            </w:pPr>
            <w:r>
              <w:rPr>
                <w:rFonts w:ascii="Times New Roman" w:eastAsia="宋体" w:hAnsi="Times New Roman"/>
                <w:color w:val="000000"/>
                <w:sz w:val="20"/>
                <w:szCs w:val="20"/>
              </w:rPr>
              <w:t>8,703 </w:t>
            </w:r>
          </w:p>
        </w:tc>
        <w:tc>
          <w:tcPr>
            <w:tcW w:w="0" w:type="auto"/>
            <w:shd w:val="clear" w:color="auto" w:fill="FFFFFF"/>
            <w:tcMar>
              <w:top w:w="40" w:type="dxa"/>
              <w:left w:w="0" w:type="dxa"/>
              <w:bottom w:w="40" w:type="dxa"/>
              <w:right w:w="20" w:type="dxa"/>
            </w:tcMar>
            <w:vAlign w:val="bottom"/>
          </w:tcPr>
          <w:p w14:paraId="7DD000CF" w14:textId="77777777" w:rsidR="00C1563E" w:rsidRDefault="00C1563E">
            <w:pPr>
              <w:jc w:val="right"/>
              <w:rPr>
                <w:rFonts w:ascii="宋体"/>
              </w:rPr>
            </w:pPr>
          </w:p>
        </w:tc>
      </w:tr>
      <w:tr w:rsidR="00C1563E" w14:paraId="7DD000D7" w14:textId="77777777">
        <w:trPr>
          <w:jc w:val="center"/>
        </w:trPr>
        <w:tc>
          <w:tcPr>
            <w:tcW w:w="0" w:type="auto"/>
            <w:gridSpan w:val="3"/>
            <w:shd w:val="clear" w:color="auto" w:fill="CCEEFF"/>
            <w:tcMar>
              <w:top w:w="40" w:type="dxa"/>
              <w:left w:w="155" w:type="dxa"/>
              <w:bottom w:w="40" w:type="dxa"/>
              <w:right w:w="20" w:type="dxa"/>
            </w:tcMar>
            <w:vAlign w:val="bottom"/>
          </w:tcPr>
          <w:p w14:paraId="7DD000D1" w14:textId="77777777" w:rsidR="00C1563E" w:rsidRDefault="000B648B">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7DD000D2" w14:textId="77777777" w:rsidR="00C1563E" w:rsidRDefault="000B648B">
            <w:pPr>
              <w:jc w:val="right"/>
              <w:textAlignment w:val="bottom"/>
            </w:pPr>
            <w:r>
              <w:rPr>
                <w:rFonts w:ascii="Times New Roman" w:eastAsia="宋体" w:hAnsi="Times New Roman"/>
                <w:color w:val="000000"/>
                <w:sz w:val="20"/>
                <w:szCs w:val="20"/>
              </w:rPr>
              <w:t>9,890 </w:t>
            </w:r>
          </w:p>
        </w:tc>
        <w:tc>
          <w:tcPr>
            <w:tcW w:w="0" w:type="auto"/>
            <w:shd w:val="clear" w:color="auto" w:fill="CCEEFF"/>
            <w:tcMar>
              <w:top w:w="40" w:type="dxa"/>
              <w:left w:w="0" w:type="dxa"/>
              <w:bottom w:w="40" w:type="dxa"/>
              <w:right w:w="20" w:type="dxa"/>
            </w:tcMar>
            <w:vAlign w:val="bottom"/>
          </w:tcPr>
          <w:p w14:paraId="7DD000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0D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0D5" w14:textId="77777777" w:rsidR="00C1563E" w:rsidRDefault="000B648B">
            <w:pPr>
              <w:jc w:val="right"/>
              <w:textAlignment w:val="bottom"/>
            </w:pPr>
            <w:r>
              <w:rPr>
                <w:rFonts w:ascii="Times New Roman" w:eastAsia="宋体" w:hAnsi="Times New Roman"/>
                <w:color w:val="000000"/>
                <w:sz w:val="20"/>
                <w:szCs w:val="20"/>
              </w:rPr>
              <w:t>7,711 </w:t>
            </w:r>
          </w:p>
        </w:tc>
        <w:tc>
          <w:tcPr>
            <w:tcW w:w="0" w:type="auto"/>
            <w:shd w:val="clear" w:color="auto" w:fill="CCEEFF"/>
            <w:tcMar>
              <w:top w:w="40" w:type="dxa"/>
              <w:left w:w="0" w:type="dxa"/>
              <w:bottom w:w="40" w:type="dxa"/>
              <w:right w:w="20" w:type="dxa"/>
            </w:tcMar>
            <w:vAlign w:val="bottom"/>
          </w:tcPr>
          <w:p w14:paraId="7DD000D6" w14:textId="77777777" w:rsidR="00C1563E" w:rsidRDefault="00C1563E">
            <w:pPr>
              <w:jc w:val="right"/>
              <w:rPr>
                <w:rFonts w:ascii="宋体"/>
              </w:rPr>
            </w:pPr>
          </w:p>
        </w:tc>
      </w:tr>
      <w:tr w:rsidR="00C1563E" w14:paraId="7DD000E0" w14:textId="77777777">
        <w:trPr>
          <w:jc w:val="center"/>
        </w:trPr>
        <w:tc>
          <w:tcPr>
            <w:tcW w:w="0" w:type="auto"/>
            <w:gridSpan w:val="3"/>
            <w:shd w:val="clear" w:color="auto" w:fill="FFFFFF"/>
            <w:tcMar>
              <w:top w:w="40" w:type="dxa"/>
              <w:left w:w="245" w:type="dxa"/>
              <w:bottom w:w="40" w:type="dxa"/>
              <w:right w:w="20" w:type="dxa"/>
            </w:tcMar>
            <w:vAlign w:val="bottom"/>
          </w:tcPr>
          <w:p w14:paraId="7DD000D8" w14:textId="77777777" w:rsidR="00C1563E" w:rsidRDefault="000B648B">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00D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0DA" w14:textId="77777777" w:rsidR="00C1563E" w:rsidRDefault="000B648B">
            <w:pPr>
              <w:jc w:val="right"/>
              <w:textAlignment w:val="bottom"/>
            </w:pPr>
            <w:r>
              <w:rPr>
                <w:rFonts w:ascii="Times New Roman" w:eastAsia="宋体" w:hAnsi="Times New Roman"/>
                <w:color w:val="000000"/>
                <w:sz w:val="20"/>
                <w:szCs w:val="20"/>
              </w:rPr>
              <w:t>16,730 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D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DC"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0D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0DE" w14:textId="77777777" w:rsidR="00C1563E" w:rsidRDefault="000B648B">
            <w:pPr>
              <w:jc w:val="right"/>
              <w:textAlignment w:val="bottom"/>
            </w:pPr>
            <w:r>
              <w:rPr>
                <w:rFonts w:ascii="Times New Roman" w:eastAsia="宋体" w:hAnsi="Times New Roman"/>
                <w:color w:val="000000"/>
                <w:sz w:val="20"/>
                <w:szCs w:val="20"/>
              </w:rPr>
              <w:t>16,414 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0DF" w14:textId="77777777" w:rsidR="00C1563E" w:rsidRDefault="00C1563E">
            <w:pPr>
              <w:jc w:val="right"/>
              <w:rPr>
                <w:rFonts w:ascii="宋体"/>
              </w:rPr>
            </w:pPr>
          </w:p>
        </w:tc>
      </w:tr>
      <w:tr w:rsidR="00C1563E" w14:paraId="7DD000E5" w14:textId="77777777">
        <w:trPr>
          <w:jc w:val="center"/>
        </w:trPr>
        <w:tc>
          <w:tcPr>
            <w:tcW w:w="0" w:type="auto"/>
            <w:gridSpan w:val="3"/>
            <w:shd w:val="clear" w:color="auto" w:fill="CCEEFF"/>
            <w:tcMar>
              <w:top w:w="40" w:type="dxa"/>
              <w:left w:w="20" w:type="dxa"/>
              <w:bottom w:w="40" w:type="dxa"/>
              <w:right w:w="20" w:type="dxa"/>
            </w:tcMar>
            <w:vAlign w:val="bottom"/>
          </w:tcPr>
          <w:p w14:paraId="7DD000E1" w14:textId="77777777" w:rsidR="00C1563E" w:rsidRDefault="000B648B">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tcPr>
          <w:p w14:paraId="7DD000E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0E3"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00E4" w14:textId="77777777" w:rsidR="00C1563E" w:rsidRDefault="00C1563E">
            <w:pPr>
              <w:rPr>
                <w:rFonts w:ascii="宋体"/>
              </w:rPr>
            </w:pPr>
          </w:p>
        </w:tc>
      </w:tr>
      <w:tr w:rsidR="00C1563E" w14:paraId="7DD000EE" w14:textId="77777777">
        <w:trPr>
          <w:jc w:val="center"/>
        </w:trPr>
        <w:tc>
          <w:tcPr>
            <w:tcW w:w="0" w:type="auto"/>
            <w:gridSpan w:val="3"/>
            <w:shd w:val="clear" w:color="auto" w:fill="FFFFFF"/>
            <w:tcMar>
              <w:top w:w="40" w:type="dxa"/>
              <w:left w:w="155" w:type="dxa"/>
              <w:bottom w:w="40" w:type="dxa"/>
              <w:right w:w="20" w:type="dxa"/>
            </w:tcMar>
            <w:vAlign w:val="bottom"/>
          </w:tcPr>
          <w:p w14:paraId="7DD000E6" w14:textId="77777777" w:rsidR="00C1563E" w:rsidRDefault="000B648B">
            <w:pPr>
              <w:textAlignment w:val="bottom"/>
            </w:pPr>
            <w:r>
              <w:rPr>
                <w:rFonts w:ascii="Times New Roman" w:eastAsia="宋体" w:hAnsi="Times New Roman"/>
                <w:color w:val="000000"/>
                <w:sz w:val="20"/>
                <w:szCs w:val="20"/>
              </w:rPr>
              <w:t>Non-designated as hedging instruments</w:t>
            </w:r>
          </w:p>
        </w:tc>
        <w:tc>
          <w:tcPr>
            <w:tcW w:w="0" w:type="auto"/>
            <w:shd w:val="clear" w:color="auto" w:fill="FFFFFF"/>
            <w:tcMar>
              <w:top w:w="40" w:type="dxa"/>
              <w:left w:w="20" w:type="dxa"/>
              <w:bottom w:w="40" w:type="dxa"/>
              <w:right w:w="0" w:type="dxa"/>
            </w:tcMar>
            <w:vAlign w:val="bottom"/>
          </w:tcPr>
          <w:p w14:paraId="7DD000E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0E8" w14:textId="77777777" w:rsidR="00C1563E" w:rsidRDefault="000B648B">
            <w:pPr>
              <w:jc w:val="right"/>
              <w:textAlignment w:val="bottom"/>
            </w:pPr>
            <w:r>
              <w:rPr>
                <w:rFonts w:ascii="Times New Roman" w:eastAsia="宋体" w:hAnsi="Times New Roman"/>
                <w:color w:val="000000"/>
                <w:sz w:val="20"/>
                <w:szCs w:val="20"/>
              </w:rPr>
              <w:t>5,859 </w:t>
            </w:r>
          </w:p>
        </w:tc>
        <w:tc>
          <w:tcPr>
            <w:tcW w:w="0" w:type="auto"/>
            <w:shd w:val="clear" w:color="auto" w:fill="FFFFFF"/>
            <w:tcMar>
              <w:top w:w="40" w:type="dxa"/>
              <w:left w:w="0" w:type="dxa"/>
              <w:bottom w:w="40" w:type="dxa"/>
              <w:right w:w="20" w:type="dxa"/>
            </w:tcMar>
            <w:vAlign w:val="bottom"/>
          </w:tcPr>
          <w:p w14:paraId="7DD000E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0E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0E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0EC" w14:textId="77777777" w:rsidR="00C1563E" w:rsidRDefault="000B648B">
            <w:pPr>
              <w:jc w:val="right"/>
              <w:textAlignment w:val="bottom"/>
            </w:pPr>
            <w:r>
              <w:rPr>
                <w:rFonts w:ascii="Times New Roman" w:eastAsia="宋体" w:hAnsi="Times New Roman"/>
                <w:color w:val="000000"/>
                <w:sz w:val="20"/>
                <w:szCs w:val="20"/>
              </w:rPr>
              <w:t>4,043 </w:t>
            </w:r>
          </w:p>
        </w:tc>
        <w:tc>
          <w:tcPr>
            <w:tcW w:w="0" w:type="auto"/>
            <w:shd w:val="clear" w:color="auto" w:fill="FFFFFF"/>
            <w:tcMar>
              <w:top w:w="40" w:type="dxa"/>
              <w:left w:w="0" w:type="dxa"/>
              <w:bottom w:w="40" w:type="dxa"/>
              <w:right w:w="20" w:type="dxa"/>
            </w:tcMar>
            <w:vAlign w:val="bottom"/>
          </w:tcPr>
          <w:p w14:paraId="7DD000ED" w14:textId="77777777" w:rsidR="00C1563E" w:rsidRDefault="00C1563E">
            <w:pPr>
              <w:jc w:val="right"/>
              <w:rPr>
                <w:rFonts w:ascii="宋体"/>
              </w:rPr>
            </w:pPr>
          </w:p>
        </w:tc>
      </w:tr>
    </w:tbl>
    <w:p w14:paraId="7DD000EF" w14:textId="77777777" w:rsidR="00C1563E" w:rsidRDefault="00C1563E"/>
    <w:p w14:paraId="7DD000F0" w14:textId="77777777" w:rsidR="00C1563E" w:rsidRDefault="000B648B">
      <w:pPr>
        <w:spacing w:after="120"/>
      </w:pPr>
      <w:r>
        <w:rPr>
          <w:rFonts w:ascii="Times New Roman" w:eastAsia="宋体" w:hAnsi="Times New Roman"/>
          <w:i/>
          <w:iCs/>
          <w:color w:val="000000"/>
          <w:sz w:val="20"/>
          <w:szCs w:val="20"/>
          <w:u w:val="single"/>
        </w:rPr>
        <w:t xml:space="preserve">Effect of Derivative Instruments Designated as Hedging Instruments on the Consolidated Statements of Financial Position and the Consolidated Statements of </w:t>
      </w:r>
      <w:r>
        <w:rPr>
          <w:rFonts w:ascii="Times New Roman" w:eastAsia="宋体" w:hAnsi="Times New Roman"/>
          <w:i/>
          <w:iCs/>
          <w:color w:val="000000"/>
          <w:sz w:val="20"/>
          <w:szCs w:val="20"/>
          <w:u w:val="single"/>
        </w:rPr>
        <w:t>Income (Loss)</w:t>
      </w:r>
    </w:p>
    <w:tbl>
      <w:tblPr>
        <w:tblW w:w="5000" w:type="pct"/>
        <w:tblCellMar>
          <w:top w:w="15" w:type="dxa"/>
          <w:left w:w="15" w:type="dxa"/>
          <w:bottom w:w="15" w:type="dxa"/>
          <w:right w:w="15" w:type="dxa"/>
        </w:tblCellMar>
        <w:tblLook w:val="04A0" w:firstRow="1" w:lastRow="0" w:firstColumn="1" w:lastColumn="0" w:noHBand="0" w:noVBand="1"/>
      </w:tblPr>
      <w:tblGrid>
        <w:gridCol w:w="41"/>
        <w:gridCol w:w="2302"/>
        <w:gridCol w:w="36"/>
        <w:gridCol w:w="36"/>
        <w:gridCol w:w="36"/>
        <w:gridCol w:w="36"/>
        <w:gridCol w:w="121"/>
        <w:gridCol w:w="1469"/>
        <w:gridCol w:w="36"/>
        <w:gridCol w:w="36"/>
        <w:gridCol w:w="36"/>
        <w:gridCol w:w="36"/>
        <w:gridCol w:w="40"/>
        <w:gridCol w:w="2304"/>
        <w:gridCol w:w="36"/>
        <w:gridCol w:w="36"/>
        <w:gridCol w:w="36"/>
        <w:gridCol w:w="36"/>
        <w:gridCol w:w="121"/>
        <w:gridCol w:w="1470"/>
        <w:gridCol w:w="36"/>
      </w:tblGrid>
      <w:tr w:rsidR="00C1563E" w14:paraId="7DD00106" w14:textId="77777777">
        <w:tc>
          <w:tcPr>
            <w:tcW w:w="50" w:type="pct"/>
            <w:shd w:val="clear" w:color="auto" w:fill="auto"/>
          </w:tcPr>
          <w:p w14:paraId="7DD000F1" w14:textId="77777777" w:rsidR="00C1563E" w:rsidRDefault="00C1563E">
            <w:pPr>
              <w:rPr>
                <w:rFonts w:ascii="宋体"/>
              </w:rPr>
            </w:pPr>
          </w:p>
        </w:tc>
        <w:tc>
          <w:tcPr>
            <w:tcW w:w="1428" w:type="pct"/>
            <w:shd w:val="clear" w:color="auto" w:fill="auto"/>
          </w:tcPr>
          <w:p w14:paraId="7DD000F2" w14:textId="77777777" w:rsidR="00C1563E" w:rsidRDefault="00C1563E">
            <w:pPr>
              <w:rPr>
                <w:rFonts w:ascii="宋体"/>
              </w:rPr>
            </w:pPr>
          </w:p>
        </w:tc>
        <w:tc>
          <w:tcPr>
            <w:tcW w:w="5" w:type="pct"/>
            <w:shd w:val="clear" w:color="auto" w:fill="auto"/>
          </w:tcPr>
          <w:p w14:paraId="7DD000F3" w14:textId="77777777" w:rsidR="00C1563E" w:rsidRDefault="00C1563E">
            <w:pPr>
              <w:rPr>
                <w:rFonts w:ascii="宋体"/>
              </w:rPr>
            </w:pPr>
          </w:p>
        </w:tc>
        <w:tc>
          <w:tcPr>
            <w:tcW w:w="5" w:type="pct"/>
            <w:shd w:val="clear" w:color="auto" w:fill="auto"/>
          </w:tcPr>
          <w:p w14:paraId="7DD000F4" w14:textId="77777777" w:rsidR="00C1563E" w:rsidRDefault="00C1563E">
            <w:pPr>
              <w:rPr>
                <w:rFonts w:ascii="宋体"/>
              </w:rPr>
            </w:pPr>
          </w:p>
        </w:tc>
        <w:tc>
          <w:tcPr>
            <w:tcW w:w="19" w:type="pct"/>
            <w:shd w:val="clear" w:color="auto" w:fill="auto"/>
          </w:tcPr>
          <w:p w14:paraId="7DD000F5" w14:textId="77777777" w:rsidR="00C1563E" w:rsidRDefault="00C1563E">
            <w:pPr>
              <w:rPr>
                <w:rFonts w:ascii="宋体"/>
              </w:rPr>
            </w:pPr>
          </w:p>
        </w:tc>
        <w:tc>
          <w:tcPr>
            <w:tcW w:w="5" w:type="pct"/>
            <w:shd w:val="clear" w:color="auto" w:fill="auto"/>
          </w:tcPr>
          <w:p w14:paraId="7DD000F6" w14:textId="77777777" w:rsidR="00C1563E" w:rsidRDefault="00C1563E">
            <w:pPr>
              <w:rPr>
                <w:rFonts w:ascii="宋体"/>
              </w:rPr>
            </w:pPr>
          </w:p>
        </w:tc>
        <w:tc>
          <w:tcPr>
            <w:tcW w:w="50" w:type="pct"/>
            <w:shd w:val="clear" w:color="auto" w:fill="auto"/>
          </w:tcPr>
          <w:p w14:paraId="7DD000F7" w14:textId="77777777" w:rsidR="00C1563E" w:rsidRDefault="00C1563E">
            <w:pPr>
              <w:rPr>
                <w:rFonts w:ascii="宋体"/>
              </w:rPr>
            </w:pPr>
          </w:p>
        </w:tc>
        <w:tc>
          <w:tcPr>
            <w:tcW w:w="917" w:type="pct"/>
            <w:shd w:val="clear" w:color="auto" w:fill="auto"/>
          </w:tcPr>
          <w:p w14:paraId="7DD000F8" w14:textId="77777777" w:rsidR="00C1563E" w:rsidRDefault="00C1563E">
            <w:pPr>
              <w:rPr>
                <w:rFonts w:ascii="宋体"/>
              </w:rPr>
            </w:pPr>
          </w:p>
        </w:tc>
        <w:tc>
          <w:tcPr>
            <w:tcW w:w="5" w:type="pct"/>
            <w:shd w:val="clear" w:color="auto" w:fill="auto"/>
          </w:tcPr>
          <w:p w14:paraId="7DD000F9" w14:textId="77777777" w:rsidR="00C1563E" w:rsidRDefault="00C1563E">
            <w:pPr>
              <w:rPr>
                <w:rFonts w:ascii="宋体"/>
              </w:rPr>
            </w:pPr>
          </w:p>
        </w:tc>
        <w:tc>
          <w:tcPr>
            <w:tcW w:w="5" w:type="pct"/>
            <w:shd w:val="clear" w:color="auto" w:fill="auto"/>
          </w:tcPr>
          <w:p w14:paraId="7DD000FA" w14:textId="77777777" w:rsidR="00C1563E" w:rsidRDefault="00C1563E">
            <w:pPr>
              <w:rPr>
                <w:rFonts w:ascii="宋体"/>
              </w:rPr>
            </w:pPr>
          </w:p>
        </w:tc>
        <w:tc>
          <w:tcPr>
            <w:tcW w:w="19" w:type="pct"/>
            <w:shd w:val="clear" w:color="auto" w:fill="auto"/>
          </w:tcPr>
          <w:p w14:paraId="7DD000FB" w14:textId="77777777" w:rsidR="00C1563E" w:rsidRDefault="00C1563E">
            <w:pPr>
              <w:rPr>
                <w:rFonts w:ascii="宋体"/>
              </w:rPr>
            </w:pPr>
          </w:p>
        </w:tc>
        <w:tc>
          <w:tcPr>
            <w:tcW w:w="5" w:type="pct"/>
            <w:shd w:val="clear" w:color="auto" w:fill="auto"/>
          </w:tcPr>
          <w:p w14:paraId="7DD000FC" w14:textId="77777777" w:rsidR="00C1563E" w:rsidRDefault="00C1563E">
            <w:pPr>
              <w:rPr>
                <w:rFonts w:ascii="宋体"/>
              </w:rPr>
            </w:pPr>
          </w:p>
        </w:tc>
        <w:tc>
          <w:tcPr>
            <w:tcW w:w="50" w:type="pct"/>
            <w:shd w:val="clear" w:color="auto" w:fill="auto"/>
          </w:tcPr>
          <w:p w14:paraId="7DD000FD" w14:textId="77777777" w:rsidR="00C1563E" w:rsidRDefault="00C1563E">
            <w:pPr>
              <w:rPr>
                <w:rFonts w:ascii="宋体"/>
              </w:rPr>
            </w:pPr>
          </w:p>
        </w:tc>
        <w:tc>
          <w:tcPr>
            <w:tcW w:w="1428" w:type="pct"/>
            <w:shd w:val="clear" w:color="auto" w:fill="auto"/>
          </w:tcPr>
          <w:p w14:paraId="7DD000FE" w14:textId="77777777" w:rsidR="00C1563E" w:rsidRDefault="00C1563E">
            <w:pPr>
              <w:rPr>
                <w:rFonts w:ascii="宋体"/>
              </w:rPr>
            </w:pPr>
          </w:p>
        </w:tc>
        <w:tc>
          <w:tcPr>
            <w:tcW w:w="5" w:type="pct"/>
            <w:shd w:val="clear" w:color="auto" w:fill="auto"/>
          </w:tcPr>
          <w:p w14:paraId="7DD000FF" w14:textId="77777777" w:rsidR="00C1563E" w:rsidRDefault="00C1563E">
            <w:pPr>
              <w:rPr>
                <w:rFonts w:ascii="宋体"/>
              </w:rPr>
            </w:pPr>
          </w:p>
        </w:tc>
        <w:tc>
          <w:tcPr>
            <w:tcW w:w="5" w:type="pct"/>
            <w:shd w:val="clear" w:color="auto" w:fill="auto"/>
          </w:tcPr>
          <w:p w14:paraId="7DD00100" w14:textId="77777777" w:rsidR="00C1563E" w:rsidRDefault="00C1563E">
            <w:pPr>
              <w:rPr>
                <w:rFonts w:ascii="宋体"/>
              </w:rPr>
            </w:pPr>
          </w:p>
        </w:tc>
        <w:tc>
          <w:tcPr>
            <w:tcW w:w="19" w:type="pct"/>
            <w:shd w:val="clear" w:color="auto" w:fill="auto"/>
          </w:tcPr>
          <w:p w14:paraId="7DD00101" w14:textId="77777777" w:rsidR="00C1563E" w:rsidRDefault="00C1563E">
            <w:pPr>
              <w:rPr>
                <w:rFonts w:ascii="宋体"/>
              </w:rPr>
            </w:pPr>
          </w:p>
        </w:tc>
        <w:tc>
          <w:tcPr>
            <w:tcW w:w="5" w:type="pct"/>
            <w:shd w:val="clear" w:color="auto" w:fill="auto"/>
          </w:tcPr>
          <w:p w14:paraId="7DD00102" w14:textId="77777777" w:rsidR="00C1563E" w:rsidRDefault="00C1563E">
            <w:pPr>
              <w:rPr>
                <w:rFonts w:ascii="宋体"/>
              </w:rPr>
            </w:pPr>
          </w:p>
        </w:tc>
        <w:tc>
          <w:tcPr>
            <w:tcW w:w="50" w:type="pct"/>
            <w:shd w:val="clear" w:color="auto" w:fill="auto"/>
          </w:tcPr>
          <w:p w14:paraId="7DD00103" w14:textId="77777777" w:rsidR="00C1563E" w:rsidRDefault="00C1563E">
            <w:pPr>
              <w:rPr>
                <w:rFonts w:ascii="宋体"/>
              </w:rPr>
            </w:pPr>
          </w:p>
        </w:tc>
        <w:tc>
          <w:tcPr>
            <w:tcW w:w="917" w:type="pct"/>
            <w:shd w:val="clear" w:color="auto" w:fill="auto"/>
          </w:tcPr>
          <w:p w14:paraId="7DD00104" w14:textId="77777777" w:rsidR="00C1563E" w:rsidRDefault="00C1563E">
            <w:pPr>
              <w:rPr>
                <w:rFonts w:ascii="宋体"/>
              </w:rPr>
            </w:pPr>
          </w:p>
        </w:tc>
        <w:tc>
          <w:tcPr>
            <w:tcW w:w="5" w:type="pct"/>
            <w:shd w:val="clear" w:color="auto" w:fill="auto"/>
          </w:tcPr>
          <w:p w14:paraId="7DD00105" w14:textId="77777777" w:rsidR="00C1563E" w:rsidRDefault="00C1563E">
            <w:pPr>
              <w:rPr>
                <w:rFonts w:ascii="宋体"/>
              </w:rPr>
            </w:pPr>
          </w:p>
        </w:tc>
      </w:tr>
      <w:tr w:rsidR="00C1563E" w14:paraId="7DD0010E" w14:textId="77777777">
        <w:tc>
          <w:tcPr>
            <w:tcW w:w="0" w:type="auto"/>
            <w:gridSpan w:val="3"/>
            <w:shd w:val="clear" w:color="auto" w:fill="auto"/>
            <w:tcMar>
              <w:top w:w="40" w:type="dxa"/>
              <w:left w:w="20" w:type="dxa"/>
              <w:bottom w:w="40" w:type="dxa"/>
              <w:right w:w="20" w:type="dxa"/>
            </w:tcMar>
            <w:vAlign w:val="bottom"/>
          </w:tcPr>
          <w:p w14:paraId="7DD00107" w14:textId="77777777" w:rsidR="00C1563E" w:rsidRDefault="000B648B">
            <w:pPr>
              <w:jc w:val="center"/>
              <w:textAlignment w:val="bottom"/>
            </w:pPr>
            <w:r>
              <w:rPr>
                <w:rFonts w:ascii="Times New Roman" w:eastAsia="宋体" w:hAnsi="Times New Roman"/>
                <w:b/>
                <w:bCs/>
                <w:color w:val="000000"/>
                <w:sz w:val="20"/>
                <w:szCs w:val="20"/>
              </w:rPr>
              <w:t>Derivatives in Cash Flow Hedging Relationships</w:t>
            </w:r>
          </w:p>
        </w:tc>
        <w:tc>
          <w:tcPr>
            <w:tcW w:w="0" w:type="auto"/>
            <w:gridSpan w:val="3"/>
            <w:shd w:val="clear" w:color="auto" w:fill="auto"/>
            <w:tcMar>
              <w:top w:w="0" w:type="dxa"/>
              <w:left w:w="20" w:type="dxa"/>
              <w:bottom w:w="0" w:type="dxa"/>
              <w:right w:w="20" w:type="dxa"/>
            </w:tcMar>
          </w:tcPr>
          <w:p w14:paraId="7DD0010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109" w14:textId="77777777" w:rsidR="00C1563E" w:rsidRDefault="000B648B">
            <w:pPr>
              <w:jc w:val="center"/>
              <w:textAlignment w:val="bottom"/>
            </w:pPr>
            <w:r>
              <w:rPr>
                <w:rFonts w:ascii="Times New Roman" w:eastAsia="宋体" w:hAnsi="Times New Roman"/>
                <w:b/>
                <w:bCs/>
                <w:color w:val="000000"/>
                <w:sz w:val="20"/>
                <w:szCs w:val="20"/>
              </w:rPr>
              <w:t>Gain (Loss) Recognized in Accumulated OCI, Net of Tax, on Derivatives</w:t>
            </w:r>
          </w:p>
        </w:tc>
        <w:tc>
          <w:tcPr>
            <w:tcW w:w="0" w:type="auto"/>
            <w:gridSpan w:val="3"/>
            <w:shd w:val="clear" w:color="auto" w:fill="auto"/>
            <w:tcMar>
              <w:top w:w="0" w:type="dxa"/>
              <w:left w:w="20" w:type="dxa"/>
              <w:bottom w:w="0" w:type="dxa"/>
              <w:right w:w="20" w:type="dxa"/>
            </w:tcMar>
          </w:tcPr>
          <w:p w14:paraId="7DD0010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10B" w14:textId="77777777" w:rsidR="00C1563E" w:rsidRDefault="000B648B">
            <w:pPr>
              <w:jc w:val="center"/>
              <w:textAlignment w:val="bottom"/>
            </w:pPr>
            <w:r>
              <w:rPr>
                <w:rFonts w:ascii="Times New Roman" w:eastAsia="宋体" w:hAnsi="Times New Roman"/>
                <w:b/>
                <w:bCs/>
                <w:color w:val="000000"/>
                <w:sz w:val="20"/>
                <w:szCs w:val="20"/>
              </w:rPr>
              <w:t>Location of Gain (Loss) Reclassified from Accumulated OCI into Income</w:t>
            </w:r>
          </w:p>
        </w:tc>
        <w:tc>
          <w:tcPr>
            <w:tcW w:w="0" w:type="auto"/>
            <w:gridSpan w:val="3"/>
            <w:shd w:val="clear" w:color="auto" w:fill="auto"/>
            <w:tcMar>
              <w:top w:w="0" w:type="dxa"/>
              <w:left w:w="20" w:type="dxa"/>
              <w:bottom w:w="0" w:type="dxa"/>
              <w:right w:w="20" w:type="dxa"/>
            </w:tcMar>
          </w:tcPr>
          <w:p w14:paraId="7DD0010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10D" w14:textId="77777777" w:rsidR="00C1563E" w:rsidRDefault="000B648B">
            <w:pPr>
              <w:jc w:val="center"/>
              <w:textAlignment w:val="bottom"/>
            </w:pPr>
            <w:r>
              <w:rPr>
                <w:rFonts w:ascii="Times New Roman" w:eastAsia="宋体" w:hAnsi="Times New Roman"/>
                <w:b/>
                <w:bCs/>
                <w:color w:val="000000"/>
                <w:sz w:val="20"/>
                <w:szCs w:val="20"/>
              </w:rPr>
              <w:t xml:space="preserve">Gain (Loss) Reclassified from </w:t>
            </w:r>
            <w:r>
              <w:rPr>
                <w:rFonts w:ascii="Times New Roman" w:eastAsia="宋体" w:hAnsi="Times New Roman"/>
                <w:b/>
                <w:bCs/>
                <w:color w:val="000000"/>
                <w:sz w:val="20"/>
                <w:szCs w:val="20"/>
              </w:rPr>
              <w:t>Accumulated OCI into Income</w:t>
            </w:r>
          </w:p>
        </w:tc>
      </w:tr>
      <w:tr w:rsidR="00C1563E" w14:paraId="7DD00116" w14:textId="77777777">
        <w:tc>
          <w:tcPr>
            <w:tcW w:w="0" w:type="auto"/>
            <w:gridSpan w:val="3"/>
            <w:tcBorders>
              <w:top w:val="single" w:sz="8" w:space="0" w:color="000000"/>
            </w:tcBorders>
            <w:shd w:val="clear" w:color="auto" w:fill="auto"/>
            <w:tcMar>
              <w:top w:w="0" w:type="dxa"/>
              <w:left w:w="20" w:type="dxa"/>
              <w:bottom w:w="0" w:type="dxa"/>
              <w:right w:w="20" w:type="dxa"/>
            </w:tcMar>
          </w:tcPr>
          <w:p w14:paraId="7DD0010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11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111"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0112"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011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11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115"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118" w14:textId="77777777">
        <w:tc>
          <w:tcPr>
            <w:tcW w:w="0" w:type="auto"/>
            <w:gridSpan w:val="21"/>
            <w:shd w:val="clear" w:color="auto" w:fill="CCEEFF"/>
            <w:tcMar>
              <w:top w:w="40" w:type="dxa"/>
              <w:left w:w="20" w:type="dxa"/>
              <w:bottom w:w="40" w:type="dxa"/>
              <w:right w:w="20" w:type="dxa"/>
            </w:tcMar>
            <w:vAlign w:val="bottom"/>
          </w:tcPr>
          <w:p w14:paraId="7DD00117" w14:textId="77777777" w:rsidR="00C1563E" w:rsidRDefault="000B648B">
            <w:pPr>
              <w:textAlignment w:val="bottom"/>
            </w:pPr>
            <w:r>
              <w:rPr>
                <w:rFonts w:ascii="Times New Roman" w:eastAsia="宋体" w:hAnsi="Times New Roman"/>
                <w:i/>
                <w:iCs/>
                <w:color w:val="000000"/>
                <w:sz w:val="20"/>
                <w:szCs w:val="20"/>
              </w:rPr>
              <w:t>For the fiscal year ended January 29, 2021</w:t>
            </w:r>
          </w:p>
        </w:tc>
      </w:tr>
      <w:tr w:rsidR="00C1563E" w14:paraId="7DD00122" w14:textId="77777777">
        <w:tc>
          <w:tcPr>
            <w:tcW w:w="0" w:type="auto"/>
            <w:gridSpan w:val="3"/>
            <w:shd w:val="clear" w:color="auto" w:fill="FFFFFF"/>
            <w:tcMar>
              <w:top w:w="0" w:type="dxa"/>
              <w:left w:w="20" w:type="dxa"/>
              <w:bottom w:w="0" w:type="dxa"/>
              <w:right w:w="20" w:type="dxa"/>
            </w:tcMar>
          </w:tcPr>
          <w:p w14:paraId="7DD0011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1A"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1B"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DD0011C"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1D" w14:textId="77777777" w:rsidR="00C1563E" w:rsidRDefault="000B648B">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DD0011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11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120" w14:textId="77777777" w:rsidR="00C1563E" w:rsidRDefault="000B648B">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7DD00121" w14:textId="77777777" w:rsidR="00C1563E" w:rsidRDefault="00C1563E">
            <w:pPr>
              <w:jc w:val="right"/>
              <w:rPr>
                <w:rFonts w:ascii="宋体"/>
              </w:rPr>
            </w:pPr>
          </w:p>
        </w:tc>
      </w:tr>
      <w:tr w:rsidR="00C1563E" w14:paraId="7DD0012D" w14:textId="77777777">
        <w:tc>
          <w:tcPr>
            <w:tcW w:w="0" w:type="auto"/>
            <w:gridSpan w:val="3"/>
            <w:shd w:val="clear" w:color="auto" w:fill="CCEEFF"/>
            <w:tcMar>
              <w:top w:w="40" w:type="dxa"/>
              <w:left w:w="20" w:type="dxa"/>
              <w:bottom w:w="40" w:type="dxa"/>
              <w:right w:w="20" w:type="dxa"/>
            </w:tcMar>
            <w:vAlign w:val="bottom"/>
          </w:tcPr>
          <w:p w14:paraId="7DD00123" w14:textId="77777777" w:rsidR="00C1563E" w:rsidRDefault="000B648B">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DD0012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12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26" w14:textId="77777777" w:rsidR="00C1563E" w:rsidRDefault="000B648B">
            <w:pPr>
              <w:jc w:val="right"/>
              <w:textAlignment w:val="bottom"/>
            </w:pPr>
            <w:r>
              <w:rPr>
                <w:rFonts w:ascii="Times New Roman" w:eastAsia="宋体" w:hAnsi="Times New Roman"/>
                <w:color w:val="000000"/>
                <w:sz w:val="20"/>
                <w:szCs w:val="20"/>
              </w:rPr>
              <w:t>(200)</w:t>
            </w:r>
          </w:p>
        </w:tc>
        <w:tc>
          <w:tcPr>
            <w:tcW w:w="0" w:type="auto"/>
            <w:shd w:val="clear" w:color="auto" w:fill="CCEEFF"/>
            <w:tcMar>
              <w:top w:w="40" w:type="dxa"/>
              <w:left w:w="0" w:type="dxa"/>
              <w:bottom w:w="40" w:type="dxa"/>
              <w:right w:w="20" w:type="dxa"/>
            </w:tcMar>
            <w:vAlign w:val="bottom"/>
          </w:tcPr>
          <w:p w14:paraId="7DD0012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28"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29" w14:textId="77777777" w:rsidR="00C1563E" w:rsidRDefault="000B648B">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DD0012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12B"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DD0012C" w14:textId="77777777" w:rsidR="00C1563E" w:rsidRDefault="00C1563E">
            <w:pPr>
              <w:jc w:val="right"/>
              <w:rPr>
                <w:rFonts w:ascii="宋体"/>
              </w:rPr>
            </w:pPr>
          </w:p>
        </w:tc>
      </w:tr>
      <w:tr w:rsidR="00C1563E" w14:paraId="7DD00137" w14:textId="77777777">
        <w:tc>
          <w:tcPr>
            <w:tcW w:w="0" w:type="auto"/>
            <w:gridSpan w:val="3"/>
            <w:shd w:val="clear" w:color="auto" w:fill="FFFFFF"/>
            <w:tcMar>
              <w:top w:w="40" w:type="dxa"/>
              <w:left w:w="20" w:type="dxa"/>
              <w:bottom w:w="40" w:type="dxa"/>
              <w:right w:w="20" w:type="dxa"/>
            </w:tcMar>
            <w:vAlign w:val="bottom"/>
          </w:tcPr>
          <w:p w14:paraId="7DD0012E" w14:textId="77777777" w:rsidR="00C1563E" w:rsidRDefault="000B648B">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DD0012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3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32"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33" w14:textId="77777777" w:rsidR="00C1563E" w:rsidRDefault="000B648B">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DD0013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3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36" w14:textId="77777777" w:rsidR="00C1563E" w:rsidRDefault="00C1563E">
            <w:pPr>
              <w:jc w:val="right"/>
              <w:rPr>
                <w:rFonts w:ascii="宋体"/>
              </w:rPr>
            </w:pPr>
          </w:p>
        </w:tc>
      </w:tr>
      <w:tr w:rsidR="00C1563E" w14:paraId="7DD00143" w14:textId="77777777">
        <w:tc>
          <w:tcPr>
            <w:tcW w:w="0" w:type="auto"/>
            <w:gridSpan w:val="3"/>
            <w:shd w:val="clear" w:color="auto" w:fill="CCEEFF"/>
            <w:tcMar>
              <w:top w:w="40" w:type="dxa"/>
              <w:left w:w="20" w:type="dxa"/>
              <w:bottom w:w="40" w:type="dxa"/>
              <w:right w:w="20" w:type="dxa"/>
            </w:tcMar>
            <w:vAlign w:val="bottom"/>
          </w:tcPr>
          <w:p w14:paraId="7DD00138" w14:textId="77777777" w:rsidR="00C1563E" w:rsidRDefault="000B648B">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DD00139"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13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13B" w14:textId="77777777" w:rsidR="00C1563E" w:rsidRDefault="000B648B">
            <w:pPr>
              <w:jc w:val="right"/>
              <w:textAlignment w:val="bottom"/>
            </w:pPr>
            <w:r>
              <w:rPr>
                <w:rFonts w:ascii="Times New Roman" w:eastAsia="宋体" w:hAnsi="Times New Roman"/>
                <w:color w:val="000000"/>
                <w:sz w:val="20"/>
                <w:szCs w:val="20"/>
              </w:rPr>
              <w:t>(200)</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13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3D"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3E" w14:textId="77777777" w:rsidR="00C1563E" w:rsidRDefault="000B648B">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013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14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141" w14:textId="77777777" w:rsidR="00C1563E" w:rsidRDefault="000B648B">
            <w:pPr>
              <w:jc w:val="right"/>
              <w:textAlignment w:val="bottom"/>
            </w:pPr>
            <w:r>
              <w:rPr>
                <w:rFonts w:ascii="Times New Roman" w:eastAsia="宋体" w:hAnsi="Times New Roman"/>
                <w:color w:val="000000"/>
                <w:sz w:val="20"/>
                <w:szCs w:val="20"/>
              </w:rPr>
              <w:t>(100)</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142" w14:textId="77777777" w:rsidR="00C1563E" w:rsidRDefault="00C1563E">
            <w:pPr>
              <w:jc w:val="right"/>
              <w:rPr>
                <w:rFonts w:ascii="宋体"/>
              </w:rPr>
            </w:pPr>
          </w:p>
        </w:tc>
      </w:tr>
      <w:tr w:rsidR="00C1563E" w14:paraId="7DD0014B" w14:textId="77777777">
        <w:trPr>
          <w:trHeight w:val="160"/>
        </w:trPr>
        <w:tc>
          <w:tcPr>
            <w:tcW w:w="0" w:type="auto"/>
            <w:gridSpan w:val="3"/>
            <w:shd w:val="clear" w:color="auto" w:fill="FFFFFF"/>
            <w:tcMar>
              <w:top w:w="0" w:type="dxa"/>
              <w:left w:w="20" w:type="dxa"/>
              <w:bottom w:w="0" w:type="dxa"/>
              <w:right w:w="20" w:type="dxa"/>
            </w:tcMar>
          </w:tcPr>
          <w:p w14:paraId="7DD0014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45"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14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4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4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49"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14A" w14:textId="77777777" w:rsidR="00C1563E" w:rsidRDefault="00C1563E">
            <w:pPr>
              <w:rPr>
                <w:rFonts w:ascii="宋体"/>
              </w:rPr>
            </w:pPr>
          </w:p>
        </w:tc>
      </w:tr>
      <w:tr w:rsidR="00C1563E" w14:paraId="7DD0014D" w14:textId="77777777">
        <w:tc>
          <w:tcPr>
            <w:tcW w:w="0" w:type="auto"/>
            <w:gridSpan w:val="21"/>
            <w:shd w:val="clear" w:color="auto" w:fill="CCEEFF"/>
            <w:tcMar>
              <w:top w:w="40" w:type="dxa"/>
              <w:left w:w="20" w:type="dxa"/>
              <w:bottom w:w="40" w:type="dxa"/>
              <w:right w:w="20" w:type="dxa"/>
            </w:tcMar>
            <w:vAlign w:val="bottom"/>
          </w:tcPr>
          <w:p w14:paraId="7DD0014C" w14:textId="77777777" w:rsidR="00C1563E" w:rsidRDefault="000B648B">
            <w:pPr>
              <w:textAlignment w:val="bottom"/>
            </w:pPr>
            <w:r>
              <w:rPr>
                <w:rFonts w:ascii="Times New Roman" w:eastAsia="宋体" w:hAnsi="Times New Roman"/>
                <w:i/>
                <w:iCs/>
                <w:color w:val="000000"/>
                <w:sz w:val="20"/>
                <w:szCs w:val="20"/>
              </w:rPr>
              <w:t>For the fiscal year ended January 31, 2020</w:t>
            </w:r>
          </w:p>
        </w:tc>
      </w:tr>
      <w:tr w:rsidR="00C1563E" w14:paraId="7DD00157" w14:textId="77777777">
        <w:tc>
          <w:tcPr>
            <w:tcW w:w="0" w:type="auto"/>
            <w:gridSpan w:val="3"/>
            <w:shd w:val="clear" w:color="auto" w:fill="FFFFFF"/>
            <w:tcMar>
              <w:top w:w="0" w:type="dxa"/>
              <w:left w:w="20" w:type="dxa"/>
              <w:bottom w:w="0" w:type="dxa"/>
              <w:right w:w="20" w:type="dxa"/>
            </w:tcMar>
          </w:tcPr>
          <w:p w14:paraId="7DD0014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4F"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50"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DD00151"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52" w14:textId="77777777" w:rsidR="00C1563E" w:rsidRDefault="000B648B">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DD0015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15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155" w14:textId="77777777" w:rsidR="00C1563E" w:rsidRDefault="000B648B">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7DD00156" w14:textId="77777777" w:rsidR="00C1563E" w:rsidRDefault="00C1563E">
            <w:pPr>
              <w:jc w:val="right"/>
              <w:rPr>
                <w:rFonts w:ascii="宋体"/>
              </w:rPr>
            </w:pPr>
          </w:p>
        </w:tc>
      </w:tr>
      <w:tr w:rsidR="00C1563E" w14:paraId="7DD00162" w14:textId="77777777">
        <w:tc>
          <w:tcPr>
            <w:tcW w:w="0" w:type="auto"/>
            <w:gridSpan w:val="3"/>
            <w:shd w:val="clear" w:color="auto" w:fill="CCEEFF"/>
            <w:tcMar>
              <w:top w:w="40" w:type="dxa"/>
              <w:left w:w="20" w:type="dxa"/>
              <w:bottom w:w="40" w:type="dxa"/>
              <w:right w:w="20" w:type="dxa"/>
            </w:tcMar>
            <w:vAlign w:val="bottom"/>
          </w:tcPr>
          <w:p w14:paraId="7DD00158" w14:textId="77777777" w:rsidR="00C1563E" w:rsidRDefault="000B648B">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DD0015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15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5B" w14:textId="77777777" w:rsidR="00C1563E" w:rsidRDefault="000B648B">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DD0015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5D"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5E" w14:textId="77777777" w:rsidR="00C1563E" w:rsidRDefault="000B648B">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DD0015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16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161" w14:textId="77777777" w:rsidR="00C1563E" w:rsidRDefault="00C1563E">
            <w:pPr>
              <w:jc w:val="right"/>
              <w:rPr>
                <w:rFonts w:ascii="宋体"/>
              </w:rPr>
            </w:pPr>
          </w:p>
        </w:tc>
      </w:tr>
      <w:tr w:rsidR="00C1563E" w14:paraId="7DD0016C" w14:textId="77777777">
        <w:tc>
          <w:tcPr>
            <w:tcW w:w="0" w:type="auto"/>
            <w:gridSpan w:val="3"/>
            <w:shd w:val="clear" w:color="auto" w:fill="FFFFFF"/>
            <w:tcMar>
              <w:top w:w="40" w:type="dxa"/>
              <w:left w:w="20" w:type="dxa"/>
              <w:bottom w:w="40" w:type="dxa"/>
              <w:right w:w="20" w:type="dxa"/>
            </w:tcMar>
            <w:vAlign w:val="bottom"/>
          </w:tcPr>
          <w:p w14:paraId="7DD00163" w14:textId="77777777" w:rsidR="00C1563E" w:rsidRDefault="000B648B">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DD0016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6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6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67"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68" w14:textId="77777777" w:rsidR="00C1563E" w:rsidRDefault="000B648B">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DD0016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6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6B" w14:textId="77777777" w:rsidR="00C1563E" w:rsidRDefault="00C1563E">
            <w:pPr>
              <w:jc w:val="right"/>
              <w:rPr>
                <w:rFonts w:ascii="宋体"/>
              </w:rPr>
            </w:pPr>
          </w:p>
        </w:tc>
      </w:tr>
      <w:tr w:rsidR="00C1563E" w14:paraId="7DD00178" w14:textId="77777777">
        <w:tc>
          <w:tcPr>
            <w:tcW w:w="0" w:type="auto"/>
            <w:gridSpan w:val="3"/>
            <w:shd w:val="clear" w:color="auto" w:fill="CCEEFF"/>
            <w:tcMar>
              <w:top w:w="40" w:type="dxa"/>
              <w:left w:w="20" w:type="dxa"/>
              <w:bottom w:w="40" w:type="dxa"/>
              <w:right w:w="20" w:type="dxa"/>
            </w:tcMar>
            <w:vAlign w:val="bottom"/>
          </w:tcPr>
          <w:p w14:paraId="7DD0016D" w14:textId="77777777" w:rsidR="00C1563E" w:rsidRDefault="000B648B">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DD0016E"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16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170" w14:textId="77777777" w:rsidR="00C1563E" w:rsidRDefault="000B648B">
            <w:pPr>
              <w:jc w:val="right"/>
              <w:textAlignment w:val="bottom"/>
            </w:pPr>
            <w:r>
              <w:rPr>
                <w:rFonts w:ascii="Times New Roman" w:eastAsia="宋体" w:hAnsi="Times New Roman"/>
                <w:color w:val="000000"/>
                <w:sz w:val="20"/>
                <w:szCs w:val="20"/>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17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7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73" w14:textId="77777777" w:rsidR="00C1563E" w:rsidRDefault="000B648B">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0174"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17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176" w14:textId="77777777" w:rsidR="00C1563E" w:rsidRDefault="000B648B">
            <w:pPr>
              <w:jc w:val="right"/>
              <w:textAlignment w:val="bottom"/>
            </w:pPr>
            <w:r>
              <w:rPr>
                <w:rFonts w:ascii="Times New Roman" w:eastAsia="宋体" w:hAnsi="Times New Roman"/>
                <w:color w:val="000000"/>
                <w:sz w:val="20"/>
                <w:szCs w:val="20"/>
              </w:rPr>
              <w:t>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177" w14:textId="77777777" w:rsidR="00C1563E" w:rsidRDefault="00C1563E">
            <w:pPr>
              <w:jc w:val="right"/>
              <w:rPr>
                <w:rFonts w:ascii="宋体"/>
              </w:rPr>
            </w:pPr>
          </w:p>
        </w:tc>
      </w:tr>
      <w:tr w:rsidR="00C1563E" w14:paraId="7DD00180" w14:textId="77777777">
        <w:trPr>
          <w:trHeight w:val="160"/>
        </w:trPr>
        <w:tc>
          <w:tcPr>
            <w:tcW w:w="0" w:type="auto"/>
            <w:gridSpan w:val="3"/>
            <w:shd w:val="clear" w:color="auto" w:fill="FFFFFF"/>
            <w:tcMar>
              <w:top w:w="0" w:type="dxa"/>
              <w:left w:w="20" w:type="dxa"/>
              <w:bottom w:w="0" w:type="dxa"/>
              <w:right w:w="20" w:type="dxa"/>
            </w:tcMar>
          </w:tcPr>
          <w:p w14:paraId="7DD0017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7A"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17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7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7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7E"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17F" w14:textId="77777777" w:rsidR="00C1563E" w:rsidRDefault="00C1563E">
            <w:pPr>
              <w:rPr>
                <w:rFonts w:ascii="宋体"/>
              </w:rPr>
            </w:pPr>
          </w:p>
        </w:tc>
      </w:tr>
      <w:tr w:rsidR="00C1563E" w14:paraId="7DD00182" w14:textId="77777777">
        <w:tc>
          <w:tcPr>
            <w:tcW w:w="0" w:type="auto"/>
            <w:gridSpan w:val="21"/>
            <w:shd w:val="clear" w:color="auto" w:fill="CCEEFF"/>
            <w:tcMar>
              <w:top w:w="40" w:type="dxa"/>
              <w:left w:w="20" w:type="dxa"/>
              <w:bottom w:w="40" w:type="dxa"/>
              <w:right w:w="20" w:type="dxa"/>
            </w:tcMar>
            <w:vAlign w:val="bottom"/>
          </w:tcPr>
          <w:p w14:paraId="7DD00181" w14:textId="77777777" w:rsidR="00C1563E" w:rsidRDefault="000B648B">
            <w:pPr>
              <w:textAlignment w:val="bottom"/>
            </w:pPr>
            <w:r>
              <w:rPr>
                <w:rFonts w:ascii="Times New Roman" w:eastAsia="宋体" w:hAnsi="Times New Roman"/>
                <w:i/>
                <w:iCs/>
                <w:color w:val="000000"/>
                <w:sz w:val="20"/>
                <w:szCs w:val="20"/>
              </w:rPr>
              <w:t>For the fiscal year ended February 1, 2019</w:t>
            </w:r>
          </w:p>
        </w:tc>
      </w:tr>
      <w:tr w:rsidR="00C1563E" w14:paraId="7DD0018C" w14:textId="77777777">
        <w:tc>
          <w:tcPr>
            <w:tcW w:w="0" w:type="auto"/>
            <w:gridSpan w:val="3"/>
            <w:shd w:val="clear" w:color="auto" w:fill="FFFFFF"/>
            <w:tcMar>
              <w:top w:w="0" w:type="dxa"/>
              <w:left w:w="20" w:type="dxa"/>
              <w:bottom w:w="0" w:type="dxa"/>
              <w:right w:w="20" w:type="dxa"/>
            </w:tcMar>
          </w:tcPr>
          <w:p w14:paraId="7DD0018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184"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85"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tcPr>
          <w:p w14:paraId="7DD00186"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87" w14:textId="77777777" w:rsidR="00C1563E" w:rsidRDefault="000B648B">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tcPr>
          <w:p w14:paraId="7DD0018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18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18A" w14:textId="77777777" w:rsidR="00C1563E" w:rsidRDefault="000B648B">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left w:w="0" w:type="dxa"/>
              <w:bottom w:w="40" w:type="dxa"/>
              <w:right w:w="20" w:type="dxa"/>
            </w:tcMar>
            <w:vAlign w:val="bottom"/>
          </w:tcPr>
          <w:p w14:paraId="7DD0018B" w14:textId="77777777" w:rsidR="00C1563E" w:rsidRDefault="00C1563E">
            <w:pPr>
              <w:jc w:val="right"/>
              <w:rPr>
                <w:rFonts w:ascii="宋体"/>
              </w:rPr>
            </w:pPr>
          </w:p>
        </w:tc>
      </w:tr>
      <w:tr w:rsidR="00C1563E" w14:paraId="7DD00197" w14:textId="77777777">
        <w:tc>
          <w:tcPr>
            <w:tcW w:w="0" w:type="auto"/>
            <w:gridSpan w:val="3"/>
            <w:shd w:val="clear" w:color="auto" w:fill="CCEEFF"/>
            <w:tcMar>
              <w:top w:w="40" w:type="dxa"/>
              <w:left w:w="20" w:type="dxa"/>
              <w:bottom w:w="40" w:type="dxa"/>
              <w:right w:w="20" w:type="dxa"/>
            </w:tcMar>
            <w:vAlign w:val="bottom"/>
          </w:tcPr>
          <w:p w14:paraId="7DD0018D" w14:textId="77777777" w:rsidR="00C1563E" w:rsidRDefault="000B648B">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tcPr>
          <w:p w14:paraId="7DD0018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18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90" w14:textId="77777777" w:rsidR="00C1563E" w:rsidRDefault="000B648B">
            <w:pPr>
              <w:jc w:val="right"/>
              <w:textAlignment w:val="bottom"/>
            </w:pPr>
            <w:r>
              <w:rPr>
                <w:rFonts w:ascii="Times New Roman" w:eastAsia="宋体" w:hAnsi="Times New Roman"/>
                <w:color w:val="000000"/>
                <w:sz w:val="20"/>
                <w:szCs w:val="20"/>
              </w:rPr>
              <w:t>299 </w:t>
            </w:r>
          </w:p>
        </w:tc>
        <w:tc>
          <w:tcPr>
            <w:tcW w:w="0" w:type="auto"/>
            <w:shd w:val="clear" w:color="auto" w:fill="CCEEFF"/>
            <w:tcMar>
              <w:top w:w="40" w:type="dxa"/>
              <w:left w:w="0" w:type="dxa"/>
              <w:bottom w:w="40" w:type="dxa"/>
              <w:right w:w="20" w:type="dxa"/>
            </w:tcMar>
            <w:vAlign w:val="bottom"/>
          </w:tcPr>
          <w:p w14:paraId="7DD001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9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93" w14:textId="77777777" w:rsidR="00C1563E" w:rsidRDefault="000B648B">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tcPr>
          <w:p w14:paraId="7DD0019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19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196" w14:textId="77777777" w:rsidR="00C1563E" w:rsidRDefault="00C1563E">
            <w:pPr>
              <w:jc w:val="right"/>
              <w:rPr>
                <w:rFonts w:ascii="宋体"/>
              </w:rPr>
            </w:pPr>
          </w:p>
        </w:tc>
      </w:tr>
      <w:tr w:rsidR="00C1563E" w14:paraId="7DD001A1" w14:textId="77777777">
        <w:tc>
          <w:tcPr>
            <w:tcW w:w="0" w:type="auto"/>
            <w:gridSpan w:val="3"/>
            <w:shd w:val="clear" w:color="auto" w:fill="FFFFFF"/>
            <w:tcMar>
              <w:top w:w="40" w:type="dxa"/>
              <w:left w:w="20" w:type="dxa"/>
              <w:bottom w:w="40" w:type="dxa"/>
              <w:right w:w="20" w:type="dxa"/>
            </w:tcMar>
            <w:vAlign w:val="bottom"/>
          </w:tcPr>
          <w:p w14:paraId="7DD00198" w14:textId="77777777" w:rsidR="00C1563E" w:rsidRDefault="000B648B">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tcPr>
          <w:p w14:paraId="7DD0019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9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9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9C"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9D" w14:textId="77777777" w:rsidR="00C1563E" w:rsidRDefault="000B648B">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tcPr>
          <w:p w14:paraId="7DD0019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9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1A0" w14:textId="77777777" w:rsidR="00C1563E" w:rsidRDefault="00C1563E">
            <w:pPr>
              <w:jc w:val="right"/>
              <w:rPr>
                <w:rFonts w:ascii="宋体"/>
              </w:rPr>
            </w:pPr>
          </w:p>
        </w:tc>
      </w:tr>
      <w:tr w:rsidR="00C1563E" w14:paraId="7DD001AD" w14:textId="77777777">
        <w:tc>
          <w:tcPr>
            <w:tcW w:w="0" w:type="auto"/>
            <w:gridSpan w:val="3"/>
            <w:shd w:val="clear" w:color="auto" w:fill="CCEEFF"/>
            <w:tcMar>
              <w:top w:w="40" w:type="dxa"/>
              <w:left w:w="20" w:type="dxa"/>
              <w:bottom w:w="40" w:type="dxa"/>
              <w:right w:w="20" w:type="dxa"/>
            </w:tcMar>
            <w:vAlign w:val="bottom"/>
          </w:tcPr>
          <w:p w14:paraId="7DD001A2" w14:textId="77777777" w:rsidR="00C1563E" w:rsidRDefault="000B648B">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DD001A3"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1A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1A5" w14:textId="77777777" w:rsidR="00C1563E" w:rsidRDefault="000B648B">
            <w:pPr>
              <w:jc w:val="right"/>
              <w:textAlignment w:val="bottom"/>
            </w:pPr>
            <w:r>
              <w:rPr>
                <w:rFonts w:ascii="Times New Roman" w:eastAsia="宋体" w:hAnsi="Times New Roman"/>
                <w:color w:val="000000"/>
                <w:sz w:val="20"/>
                <w:szCs w:val="20"/>
              </w:rPr>
              <w:t>299 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1A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A7"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A8" w14:textId="77777777" w:rsidR="00C1563E" w:rsidRDefault="000B648B">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01A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1A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1AB" w14:textId="77777777" w:rsidR="00C1563E" w:rsidRDefault="000B648B">
            <w:pPr>
              <w:jc w:val="right"/>
              <w:textAlignment w:val="bottom"/>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1AC" w14:textId="77777777" w:rsidR="00C1563E" w:rsidRDefault="00C1563E">
            <w:pPr>
              <w:jc w:val="right"/>
              <w:rPr>
                <w:rFonts w:ascii="宋体"/>
              </w:rPr>
            </w:pPr>
          </w:p>
        </w:tc>
      </w:tr>
    </w:tbl>
    <w:p w14:paraId="7DD001AE" w14:textId="77777777" w:rsidR="00C1563E" w:rsidRDefault="00C1563E"/>
    <w:p w14:paraId="7DD001AF" w14:textId="77777777" w:rsidR="00C1563E" w:rsidRDefault="000B648B">
      <w:pPr>
        <w:spacing w:after="120"/>
      </w:pPr>
      <w:r>
        <w:rPr>
          <w:rFonts w:ascii="Times New Roman" w:eastAsia="宋体" w:hAnsi="Times New Roman"/>
          <w:i/>
          <w:iCs/>
          <w:color w:val="000000"/>
          <w:sz w:val="20"/>
          <w:szCs w:val="20"/>
          <w:u w:val="single"/>
        </w:rPr>
        <w:t>Effect of Derivative Instruments Not Designated as Hedging Instruments on the Consolidated Statements of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088"/>
        <w:gridCol w:w="36"/>
        <w:gridCol w:w="121"/>
        <w:gridCol w:w="1309"/>
        <w:gridCol w:w="36"/>
        <w:gridCol w:w="36"/>
        <w:gridCol w:w="36"/>
        <w:gridCol w:w="36"/>
        <w:gridCol w:w="121"/>
        <w:gridCol w:w="1309"/>
        <w:gridCol w:w="36"/>
        <w:gridCol w:w="36"/>
        <w:gridCol w:w="36"/>
        <w:gridCol w:w="36"/>
        <w:gridCol w:w="121"/>
        <w:gridCol w:w="1309"/>
        <w:gridCol w:w="36"/>
        <w:gridCol w:w="36"/>
        <w:gridCol w:w="36"/>
        <w:gridCol w:w="36"/>
        <w:gridCol w:w="55"/>
        <w:gridCol w:w="1362"/>
        <w:gridCol w:w="36"/>
      </w:tblGrid>
      <w:tr w:rsidR="00C1563E" w14:paraId="7DD001C8" w14:textId="77777777">
        <w:trPr>
          <w:jc w:val="center"/>
        </w:trPr>
        <w:tc>
          <w:tcPr>
            <w:tcW w:w="50" w:type="pct"/>
            <w:shd w:val="clear" w:color="auto" w:fill="auto"/>
          </w:tcPr>
          <w:p w14:paraId="7DD001B0" w14:textId="77777777" w:rsidR="00C1563E" w:rsidRDefault="00C1563E">
            <w:pPr>
              <w:rPr>
                <w:rFonts w:ascii="宋体"/>
              </w:rPr>
            </w:pPr>
          </w:p>
        </w:tc>
        <w:tc>
          <w:tcPr>
            <w:tcW w:w="1297" w:type="pct"/>
            <w:shd w:val="clear" w:color="auto" w:fill="auto"/>
          </w:tcPr>
          <w:p w14:paraId="7DD001B1" w14:textId="77777777" w:rsidR="00C1563E" w:rsidRDefault="00C1563E">
            <w:pPr>
              <w:rPr>
                <w:rFonts w:ascii="宋体"/>
              </w:rPr>
            </w:pPr>
          </w:p>
        </w:tc>
        <w:tc>
          <w:tcPr>
            <w:tcW w:w="5" w:type="pct"/>
            <w:shd w:val="clear" w:color="auto" w:fill="auto"/>
          </w:tcPr>
          <w:p w14:paraId="7DD001B2" w14:textId="77777777" w:rsidR="00C1563E" w:rsidRDefault="00C1563E">
            <w:pPr>
              <w:rPr>
                <w:rFonts w:ascii="宋体"/>
              </w:rPr>
            </w:pPr>
          </w:p>
        </w:tc>
        <w:tc>
          <w:tcPr>
            <w:tcW w:w="50" w:type="pct"/>
            <w:shd w:val="clear" w:color="auto" w:fill="auto"/>
          </w:tcPr>
          <w:p w14:paraId="7DD001B3" w14:textId="77777777" w:rsidR="00C1563E" w:rsidRDefault="00C1563E">
            <w:pPr>
              <w:rPr>
                <w:rFonts w:ascii="宋体"/>
              </w:rPr>
            </w:pPr>
          </w:p>
        </w:tc>
        <w:tc>
          <w:tcPr>
            <w:tcW w:w="822" w:type="pct"/>
            <w:shd w:val="clear" w:color="auto" w:fill="auto"/>
          </w:tcPr>
          <w:p w14:paraId="7DD001B4" w14:textId="77777777" w:rsidR="00C1563E" w:rsidRDefault="00C1563E">
            <w:pPr>
              <w:rPr>
                <w:rFonts w:ascii="宋体"/>
              </w:rPr>
            </w:pPr>
          </w:p>
        </w:tc>
        <w:tc>
          <w:tcPr>
            <w:tcW w:w="5" w:type="pct"/>
            <w:shd w:val="clear" w:color="auto" w:fill="auto"/>
          </w:tcPr>
          <w:p w14:paraId="7DD001B5" w14:textId="77777777" w:rsidR="00C1563E" w:rsidRDefault="00C1563E">
            <w:pPr>
              <w:rPr>
                <w:rFonts w:ascii="宋体"/>
              </w:rPr>
            </w:pPr>
          </w:p>
        </w:tc>
        <w:tc>
          <w:tcPr>
            <w:tcW w:w="5" w:type="pct"/>
            <w:shd w:val="clear" w:color="auto" w:fill="auto"/>
          </w:tcPr>
          <w:p w14:paraId="7DD001B6" w14:textId="77777777" w:rsidR="00C1563E" w:rsidRDefault="00C1563E">
            <w:pPr>
              <w:rPr>
                <w:rFonts w:ascii="宋体"/>
              </w:rPr>
            </w:pPr>
          </w:p>
        </w:tc>
        <w:tc>
          <w:tcPr>
            <w:tcW w:w="19" w:type="pct"/>
            <w:shd w:val="clear" w:color="auto" w:fill="auto"/>
          </w:tcPr>
          <w:p w14:paraId="7DD001B7" w14:textId="77777777" w:rsidR="00C1563E" w:rsidRDefault="00C1563E">
            <w:pPr>
              <w:rPr>
                <w:rFonts w:ascii="宋体"/>
              </w:rPr>
            </w:pPr>
          </w:p>
        </w:tc>
        <w:tc>
          <w:tcPr>
            <w:tcW w:w="5" w:type="pct"/>
            <w:shd w:val="clear" w:color="auto" w:fill="auto"/>
          </w:tcPr>
          <w:p w14:paraId="7DD001B8" w14:textId="77777777" w:rsidR="00C1563E" w:rsidRDefault="00C1563E">
            <w:pPr>
              <w:rPr>
                <w:rFonts w:ascii="宋体"/>
              </w:rPr>
            </w:pPr>
          </w:p>
        </w:tc>
        <w:tc>
          <w:tcPr>
            <w:tcW w:w="50" w:type="pct"/>
            <w:shd w:val="clear" w:color="auto" w:fill="auto"/>
          </w:tcPr>
          <w:p w14:paraId="7DD001B9" w14:textId="77777777" w:rsidR="00C1563E" w:rsidRDefault="00C1563E">
            <w:pPr>
              <w:rPr>
                <w:rFonts w:ascii="宋体"/>
              </w:rPr>
            </w:pPr>
          </w:p>
        </w:tc>
        <w:tc>
          <w:tcPr>
            <w:tcW w:w="822" w:type="pct"/>
            <w:shd w:val="clear" w:color="auto" w:fill="auto"/>
          </w:tcPr>
          <w:p w14:paraId="7DD001BA" w14:textId="77777777" w:rsidR="00C1563E" w:rsidRDefault="00C1563E">
            <w:pPr>
              <w:rPr>
                <w:rFonts w:ascii="宋体"/>
              </w:rPr>
            </w:pPr>
          </w:p>
        </w:tc>
        <w:tc>
          <w:tcPr>
            <w:tcW w:w="5" w:type="pct"/>
            <w:shd w:val="clear" w:color="auto" w:fill="auto"/>
          </w:tcPr>
          <w:p w14:paraId="7DD001BB" w14:textId="77777777" w:rsidR="00C1563E" w:rsidRDefault="00C1563E">
            <w:pPr>
              <w:rPr>
                <w:rFonts w:ascii="宋体"/>
              </w:rPr>
            </w:pPr>
          </w:p>
        </w:tc>
        <w:tc>
          <w:tcPr>
            <w:tcW w:w="5" w:type="pct"/>
            <w:shd w:val="clear" w:color="auto" w:fill="auto"/>
          </w:tcPr>
          <w:p w14:paraId="7DD001BC" w14:textId="77777777" w:rsidR="00C1563E" w:rsidRDefault="00C1563E">
            <w:pPr>
              <w:rPr>
                <w:rFonts w:ascii="宋体"/>
              </w:rPr>
            </w:pPr>
          </w:p>
        </w:tc>
        <w:tc>
          <w:tcPr>
            <w:tcW w:w="19" w:type="pct"/>
            <w:shd w:val="clear" w:color="auto" w:fill="auto"/>
          </w:tcPr>
          <w:p w14:paraId="7DD001BD" w14:textId="77777777" w:rsidR="00C1563E" w:rsidRDefault="00C1563E">
            <w:pPr>
              <w:rPr>
                <w:rFonts w:ascii="宋体"/>
              </w:rPr>
            </w:pPr>
          </w:p>
        </w:tc>
        <w:tc>
          <w:tcPr>
            <w:tcW w:w="5" w:type="pct"/>
            <w:shd w:val="clear" w:color="auto" w:fill="auto"/>
          </w:tcPr>
          <w:p w14:paraId="7DD001BE" w14:textId="77777777" w:rsidR="00C1563E" w:rsidRDefault="00C1563E">
            <w:pPr>
              <w:rPr>
                <w:rFonts w:ascii="宋体"/>
              </w:rPr>
            </w:pPr>
          </w:p>
        </w:tc>
        <w:tc>
          <w:tcPr>
            <w:tcW w:w="50" w:type="pct"/>
            <w:shd w:val="clear" w:color="auto" w:fill="auto"/>
          </w:tcPr>
          <w:p w14:paraId="7DD001BF" w14:textId="77777777" w:rsidR="00C1563E" w:rsidRDefault="00C1563E">
            <w:pPr>
              <w:rPr>
                <w:rFonts w:ascii="宋体"/>
              </w:rPr>
            </w:pPr>
          </w:p>
        </w:tc>
        <w:tc>
          <w:tcPr>
            <w:tcW w:w="822" w:type="pct"/>
            <w:shd w:val="clear" w:color="auto" w:fill="auto"/>
          </w:tcPr>
          <w:p w14:paraId="7DD001C0" w14:textId="77777777" w:rsidR="00C1563E" w:rsidRDefault="00C1563E">
            <w:pPr>
              <w:rPr>
                <w:rFonts w:ascii="宋体"/>
              </w:rPr>
            </w:pPr>
          </w:p>
        </w:tc>
        <w:tc>
          <w:tcPr>
            <w:tcW w:w="5" w:type="pct"/>
            <w:shd w:val="clear" w:color="auto" w:fill="auto"/>
          </w:tcPr>
          <w:p w14:paraId="7DD001C1" w14:textId="77777777" w:rsidR="00C1563E" w:rsidRDefault="00C1563E">
            <w:pPr>
              <w:rPr>
                <w:rFonts w:ascii="宋体"/>
              </w:rPr>
            </w:pPr>
          </w:p>
        </w:tc>
        <w:tc>
          <w:tcPr>
            <w:tcW w:w="5" w:type="pct"/>
            <w:shd w:val="clear" w:color="auto" w:fill="auto"/>
          </w:tcPr>
          <w:p w14:paraId="7DD001C2" w14:textId="77777777" w:rsidR="00C1563E" w:rsidRDefault="00C1563E">
            <w:pPr>
              <w:rPr>
                <w:rFonts w:ascii="宋体"/>
              </w:rPr>
            </w:pPr>
          </w:p>
        </w:tc>
        <w:tc>
          <w:tcPr>
            <w:tcW w:w="19" w:type="pct"/>
            <w:shd w:val="clear" w:color="auto" w:fill="auto"/>
          </w:tcPr>
          <w:p w14:paraId="7DD001C3" w14:textId="77777777" w:rsidR="00C1563E" w:rsidRDefault="00C1563E">
            <w:pPr>
              <w:rPr>
                <w:rFonts w:ascii="宋体"/>
              </w:rPr>
            </w:pPr>
          </w:p>
        </w:tc>
        <w:tc>
          <w:tcPr>
            <w:tcW w:w="5" w:type="pct"/>
            <w:shd w:val="clear" w:color="auto" w:fill="auto"/>
          </w:tcPr>
          <w:p w14:paraId="7DD001C4" w14:textId="77777777" w:rsidR="00C1563E" w:rsidRDefault="00C1563E">
            <w:pPr>
              <w:rPr>
                <w:rFonts w:ascii="宋体"/>
              </w:rPr>
            </w:pPr>
          </w:p>
        </w:tc>
        <w:tc>
          <w:tcPr>
            <w:tcW w:w="50" w:type="pct"/>
            <w:shd w:val="clear" w:color="auto" w:fill="auto"/>
          </w:tcPr>
          <w:p w14:paraId="7DD001C5" w14:textId="77777777" w:rsidR="00C1563E" w:rsidRDefault="00C1563E">
            <w:pPr>
              <w:rPr>
                <w:rFonts w:ascii="宋体"/>
              </w:rPr>
            </w:pPr>
          </w:p>
        </w:tc>
        <w:tc>
          <w:tcPr>
            <w:tcW w:w="873" w:type="pct"/>
            <w:shd w:val="clear" w:color="auto" w:fill="auto"/>
          </w:tcPr>
          <w:p w14:paraId="7DD001C6" w14:textId="77777777" w:rsidR="00C1563E" w:rsidRDefault="00C1563E">
            <w:pPr>
              <w:rPr>
                <w:rFonts w:ascii="宋体"/>
              </w:rPr>
            </w:pPr>
          </w:p>
        </w:tc>
        <w:tc>
          <w:tcPr>
            <w:tcW w:w="5" w:type="pct"/>
            <w:shd w:val="clear" w:color="auto" w:fill="auto"/>
          </w:tcPr>
          <w:p w14:paraId="7DD001C7" w14:textId="77777777" w:rsidR="00C1563E" w:rsidRDefault="00C1563E">
            <w:pPr>
              <w:rPr>
                <w:rFonts w:ascii="宋体"/>
              </w:rPr>
            </w:pPr>
          </w:p>
        </w:tc>
      </w:tr>
      <w:tr w:rsidR="00C1563E" w14:paraId="7DD001CD" w14:textId="77777777">
        <w:trPr>
          <w:jc w:val="center"/>
        </w:trPr>
        <w:tc>
          <w:tcPr>
            <w:tcW w:w="0" w:type="auto"/>
            <w:gridSpan w:val="3"/>
            <w:shd w:val="clear" w:color="auto" w:fill="auto"/>
            <w:tcMar>
              <w:top w:w="0" w:type="dxa"/>
              <w:left w:w="20" w:type="dxa"/>
              <w:bottom w:w="0" w:type="dxa"/>
              <w:right w:w="20" w:type="dxa"/>
            </w:tcMar>
          </w:tcPr>
          <w:p w14:paraId="7DD001C9"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1CA"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gridSpan w:val="3"/>
            <w:shd w:val="clear" w:color="auto" w:fill="auto"/>
            <w:tcMar>
              <w:top w:w="0" w:type="dxa"/>
              <w:left w:w="20" w:type="dxa"/>
              <w:bottom w:w="0" w:type="dxa"/>
              <w:right w:w="20" w:type="dxa"/>
            </w:tcMar>
          </w:tcPr>
          <w:p w14:paraId="7DD001C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1CC" w14:textId="77777777" w:rsidR="00C1563E" w:rsidRDefault="00C1563E">
            <w:pPr>
              <w:rPr>
                <w:rFonts w:ascii="宋体"/>
              </w:rPr>
            </w:pPr>
          </w:p>
        </w:tc>
      </w:tr>
      <w:tr w:rsidR="00C1563E" w14:paraId="7DD001D6" w14:textId="77777777">
        <w:trPr>
          <w:jc w:val="center"/>
        </w:trPr>
        <w:tc>
          <w:tcPr>
            <w:tcW w:w="0" w:type="auto"/>
            <w:gridSpan w:val="3"/>
            <w:shd w:val="clear" w:color="auto" w:fill="auto"/>
            <w:tcMar>
              <w:top w:w="0" w:type="dxa"/>
              <w:left w:w="20" w:type="dxa"/>
              <w:bottom w:w="0" w:type="dxa"/>
              <w:right w:w="20" w:type="dxa"/>
            </w:tcMar>
          </w:tcPr>
          <w:p w14:paraId="7DD001C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1CF"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1D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1D1"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1D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1D3" w14:textId="77777777" w:rsidR="00C1563E" w:rsidRDefault="000B648B">
            <w:pPr>
              <w:jc w:val="center"/>
              <w:textAlignment w:val="bottom"/>
            </w:pPr>
            <w:r>
              <w:rPr>
                <w:rFonts w:ascii="Times New Roman" w:eastAsia="宋体" w:hAnsi="Times New Roman"/>
                <w:b/>
                <w:bCs/>
                <w:color w:val="000000"/>
                <w:sz w:val="20"/>
                <w:szCs w:val="20"/>
              </w:rPr>
              <w:t>February 1, 2019</w:t>
            </w:r>
          </w:p>
        </w:tc>
        <w:tc>
          <w:tcPr>
            <w:tcW w:w="0" w:type="auto"/>
            <w:gridSpan w:val="3"/>
            <w:shd w:val="clear" w:color="auto" w:fill="auto"/>
            <w:tcMar>
              <w:top w:w="0" w:type="dxa"/>
              <w:left w:w="20" w:type="dxa"/>
              <w:bottom w:w="0" w:type="dxa"/>
              <w:right w:w="20" w:type="dxa"/>
            </w:tcMar>
          </w:tcPr>
          <w:p w14:paraId="7DD001D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1D5" w14:textId="77777777" w:rsidR="00C1563E" w:rsidRDefault="000B648B">
            <w:pPr>
              <w:jc w:val="center"/>
              <w:textAlignment w:val="bottom"/>
            </w:pPr>
            <w:r>
              <w:rPr>
                <w:rFonts w:ascii="Times New Roman" w:eastAsia="宋体" w:hAnsi="Times New Roman"/>
                <w:b/>
                <w:bCs/>
                <w:color w:val="000000"/>
                <w:sz w:val="20"/>
                <w:szCs w:val="20"/>
              </w:rPr>
              <w:t>Location of Gain (Loss) Recognized</w:t>
            </w:r>
          </w:p>
        </w:tc>
      </w:tr>
      <w:tr w:rsidR="00C1563E" w14:paraId="7DD001DB" w14:textId="77777777">
        <w:trPr>
          <w:jc w:val="center"/>
        </w:trPr>
        <w:tc>
          <w:tcPr>
            <w:tcW w:w="0" w:type="auto"/>
            <w:gridSpan w:val="3"/>
            <w:shd w:val="clear" w:color="auto" w:fill="auto"/>
            <w:tcMar>
              <w:top w:w="0" w:type="dxa"/>
              <w:left w:w="20" w:type="dxa"/>
              <w:bottom w:w="0" w:type="dxa"/>
              <w:right w:w="20" w:type="dxa"/>
            </w:tcMar>
          </w:tcPr>
          <w:p w14:paraId="7DD001D7"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1D8"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01D9"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01DA" w14:textId="77777777" w:rsidR="00C1563E" w:rsidRDefault="00C1563E">
            <w:pPr>
              <w:rPr>
                <w:rFonts w:ascii="宋体"/>
              </w:rPr>
            </w:pPr>
          </w:p>
        </w:tc>
      </w:tr>
      <w:tr w:rsidR="00C1563E" w14:paraId="7DD001EA" w14:textId="77777777">
        <w:trPr>
          <w:jc w:val="center"/>
        </w:trPr>
        <w:tc>
          <w:tcPr>
            <w:tcW w:w="0" w:type="auto"/>
            <w:gridSpan w:val="3"/>
            <w:shd w:val="clear" w:color="auto" w:fill="CCEEFF"/>
            <w:tcMar>
              <w:top w:w="40" w:type="dxa"/>
              <w:left w:w="20" w:type="dxa"/>
              <w:bottom w:w="40" w:type="dxa"/>
              <w:right w:w="20" w:type="dxa"/>
            </w:tcMar>
            <w:vAlign w:val="bottom"/>
          </w:tcPr>
          <w:p w14:paraId="7DD001DC" w14:textId="77777777" w:rsidR="00C1563E" w:rsidRDefault="000B648B">
            <w:pPr>
              <w:textAlignment w:val="bottom"/>
            </w:pPr>
            <w:r>
              <w:rPr>
                <w:rFonts w:ascii="Times New Roman" w:eastAsia="宋体" w:hAnsi="Times New Roman"/>
                <w:color w:val="000000"/>
                <w:sz w:val="20"/>
                <w:szCs w:val="20"/>
              </w:rPr>
              <w:t>Foreign exchange contracts</w:t>
            </w:r>
          </w:p>
        </w:tc>
        <w:tc>
          <w:tcPr>
            <w:tcW w:w="0" w:type="auto"/>
            <w:shd w:val="clear" w:color="auto" w:fill="CCEEFF"/>
            <w:tcMar>
              <w:top w:w="40" w:type="dxa"/>
              <w:left w:w="20" w:type="dxa"/>
              <w:bottom w:w="40" w:type="dxa"/>
              <w:right w:w="0" w:type="dxa"/>
            </w:tcMar>
            <w:vAlign w:val="bottom"/>
          </w:tcPr>
          <w:p w14:paraId="7DD001D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DE" w14:textId="77777777" w:rsidR="00C1563E" w:rsidRDefault="000B648B">
            <w:pPr>
              <w:jc w:val="right"/>
              <w:textAlignment w:val="bottom"/>
            </w:pPr>
            <w:r>
              <w:rPr>
                <w:rFonts w:ascii="Times New Roman" w:eastAsia="宋体" w:hAnsi="Times New Roman"/>
                <w:color w:val="000000"/>
                <w:sz w:val="20"/>
                <w:szCs w:val="20"/>
              </w:rPr>
              <w:t>107 </w:t>
            </w:r>
          </w:p>
        </w:tc>
        <w:tc>
          <w:tcPr>
            <w:tcW w:w="0" w:type="auto"/>
            <w:shd w:val="clear" w:color="auto" w:fill="CCEEFF"/>
            <w:tcMar>
              <w:top w:w="40" w:type="dxa"/>
              <w:left w:w="0" w:type="dxa"/>
              <w:bottom w:w="40" w:type="dxa"/>
              <w:right w:w="20" w:type="dxa"/>
            </w:tcMar>
            <w:vAlign w:val="bottom"/>
          </w:tcPr>
          <w:p w14:paraId="7DD001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E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1E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E2" w14:textId="77777777" w:rsidR="00C1563E" w:rsidRDefault="000B648B">
            <w:pPr>
              <w:jc w:val="right"/>
              <w:textAlignment w:val="bottom"/>
            </w:pPr>
            <w:r>
              <w:rPr>
                <w:rFonts w:ascii="Times New Roman" w:eastAsia="宋体" w:hAnsi="Times New Roman"/>
                <w:color w:val="000000"/>
                <w:sz w:val="20"/>
                <w:szCs w:val="20"/>
              </w:rPr>
              <w:t>(152)</w:t>
            </w:r>
          </w:p>
        </w:tc>
        <w:tc>
          <w:tcPr>
            <w:tcW w:w="0" w:type="auto"/>
            <w:shd w:val="clear" w:color="auto" w:fill="CCEEFF"/>
            <w:tcMar>
              <w:top w:w="40" w:type="dxa"/>
              <w:left w:w="0" w:type="dxa"/>
              <w:bottom w:w="40" w:type="dxa"/>
              <w:right w:w="20" w:type="dxa"/>
            </w:tcMar>
            <w:vAlign w:val="bottom"/>
          </w:tcPr>
          <w:p w14:paraId="7DD001E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E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1E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1E6" w14:textId="77777777" w:rsidR="00C1563E" w:rsidRDefault="000B648B">
            <w:pPr>
              <w:jc w:val="right"/>
              <w:textAlignment w:val="bottom"/>
            </w:pPr>
            <w:r>
              <w:rPr>
                <w:rFonts w:ascii="Times New Roman" w:eastAsia="宋体" w:hAnsi="Times New Roman"/>
                <w:color w:val="000000"/>
                <w:sz w:val="20"/>
                <w:szCs w:val="20"/>
              </w:rPr>
              <w:t>(67)</w:t>
            </w:r>
          </w:p>
        </w:tc>
        <w:tc>
          <w:tcPr>
            <w:tcW w:w="0" w:type="auto"/>
            <w:shd w:val="clear" w:color="auto" w:fill="CCEEFF"/>
            <w:tcMar>
              <w:top w:w="40" w:type="dxa"/>
              <w:left w:w="0" w:type="dxa"/>
              <w:bottom w:w="40" w:type="dxa"/>
              <w:right w:w="20" w:type="dxa"/>
            </w:tcMar>
            <w:vAlign w:val="bottom"/>
          </w:tcPr>
          <w:p w14:paraId="7DD001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E8"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1E9" w14:textId="77777777" w:rsidR="00C1563E" w:rsidRDefault="000B648B">
            <w:pPr>
              <w:textAlignment w:val="bottom"/>
            </w:pPr>
            <w:r>
              <w:rPr>
                <w:rFonts w:ascii="Times New Roman" w:eastAsia="宋体" w:hAnsi="Times New Roman"/>
                <w:color w:val="000000"/>
                <w:sz w:val="20"/>
                <w:szCs w:val="20"/>
              </w:rPr>
              <w:t>Interest and other, net</w:t>
            </w:r>
          </w:p>
        </w:tc>
      </w:tr>
      <w:tr w:rsidR="00C1563E" w14:paraId="7DD001F6" w14:textId="77777777">
        <w:trPr>
          <w:jc w:val="center"/>
        </w:trPr>
        <w:tc>
          <w:tcPr>
            <w:tcW w:w="0" w:type="auto"/>
            <w:gridSpan w:val="3"/>
            <w:shd w:val="clear" w:color="auto" w:fill="FFFFFF"/>
            <w:tcMar>
              <w:top w:w="40" w:type="dxa"/>
              <w:left w:w="20" w:type="dxa"/>
              <w:bottom w:w="40" w:type="dxa"/>
              <w:right w:w="20" w:type="dxa"/>
            </w:tcMar>
            <w:vAlign w:val="bottom"/>
          </w:tcPr>
          <w:p w14:paraId="7DD001EB" w14:textId="77777777" w:rsidR="00C1563E" w:rsidRDefault="000B648B">
            <w:pPr>
              <w:textAlignment w:val="bottom"/>
            </w:pPr>
            <w:r>
              <w:rPr>
                <w:rFonts w:ascii="Times New Roman" w:eastAsia="宋体" w:hAnsi="Times New Roman"/>
                <w:color w:val="000000"/>
                <w:sz w:val="20"/>
                <w:szCs w:val="20"/>
              </w:rPr>
              <w:t>Interest rate contracts</w:t>
            </w:r>
          </w:p>
        </w:tc>
        <w:tc>
          <w:tcPr>
            <w:tcW w:w="0" w:type="auto"/>
            <w:gridSpan w:val="2"/>
            <w:shd w:val="clear" w:color="auto" w:fill="FFFFFF"/>
            <w:tcMar>
              <w:top w:w="40" w:type="dxa"/>
              <w:left w:w="20" w:type="dxa"/>
              <w:bottom w:w="40" w:type="dxa"/>
              <w:right w:w="0" w:type="dxa"/>
            </w:tcMar>
            <w:vAlign w:val="bottom"/>
          </w:tcPr>
          <w:p w14:paraId="7DD001EC" w14:textId="77777777" w:rsidR="00C1563E" w:rsidRDefault="000B648B">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bottom"/>
          </w:tcPr>
          <w:p w14:paraId="7DD001E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E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EF" w14:textId="77777777" w:rsidR="00C1563E" w:rsidRDefault="000B648B">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7DD001F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F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1F2"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7DD001F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1F4"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1F5" w14:textId="77777777" w:rsidR="00C1563E" w:rsidRDefault="000B648B">
            <w:pPr>
              <w:textAlignment w:val="bottom"/>
            </w:pPr>
            <w:r>
              <w:rPr>
                <w:rFonts w:ascii="Times New Roman" w:eastAsia="宋体" w:hAnsi="Times New Roman"/>
                <w:color w:val="000000"/>
                <w:sz w:val="20"/>
                <w:szCs w:val="20"/>
              </w:rPr>
              <w:t>Interest and other, net</w:t>
            </w:r>
          </w:p>
        </w:tc>
      </w:tr>
      <w:tr w:rsidR="00C1563E" w14:paraId="7DD00205" w14:textId="77777777">
        <w:trPr>
          <w:jc w:val="center"/>
        </w:trPr>
        <w:tc>
          <w:tcPr>
            <w:tcW w:w="0" w:type="auto"/>
            <w:gridSpan w:val="3"/>
            <w:shd w:val="clear" w:color="auto" w:fill="CCEEFF"/>
            <w:tcMar>
              <w:top w:w="40" w:type="dxa"/>
              <w:left w:w="155" w:type="dxa"/>
              <w:bottom w:w="40" w:type="dxa"/>
              <w:right w:w="20" w:type="dxa"/>
            </w:tcMar>
            <w:vAlign w:val="bottom"/>
          </w:tcPr>
          <w:p w14:paraId="7DD001F7" w14:textId="77777777" w:rsidR="00C1563E" w:rsidRDefault="000B648B">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1F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1F9" w14:textId="77777777" w:rsidR="00C1563E" w:rsidRDefault="000B648B">
            <w:pPr>
              <w:jc w:val="right"/>
              <w:textAlignment w:val="bottom"/>
            </w:pPr>
            <w:r>
              <w:rPr>
                <w:rFonts w:ascii="Times New Roman" w:eastAsia="宋体" w:hAnsi="Times New Roman"/>
                <w:color w:val="000000"/>
                <w:sz w:val="20"/>
                <w:szCs w:val="20"/>
              </w:rPr>
              <w:t>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1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FB"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1F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1FD" w14:textId="77777777" w:rsidR="00C1563E" w:rsidRDefault="000B648B">
            <w:pPr>
              <w:jc w:val="right"/>
              <w:textAlignment w:val="bottom"/>
            </w:pPr>
            <w:r>
              <w:rPr>
                <w:rFonts w:ascii="Times New Roman" w:eastAsia="宋体" w:hAnsi="Times New Roman"/>
                <w:color w:val="000000"/>
                <w:sz w:val="20"/>
                <w:szCs w:val="20"/>
              </w:rPr>
              <w:t>(180)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1F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1FF"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20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201" w14:textId="77777777" w:rsidR="00C1563E" w:rsidRDefault="000B648B">
            <w:pPr>
              <w:jc w:val="right"/>
              <w:textAlignment w:val="bottom"/>
            </w:pPr>
            <w:r>
              <w:rPr>
                <w:rFonts w:ascii="Times New Roman" w:eastAsia="宋体" w:hAnsi="Times New Roman"/>
                <w:color w:val="000000"/>
                <w:sz w:val="20"/>
                <w:szCs w:val="20"/>
              </w:rPr>
              <w:t>(75)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20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0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204" w14:textId="77777777" w:rsidR="00C1563E" w:rsidRDefault="00C1563E">
            <w:pPr>
              <w:rPr>
                <w:rFonts w:ascii="宋体"/>
              </w:rPr>
            </w:pPr>
          </w:p>
        </w:tc>
      </w:tr>
    </w:tbl>
    <w:p w14:paraId="7DD00206" w14:textId="77777777" w:rsidR="00C1563E" w:rsidRDefault="00C1563E">
      <w:pPr>
        <w:jc w:val="center"/>
      </w:pPr>
    </w:p>
    <w:p w14:paraId="7DD00207" w14:textId="77777777" w:rsidR="00C1563E" w:rsidRDefault="000B648B">
      <w:pPr>
        <w:jc w:val="center"/>
      </w:pPr>
      <w:r>
        <w:rPr>
          <w:rFonts w:ascii="Times New Roman" w:eastAsia="宋体" w:hAnsi="Times New Roman"/>
          <w:color w:val="000000"/>
          <w:sz w:val="20"/>
          <w:szCs w:val="20"/>
        </w:rPr>
        <w:t>116</w:t>
      </w:r>
    </w:p>
    <w:p w14:paraId="7DD00208" w14:textId="77777777" w:rsidR="00C1563E" w:rsidRDefault="00C1563E">
      <w:pPr>
        <w:jc w:val="center"/>
      </w:pPr>
    </w:p>
    <w:p w14:paraId="7DD00209" w14:textId="77777777" w:rsidR="00C1563E" w:rsidRDefault="000B648B">
      <w:r>
        <w:pict w14:anchorId="7DD025DE">
          <v:rect id="_x0000_i1140" style="width:415.3pt;height:1.5pt" o:hralign="center" o:hrstd="t" o:hr="t" fillcolor="#a0a0a0" stroked="f"/>
        </w:pict>
      </w:r>
    </w:p>
    <w:p w14:paraId="7DD0020A" w14:textId="77777777" w:rsidR="00C1563E" w:rsidRDefault="000B648B">
      <w:hyperlink r:id="rId299" w:anchor="i418e32e4a35149ffbf7d3a25d66881b8_10"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Contents</w:t>
        </w:r>
      </w:hyperlink>
    </w:p>
    <w:p w14:paraId="7DD0020B" w14:textId="77777777" w:rsidR="00C1563E" w:rsidRDefault="000B648B">
      <w:r>
        <w:rPr>
          <w:rFonts w:ascii="Times New Roman" w:eastAsia="宋体" w:hAnsi="Times New Roman"/>
          <w:i/>
          <w:iCs/>
          <w:color w:val="000000"/>
          <w:sz w:val="20"/>
          <w:szCs w:val="20"/>
          <w:u w:val="single"/>
        </w:rPr>
        <w:t>Fair Value of Derivative Instruments in the Consolidated Statements of Financial Position</w:t>
      </w:r>
    </w:p>
    <w:p w14:paraId="7DD0020C" w14:textId="77777777" w:rsidR="00C1563E" w:rsidRDefault="00C1563E"/>
    <w:p w14:paraId="7DD0020D" w14:textId="77777777" w:rsidR="00C1563E" w:rsidRDefault="000B648B">
      <w:pPr>
        <w:spacing w:after="120"/>
      </w:pPr>
      <w:r>
        <w:rPr>
          <w:rFonts w:ascii="Times New Roman" w:eastAsia="宋体" w:hAnsi="Times New Roman"/>
          <w:color w:val="000000"/>
          <w:sz w:val="20"/>
          <w:szCs w:val="20"/>
        </w:rPr>
        <w:t xml:space="preserve">The Company presents its foreign exchange derivative instruments on a net basis in the Consolidated Statements of Financial Position due to the </w:t>
      </w:r>
      <w:r>
        <w:rPr>
          <w:rFonts w:ascii="Times New Roman" w:eastAsia="宋体" w:hAnsi="Times New Roman"/>
          <w:color w:val="000000"/>
          <w:sz w:val="20"/>
          <w:szCs w:val="20"/>
        </w:rPr>
        <w:t>right of offset by its counterparties under master netting arrangements. The following tables present the fair value of those derivative instruments presented on a gross basis as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250"/>
        <w:gridCol w:w="39"/>
        <w:gridCol w:w="121"/>
        <w:gridCol w:w="686"/>
        <w:gridCol w:w="36"/>
        <w:gridCol w:w="36"/>
        <w:gridCol w:w="36"/>
        <w:gridCol w:w="36"/>
        <w:gridCol w:w="121"/>
        <w:gridCol w:w="686"/>
        <w:gridCol w:w="36"/>
        <w:gridCol w:w="36"/>
        <w:gridCol w:w="36"/>
        <w:gridCol w:w="36"/>
        <w:gridCol w:w="121"/>
        <w:gridCol w:w="806"/>
        <w:gridCol w:w="36"/>
        <w:gridCol w:w="36"/>
        <w:gridCol w:w="36"/>
        <w:gridCol w:w="36"/>
        <w:gridCol w:w="121"/>
        <w:gridCol w:w="1046"/>
        <w:gridCol w:w="36"/>
        <w:gridCol w:w="36"/>
        <w:gridCol w:w="36"/>
        <w:gridCol w:w="36"/>
        <w:gridCol w:w="121"/>
        <w:gridCol w:w="566"/>
        <w:gridCol w:w="36"/>
      </w:tblGrid>
      <w:tr w:rsidR="00C1563E" w14:paraId="7DD0022C" w14:textId="77777777">
        <w:tc>
          <w:tcPr>
            <w:tcW w:w="50" w:type="pct"/>
            <w:shd w:val="clear" w:color="auto" w:fill="auto"/>
          </w:tcPr>
          <w:p w14:paraId="7DD0020E" w14:textId="77777777" w:rsidR="00C1563E" w:rsidRDefault="00C1563E">
            <w:pPr>
              <w:rPr>
                <w:rFonts w:ascii="宋体"/>
              </w:rPr>
            </w:pPr>
          </w:p>
        </w:tc>
        <w:tc>
          <w:tcPr>
            <w:tcW w:w="2086" w:type="pct"/>
            <w:shd w:val="clear" w:color="auto" w:fill="auto"/>
          </w:tcPr>
          <w:p w14:paraId="7DD0020F" w14:textId="77777777" w:rsidR="00C1563E" w:rsidRDefault="00C1563E">
            <w:pPr>
              <w:rPr>
                <w:rFonts w:ascii="宋体"/>
              </w:rPr>
            </w:pPr>
          </w:p>
        </w:tc>
        <w:tc>
          <w:tcPr>
            <w:tcW w:w="5" w:type="pct"/>
            <w:shd w:val="clear" w:color="auto" w:fill="auto"/>
          </w:tcPr>
          <w:p w14:paraId="7DD00210" w14:textId="77777777" w:rsidR="00C1563E" w:rsidRDefault="00C1563E">
            <w:pPr>
              <w:rPr>
                <w:rFonts w:ascii="宋体"/>
              </w:rPr>
            </w:pPr>
          </w:p>
        </w:tc>
        <w:tc>
          <w:tcPr>
            <w:tcW w:w="50" w:type="pct"/>
            <w:shd w:val="clear" w:color="auto" w:fill="auto"/>
          </w:tcPr>
          <w:p w14:paraId="7DD00211" w14:textId="77777777" w:rsidR="00C1563E" w:rsidRDefault="00C1563E">
            <w:pPr>
              <w:rPr>
                <w:rFonts w:ascii="宋体"/>
              </w:rPr>
            </w:pPr>
          </w:p>
        </w:tc>
        <w:tc>
          <w:tcPr>
            <w:tcW w:w="493" w:type="pct"/>
            <w:shd w:val="clear" w:color="auto" w:fill="auto"/>
          </w:tcPr>
          <w:p w14:paraId="7DD00212" w14:textId="77777777" w:rsidR="00C1563E" w:rsidRDefault="00C1563E">
            <w:pPr>
              <w:rPr>
                <w:rFonts w:ascii="宋体"/>
              </w:rPr>
            </w:pPr>
          </w:p>
        </w:tc>
        <w:tc>
          <w:tcPr>
            <w:tcW w:w="5" w:type="pct"/>
            <w:shd w:val="clear" w:color="auto" w:fill="auto"/>
          </w:tcPr>
          <w:p w14:paraId="7DD00213" w14:textId="77777777" w:rsidR="00C1563E" w:rsidRDefault="00C1563E">
            <w:pPr>
              <w:rPr>
                <w:rFonts w:ascii="宋体"/>
              </w:rPr>
            </w:pPr>
          </w:p>
        </w:tc>
        <w:tc>
          <w:tcPr>
            <w:tcW w:w="5" w:type="pct"/>
            <w:shd w:val="clear" w:color="auto" w:fill="auto"/>
          </w:tcPr>
          <w:p w14:paraId="7DD00214" w14:textId="77777777" w:rsidR="00C1563E" w:rsidRDefault="00C1563E">
            <w:pPr>
              <w:rPr>
                <w:rFonts w:ascii="宋体"/>
              </w:rPr>
            </w:pPr>
          </w:p>
        </w:tc>
        <w:tc>
          <w:tcPr>
            <w:tcW w:w="19" w:type="pct"/>
            <w:shd w:val="clear" w:color="auto" w:fill="auto"/>
          </w:tcPr>
          <w:p w14:paraId="7DD00215" w14:textId="77777777" w:rsidR="00C1563E" w:rsidRDefault="00C1563E">
            <w:pPr>
              <w:rPr>
                <w:rFonts w:ascii="宋体"/>
              </w:rPr>
            </w:pPr>
          </w:p>
        </w:tc>
        <w:tc>
          <w:tcPr>
            <w:tcW w:w="5" w:type="pct"/>
            <w:shd w:val="clear" w:color="auto" w:fill="auto"/>
          </w:tcPr>
          <w:p w14:paraId="7DD00216" w14:textId="77777777" w:rsidR="00C1563E" w:rsidRDefault="00C1563E">
            <w:pPr>
              <w:rPr>
                <w:rFonts w:ascii="宋体"/>
              </w:rPr>
            </w:pPr>
          </w:p>
        </w:tc>
        <w:tc>
          <w:tcPr>
            <w:tcW w:w="50" w:type="pct"/>
            <w:shd w:val="clear" w:color="auto" w:fill="auto"/>
          </w:tcPr>
          <w:p w14:paraId="7DD00217" w14:textId="77777777" w:rsidR="00C1563E" w:rsidRDefault="00C1563E">
            <w:pPr>
              <w:rPr>
                <w:rFonts w:ascii="宋体"/>
              </w:rPr>
            </w:pPr>
          </w:p>
        </w:tc>
        <w:tc>
          <w:tcPr>
            <w:tcW w:w="493" w:type="pct"/>
            <w:shd w:val="clear" w:color="auto" w:fill="auto"/>
          </w:tcPr>
          <w:p w14:paraId="7DD00218" w14:textId="77777777" w:rsidR="00C1563E" w:rsidRDefault="00C1563E">
            <w:pPr>
              <w:rPr>
                <w:rFonts w:ascii="宋体"/>
              </w:rPr>
            </w:pPr>
          </w:p>
        </w:tc>
        <w:tc>
          <w:tcPr>
            <w:tcW w:w="5" w:type="pct"/>
            <w:shd w:val="clear" w:color="auto" w:fill="auto"/>
          </w:tcPr>
          <w:p w14:paraId="7DD00219" w14:textId="77777777" w:rsidR="00C1563E" w:rsidRDefault="00C1563E">
            <w:pPr>
              <w:rPr>
                <w:rFonts w:ascii="宋体"/>
              </w:rPr>
            </w:pPr>
          </w:p>
        </w:tc>
        <w:tc>
          <w:tcPr>
            <w:tcW w:w="5" w:type="pct"/>
            <w:shd w:val="clear" w:color="auto" w:fill="auto"/>
          </w:tcPr>
          <w:p w14:paraId="7DD0021A" w14:textId="77777777" w:rsidR="00C1563E" w:rsidRDefault="00C1563E">
            <w:pPr>
              <w:rPr>
                <w:rFonts w:ascii="宋体"/>
              </w:rPr>
            </w:pPr>
          </w:p>
        </w:tc>
        <w:tc>
          <w:tcPr>
            <w:tcW w:w="19" w:type="pct"/>
            <w:shd w:val="clear" w:color="auto" w:fill="auto"/>
          </w:tcPr>
          <w:p w14:paraId="7DD0021B" w14:textId="77777777" w:rsidR="00C1563E" w:rsidRDefault="00C1563E">
            <w:pPr>
              <w:rPr>
                <w:rFonts w:ascii="宋体"/>
              </w:rPr>
            </w:pPr>
          </w:p>
        </w:tc>
        <w:tc>
          <w:tcPr>
            <w:tcW w:w="5" w:type="pct"/>
            <w:shd w:val="clear" w:color="auto" w:fill="auto"/>
          </w:tcPr>
          <w:p w14:paraId="7DD0021C" w14:textId="77777777" w:rsidR="00C1563E" w:rsidRDefault="00C1563E">
            <w:pPr>
              <w:rPr>
                <w:rFonts w:ascii="宋体"/>
              </w:rPr>
            </w:pPr>
          </w:p>
        </w:tc>
        <w:tc>
          <w:tcPr>
            <w:tcW w:w="50" w:type="pct"/>
            <w:shd w:val="clear" w:color="auto" w:fill="auto"/>
          </w:tcPr>
          <w:p w14:paraId="7DD0021D" w14:textId="77777777" w:rsidR="00C1563E" w:rsidRDefault="00C1563E">
            <w:pPr>
              <w:rPr>
                <w:rFonts w:ascii="宋体"/>
              </w:rPr>
            </w:pPr>
          </w:p>
        </w:tc>
        <w:tc>
          <w:tcPr>
            <w:tcW w:w="493" w:type="pct"/>
            <w:shd w:val="clear" w:color="auto" w:fill="auto"/>
          </w:tcPr>
          <w:p w14:paraId="7DD0021E" w14:textId="77777777" w:rsidR="00C1563E" w:rsidRDefault="00C1563E">
            <w:pPr>
              <w:rPr>
                <w:rFonts w:ascii="宋体"/>
              </w:rPr>
            </w:pPr>
          </w:p>
        </w:tc>
        <w:tc>
          <w:tcPr>
            <w:tcW w:w="5" w:type="pct"/>
            <w:shd w:val="clear" w:color="auto" w:fill="auto"/>
          </w:tcPr>
          <w:p w14:paraId="7DD0021F" w14:textId="77777777" w:rsidR="00C1563E" w:rsidRDefault="00C1563E">
            <w:pPr>
              <w:rPr>
                <w:rFonts w:ascii="宋体"/>
              </w:rPr>
            </w:pPr>
          </w:p>
        </w:tc>
        <w:tc>
          <w:tcPr>
            <w:tcW w:w="5" w:type="pct"/>
            <w:shd w:val="clear" w:color="auto" w:fill="auto"/>
          </w:tcPr>
          <w:p w14:paraId="7DD00220" w14:textId="77777777" w:rsidR="00C1563E" w:rsidRDefault="00C1563E">
            <w:pPr>
              <w:rPr>
                <w:rFonts w:ascii="宋体"/>
              </w:rPr>
            </w:pPr>
          </w:p>
        </w:tc>
        <w:tc>
          <w:tcPr>
            <w:tcW w:w="19" w:type="pct"/>
            <w:shd w:val="clear" w:color="auto" w:fill="auto"/>
          </w:tcPr>
          <w:p w14:paraId="7DD00221" w14:textId="77777777" w:rsidR="00C1563E" w:rsidRDefault="00C1563E">
            <w:pPr>
              <w:rPr>
                <w:rFonts w:ascii="宋体"/>
              </w:rPr>
            </w:pPr>
          </w:p>
        </w:tc>
        <w:tc>
          <w:tcPr>
            <w:tcW w:w="5" w:type="pct"/>
            <w:shd w:val="clear" w:color="auto" w:fill="auto"/>
          </w:tcPr>
          <w:p w14:paraId="7DD00222" w14:textId="77777777" w:rsidR="00C1563E" w:rsidRDefault="00C1563E">
            <w:pPr>
              <w:rPr>
                <w:rFonts w:ascii="宋体"/>
              </w:rPr>
            </w:pPr>
          </w:p>
        </w:tc>
        <w:tc>
          <w:tcPr>
            <w:tcW w:w="50" w:type="pct"/>
            <w:shd w:val="clear" w:color="auto" w:fill="auto"/>
          </w:tcPr>
          <w:p w14:paraId="7DD00223" w14:textId="77777777" w:rsidR="00C1563E" w:rsidRDefault="00C1563E">
            <w:pPr>
              <w:rPr>
                <w:rFonts w:ascii="宋体"/>
              </w:rPr>
            </w:pPr>
          </w:p>
        </w:tc>
        <w:tc>
          <w:tcPr>
            <w:tcW w:w="493" w:type="pct"/>
            <w:shd w:val="clear" w:color="auto" w:fill="auto"/>
          </w:tcPr>
          <w:p w14:paraId="7DD00224" w14:textId="77777777" w:rsidR="00C1563E" w:rsidRDefault="00C1563E">
            <w:pPr>
              <w:rPr>
                <w:rFonts w:ascii="宋体"/>
              </w:rPr>
            </w:pPr>
          </w:p>
        </w:tc>
        <w:tc>
          <w:tcPr>
            <w:tcW w:w="5" w:type="pct"/>
            <w:shd w:val="clear" w:color="auto" w:fill="auto"/>
          </w:tcPr>
          <w:p w14:paraId="7DD00225" w14:textId="77777777" w:rsidR="00C1563E" w:rsidRDefault="00C1563E">
            <w:pPr>
              <w:rPr>
                <w:rFonts w:ascii="宋体"/>
              </w:rPr>
            </w:pPr>
          </w:p>
        </w:tc>
        <w:tc>
          <w:tcPr>
            <w:tcW w:w="5" w:type="pct"/>
            <w:shd w:val="clear" w:color="auto" w:fill="auto"/>
          </w:tcPr>
          <w:p w14:paraId="7DD00226" w14:textId="77777777" w:rsidR="00C1563E" w:rsidRDefault="00C1563E">
            <w:pPr>
              <w:rPr>
                <w:rFonts w:ascii="宋体"/>
              </w:rPr>
            </w:pPr>
          </w:p>
        </w:tc>
        <w:tc>
          <w:tcPr>
            <w:tcW w:w="19" w:type="pct"/>
            <w:shd w:val="clear" w:color="auto" w:fill="auto"/>
          </w:tcPr>
          <w:p w14:paraId="7DD00227" w14:textId="77777777" w:rsidR="00C1563E" w:rsidRDefault="00C1563E">
            <w:pPr>
              <w:rPr>
                <w:rFonts w:ascii="宋体"/>
              </w:rPr>
            </w:pPr>
          </w:p>
        </w:tc>
        <w:tc>
          <w:tcPr>
            <w:tcW w:w="5" w:type="pct"/>
            <w:shd w:val="clear" w:color="auto" w:fill="auto"/>
          </w:tcPr>
          <w:p w14:paraId="7DD00228" w14:textId="77777777" w:rsidR="00C1563E" w:rsidRDefault="00C1563E">
            <w:pPr>
              <w:rPr>
                <w:rFonts w:ascii="宋体"/>
              </w:rPr>
            </w:pPr>
          </w:p>
        </w:tc>
        <w:tc>
          <w:tcPr>
            <w:tcW w:w="50" w:type="pct"/>
            <w:shd w:val="clear" w:color="auto" w:fill="auto"/>
          </w:tcPr>
          <w:p w14:paraId="7DD00229" w14:textId="77777777" w:rsidR="00C1563E" w:rsidRDefault="00C1563E">
            <w:pPr>
              <w:rPr>
                <w:rFonts w:ascii="宋体"/>
              </w:rPr>
            </w:pPr>
          </w:p>
        </w:tc>
        <w:tc>
          <w:tcPr>
            <w:tcW w:w="493" w:type="pct"/>
            <w:shd w:val="clear" w:color="auto" w:fill="auto"/>
          </w:tcPr>
          <w:p w14:paraId="7DD0022A" w14:textId="77777777" w:rsidR="00C1563E" w:rsidRDefault="00C1563E">
            <w:pPr>
              <w:rPr>
                <w:rFonts w:ascii="宋体"/>
              </w:rPr>
            </w:pPr>
          </w:p>
        </w:tc>
        <w:tc>
          <w:tcPr>
            <w:tcW w:w="5" w:type="pct"/>
            <w:shd w:val="clear" w:color="auto" w:fill="auto"/>
          </w:tcPr>
          <w:p w14:paraId="7DD0022B" w14:textId="77777777" w:rsidR="00C1563E" w:rsidRDefault="00C1563E">
            <w:pPr>
              <w:rPr>
                <w:rFonts w:ascii="宋体"/>
              </w:rPr>
            </w:pPr>
          </w:p>
        </w:tc>
      </w:tr>
      <w:tr w:rsidR="00C1563E" w14:paraId="7DD0022F" w14:textId="77777777">
        <w:tc>
          <w:tcPr>
            <w:tcW w:w="0" w:type="auto"/>
            <w:gridSpan w:val="3"/>
            <w:shd w:val="clear" w:color="auto" w:fill="auto"/>
            <w:tcMar>
              <w:top w:w="40" w:type="dxa"/>
              <w:left w:w="20" w:type="dxa"/>
              <w:bottom w:w="40" w:type="dxa"/>
              <w:right w:w="20" w:type="dxa"/>
            </w:tcMar>
            <w:vAlign w:val="bottom"/>
          </w:tcPr>
          <w:p w14:paraId="7DD0022D"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DD0022E"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D0023A" w14:textId="77777777">
        <w:tc>
          <w:tcPr>
            <w:tcW w:w="0" w:type="auto"/>
            <w:gridSpan w:val="3"/>
            <w:shd w:val="clear" w:color="auto" w:fill="auto"/>
            <w:tcMar>
              <w:top w:w="40" w:type="dxa"/>
              <w:left w:w="20" w:type="dxa"/>
              <w:bottom w:w="40" w:type="dxa"/>
              <w:right w:w="20" w:type="dxa"/>
            </w:tcMar>
            <w:vAlign w:val="bottom"/>
          </w:tcPr>
          <w:p w14:paraId="7DD00230"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231" w14:textId="77777777" w:rsidR="00C1563E" w:rsidRDefault="000B648B">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23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33" w14:textId="77777777" w:rsidR="00C1563E" w:rsidRDefault="000B648B">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23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35" w14:textId="77777777" w:rsidR="00C1563E" w:rsidRDefault="000B648B">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DD0023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37" w14:textId="77777777" w:rsidR="00C1563E" w:rsidRDefault="000B648B">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DD0023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39" w14:textId="77777777" w:rsidR="00C1563E" w:rsidRDefault="000B648B">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C1563E" w14:paraId="7DD0023D" w14:textId="77777777">
        <w:tc>
          <w:tcPr>
            <w:tcW w:w="0" w:type="auto"/>
            <w:gridSpan w:val="3"/>
            <w:shd w:val="clear" w:color="auto" w:fill="auto"/>
            <w:tcMar>
              <w:top w:w="40" w:type="dxa"/>
              <w:left w:w="20" w:type="dxa"/>
              <w:bottom w:w="40" w:type="dxa"/>
              <w:right w:w="20" w:type="dxa"/>
            </w:tcMar>
            <w:vAlign w:val="bottom"/>
          </w:tcPr>
          <w:p w14:paraId="7DD0023B"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D0023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23F" w14:textId="77777777">
        <w:tc>
          <w:tcPr>
            <w:tcW w:w="0" w:type="auto"/>
            <w:gridSpan w:val="30"/>
            <w:shd w:val="clear" w:color="auto" w:fill="CCEEFF"/>
            <w:tcMar>
              <w:top w:w="40" w:type="dxa"/>
              <w:left w:w="20" w:type="dxa"/>
              <w:bottom w:w="40" w:type="dxa"/>
              <w:right w:w="20" w:type="dxa"/>
            </w:tcMar>
            <w:vAlign w:val="bottom"/>
          </w:tcPr>
          <w:p w14:paraId="7DD0023E" w14:textId="77777777" w:rsidR="00C1563E" w:rsidRDefault="000B648B">
            <w:pPr>
              <w:textAlignment w:val="bottom"/>
            </w:pPr>
            <w:r>
              <w:rPr>
                <w:rFonts w:ascii="Times New Roman" w:eastAsia="宋体" w:hAnsi="Times New Roman"/>
                <w:i/>
                <w:iCs/>
                <w:color w:val="000000"/>
                <w:sz w:val="20"/>
                <w:szCs w:val="20"/>
              </w:rPr>
              <w:t>Derivatives designated as hedging instruments:</w:t>
            </w:r>
          </w:p>
        </w:tc>
      </w:tr>
      <w:tr w:rsidR="00C1563E" w14:paraId="7DD00254" w14:textId="77777777">
        <w:tc>
          <w:tcPr>
            <w:tcW w:w="0" w:type="auto"/>
            <w:gridSpan w:val="3"/>
            <w:shd w:val="clear" w:color="auto" w:fill="FFFFFF"/>
            <w:tcMar>
              <w:top w:w="40" w:type="dxa"/>
              <w:left w:w="20" w:type="dxa"/>
              <w:bottom w:w="40" w:type="dxa"/>
              <w:right w:w="20" w:type="dxa"/>
            </w:tcMar>
            <w:vAlign w:val="bottom"/>
          </w:tcPr>
          <w:p w14:paraId="7DD00240" w14:textId="77777777" w:rsidR="00C1563E" w:rsidRDefault="000B648B">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7DD0024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242" w14:textId="77777777" w:rsidR="00C1563E" w:rsidRDefault="000B648B">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DD0024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4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24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24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4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4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24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24A" w14:textId="77777777" w:rsidR="00C1563E" w:rsidRDefault="000B648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7DD002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4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24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24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4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5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25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252" w14:textId="77777777" w:rsidR="00C1563E" w:rsidRDefault="000B648B">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7DD00253" w14:textId="77777777" w:rsidR="00C1563E" w:rsidRDefault="00C1563E">
            <w:pPr>
              <w:jc w:val="right"/>
              <w:rPr>
                <w:rFonts w:ascii="宋体"/>
              </w:rPr>
            </w:pPr>
          </w:p>
        </w:tc>
      </w:tr>
      <w:tr w:rsidR="00C1563E" w14:paraId="7DD00264" w14:textId="77777777">
        <w:tc>
          <w:tcPr>
            <w:tcW w:w="0" w:type="auto"/>
            <w:gridSpan w:val="3"/>
            <w:shd w:val="clear" w:color="auto" w:fill="CCEEFF"/>
            <w:tcMar>
              <w:top w:w="40" w:type="dxa"/>
              <w:left w:w="20" w:type="dxa"/>
              <w:bottom w:w="40" w:type="dxa"/>
              <w:right w:w="20" w:type="dxa"/>
            </w:tcMar>
            <w:vAlign w:val="bottom"/>
          </w:tcPr>
          <w:p w14:paraId="7DD00255" w14:textId="77777777" w:rsidR="00C1563E" w:rsidRDefault="000B648B">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7DD00256" w14:textId="77777777" w:rsidR="00C1563E" w:rsidRDefault="000B648B">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7DD0025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5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5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5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5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5C" w14:textId="77777777" w:rsidR="00C1563E" w:rsidRDefault="000B648B">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7DD0025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5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5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6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62" w14:textId="77777777" w:rsidR="00C1563E" w:rsidRDefault="000B648B">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7DD00263" w14:textId="77777777" w:rsidR="00C1563E" w:rsidRDefault="00C1563E">
            <w:pPr>
              <w:jc w:val="right"/>
              <w:rPr>
                <w:rFonts w:ascii="宋体"/>
              </w:rPr>
            </w:pPr>
          </w:p>
        </w:tc>
      </w:tr>
      <w:tr w:rsidR="00C1563E" w14:paraId="7DD00274" w14:textId="77777777">
        <w:tc>
          <w:tcPr>
            <w:tcW w:w="0" w:type="auto"/>
            <w:gridSpan w:val="3"/>
            <w:shd w:val="clear" w:color="auto" w:fill="FFFFFF"/>
            <w:tcMar>
              <w:top w:w="40" w:type="dxa"/>
              <w:left w:w="155" w:type="dxa"/>
              <w:bottom w:w="40" w:type="dxa"/>
              <w:right w:w="20" w:type="dxa"/>
            </w:tcMar>
            <w:vAlign w:val="bottom"/>
          </w:tcPr>
          <w:p w14:paraId="7DD00265" w14:textId="77777777" w:rsidR="00C1563E" w:rsidRDefault="000B648B">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66" w14:textId="77777777" w:rsidR="00C1563E" w:rsidRDefault="000B648B">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6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68"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69"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6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6B"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6C" w14:textId="77777777" w:rsidR="00C1563E" w:rsidRDefault="000B648B">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6E"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6F"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71"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72" w14:textId="77777777" w:rsidR="00C1563E" w:rsidRDefault="000B648B">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73" w14:textId="77777777" w:rsidR="00C1563E" w:rsidRDefault="00C1563E">
            <w:pPr>
              <w:jc w:val="right"/>
              <w:rPr>
                <w:rFonts w:ascii="宋体"/>
              </w:rPr>
            </w:pPr>
          </w:p>
        </w:tc>
      </w:tr>
      <w:tr w:rsidR="00C1563E" w14:paraId="7DD0027F" w14:textId="77777777">
        <w:tc>
          <w:tcPr>
            <w:tcW w:w="0" w:type="auto"/>
            <w:gridSpan w:val="3"/>
            <w:shd w:val="clear" w:color="auto" w:fill="CCEEFF"/>
            <w:tcMar>
              <w:top w:w="40" w:type="dxa"/>
              <w:left w:w="20" w:type="dxa"/>
              <w:bottom w:w="40" w:type="dxa"/>
              <w:right w:w="20" w:type="dxa"/>
            </w:tcMar>
            <w:vAlign w:val="bottom"/>
          </w:tcPr>
          <w:p w14:paraId="7DD00275" w14:textId="77777777" w:rsidR="00C1563E" w:rsidRDefault="000B648B">
            <w:pPr>
              <w:textAlignment w:val="bottom"/>
            </w:pPr>
            <w:r>
              <w:rPr>
                <w:rFonts w:ascii="Times New Roman" w:eastAsia="宋体"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7DD0027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277"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027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279"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027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27B"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027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27D"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027E" w14:textId="77777777" w:rsidR="00C1563E" w:rsidRDefault="00C1563E">
            <w:pPr>
              <w:rPr>
                <w:rFonts w:ascii="宋体"/>
              </w:rPr>
            </w:pPr>
          </w:p>
        </w:tc>
      </w:tr>
      <w:tr w:rsidR="00C1563E" w14:paraId="7DD0028F" w14:textId="77777777">
        <w:tc>
          <w:tcPr>
            <w:tcW w:w="0" w:type="auto"/>
            <w:gridSpan w:val="3"/>
            <w:shd w:val="clear" w:color="auto" w:fill="FFFFFF"/>
            <w:tcMar>
              <w:top w:w="40" w:type="dxa"/>
              <w:left w:w="20" w:type="dxa"/>
              <w:bottom w:w="40" w:type="dxa"/>
              <w:right w:w="20" w:type="dxa"/>
            </w:tcMar>
            <w:vAlign w:val="bottom"/>
          </w:tcPr>
          <w:p w14:paraId="7DD00280" w14:textId="77777777" w:rsidR="00C1563E" w:rsidRDefault="000B648B">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7DD00281" w14:textId="77777777" w:rsidR="00C1563E" w:rsidRDefault="000B648B">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7DD0028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8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8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8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8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87" w14:textId="77777777" w:rsidR="00C1563E" w:rsidRDefault="000B648B">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7DD0028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8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8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8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8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8D" w14:textId="77777777" w:rsidR="00C1563E" w:rsidRDefault="000B648B">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7DD0028E" w14:textId="77777777" w:rsidR="00C1563E" w:rsidRDefault="00C1563E">
            <w:pPr>
              <w:jc w:val="right"/>
              <w:rPr>
                <w:rFonts w:ascii="宋体"/>
              </w:rPr>
            </w:pPr>
          </w:p>
        </w:tc>
      </w:tr>
      <w:tr w:rsidR="00C1563E" w14:paraId="7DD0029F" w14:textId="77777777">
        <w:tc>
          <w:tcPr>
            <w:tcW w:w="0" w:type="auto"/>
            <w:gridSpan w:val="3"/>
            <w:shd w:val="clear" w:color="auto" w:fill="CCEEFF"/>
            <w:tcMar>
              <w:top w:w="40" w:type="dxa"/>
              <w:left w:w="20" w:type="dxa"/>
              <w:bottom w:w="40" w:type="dxa"/>
              <w:right w:w="20" w:type="dxa"/>
            </w:tcMar>
            <w:vAlign w:val="bottom"/>
          </w:tcPr>
          <w:p w14:paraId="7DD00290" w14:textId="77777777" w:rsidR="00C1563E" w:rsidRDefault="000B648B">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7DD00291" w14:textId="77777777" w:rsidR="00C1563E" w:rsidRDefault="000B648B">
            <w:pPr>
              <w:jc w:val="right"/>
              <w:textAlignment w:val="bottom"/>
            </w:pPr>
            <w:r>
              <w:rPr>
                <w:rFonts w:ascii="Times New Roman" w:eastAsia="宋体" w:hAnsi="Times New Roman"/>
                <w:color w:val="000000"/>
                <w:sz w:val="20"/>
                <w:szCs w:val="20"/>
              </w:rPr>
              <w:t>(108)</w:t>
            </w:r>
          </w:p>
        </w:tc>
        <w:tc>
          <w:tcPr>
            <w:tcW w:w="0" w:type="auto"/>
            <w:shd w:val="clear" w:color="auto" w:fill="CCEEFF"/>
            <w:tcMar>
              <w:top w:w="40" w:type="dxa"/>
              <w:left w:w="0" w:type="dxa"/>
              <w:bottom w:w="40" w:type="dxa"/>
              <w:right w:w="20" w:type="dxa"/>
            </w:tcMar>
            <w:vAlign w:val="bottom"/>
          </w:tcPr>
          <w:p w14:paraId="7DD0029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9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9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9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97" w14:textId="77777777" w:rsidR="00C1563E" w:rsidRDefault="000B648B">
            <w:pPr>
              <w:jc w:val="right"/>
              <w:textAlignment w:val="bottom"/>
            </w:pPr>
            <w:r>
              <w:rPr>
                <w:rFonts w:ascii="Times New Roman" w:eastAsia="宋体" w:hAnsi="Times New Roman"/>
                <w:color w:val="000000"/>
                <w:sz w:val="20"/>
                <w:szCs w:val="20"/>
              </w:rPr>
              <w:t>(159)</w:t>
            </w:r>
          </w:p>
        </w:tc>
        <w:tc>
          <w:tcPr>
            <w:tcW w:w="0" w:type="auto"/>
            <w:shd w:val="clear" w:color="auto" w:fill="CCEEFF"/>
            <w:tcMar>
              <w:top w:w="40" w:type="dxa"/>
              <w:left w:w="0" w:type="dxa"/>
              <w:bottom w:w="40" w:type="dxa"/>
              <w:right w:w="20" w:type="dxa"/>
            </w:tcMar>
            <w:vAlign w:val="bottom"/>
          </w:tcPr>
          <w:p w14:paraId="7DD0029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9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9A" w14:textId="77777777" w:rsidR="00C1563E" w:rsidRDefault="000B648B">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DD002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9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9D" w14:textId="77777777" w:rsidR="00C1563E" w:rsidRDefault="000B648B">
            <w:pPr>
              <w:jc w:val="right"/>
              <w:textAlignment w:val="bottom"/>
            </w:pPr>
            <w:r>
              <w:rPr>
                <w:rFonts w:ascii="Times New Roman" w:eastAsia="宋体" w:hAnsi="Times New Roman"/>
                <w:color w:val="000000"/>
                <w:sz w:val="20"/>
                <w:szCs w:val="20"/>
              </w:rPr>
              <w:t>(271)</w:t>
            </w:r>
          </w:p>
        </w:tc>
        <w:tc>
          <w:tcPr>
            <w:tcW w:w="0" w:type="auto"/>
            <w:shd w:val="clear" w:color="auto" w:fill="CCEEFF"/>
            <w:tcMar>
              <w:top w:w="40" w:type="dxa"/>
              <w:left w:w="0" w:type="dxa"/>
              <w:bottom w:w="40" w:type="dxa"/>
              <w:right w:w="20" w:type="dxa"/>
            </w:tcMar>
            <w:vAlign w:val="bottom"/>
          </w:tcPr>
          <w:p w14:paraId="7DD0029E" w14:textId="77777777" w:rsidR="00C1563E" w:rsidRDefault="00C1563E">
            <w:pPr>
              <w:jc w:val="right"/>
              <w:rPr>
                <w:rFonts w:ascii="宋体"/>
              </w:rPr>
            </w:pPr>
          </w:p>
        </w:tc>
      </w:tr>
      <w:tr w:rsidR="00C1563E" w14:paraId="7DD002AF" w14:textId="77777777">
        <w:tc>
          <w:tcPr>
            <w:tcW w:w="0" w:type="auto"/>
            <w:gridSpan w:val="3"/>
            <w:shd w:val="clear" w:color="auto" w:fill="FFFFFF"/>
            <w:tcMar>
              <w:top w:w="40" w:type="dxa"/>
              <w:left w:w="20" w:type="dxa"/>
              <w:bottom w:w="40" w:type="dxa"/>
              <w:right w:w="20" w:type="dxa"/>
            </w:tcMar>
            <w:vAlign w:val="bottom"/>
          </w:tcPr>
          <w:p w14:paraId="7DD002A0" w14:textId="77777777" w:rsidR="00C1563E" w:rsidRDefault="000B648B">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7DD002A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A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A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A4"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DD002A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A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A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A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A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A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2A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A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2AD"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DD002AE" w14:textId="77777777" w:rsidR="00C1563E" w:rsidRDefault="00C1563E">
            <w:pPr>
              <w:jc w:val="right"/>
              <w:rPr>
                <w:rFonts w:ascii="宋体"/>
              </w:rPr>
            </w:pPr>
          </w:p>
        </w:tc>
      </w:tr>
      <w:tr w:rsidR="00C1563E" w14:paraId="7DD002BF" w14:textId="77777777">
        <w:tc>
          <w:tcPr>
            <w:tcW w:w="0" w:type="auto"/>
            <w:gridSpan w:val="3"/>
            <w:shd w:val="clear" w:color="auto" w:fill="CCEEFF"/>
            <w:tcMar>
              <w:top w:w="40" w:type="dxa"/>
              <w:left w:w="20" w:type="dxa"/>
              <w:bottom w:w="40" w:type="dxa"/>
              <w:right w:w="20" w:type="dxa"/>
            </w:tcMar>
            <w:vAlign w:val="bottom"/>
          </w:tcPr>
          <w:p w14:paraId="7DD002B0" w14:textId="77777777" w:rsidR="00C1563E" w:rsidRDefault="000B648B">
            <w:pPr>
              <w:textAlignment w:val="bottom"/>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bottom"/>
          </w:tcPr>
          <w:p w14:paraId="7DD002B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B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B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B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B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B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B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2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B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BA" w14:textId="77777777" w:rsidR="00C1563E" w:rsidRDefault="000B648B">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7DD002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B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2BD" w14:textId="77777777" w:rsidR="00C1563E" w:rsidRDefault="000B648B">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7DD002BE" w14:textId="77777777" w:rsidR="00C1563E" w:rsidRDefault="00C1563E">
            <w:pPr>
              <w:jc w:val="right"/>
              <w:rPr>
                <w:rFonts w:ascii="宋体"/>
              </w:rPr>
            </w:pPr>
          </w:p>
        </w:tc>
      </w:tr>
      <w:tr w:rsidR="00C1563E" w14:paraId="7DD002CF" w14:textId="77777777">
        <w:tc>
          <w:tcPr>
            <w:tcW w:w="0" w:type="auto"/>
            <w:gridSpan w:val="3"/>
            <w:shd w:val="clear" w:color="auto" w:fill="FFFFFF"/>
            <w:tcMar>
              <w:top w:w="40" w:type="dxa"/>
              <w:left w:w="155" w:type="dxa"/>
              <w:bottom w:w="40" w:type="dxa"/>
              <w:right w:w="20" w:type="dxa"/>
            </w:tcMar>
            <w:vAlign w:val="bottom"/>
          </w:tcPr>
          <w:p w14:paraId="7DD002C0" w14:textId="77777777" w:rsidR="00C1563E" w:rsidRDefault="000B648B">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C1" w14:textId="77777777" w:rsidR="00C1563E" w:rsidRDefault="000B648B">
            <w:pPr>
              <w:jc w:val="right"/>
              <w:textAlignment w:val="bottom"/>
            </w:pPr>
            <w:r>
              <w:rPr>
                <w:rFonts w:ascii="Times New Roman" w:eastAsia="宋体" w:hAnsi="Times New Roman"/>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C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C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C4" w14:textId="77777777" w:rsidR="00C1563E" w:rsidRDefault="000B648B">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C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C6"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C7" w14:textId="77777777" w:rsidR="00C1563E" w:rsidRDefault="000B648B">
            <w:pPr>
              <w:jc w:val="right"/>
              <w:textAlignment w:val="bottom"/>
            </w:pPr>
            <w:r>
              <w:rPr>
                <w:rFonts w:ascii="Times New Roman" w:eastAsia="宋体" w:hAnsi="Times New Roman"/>
                <w:color w:val="000000"/>
                <w:sz w:val="20"/>
                <w:szCs w:val="20"/>
              </w:rPr>
              <w:t>(101)</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C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C9"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DD002CA" w14:textId="77777777" w:rsidR="00C1563E" w:rsidRDefault="000B648B">
            <w:pPr>
              <w:jc w:val="right"/>
              <w:textAlignment w:val="top"/>
            </w:pPr>
            <w:r>
              <w:rPr>
                <w:rFonts w:ascii="Times New Roman" w:eastAsia="宋体" w:hAnsi="Times New Roman"/>
                <w:color w:val="000000"/>
                <w:sz w:val="20"/>
                <w:szCs w:val="20"/>
              </w:rPr>
              <w:t>(35)</w:t>
            </w:r>
          </w:p>
        </w:tc>
        <w:tc>
          <w:tcPr>
            <w:tcW w:w="0" w:type="auto"/>
            <w:tcBorders>
              <w:top w:val="single" w:sz="8" w:space="0" w:color="000000"/>
            </w:tcBorders>
            <w:shd w:val="clear" w:color="auto" w:fill="FFFFFF"/>
            <w:tcMar>
              <w:top w:w="40" w:type="dxa"/>
              <w:left w:w="0" w:type="dxa"/>
              <w:bottom w:w="40" w:type="dxa"/>
              <w:right w:w="20" w:type="dxa"/>
            </w:tcMar>
          </w:tcPr>
          <w:p w14:paraId="7DD002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2CC"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2CD" w14:textId="77777777" w:rsidR="00C1563E" w:rsidRDefault="000B648B">
            <w:pPr>
              <w:jc w:val="right"/>
              <w:textAlignment w:val="bottom"/>
            </w:pPr>
            <w:r>
              <w:rPr>
                <w:rFonts w:ascii="Times New Roman" w:eastAsia="宋体" w:hAnsi="Times New Roman"/>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2CE" w14:textId="77777777" w:rsidR="00C1563E" w:rsidRDefault="00C1563E">
            <w:pPr>
              <w:jc w:val="right"/>
              <w:rPr>
                <w:rFonts w:ascii="宋体"/>
              </w:rPr>
            </w:pPr>
          </w:p>
        </w:tc>
      </w:tr>
      <w:tr w:rsidR="00C1563E" w14:paraId="7DD002E4" w14:textId="77777777">
        <w:tc>
          <w:tcPr>
            <w:tcW w:w="0" w:type="auto"/>
            <w:gridSpan w:val="3"/>
            <w:shd w:val="clear" w:color="auto" w:fill="CCEEFF"/>
            <w:tcMar>
              <w:top w:w="40" w:type="dxa"/>
              <w:left w:w="245" w:type="dxa"/>
              <w:bottom w:w="40" w:type="dxa"/>
              <w:right w:w="20" w:type="dxa"/>
            </w:tcMar>
            <w:vAlign w:val="bottom"/>
          </w:tcPr>
          <w:p w14:paraId="7DD002D0" w14:textId="77777777" w:rsidR="00C1563E" w:rsidRDefault="000B648B">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02D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2D2" w14:textId="77777777" w:rsidR="00C1563E" w:rsidRDefault="000B648B">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2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D4"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2D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2D6" w14:textId="77777777" w:rsidR="00C1563E" w:rsidRDefault="000B648B">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2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D8"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2D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2DA" w14:textId="77777777" w:rsidR="00C1563E" w:rsidRDefault="000B648B">
            <w:pPr>
              <w:jc w:val="right"/>
              <w:textAlignment w:val="bottom"/>
            </w:pPr>
            <w:r>
              <w:rPr>
                <w:rFonts w:ascii="Times New Roman" w:eastAsia="宋体" w:hAnsi="Times New Roman"/>
                <w:color w:val="000000"/>
                <w:sz w:val="20"/>
                <w:szCs w:val="20"/>
              </w:rPr>
              <w:t>(98)</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2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DC"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2D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2DE" w14:textId="77777777" w:rsidR="00C1563E" w:rsidRDefault="000B648B">
            <w:pPr>
              <w:jc w:val="right"/>
              <w:textAlignment w:val="bottom"/>
            </w:pPr>
            <w:r>
              <w:rPr>
                <w:rFonts w:ascii="Times New Roman" w:eastAsia="宋体" w:hAnsi="Times New Roman"/>
                <w:color w:val="000000"/>
                <w:sz w:val="20"/>
                <w:szCs w:val="20"/>
              </w:rPr>
              <w:t>(35)</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2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2E0"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02E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02E2" w14:textId="77777777" w:rsidR="00C1563E" w:rsidRDefault="000B648B">
            <w:pPr>
              <w:jc w:val="right"/>
              <w:textAlignment w:val="bottom"/>
            </w:pPr>
            <w:r>
              <w:rPr>
                <w:rFonts w:ascii="Times New Roman" w:eastAsia="宋体" w:hAnsi="Times New Roman"/>
                <w:color w:val="000000"/>
                <w:sz w:val="20"/>
                <w:szCs w:val="20"/>
              </w:rPr>
              <w:t>(29)</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2E3" w14:textId="77777777" w:rsidR="00C1563E" w:rsidRDefault="00C1563E">
            <w:pPr>
              <w:jc w:val="right"/>
              <w:rPr>
                <w:rFonts w:ascii="宋体"/>
              </w:rPr>
            </w:pPr>
          </w:p>
        </w:tc>
      </w:tr>
      <w:tr w:rsidR="00C1563E" w14:paraId="7DD002EF" w14:textId="77777777">
        <w:trPr>
          <w:trHeight w:val="280"/>
        </w:trPr>
        <w:tc>
          <w:tcPr>
            <w:tcW w:w="0" w:type="auto"/>
            <w:gridSpan w:val="3"/>
            <w:shd w:val="clear" w:color="auto" w:fill="auto"/>
            <w:tcMar>
              <w:top w:w="0" w:type="dxa"/>
              <w:left w:w="20" w:type="dxa"/>
              <w:bottom w:w="0" w:type="dxa"/>
              <w:right w:w="20" w:type="dxa"/>
            </w:tcMar>
          </w:tcPr>
          <w:p w14:paraId="7DD002E5"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2E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2E7"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2E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2E9"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2E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2EB"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2E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2ED"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2EE" w14:textId="77777777" w:rsidR="00C1563E" w:rsidRDefault="00C1563E">
            <w:pPr>
              <w:rPr>
                <w:rFonts w:ascii="宋体"/>
              </w:rPr>
            </w:pPr>
          </w:p>
        </w:tc>
      </w:tr>
      <w:tr w:rsidR="00C1563E" w14:paraId="7DD002F2" w14:textId="77777777">
        <w:tc>
          <w:tcPr>
            <w:tcW w:w="0" w:type="auto"/>
            <w:gridSpan w:val="3"/>
            <w:shd w:val="clear" w:color="auto" w:fill="auto"/>
            <w:tcMar>
              <w:top w:w="40" w:type="dxa"/>
              <w:left w:w="20" w:type="dxa"/>
              <w:bottom w:w="40" w:type="dxa"/>
              <w:right w:w="20" w:type="dxa"/>
            </w:tcMar>
            <w:vAlign w:val="bottom"/>
          </w:tcPr>
          <w:p w14:paraId="7DD002F0"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DD002F1"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2FD" w14:textId="77777777">
        <w:tc>
          <w:tcPr>
            <w:tcW w:w="0" w:type="auto"/>
            <w:gridSpan w:val="3"/>
            <w:shd w:val="clear" w:color="auto" w:fill="auto"/>
            <w:tcMar>
              <w:top w:w="40" w:type="dxa"/>
              <w:left w:w="20" w:type="dxa"/>
              <w:bottom w:w="40" w:type="dxa"/>
              <w:right w:w="20" w:type="dxa"/>
            </w:tcMar>
            <w:vAlign w:val="bottom"/>
          </w:tcPr>
          <w:p w14:paraId="7DD002F3"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2F4" w14:textId="77777777" w:rsidR="00C1563E" w:rsidRDefault="000B648B">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2F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F6" w14:textId="77777777" w:rsidR="00C1563E" w:rsidRDefault="000B648B">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2F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F8" w14:textId="77777777" w:rsidR="00C1563E" w:rsidRDefault="000B648B">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DD002F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FA" w14:textId="77777777" w:rsidR="00C1563E" w:rsidRDefault="000B648B">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DD002F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2FC" w14:textId="77777777" w:rsidR="00C1563E" w:rsidRDefault="000B648B">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C1563E" w14:paraId="7DD00300" w14:textId="77777777">
        <w:tc>
          <w:tcPr>
            <w:tcW w:w="0" w:type="auto"/>
            <w:gridSpan w:val="3"/>
            <w:shd w:val="clear" w:color="auto" w:fill="auto"/>
            <w:tcMar>
              <w:top w:w="40" w:type="dxa"/>
              <w:left w:w="20" w:type="dxa"/>
              <w:bottom w:w="40" w:type="dxa"/>
              <w:right w:w="20" w:type="dxa"/>
            </w:tcMar>
            <w:vAlign w:val="bottom"/>
          </w:tcPr>
          <w:p w14:paraId="7DD002FE"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D002FF"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302" w14:textId="77777777">
        <w:tc>
          <w:tcPr>
            <w:tcW w:w="0" w:type="auto"/>
            <w:gridSpan w:val="30"/>
            <w:shd w:val="clear" w:color="auto" w:fill="CCEEFF"/>
            <w:tcMar>
              <w:top w:w="40" w:type="dxa"/>
              <w:left w:w="20" w:type="dxa"/>
              <w:bottom w:w="40" w:type="dxa"/>
              <w:right w:w="20" w:type="dxa"/>
            </w:tcMar>
            <w:vAlign w:val="bottom"/>
          </w:tcPr>
          <w:p w14:paraId="7DD00301" w14:textId="77777777" w:rsidR="00C1563E" w:rsidRDefault="000B648B">
            <w:pPr>
              <w:textAlignment w:val="bottom"/>
            </w:pPr>
            <w:r>
              <w:rPr>
                <w:rFonts w:ascii="Times New Roman" w:eastAsia="宋体" w:hAnsi="Times New Roman"/>
                <w:i/>
                <w:iCs/>
                <w:color w:val="000000"/>
                <w:sz w:val="20"/>
                <w:szCs w:val="20"/>
              </w:rPr>
              <w:t>Derivatives designated as hedging instruments:</w:t>
            </w:r>
          </w:p>
        </w:tc>
      </w:tr>
      <w:tr w:rsidR="00C1563E" w14:paraId="7DD00317" w14:textId="77777777">
        <w:tc>
          <w:tcPr>
            <w:tcW w:w="0" w:type="auto"/>
            <w:gridSpan w:val="3"/>
            <w:shd w:val="clear" w:color="auto" w:fill="FFFFFF"/>
            <w:tcMar>
              <w:top w:w="40" w:type="dxa"/>
              <w:left w:w="20" w:type="dxa"/>
              <w:bottom w:w="40" w:type="dxa"/>
              <w:right w:w="20" w:type="dxa"/>
            </w:tcMar>
            <w:vAlign w:val="bottom"/>
          </w:tcPr>
          <w:p w14:paraId="7DD00303" w14:textId="77777777" w:rsidR="00C1563E" w:rsidRDefault="000B648B">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7DD0030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05" w14:textId="77777777" w:rsidR="00C1563E" w:rsidRDefault="000B648B">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DD003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0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0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0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0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0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0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0D"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DD0030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0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1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1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1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1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1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15" w14:textId="77777777" w:rsidR="00C1563E" w:rsidRDefault="000B648B">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7DD00316" w14:textId="77777777" w:rsidR="00C1563E" w:rsidRDefault="00C1563E">
            <w:pPr>
              <w:jc w:val="right"/>
              <w:rPr>
                <w:rFonts w:ascii="宋体"/>
              </w:rPr>
            </w:pPr>
          </w:p>
        </w:tc>
      </w:tr>
      <w:tr w:rsidR="00C1563E" w14:paraId="7DD00327" w14:textId="77777777">
        <w:tc>
          <w:tcPr>
            <w:tcW w:w="0" w:type="auto"/>
            <w:gridSpan w:val="3"/>
            <w:shd w:val="clear" w:color="auto" w:fill="CCEEFF"/>
            <w:tcMar>
              <w:top w:w="40" w:type="dxa"/>
              <w:left w:w="20" w:type="dxa"/>
              <w:bottom w:w="40" w:type="dxa"/>
              <w:right w:w="20" w:type="dxa"/>
            </w:tcMar>
            <w:vAlign w:val="bottom"/>
          </w:tcPr>
          <w:p w14:paraId="7DD00318" w14:textId="77777777" w:rsidR="00C1563E" w:rsidRDefault="000B648B">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7DD00319" w14:textId="77777777" w:rsidR="00C1563E" w:rsidRDefault="000B648B">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DD003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1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1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1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1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1F" w14:textId="77777777" w:rsidR="00C1563E" w:rsidRDefault="000B648B">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DD0032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2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2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2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2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25" w14:textId="77777777" w:rsidR="00C1563E" w:rsidRDefault="000B648B">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DD00326" w14:textId="77777777" w:rsidR="00C1563E" w:rsidRDefault="00C1563E">
            <w:pPr>
              <w:jc w:val="right"/>
              <w:rPr>
                <w:rFonts w:ascii="宋体"/>
              </w:rPr>
            </w:pPr>
          </w:p>
        </w:tc>
      </w:tr>
      <w:tr w:rsidR="00C1563E" w14:paraId="7DD00337" w14:textId="77777777">
        <w:tc>
          <w:tcPr>
            <w:tcW w:w="0" w:type="auto"/>
            <w:gridSpan w:val="3"/>
            <w:shd w:val="clear" w:color="auto" w:fill="FFFFFF"/>
            <w:tcMar>
              <w:top w:w="40" w:type="dxa"/>
              <w:left w:w="155" w:type="dxa"/>
              <w:bottom w:w="40" w:type="dxa"/>
              <w:right w:w="20" w:type="dxa"/>
            </w:tcMar>
            <w:vAlign w:val="bottom"/>
          </w:tcPr>
          <w:p w14:paraId="7DD00328" w14:textId="77777777" w:rsidR="00C1563E" w:rsidRDefault="000B648B">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DD00329" w14:textId="77777777" w:rsidR="00C1563E" w:rsidRDefault="000B648B">
            <w:pPr>
              <w:jc w:val="right"/>
              <w:textAlignment w:val="bottom"/>
            </w:pPr>
            <w:r>
              <w:rPr>
                <w:rFonts w:ascii="Times New Roman" w:eastAsia="宋体" w:hAnsi="Times New Roman"/>
                <w:color w:val="000000"/>
                <w:sz w:val="20"/>
                <w:szCs w:val="20"/>
              </w:rPr>
              <w:t>106 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DD0032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2B" w14:textId="77777777" w:rsidR="00C1563E" w:rsidRDefault="00C1563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DD0032C"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DD0032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2E" w14:textId="77777777" w:rsidR="00C1563E" w:rsidRDefault="00C1563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DD0032F" w14:textId="77777777" w:rsidR="00C1563E" w:rsidRDefault="000B648B">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DD0033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31" w14:textId="77777777" w:rsidR="00C1563E" w:rsidRDefault="00C1563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DD00332"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DD0033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34" w14:textId="77777777" w:rsidR="00C1563E" w:rsidRDefault="00C1563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DD00335" w14:textId="77777777" w:rsidR="00C1563E" w:rsidRDefault="000B648B">
            <w:pPr>
              <w:jc w:val="right"/>
              <w:textAlignment w:val="bottom"/>
            </w:pPr>
            <w:r>
              <w:rPr>
                <w:rFonts w:ascii="Times New Roman" w:eastAsia="宋体" w:hAnsi="Times New Roman"/>
                <w:color w:val="000000"/>
                <w:sz w:val="20"/>
                <w:szCs w:val="20"/>
              </w:rPr>
              <w:t>118 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DD00336" w14:textId="77777777" w:rsidR="00C1563E" w:rsidRDefault="00C1563E">
            <w:pPr>
              <w:jc w:val="right"/>
              <w:rPr>
                <w:rFonts w:ascii="宋体"/>
              </w:rPr>
            </w:pPr>
          </w:p>
        </w:tc>
      </w:tr>
      <w:tr w:rsidR="00C1563E" w14:paraId="7DD00339" w14:textId="77777777">
        <w:tc>
          <w:tcPr>
            <w:tcW w:w="0" w:type="auto"/>
            <w:gridSpan w:val="30"/>
            <w:shd w:val="clear" w:color="auto" w:fill="CCEEFF"/>
            <w:tcMar>
              <w:top w:w="40" w:type="dxa"/>
              <w:left w:w="20" w:type="dxa"/>
              <w:bottom w:w="40" w:type="dxa"/>
              <w:right w:w="20" w:type="dxa"/>
            </w:tcMar>
            <w:vAlign w:val="bottom"/>
          </w:tcPr>
          <w:p w14:paraId="7DD00338" w14:textId="77777777" w:rsidR="00C1563E" w:rsidRDefault="000B648B">
            <w:pPr>
              <w:textAlignment w:val="bottom"/>
            </w:pPr>
            <w:r>
              <w:rPr>
                <w:rFonts w:ascii="Times New Roman" w:eastAsia="宋体" w:hAnsi="Times New Roman"/>
                <w:i/>
                <w:iCs/>
                <w:color w:val="000000"/>
                <w:sz w:val="20"/>
                <w:szCs w:val="20"/>
              </w:rPr>
              <w:t>Derivatives not designated as hedging instruments:</w:t>
            </w:r>
          </w:p>
        </w:tc>
      </w:tr>
      <w:tr w:rsidR="00C1563E" w14:paraId="7DD00349" w14:textId="77777777">
        <w:tc>
          <w:tcPr>
            <w:tcW w:w="0" w:type="auto"/>
            <w:gridSpan w:val="3"/>
            <w:shd w:val="clear" w:color="auto" w:fill="FFFFFF"/>
            <w:tcMar>
              <w:top w:w="40" w:type="dxa"/>
              <w:left w:w="20" w:type="dxa"/>
              <w:bottom w:w="40" w:type="dxa"/>
              <w:right w:w="20" w:type="dxa"/>
            </w:tcMar>
            <w:vAlign w:val="bottom"/>
          </w:tcPr>
          <w:p w14:paraId="7DD0033A" w14:textId="77777777" w:rsidR="00C1563E" w:rsidRDefault="000B648B">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7DD0033B" w14:textId="77777777" w:rsidR="00C1563E" w:rsidRDefault="000B648B">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DD0033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3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3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3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4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41" w14:textId="77777777" w:rsidR="00C1563E" w:rsidRDefault="000B648B">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7DD0034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4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4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4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4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47" w14:textId="77777777" w:rsidR="00C1563E" w:rsidRDefault="000B648B">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7DD00348" w14:textId="77777777" w:rsidR="00C1563E" w:rsidRDefault="00C1563E">
            <w:pPr>
              <w:jc w:val="right"/>
              <w:rPr>
                <w:rFonts w:ascii="宋体"/>
              </w:rPr>
            </w:pPr>
          </w:p>
        </w:tc>
      </w:tr>
      <w:tr w:rsidR="00C1563E" w14:paraId="7DD00359" w14:textId="77777777">
        <w:tc>
          <w:tcPr>
            <w:tcW w:w="0" w:type="auto"/>
            <w:gridSpan w:val="3"/>
            <w:shd w:val="clear" w:color="auto" w:fill="CCEEFF"/>
            <w:tcMar>
              <w:top w:w="40" w:type="dxa"/>
              <w:left w:w="20" w:type="dxa"/>
              <w:bottom w:w="40" w:type="dxa"/>
              <w:right w:w="20" w:type="dxa"/>
            </w:tcMar>
            <w:vAlign w:val="bottom"/>
          </w:tcPr>
          <w:p w14:paraId="7DD0034A" w14:textId="77777777" w:rsidR="00C1563E" w:rsidRDefault="000B648B">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7DD0034B" w14:textId="77777777" w:rsidR="00C1563E" w:rsidRDefault="000B648B">
            <w:pPr>
              <w:jc w:val="right"/>
              <w:textAlignment w:val="bottom"/>
            </w:pPr>
            <w:r>
              <w:rPr>
                <w:rFonts w:ascii="Times New Roman" w:eastAsia="宋体" w:hAnsi="Times New Roman"/>
                <w:color w:val="000000"/>
                <w:sz w:val="20"/>
                <w:szCs w:val="20"/>
              </w:rPr>
              <w:t>(162)</w:t>
            </w:r>
          </w:p>
        </w:tc>
        <w:tc>
          <w:tcPr>
            <w:tcW w:w="0" w:type="auto"/>
            <w:shd w:val="clear" w:color="auto" w:fill="CCEEFF"/>
            <w:tcMar>
              <w:top w:w="40" w:type="dxa"/>
              <w:left w:w="0" w:type="dxa"/>
              <w:bottom w:w="40" w:type="dxa"/>
              <w:right w:w="20" w:type="dxa"/>
            </w:tcMar>
            <w:vAlign w:val="bottom"/>
          </w:tcPr>
          <w:p w14:paraId="7DD0034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4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4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4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5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51" w14:textId="77777777" w:rsidR="00C1563E" w:rsidRDefault="000B648B">
            <w:pPr>
              <w:jc w:val="right"/>
              <w:textAlignment w:val="bottom"/>
            </w:pPr>
            <w:r>
              <w:rPr>
                <w:rFonts w:ascii="Times New Roman" w:eastAsia="宋体" w:hAnsi="Times New Roman"/>
                <w:color w:val="000000"/>
                <w:sz w:val="20"/>
                <w:szCs w:val="20"/>
              </w:rPr>
              <w:t>(81)</w:t>
            </w:r>
          </w:p>
        </w:tc>
        <w:tc>
          <w:tcPr>
            <w:tcW w:w="0" w:type="auto"/>
            <w:shd w:val="clear" w:color="auto" w:fill="CCEEFF"/>
            <w:tcMar>
              <w:top w:w="40" w:type="dxa"/>
              <w:left w:w="0" w:type="dxa"/>
              <w:bottom w:w="40" w:type="dxa"/>
              <w:right w:w="20" w:type="dxa"/>
            </w:tcMar>
            <w:vAlign w:val="bottom"/>
          </w:tcPr>
          <w:p w14:paraId="7DD0035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5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54" w14:textId="77777777" w:rsidR="00C1563E" w:rsidRDefault="000B648B">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DD0035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5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57" w14:textId="77777777" w:rsidR="00C1563E" w:rsidRDefault="000B648B">
            <w:pPr>
              <w:jc w:val="right"/>
              <w:textAlignment w:val="bottom"/>
            </w:pPr>
            <w:r>
              <w:rPr>
                <w:rFonts w:ascii="Times New Roman" w:eastAsia="宋体" w:hAnsi="Times New Roman"/>
                <w:color w:val="000000"/>
                <w:sz w:val="20"/>
                <w:szCs w:val="20"/>
              </w:rPr>
              <w:t>(249)</w:t>
            </w:r>
          </w:p>
        </w:tc>
        <w:tc>
          <w:tcPr>
            <w:tcW w:w="0" w:type="auto"/>
            <w:shd w:val="clear" w:color="auto" w:fill="CCEEFF"/>
            <w:tcMar>
              <w:top w:w="40" w:type="dxa"/>
              <w:left w:w="0" w:type="dxa"/>
              <w:bottom w:w="40" w:type="dxa"/>
              <w:right w:w="20" w:type="dxa"/>
            </w:tcMar>
            <w:vAlign w:val="bottom"/>
          </w:tcPr>
          <w:p w14:paraId="7DD00358" w14:textId="77777777" w:rsidR="00C1563E" w:rsidRDefault="00C1563E">
            <w:pPr>
              <w:jc w:val="right"/>
              <w:rPr>
                <w:rFonts w:ascii="宋体"/>
              </w:rPr>
            </w:pPr>
          </w:p>
        </w:tc>
      </w:tr>
      <w:tr w:rsidR="00C1563E" w14:paraId="7DD00369" w14:textId="77777777">
        <w:tc>
          <w:tcPr>
            <w:tcW w:w="0" w:type="auto"/>
            <w:gridSpan w:val="3"/>
            <w:shd w:val="clear" w:color="auto" w:fill="FFFFFF"/>
            <w:tcMar>
              <w:top w:w="40" w:type="dxa"/>
              <w:left w:w="20" w:type="dxa"/>
              <w:bottom w:w="40" w:type="dxa"/>
              <w:right w:w="20" w:type="dxa"/>
            </w:tcMar>
            <w:vAlign w:val="bottom"/>
          </w:tcPr>
          <w:p w14:paraId="7DD0035A" w14:textId="77777777" w:rsidR="00C1563E" w:rsidRDefault="000B648B">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7DD0035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5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5E"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D003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6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6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6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6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6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36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6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367"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D00368" w14:textId="77777777" w:rsidR="00C1563E" w:rsidRDefault="00C1563E">
            <w:pPr>
              <w:jc w:val="right"/>
              <w:rPr>
                <w:rFonts w:ascii="宋体"/>
              </w:rPr>
            </w:pPr>
          </w:p>
        </w:tc>
      </w:tr>
      <w:tr w:rsidR="00C1563E" w14:paraId="7DD00379" w14:textId="77777777">
        <w:tc>
          <w:tcPr>
            <w:tcW w:w="0" w:type="auto"/>
            <w:gridSpan w:val="3"/>
            <w:shd w:val="clear" w:color="auto" w:fill="CCEEFF"/>
            <w:tcMar>
              <w:top w:w="40" w:type="dxa"/>
              <w:left w:w="20" w:type="dxa"/>
              <w:bottom w:w="40" w:type="dxa"/>
              <w:right w:w="20" w:type="dxa"/>
            </w:tcMar>
            <w:vAlign w:val="bottom"/>
          </w:tcPr>
          <w:p w14:paraId="7DD0036A" w14:textId="77777777" w:rsidR="00C1563E" w:rsidRDefault="000B648B">
            <w:pPr>
              <w:textAlignment w:val="bottom"/>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bottom"/>
          </w:tcPr>
          <w:p w14:paraId="7DD0036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6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6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6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7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7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37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7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74" w14:textId="77777777" w:rsidR="00C1563E" w:rsidRDefault="000B648B">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7DD0037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7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377" w14:textId="77777777" w:rsidR="00C1563E" w:rsidRDefault="000B648B">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7DD00378" w14:textId="77777777" w:rsidR="00C1563E" w:rsidRDefault="00C1563E">
            <w:pPr>
              <w:jc w:val="right"/>
              <w:rPr>
                <w:rFonts w:ascii="宋体"/>
              </w:rPr>
            </w:pPr>
          </w:p>
        </w:tc>
      </w:tr>
      <w:tr w:rsidR="00C1563E" w14:paraId="7DD00389" w14:textId="77777777">
        <w:tc>
          <w:tcPr>
            <w:tcW w:w="0" w:type="auto"/>
            <w:gridSpan w:val="3"/>
            <w:shd w:val="clear" w:color="auto" w:fill="FFFFFF"/>
            <w:tcMar>
              <w:top w:w="40" w:type="dxa"/>
              <w:left w:w="155" w:type="dxa"/>
              <w:bottom w:w="40" w:type="dxa"/>
              <w:right w:w="20" w:type="dxa"/>
            </w:tcMar>
            <w:vAlign w:val="bottom"/>
          </w:tcPr>
          <w:p w14:paraId="7DD0037A" w14:textId="77777777" w:rsidR="00C1563E" w:rsidRDefault="000B648B">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37B" w14:textId="77777777" w:rsidR="00C1563E" w:rsidRDefault="000B648B">
            <w:pPr>
              <w:jc w:val="right"/>
              <w:textAlignment w:val="bottom"/>
            </w:pPr>
            <w:r>
              <w:rPr>
                <w:rFonts w:ascii="Times New Roman" w:eastAsia="宋体" w:hAnsi="Times New Roman"/>
                <w:color w:val="000000"/>
                <w:sz w:val="20"/>
                <w:szCs w:val="20"/>
              </w:rPr>
              <w:t>(26)</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3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7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37E"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3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8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381" w14:textId="77777777" w:rsidR="00C1563E" w:rsidRDefault="000B648B">
            <w:pPr>
              <w:jc w:val="right"/>
              <w:textAlignment w:val="bottom"/>
            </w:pPr>
            <w:r>
              <w:rPr>
                <w:rFonts w:ascii="Times New Roman" w:eastAsia="宋体" w:hAnsi="Times New Roman"/>
                <w:color w:val="000000"/>
                <w:sz w:val="20"/>
                <w:szCs w:val="20"/>
              </w:rPr>
              <w:t>(42)</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38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8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384" w14:textId="77777777" w:rsidR="00C1563E" w:rsidRDefault="000B648B">
            <w:pPr>
              <w:jc w:val="right"/>
              <w:textAlignment w:val="bottom"/>
            </w:pPr>
            <w:r>
              <w:rPr>
                <w:rFonts w:ascii="Times New Roman" w:eastAsia="宋体" w:hAnsi="Times New Roman"/>
                <w:color w:val="000000"/>
                <w:sz w:val="20"/>
                <w:szCs w:val="20"/>
              </w:rPr>
              <w:t>(38)</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38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86"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387" w14:textId="77777777" w:rsidR="00C1563E" w:rsidRDefault="000B648B">
            <w:pPr>
              <w:jc w:val="right"/>
              <w:textAlignment w:val="bottom"/>
            </w:pPr>
            <w:r>
              <w:rPr>
                <w:rFonts w:ascii="Times New Roman" w:eastAsia="宋体" w:hAnsi="Times New Roman"/>
                <w:color w:val="000000"/>
                <w:sz w:val="20"/>
                <w:szCs w:val="20"/>
              </w:rPr>
              <w:t>(105)</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388" w14:textId="77777777" w:rsidR="00C1563E" w:rsidRDefault="00C1563E">
            <w:pPr>
              <w:jc w:val="right"/>
              <w:rPr>
                <w:rFonts w:ascii="宋体"/>
              </w:rPr>
            </w:pPr>
          </w:p>
        </w:tc>
      </w:tr>
      <w:tr w:rsidR="00C1563E" w14:paraId="7DD0039E" w14:textId="77777777">
        <w:tc>
          <w:tcPr>
            <w:tcW w:w="0" w:type="auto"/>
            <w:gridSpan w:val="3"/>
            <w:shd w:val="clear" w:color="auto" w:fill="CCEEFF"/>
            <w:tcMar>
              <w:top w:w="40" w:type="dxa"/>
              <w:left w:w="245" w:type="dxa"/>
              <w:bottom w:w="40" w:type="dxa"/>
              <w:right w:w="20" w:type="dxa"/>
            </w:tcMar>
            <w:vAlign w:val="bottom"/>
          </w:tcPr>
          <w:p w14:paraId="7DD0038A" w14:textId="77777777" w:rsidR="00C1563E" w:rsidRDefault="000B648B">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38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38C" w14:textId="77777777" w:rsidR="00C1563E" w:rsidRDefault="000B648B">
            <w:pPr>
              <w:jc w:val="right"/>
              <w:textAlignment w:val="bottom"/>
            </w:pPr>
            <w:r>
              <w:rPr>
                <w:rFonts w:ascii="Times New Roman" w:eastAsia="宋体" w:hAnsi="Times New Roman"/>
                <w:color w:val="000000"/>
                <w:sz w:val="20"/>
                <w:szCs w:val="20"/>
              </w:rPr>
              <w:t>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38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8E"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38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390"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3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92"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39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394" w14:textId="77777777" w:rsidR="00C1563E" w:rsidRDefault="000B648B">
            <w:pPr>
              <w:jc w:val="right"/>
              <w:textAlignment w:val="bottom"/>
            </w:pPr>
            <w:r>
              <w:rPr>
                <w:rFonts w:ascii="Times New Roman" w:eastAsia="宋体" w:hAnsi="Times New Roman"/>
                <w:color w:val="000000"/>
                <w:sz w:val="20"/>
                <w:szCs w:val="20"/>
              </w:rPr>
              <w:t>(30)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3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96"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39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398" w14:textId="77777777" w:rsidR="00C1563E" w:rsidRDefault="000B648B">
            <w:pPr>
              <w:jc w:val="right"/>
              <w:textAlignment w:val="bottom"/>
            </w:pPr>
            <w:r>
              <w:rPr>
                <w:rFonts w:ascii="Times New Roman" w:eastAsia="宋体" w:hAnsi="Times New Roman"/>
                <w:color w:val="000000"/>
                <w:sz w:val="20"/>
                <w:szCs w:val="20"/>
              </w:rPr>
              <w:t>(38)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39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39A"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39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39C" w14:textId="77777777" w:rsidR="00C1563E" w:rsidRDefault="000B648B">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39D" w14:textId="77777777" w:rsidR="00C1563E" w:rsidRDefault="00C1563E">
            <w:pPr>
              <w:jc w:val="right"/>
              <w:rPr>
                <w:rFonts w:ascii="宋体"/>
              </w:rPr>
            </w:pPr>
          </w:p>
        </w:tc>
      </w:tr>
    </w:tbl>
    <w:p w14:paraId="7DD0039F" w14:textId="77777777" w:rsidR="00C1563E" w:rsidRDefault="00C1563E"/>
    <w:p w14:paraId="7DD003A0" w14:textId="77777777" w:rsidR="00C1563E" w:rsidRDefault="00C1563E">
      <w:pPr>
        <w:jc w:val="center"/>
      </w:pPr>
    </w:p>
    <w:p w14:paraId="7DD003A1" w14:textId="77777777" w:rsidR="00C1563E" w:rsidRDefault="000B648B">
      <w:pPr>
        <w:jc w:val="center"/>
      </w:pPr>
      <w:r>
        <w:rPr>
          <w:rFonts w:ascii="Times New Roman" w:eastAsia="宋体" w:hAnsi="Times New Roman"/>
          <w:color w:val="000000"/>
          <w:sz w:val="20"/>
          <w:szCs w:val="20"/>
        </w:rPr>
        <w:t>1</w:t>
      </w:r>
      <w:r>
        <w:rPr>
          <w:rFonts w:ascii="Times New Roman" w:eastAsia="宋体" w:hAnsi="Times New Roman"/>
          <w:color w:val="000000"/>
          <w:sz w:val="20"/>
          <w:szCs w:val="20"/>
        </w:rPr>
        <w:t>17</w:t>
      </w:r>
    </w:p>
    <w:p w14:paraId="7DD003A2" w14:textId="77777777" w:rsidR="00C1563E" w:rsidRDefault="00C1563E">
      <w:pPr>
        <w:jc w:val="center"/>
      </w:pPr>
    </w:p>
    <w:p w14:paraId="7DD003A3" w14:textId="77777777" w:rsidR="00C1563E" w:rsidRDefault="000B648B">
      <w:r>
        <w:pict w14:anchorId="7DD025DF">
          <v:rect id="_x0000_i1141" style="width:415.3pt;height:1.5pt" o:hralign="center" o:hrstd="t" o:hr="t" fillcolor="#a0a0a0" stroked="f"/>
        </w:pict>
      </w:r>
    </w:p>
    <w:p w14:paraId="7DD003A4" w14:textId="77777777" w:rsidR="00C1563E" w:rsidRDefault="000B648B">
      <w:hyperlink r:id="rId300" w:anchor="i418e32e4a35149ffbf7d3a25d66881b8_10" w:history="1">
        <w:r>
          <w:rPr>
            <w:rStyle w:val="a5"/>
            <w:rFonts w:ascii="Times New Roman" w:eastAsia="宋体" w:hAnsi="Times New Roman"/>
            <w:sz w:val="20"/>
            <w:szCs w:val="20"/>
          </w:rPr>
          <w:t>Table of Contents</w:t>
        </w:r>
      </w:hyperlink>
    </w:p>
    <w:p w14:paraId="7DD003A5" w14:textId="77777777" w:rsidR="00C1563E" w:rsidRDefault="000B648B">
      <w:pPr>
        <w:spacing w:after="120"/>
      </w:pPr>
      <w:r>
        <w:rPr>
          <w:rFonts w:ascii="Times New Roman" w:eastAsia="宋体" w:hAnsi="Times New Roman"/>
          <w:color w:val="000000"/>
          <w:sz w:val="20"/>
          <w:szCs w:val="20"/>
        </w:rPr>
        <w:t xml:space="preserve">The following tables present the gross amounts of the Company’s </w:t>
      </w:r>
      <w:r>
        <w:rPr>
          <w:rFonts w:ascii="Times New Roman" w:eastAsia="宋体" w:hAnsi="Times New Roman"/>
          <w:color w:val="000000"/>
          <w:sz w:val="20"/>
          <w:szCs w:val="20"/>
        </w:rPr>
        <w:t>derivative instruments, amounts offset due to master netting agreements with the Company’s counterparties, and the net amounts recognized in the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753"/>
        <w:gridCol w:w="37"/>
        <w:gridCol w:w="121"/>
        <w:gridCol w:w="843"/>
        <w:gridCol w:w="36"/>
        <w:gridCol w:w="36"/>
        <w:gridCol w:w="36"/>
        <w:gridCol w:w="36"/>
        <w:gridCol w:w="121"/>
        <w:gridCol w:w="742"/>
        <w:gridCol w:w="36"/>
        <w:gridCol w:w="36"/>
        <w:gridCol w:w="36"/>
        <w:gridCol w:w="36"/>
        <w:gridCol w:w="121"/>
        <w:gridCol w:w="843"/>
        <w:gridCol w:w="36"/>
        <w:gridCol w:w="36"/>
        <w:gridCol w:w="36"/>
        <w:gridCol w:w="36"/>
        <w:gridCol w:w="121"/>
        <w:gridCol w:w="896"/>
        <w:gridCol w:w="37"/>
        <w:gridCol w:w="36"/>
        <w:gridCol w:w="36"/>
        <w:gridCol w:w="36"/>
        <w:gridCol w:w="121"/>
        <w:gridCol w:w="740"/>
        <w:gridCol w:w="37"/>
        <w:gridCol w:w="36"/>
        <w:gridCol w:w="36"/>
        <w:gridCol w:w="36"/>
        <w:gridCol w:w="121"/>
        <w:gridCol w:w="953"/>
        <w:gridCol w:w="36"/>
      </w:tblGrid>
      <w:tr w:rsidR="00C1563E" w14:paraId="7DD003CA" w14:textId="77777777">
        <w:trPr>
          <w:jc w:val="center"/>
        </w:trPr>
        <w:tc>
          <w:tcPr>
            <w:tcW w:w="50" w:type="pct"/>
            <w:shd w:val="clear" w:color="auto" w:fill="auto"/>
          </w:tcPr>
          <w:p w14:paraId="7DD003A6" w14:textId="77777777" w:rsidR="00C1563E" w:rsidRDefault="00C1563E">
            <w:pPr>
              <w:rPr>
                <w:rFonts w:ascii="宋体"/>
              </w:rPr>
            </w:pPr>
          </w:p>
        </w:tc>
        <w:tc>
          <w:tcPr>
            <w:tcW w:w="1202" w:type="pct"/>
            <w:shd w:val="clear" w:color="auto" w:fill="auto"/>
          </w:tcPr>
          <w:p w14:paraId="7DD003A7" w14:textId="77777777" w:rsidR="00C1563E" w:rsidRDefault="00C1563E">
            <w:pPr>
              <w:rPr>
                <w:rFonts w:ascii="宋体"/>
              </w:rPr>
            </w:pPr>
          </w:p>
        </w:tc>
        <w:tc>
          <w:tcPr>
            <w:tcW w:w="5" w:type="pct"/>
            <w:shd w:val="clear" w:color="auto" w:fill="auto"/>
          </w:tcPr>
          <w:p w14:paraId="7DD003A8" w14:textId="77777777" w:rsidR="00C1563E" w:rsidRDefault="00C1563E">
            <w:pPr>
              <w:rPr>
                <w:rFonts w:ascii="宋体"/>
              </w:rPr>
            </w:pPr>
          </w:p>
        </w:tc>
        <w:tc>
          <w:tcPr>
            <w:tcW w:w="50" w:type="pct"/>
            <w:shd w:val="clear" w:color="auto" w:fill="auto"/>
          </w:tcPr>
          <w:p w14:paraId="7DD003A9" w14:textId="77777777" w:rsidR="00C1563E" w:rsidRDefault="00C1563E">
            <w:pPr>
              <w:rPr>
                <w:rFonts w:ascii="宋体"/>
              </w:rPr>
            </w:pPr>
          </w:p>
        </w:tc>
        <w:tc>
          <w:tcPr>
            <w:tcW w:w="529" w:type="pct"/>
            <w:shd w:val="clear" w:color="auto" w:fill="auto"/>
          </w:tcPr>
          <w:p w14:paraId="7DD003AA" w14:textId="77777777" w:rsidR="00C1563E" w:rsidRDefault="00C1563E">
            <w:pPr>
              <w:rPr>
                <w:rFonts w:ascii="宋体"/>
              </w:rPr>
            </w:pPr>
          </w:p>
        </w:tc>
        <w:tc>
          <w:tcPr>
            <w:tcW w:w="5" w:type="pct"/>
            <w:shd w:val="clear" w:color="auto" w:fill="auto"/>
          </w:tcPr>
          <w:p w14:paraId="7DD003AB" w14:textId="77777777" w:rsidR="00C1563E" w:rsidRDefault="00C1563E">
            <w:pPr>
              <w:rPr>
                <w:rFonts w:ascii="宋体"/>
              </w:rPr>
            </w:pPr>
          </w:p>
        </w:tc>
        <w:tc>
          <w:tcPr>
            <w:tcW w:w="5" w:type="pct"/>
            <w:shd w:val="clear" w:color="auto" w:fill="auto"/>
          </w:tcPr>
          <w:p w14:paraId="7DD003AC" w14:textId="77777777" w:rsidR="00C1563E" w:rsidRDefault="00C1563E">
            <w:pPr>
              <w:rPr>
                <w:rFonts w:ascii="宋体"/>
              </w:rPr>
            </w:pPr>
          </w:p>
        </w:tc>
        <w:tc>
          <w:tcPr>
            <w:tcW w:w="19" w:type="pct"/>
            <w:shd w:val="clear" w:color="auto" w:fill="auto"/>
          </w:tcPr>
          <w:p w14:paraId="7DD003AD" w14:textId="77777777" w:rsidR="00C1563E" w:rsidRDefault="00C1563E">
            <w:pPr>
              <w:rPr>
                <w:rFonts w:ascii="宋体"/>
              </w:rPr>
            </w:pPr>
          </w:p>
        </w:tc>
        <w:tc>
          <w:tcPr>
            <w:tcW w:w="5" w:type="pct"/>
            <w:shd w:val="clear" w:color="auto" w:fill="auto"/>
          </w:tcPr>
          <w:p w14:paraId="7DD003AE" w14:textId="77777777" w:rsidR="00C1563E" w:rsidRDefault="00C1563E">
            <w:pPr>
              <w:rPr>
                <w:rFonts w:ascii="宋体"/>
              </w:rPr>
            </w:pPr>
          </w:p>
        </w:tc>
        <w:tc>
          <w:tcPr>
            <w:tcW w:w="50" w:type="pct"/>
            <w:shd w:val="clear" w:color="auto" w:fill="auto"/>
          </w:tcPr>
          <w:p w14:paraId="7DD003AF" w14:textId="77777777" w:rsidR="00C1563E" w:rsidRDefault="00C1563E">
            <w:pPr>
              <w:rPr>
                <w:rFonts w:ascii="宋体"/>
              </w:rPr>
            </w:pPr>
          </w:p>
        </w:tc>
        <w:tc>
          <w:tcPr>
            <w:tcW w:w="529" w:type="pct"/>
            <w:shd w:val="clear" w:color="auto" w:fill="auto"/>
          </w:tcPr>
          <w:p w14:paraId="7DD003B0" w14:textId="77777777" w:rsidR="00C1563E" w:rsidRDefault="00C1563E">
            <w:pPr>
              <w:rPr>
                <w:rFonts w:ascii="宋体"/>
              </w:rPr>
            </w:pPr>
          </w:p>
        </w:tc>
        <w:tc>
          <w:tcPr>
            <w:tcW w:w="5" w:type="pct"/>
            <w:shd w:val="clear" w:color="auto" w:fill="auto"/>
          </w:tcPr>
          <w:p w14:paraId="7DD003B1" w14:textId="77777777" w:rsidR="00C1563E" w:rsidRDefault="00C1563E">
            <w:pPr>
              <w:rPr>
                <w:rFonts w:ascii="宋体"/>
              </w:rPr>
            </w:pPr>
          </w:p>
        </w:tc>
        <w:tc>
          <w:tcPr>
            <w:tcW w:w="5" w:type="pct"/>
            <w:shd w:val="clear" w:color="auto" w:fill="auto"/>
          </w:tcPr>
          <w:p w14:paraId="7DD003B2" w14:textId="77777777" w:rsidR="00C1563E" w:rsidRDefault="00C1563E">
            <w:pPr>
              <w:rPr>
                <w:rFonts w:ascii="宋体"/>
              </w:rPr>
            </w:pPr>
          </w:p>
        </w:tc>
        <w:tc>
          <w:tcPr>
            <w:tcW w:w="19" w:type="pct"/>
            <w:shd w:val="clear" w:color="auto" w:fill="auto"/>
          </w:tcPr>
          <w:p w14:paraId="7DD003B3" w14:textId="77777777" w:rsidR="00C1563E" w:rsidRDefault="00C1563E">
            <w:pPr>
              <w:rPr>
                <w:rFonts w:ascii="宋体"/>
              </w:rPr>
            </w:pPr>
          </w:p>
        </w:tc>
        <w:tc>
          <w:tcPr>
            <w:tcW w:w="5" w:type="pct"/>
            <w:shd w:val="clear" w:color="auto" w:fill="auto"/>
          </w:tcPr>
          <w:p w14:paraId="7DD003B4" w14:textId="77777777" w:rsidR="00C1563E" w:rsidRDefault="00C1563E">
            <w:pPr>
              <w:rPr>
                <w:rFonts w:ascii="宋体"/>
              </w:rPr>
            </w:pPr>
          </w:p>
        </w:tc>
        <w:tc>
          <w:tcPr>
            <w:tcW w:w="50" w:type="pct"/>
            <w:shd w:val="clear" w:color="auto" w:fill="auto"/>
          </w:tcPr>
          <w:p w14:paraId="7DD003B5" w14:textId="77777777" w:rsidR="00C1563E" w:rsidRDefault="00C1563E">
            <w:pPr>
              <w:rPr>
                <w:rFonts w:ascii="宋体"/>
              </w:rPr>
            </w:pPr>
          </w:p>
        </w:tc>
        <w:tc>
          <w:tcPr>
            <w:tcW w:w="529" w:type="pct"/>
            <w:shd w:val="clear" w:color="auto" w:fill="auto"/>
          </w:tcPr>
          <w:p w14:paraId="7DD003B6" w14:textId="77777777" w:rsidR="00C1563E" w:rsidRDefault="00C1563E">
            <w:pPr>
              <w:rPr>
                <w:rFonts w:ascii="宋体"/>
              </w:rPr>
            </w:pPr>
          </w:p>
        </w:tc>
        <w:tc>
          <w:tcPr>
            <w:tcW w:w="5" w:type="pct"/>
            <w:shd w:val="clear" w:color="auto" w:fill="auto"/>
          </w:tcPr>
          <w:p w14:paraId="7DD003B7" w14:textId="77777777" w:rsidR="00C1563E" w:rsidRDefault="00C1563E">
            <w:pPr>
              <w:rPr>
                <w:rFonts w:ascii="宋体"/>
              </w:rPr>
            </w:pPr>
          </w:p>
        </w:tc>
        <w:tc>
          <w:tcPr>
            <w:tcW w:w="5" w:type="pct"/>
            <w:shd w:val="clear" w:color="auto" w:fill="auto"/>
          </w:tcPr>
          <w:p w14:paraId="7DD003B8" w14:textId="77777777" w:rsidR="00C1563E" w:rsidRDefault="00C1563E">
            <w:pPr>
              <w:rPr>
                <w:rFonts w:ascii="宋体"/>
              </w:rPr>
            </w:pPr>
          </w:p>
        </w:tc>
        <w:tc>
          <w:tcPr>
            <w:tcW w:w="19" w:type="pct"/>
            <w:shd w:val="clear" w:color="auto" w:fill="auto"/>
          </w:tcPr>
          <w:p w14:paraId="7DD003B9" w14:textId="77777777" w:rsidR="00C1563E" w:rsidRDefault="00C1563E">
            <w:pPr>
              <w:rPr>
                <w:rFonts w:ascii="宋体"/>
              </w:rPr>
            </w:pPr>
          </w:p>
        </w:tc>
        <w:tc>
          <w:tcPr>
            <w:tcW w:w="5" w:type="pct"/>
            <w:shd w:val="clear" w:color="auto" w:fill="auto"/>
          </w:tcPr>
          <w:p w14:paraId="7DD003BA" w14:textId="77777777" w:rsidR="00C1563E" w:rsidRDefault="00C1563E">
            <w:pPr>
              <w:rPr>
                <w:rFonts w:ascii="宋体"/>
              </w:rPr>
            </w:pPr>
          </w:p>
        </w:tc>
        <w:tc>
          <w:tcPr>
            <w:tcW w:w="50" w:type="pct"/>
            <w:shd w:val="clear" w:color="auto" w:fill="auto"/>
          </w:tcPr>
          <w:p w14:paraId="7DD003BB" w14:textId="77777777" w:rsidR="00C1563E" w:rsidRDefault="00C1563E">
            <w:pPr>
              <w:rPr>
                <w:rFonts w:ascii="宋体"/>
              </w:rPr>
            </w:pPr>
          </w:p>
        </w:tc>
        <w:tc>
          <w:tcPr>
            <w:tcW w:w="573" w:type="pct"/>
            <w:shd w:val="clear" w:color="auto" w:fill="auto"/>
          </w:tcPr>
          <w:p w14:paraId="7DD003BC" w14:textId="77777777" w:rsidR="00C1563E" w:rsidRDefault="00C1563E">
            <w:pPr>
              <w:rPr>
                <w:rFonts w:ascii="宋体"/>
              </w:rPr>
            </w:pPr>
          </w:p>
        </w:tc>
        <w:tc>
          <w:tcPr>
            <w:tcW w:w="5" w:type="pct"/>
            <w:shd w:val="clear" w:color="auto" w:fill="auto"/>
          </w:tcPr>
          <w:p w14:paraId="7DD003BD" w14:textId="77777777" w:rsidR="00C1563E" w:rsidRDefault="00C1563E">
            <w:pPr>
              <w:rPr>
                <w:rFonts w:ascii="宋体"/>
              </w:rPr>
            </w:pPr>
          </w:p>
        </w:tc>
        <w:tc>
          <w:tcPr>
            <w:tcW w:w="5" w:type="pct"/>
            <w:shd w:val="clear" w:color="auto" w:fill="auto"/>
          </w:tcPr>
          <w:p w14:paraId="7DD003BE" w14:textId="77777777" w:rsidR="00C1563E" w:rsidRDefault="00C1563E">
            <w:pPr>
              <w:rPr>
                <w:rFonts w:ascii="宋体"/>
              </w:rPr>
            </w:pPr>
          </w:p>
        </w:tc>
        <w:tc>
          <w:tcPr>
            <w:tcW w:w="19" w:type="pct"/>
            <w:shd w:val="clear" w:color="auto" w:fill="auto"/>
          </w:tcPr>
          <w:p w14:paraId="7DD003BF" w14:textId="77777777" w:rsidR="00C1563E" w:rsidRDefault="00C1563E">
            <w:pPr>
              <w:rPr>
                <w:rFonts w:ascii="宋体"/>
              </w:rPr>
            </w:pPr>
          </w:p>
        </w:tc>
        <w:tc>
          <w:tcPr>
            <w:tcW w:w="5" w:type="pct"/>
            <w:shd w:val="clear" w:color="auto" w:fill="auto"/>
          </w:tcPr>
          <w:p w14:paraId="7DD003C0" w14:textId="77777777" w:rsidR="00C1563E" w:rsidRDefault="00C1563E">
            <w:pPr>
              <w:rPr>
                <w:rFonts w:ascii="宋体"/>
              </w:rPr>
            </w:pPr>
          </w:p>
        </w:tc>
        <w:tc>
          <w:tcPr>
            <w:tcW w:w="50" w:type="pct"/>
            <w:shd w:val="clear" w:color="auto" w:fill="auto"/>
          </w:tcPr>
          <w:p w14:paraId="7DD003C1" w14:textId="77777777" w:rsidR="00C1563E" w:rsidRDefault="00C1563E">
            <w:pPr>
              <w:rPr>
                <w:rFonts w:ascii="宋体"/>
              </w:rPr>
            </w:pPr>
          </w:p>
        </w:tc>
        <w:tc>
          <w:tcPr>
            <w:tcW w:w="573" w:type="pct"/>
            <w:shd w:val="clear" w:color="auto" w:fill="auto"/>
          </w:tcPr>
          <w:p w14:paraId="7DD003C2" w14:textId="77777777" w:rsidR="00C1563E" w:rsidRDefault="00C1563E">
            <w:pPr>
              <w:rPr>
                <w:rFonts w:ascii="宋体"/>
              </w:rPr>
            </w:pPr>
          </w:p>
        </w:tc>
        <w:tc>
          <w:tcPr>
            <w:tcW w:w="5" w:type="pct"/>
            <w:shd w:val="clear" w:color="auto" w:fill="auto"/>
          </w:tcPr>
          <w:p w14:paraId="7DD003C3" w14:textId="77777777" w:rsidR="00C1563E" w:rsidRDefault="00C1563E">
            <w:pPr>
              <w:rPr>
                <w:rFonts w:ascii="宋体"/>
              </w:rPr>
            </w:pPr>
          </w:p>
        </w:tc>
        <w:tc>
          <w:tcPr>
            <w:tcW w:w="5" w:type="pct"/>
            <w:shd w:val="clear" w:color="auto" w:fill="auto"/>
          </w:tcPr>
          <w:p w14:paraId="7DD003C4" w14:textId="77777777" w:rsidR="00C1563E" w:rsidRDefault="00C1563E">
            <w:pPr>
              <w:rPr>
                <w:rFonts w:ascii="宋体"/>
              </w:rPr>
            </w:pPr>
          </w:p>
        </w:tc>
        <w:tc>
          <w:tcPr>
            <w:tcW w:w="19" w:type="pct"/>
            <w:shd w:val="clear" w:color="auto" w:fill="auto"/>
          </w:tcPr>
          <w:p w14:paraId="7DD003C5" w14:textId="77777777" w:rsidR="00C1563E" w:rsidRDefault="00C1563E">
            <w:pPr>
              <w:rPr>
                <w:rFonts w:ascii="宋体"/>
              </w:rPr>
            </w:pPr>
          </w:p>
        </w:tc>
        <w:tc>
          <w:tcPr>
            <w:tcW w:w="5" w:type="pct"/>
            <w:shd w:val="clear" w:color="auto" w:fill="auto"/>
          </w:tcPr>
          <w:p w14:paraId="7DD003C6" w14:textId="77777777" w:rsidR="00C1563E" w:rsidRDefault="00C1563E">
            <w:pPr>
              <w:rPr>
                <w:rFonts w:ascii="宋体"/>
              </w:rPr>
            </w:pPr>
          </w:p>
        </w:tc>
        <w:tc>
          <w:tcPr>
            <w:tcW w:w="50" w:type="pct"/>
            <w:shd w:val="clear" w:color="auto" w:fill="auto"/>
          </w:tcPr>
          <w:p w14:paraId="7DD003C7" w14:textId="77777777" w:rsidR="00C1563E" w:rsidRDefault="00C1563E">
            <w:pPr>
              <w:rPr>
                <w:rFonts w:ascii="宋体"/>
              </w:rPr>
            </w:pPr>
          </w:p>
        </w:tc>
        <w:tc>
          <w:tcPr>
            <w:tcW w:w="530" w:type="pct"/>
            <w:shd w:val="clear" w:color="auto" w:fill="auto"/>
          </w:tcPr>
          <w:p w14:paraId="7DD003C8" w14:textId="77777777" w:rsidR="00C1563E" w:rsidRDefault="00C1563E">
            <w:pPr>
              <w:rPr>
                <w:rFonts w:ascii="宋体"/>
              </w:rPr>
            </w:pPr>
          </w:p>
        </w:tc>
        <w:tc>
          <w:tcPr>
            <w:tcW w:w="5" w:type="pct"/>
            <w:shd w:val="clear" w:color="auto" w:fill="auto"/>
          </w:tcPr>
          <w:p w14:paraId="7DD003C9" w14:textId="77777777" w:rsidR="00C1563E" w:rsidRDefault="00C1563E">
            <w:pPr>
              <w:rPr>
                <w:rFonts w:ascii="宋体"/>
              </w:rPr>
            </w:pPr>
          </w:p>
        </w:tc>
      </w:tr>
      <w:tr w:rsidR="00C1563E" w14:paraId="7DD003CD" w14:textId="77777777">
        <w:trPr>
          <w:jc w:val="center"/>
        </w:trPr>
        <w:tc>
          <w:tcPr>
            <w:tcW w:w="0" w:type="auto"/>
            <w:gridSpan w:val="3"/>
            <w:shd w:val="clear" w:color="auto" w:fill="auto"/>
            <w:tcMar>
              <w:top w:w="0" w:type="dxa"/>
              <w:left w:w="20" w:type="dxa"/>
              <w:bottom w:w="0" w:type="dxa"/>
              <w:right w:w="20" w:type="dxa"/>
            </w:tcMar>
          </w:tcPr>
          <w:p w14:paraId="7DD003CB" w14:textId="77777777" w:rsidR="00C1563E" w:rsidRDefault="00C1563E">
            <w:pPr>
              <w:rPr>
                <w:rFonts w:ascii="宋体"/>
              </w:rPr>
            </w:pPr>
          </w:p>
        </w:tc>
        <w:tc>
          <w:tcPr>
            <w:tcW w:w="0" w:type="auto"/>
            <w:gridSpan w:val="33"/>
            <w:shd w:val="clear" w:color="auto" w:fill="auto"/>
            <w:tcMar>
              <w:top w:w="40" w:type="dxa"/>
              <w:left w:w="20" w:type="dxa"/>
              <w:bottom w:w="40" w:type="dxa"/>
              <w:right w:w="20" w:type="dxa"/>
            </w:tcMar>
            <w:vAlign w:val="bottom"/>
          </w:tcPr>
          <w:p w14:paraId="7DD003CC"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D003D8" w14:textId="77777777">
        <w:trPr>
          <w:trHeight w:val="540"/>
          <w:jc w:val="center"/>
        </w:trPr>
        <w:tc>
          <w:tcPr>
            <w:tcW w:w="0" w:type="auto"/>
            <w:gridSpan w:val="3"/>
            <w:vMerge w:val="restart"/>
            <w:shd w:val="clear" w:color="auto" w:fill="auto"/>
            <w:tcMar>
              <w:top w:w="0" w:type="dxa"/>
              <w:left w:w="20" w:type="dxa"/>
              <w:bottom w:w="0" w:type="dxa"/>
              <w:right w:w="20" w:type="dxa"/>
            </w:tcMar>
          </w:tcPr>
          <w:p w14:paraId="7DD003CE" w14:textId="77777777" w:rsidR="00C1563E" w:rsidRDefault="00C1563E">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DD003CF" w14:textId="77777777" w:rsidR="00C1563E" w:rsidRDefault="000B648B">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7DD003D0"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D1" w14:textId="77777777" w:rsidR="00C1563E" w:rsidRDefault="000B648B">
            <w:pPr>
              <w:jc w:val="center"/>
              <w:textAlignment w:val="bottom"/>
            </w:pPr>
            <w:r>
              <w:rPr>
                <w:rFonts w:ascii="Times New Roman" w:eastAsia="宋体" w:hAnsi="Times New Roman"/>
                <w:b/>
                <w:bCs/>
                <w:color w:val="000000"/>
                <w:sz w:val="18"/>
                <w:szCs w:val="18"/>
              </w:rPr>
              <w:t xml:space="preserve">Gross Amounts Offset in the </w:t>
            </w:r>
            <w:r>
              <w:rPr>
                <w:rFonts w:ascii="Times New Roman" w:eastAsia="宋体" w:hAnsi="Times New Roman"/>
                <w:b/>
                <w:bCs/>
                <w:color w:val="000000"/>
                <w:sz w:val="18"/>
                <w:szCs w:val="18"/>
              </w:rPr>
              <w:t>Statement of Financial Position</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7DD003D2"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D3" w14:textId="77777777" w:rsidR="00C1563E" w:rsidRDefault="000B648B">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DD003D4"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03D5" w14:textId="77777777" w:rsidR="00C1563E" w:rsidRDefault="000B648B">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DD003D6"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D7" w14:textId="77777777" w:rsidR="00C1563E" w:rsidRDefault="000B648B">
            <w:pPr>
              <w:jc w:val="center"/>
              <w:textAlignment w:val="bottom"/>
            </w:pPr>
            <w:r>
              <w:rPr>
                <w:rFonts w:ascii="Times New Roman" w:eastAsia="宋体" w:hAnsi="Times New Roman"/>
                <w:b/>
                <w:bCs/>
                <w:color w:val="000000"/>
                <w:sz w:val="18"/>
                <w:szCs w:val="18"/>
              </w:rPr>
              <w:t>Net Amount of Assets/ (Liabilities) Recognized in the Consolidated Stat</w:t>
            </w:r>
            <w:r>
              <w:rPr>
                <w:rFonts w:ascii="Times New Roman" w:eastAsia="宋体" w:hAnsi="Times New Roman"/>
                <w:b/>
                <w:bCs/>
                <w:color w:val="000000"/>
                <w:sz w:val="18"/>
                <w:szCs w:val="18"/>
              </w:rPr>
              <w:t xml:space="preserve">ement of Financial Position </w:t>
            </w:r>
          </w:p>
        </w:tc>
      </w:tr>
      <w:tr w:rsidR="00C1563E" w14:paraId="7DD003E5" w14:textId="77777777">
        <w:trPr>
          <w:trHeight w:val="780"/>
          <w:jc w:val="center"/>
        </w:trPr>
        <w:tc>
          <w:tcPr>
            <w:tcW w:w="0" w:type="auto"/>
            <w:gridSpan w:val="3"/>
            <w:vMerge/>
            <w:shd w:val="clear" w:color="auto" w:fill="auto"/>
            <w:tcMar>
              <w:top w:w="0" w:type="dxa"/>
              <w:left w:w="20" w:type="dxa"/>
              <w:bottom w:w="0" w:type="dxa"/>
              <w:right w:w="20" w:type="dxa"/>
            </w:tcMar>
          </w:tcPr>
          <w:p w14:paraId="7DD003D9" w14:textId="77777777" w:rsidR="00C1563E" w:rsidRDefault="00C1563E">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DD003DA" w14:textId="77777777" w:rsidR="00C1563E" w:rsidRDefault="00C1563E">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7DD003DB"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DC" w14:textId="77777777" w:rsidR="00C1563E" w:rsidRDefault="00C1563E">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7DD003DD"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DE" w14:textId="77777777" w:rsidR="00C1563E" w:rsidRDefault="00C1563E">
            <w:pPr>
              <w:jc w:val="center"/>
              <w:rPr>
                <w:rFonts w:ascii="宋体"/>
              </w:rPr>
            </w:pPr>
          </w:p>
        </w:tc>
        <w:tc>
          <w:tcPr>
            <w:tcW w:w="0" w:type="auto"/>
            <w:gridSpan w:val="3"/>
            <w:shd w:val="clear" w:color="auto" w:fill="auto"/>
            <w:tcMar>
              <w:top w:w="0" w:type="dxa"/>
              <w:left w:w="20" w:type="dxa"/>
              <w:bottom w:w="0" w:type="dxa"/>
              <w:right w:w="20" w:type="dxa"/>
            </w:tcMar>
          </w:tcPr>
          <w:p w14:paraId="7DD003D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E0" w14:textId="77777777" w:rsidR="00C1563E" w:rsidRDefault="000B648B">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DD003E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E2" w14:textId="77777777" w:rsidR="00C1563E" w:rsidRDefault="000B648B">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tcPr>
          <w:p w14:paraId="7DD003E3"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3E4" w14:textId="77777777" w:rsidR="00C1563E" w:rsidRDefault="00C1563E">
            <w:pPr>
              <w:jc w:val="center"/>
              <w:rPr>
                <w:rFonts w:ascii="宋体"/>
              </w:rPr>
            </w:pPr>
          </w:p>
        </w:tc>
      </w:tr>
      <w:tr w:rsidR="00C1563E" w14:paraId="7DD003E8" w14:textId="77777777">
        <w:trPr>
          <w:jc w:val="center"/>
        </w:trPr>
        <w:tc>
          <w:tcPr>
            <w:tcW w:w="0" w:type="auto"/>
            <w:gridSpan w:val="3"/>
            <w:shd w:val="clear" w:color="auto" w:fill="auto"/>
            <w:tcMar>
              <w:top w:w="0" w:type="dxa"/>
              <w:left w:w="20" w:type="dxa"/>
              <w:bottom w:w="0" w:type="dxa"/>
              <w:right w:w="20" w:type="dxa"/>
            </w:tcMar>
          </w:tcPr>
          <w:p w14:paraId="7DD003E6" w14:textId="77777777" w:rsidR="00C1563E" w:rsidRDefault="00C1563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DD003E7" w14:textId="77777777" w:rsidR="00C1563E" w:rsidRDefault="000B648B">
            <w:pPr>
              <w:jc w:val="center"/>
              <w:textAlignment w:val="bottom"/>
            </w:pPr>
            <w:r>
              <w:rPr>
                <w:rFonts w:ascii="Times New Roman" w:eastAsia="宋体" w:hAnsi="Times New Roman"/>
                <w:color w:val="000000"/>
                <w:sz w:val="18"/>
                <w:szCs w:val="18"/>
              </w:rPr>
              <w:t>(in millions)</w:t>
            </w:r>
          </w:p>
        </w:tc>
      </w:tr>
      <w:tr w:rsidR="00C1563E" w14:paraId="7DD003F5" w14:textId="77777777">
        <w:trPr>
          <w:jc w:val="center"/>
        </w:trPr>
        <w:tc>
          <w:tcPr>
            <w:tcW w:w="0" w:type="auto"/>
            <w:gridSpan w:val="3"/>
            <w:shd w:val="clear" w:color="auto" w:fill="CCEEFF"/>
            <w:tcMar>
              <w:top w:w="40" w:type="dxa"/>
              <w:left w:w="20" w:type="dxa"/>
              <w:bottom w:w="40" w:type="dxa"/>
              <w:right w:w="20" w:type="dxa"/>
            </w:tcMar>
            <w:vAlign w:val="bottom"/>
          </w:tcPr>
          <w:p w14:paraId="7DD003E9" w14:textId="77777777" w:rsidR="00C1563E" w:rsidRDefault="000B648B">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tcPr>
          <w:p w14:paraId="7DD003E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E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E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E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E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F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F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F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F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3F4" w14:textId="77777777" w:rsidR="00C1563E" w:rsidRDefault="00C1563E">
            <w:pPr>
              <w:rPr>
                <w:rFonts w:ascii="宋体"/>
              </w:rPr>
            </w:pPr>
          </w:p>
        </w:tc>
      </w:tr>
      <w:tr w:rsidR="00C1563E" w14:paraId="7DD0040E" w14:textId="77777777">
        <w:trPr>
          <w:jc w:val="center"/>
        </w:trPr>
        <w:tc>
          <w:tcPr>
            <w:tcW w:w="0" w:type="auto"/>
            <w:gridSpan w:val="3"/>
            <w:shd w:val="clear" w:color="auto" w:fill="FFFFFF"/>
            <w:tcMar>
              <w:top w:w="40" w:type="dxa"/>
              <w:left w:w="20" w:type="dxa"/>
              <w:bottom w:w="40" w:type="dxa"/>
              <w:right w:w="20" w:type="dxa"/>
            </w:tcMar>
            <w:vAlign w:val="bottom"/>
          </w:tcPr>
          <w:p w14:paraId="7DD003F6" w14:textId="77777777" w:rsidR="00C1563E" w:rsidRDefault="000B648B">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DD003F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F8" w14:textId="77777777" w:rsidR="00C1563E" w:rsidRDefault="000B648B">
            <w:pPr>
              <w:jc w:val="right"/>
              <w:textAlignment w:val="bottom"/>
            </w:pPr>
            <w:r>
              <w:rPr>
                <w:rFonts w:ascii="Times New Roman" w:eastAsia="宋体" w:hAnsi="Times New Roman"/>
                <w:color w:val="000000"/>
                <w:sz w:val="20"/>
                <w:szCs w:val="20"/>
              </w:rPr>
              <w:t>298 </w:t>
            </w:r>
          </w:p>
        </w:tc>
        <w:tc>
          <w:tcPr>
            <w:tcW w:w="0" w:type="auto"/>
            <w:shd w:val="clear" w:color="auto" w:fill="FFFFFF"/>
            <w:tcMar>
              <w:top w:w="40" w:type="dxa"/>
              <w:left w:w="0" w:type="dxa"/>
              <w:bottom w:w="40" w:type="dxa"/>
              <w:right w:w="20" w:type="dxa"/>
            </w:tcMar>
            <w:vAlign w:val="bottom"/>
          </w:tcPr>
          <w:p w14:paraId="7DD003F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F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F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3FC" w14:textId="77777777" w:rsidR="00C1563E" w:rsidRDefault="000B648B">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7DD003F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3F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3F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00" w14:textId="77777777" w:rsidR="00C1563E" w:rsidRDefault="000B648B">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7DD0040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0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0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0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40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06"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0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0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4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0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0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0C" w14:textId="77777777" w:rsidR="00C1563E" w:rsidRDefault="000B648B">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7DD0040D" w14:textId="77777777" w:rsidR="00C1563E" w:rsidRDefault="00C1563E">
            <w:pPr>
              <w:jc w:val="right"/>
              <w:rPr>
                <w:rFonts w:ascii="宋体"/>
              </w:rPr>
            </w:pPr>
          </w:p>
        </w:tc>
      </w:tr>
      <w:tr w:rsidR="00C1563E" w14:paraId="7DD00421" w14:textId="77777777">
        <w:trPr>
          <w:jc w:val="center"/>
        </w:trPr>
        <w:tc>
          <w:tcPr>
            <w:tcW w:w="0" w:type="auto"/>
            <w:gridSpan w:val="3"/>
            <w:shd w:val="clear" w:color="auto" w:fill="CCEEFF"/>
            <w:tcMar>
              <w:top w:w="40" w:type="dxa"/>
              <w:left w:w="20" w:type="dxa"/>
              <w:bottom w:w="40" w:type="dxa"/>
              <w:right w:w="20" w:type="dxa"/>
            </w:tcMar>
            <w:vAlign w:val="bottom"/>
          </w:tcPr>
          <w:p w14:paraId="7DD0040F" w14:textId="77777777" w:rsidR="00C1563E" w:rsidRDefault="000B648B">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7DD00410" w14:textId="77777777" w:rsidR="00C1563E" w:rsidRDefault="000B648B">
            <w:pPr>
              <w:jc w:val="right"/>
              <w:textAlignment w:val="bottom"/>
            </w:pPr>
            <w:r>
              <w:rPr>
                <w:rFonts w:ascii="Times New Roman" w:eastAsia="宋体" w:hAnsi="Times New Roman"/>
                <w:color w:val="000000"/>
                <w:sz w:val="20"/>
                <w:szCs w:val="20"/>
              </w:rPr>
              <w:t>(327)</w:t>
            </w:r>
          </w:p>
        </w:tc>
        <w:tc>
          <w:tcPr>
            <w:tcW w:w="0" w:type="auto"/>
            <w:shd w:val="clear" w:color="auto" w:fill="CCEEFF"/>
            <w:tcMar>
              <w:top w:w="40" w:type="dxa"/>
              <w:left w:w="0" w:type="dxa"/>
              <w:bottom w:w="40" w:type="dxa"/>
              <w:right w:w="20" w:type="dxa"/>
            </w:tcMar>
            <w:vAlign w:val="bottom"/>
          </w:tcPr>
          <w:p w14:paraId="7DD0041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1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13"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DD0041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1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16" w14:textId="77777777" w:rsidR="00C1563E" w:rsidRDefault="000B648B">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7DD0041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1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1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4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1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1C"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D0041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1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1F" w14:textId="77777777" w:rsidR="00C1563E" w:rsidRDefault="000B648B">
            <w:pPr>
              <w:jc w:val="right"/>
              <w:textAlignment w:val="bottom"/>
            </w:pPr>
            <w:r>
              <w:rPr>
                <w:rFonts w:ascii="Times New Roman" w:eastAsia="宋体" w:hAnsi="Times New Roman"/>
                <w:color w:val="000000"/>
                <w:sz w:val="20"/>
                <w:szCs w:val="20"/>
              </w:rPr>
              <w:t>(131)</w:t>
            </w:r>
          </w:p>
        </w:tc>
        <w:tc>
          <w:tcPr>
            <w:tcW w:w="0" w:type="auto"/>
            <w:shd w:val="clear" w:color="auto" w:fill="CCEEFF"/>
            <w:tcMar>
              <w:top w:w="40" w:type="dxa"/>
              <w:left w:w="0" w:type="dxa"/>
              <w:bottom w:w="40" w:type="dxa"/>
              <w:right w:w="20" w:type="dxa"/>
            </w:tcMar>
            <w:vAlign w:val="bottom"/>
          </w:tcPr>
          <w:p w14:paraId="7DD00420" w14:textId="77777777" w:rsidR="00C1563E" w:rsidRDefault="00C1563E">
            <w:pPr>
              <w:jc w:val="right"/>
              <w:rPr>
                <w:rFonts w:ascii="宋体"/>
              </w:rPr>
            </w:pPr>
          </w:p>
        </w:tc>
      </w:tr>
      <w:tr w:rsidR="00C1563E" w14:paraId="7DD0043A" w14:textId="77777777">
        <w:trPr>
          <w:jc w:val="center"/>
        </w:trPr>
        <w:tc>
          <w:tcPr>
            <w:tcW w:w="0" w:type="auto"/>
            <w:gridSpan w:val="3"/>
            <w:shd w:val="clear" w:color="auto" w:fill="FFFFFF"/>
            <w:tcMar>
              <w:top w:w="40" w:type="dxa"/>
              <w:left w:w="155" w:type="dxa"/>
              <w:bottom w:w="40" w:type="dxa"/>
              <w:right w:w="20" w:type="dxa"/>
            </w:tcMar>
            <w:vAlign w:val="bottom"/>
          </w:tcPr>
          <w:p w14:paraId="7DD00422" w14:textId="77777777" w:rsidR="00C1563E" w:rsidRDefault="000B648B">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042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24" w14:textId="77777777" w:rsidR="00C1563E" w:rsidRDefault="000B648B">
            <w:pPr>
              <w:jc w:val="right"/>
              <w:textAlignment w:val="bottom"/>
            </w:pPr>
            <w:r>
              <w:rPr>
                <w:rFonts w:ascii="Times New Roman" w:eastAsia="宋体" w:hAnsi="Times New Roman"/>
                <w:color w:val="000000"/>
                <w:sz w:val="20"/>
                <w:szCs w:val="20"/>
              </w:rPr>
              <w:t>(29)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2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2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42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2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2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2A"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42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2C" w14:textId="77777777" w:rsidR="00C1563E" w:rsidRDefault="000B648B">
            <w:pPr>
              <w:jc w:val="right"/>
              <w:textAlignment w:val="bottom"/>
            </w:pPr>
            <w:r>
              <w:rPr>
                <w:rFonts w:ascii="Times New Roman" w:eastAsia="宋体" w:hAnsi="Times New Roman"/>
                <w:color w:val="000000"/>
                <w:sz w:val="20"/>
                <w:szCs w:val="20"/>
              </w:rPr>
              <w:t>(29)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2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2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42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30"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3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43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34" w14:textId="77777777" w:rsidR="00C1563E" w:rsidRDefault="000B648B">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3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3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43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438" w14:textId="77777777" w:rsidR="00C1563E" w:rsidRDefault="000B648B">
            <w:pPr>
              <w:jc w:val="right"/>
              <w:textAlignment w:val="bottom"/>
            </w:pPr>
            <w:r>
              <w:rPr>
                <w:rFonts w:ascii="Times New Roman" w:eastAsia="宋体" w:hAnsi="Times New Roman"/>
                <w:color w:val="000000"/>
                <w:sz w:val="20"/>
                <w:szCs w:val="20"/>
              </w:rPr>
              <w:t>(27)</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439" w14:textId="77777777" w:rsidR="00C1563E" w:rsidRDefault="00C1563E">
            <w:pPr>
              <w:jc w:val="right"/>
              <w:rPr>
                <w:rFonts w:ascii="宋体"/>
              </w:rPr>
            </w:pPr>
          </w:p>
        </w:tc>
      </w:tr>
      <w:tr w:rsidR="00C1563E" w14:paraId="7DD00447" w14:textId="77777777">
        <w:trPr>
          <w:trHeight w:val="300"/>
          <w:jc w:val="center"/>
        </w:trPr>
        <w:tc>
          <w:tcPr>
            <w:tcW w:w="0" w:type="auto"/>
            <w:gridSpan w:val="3"/>
            <w:shd w:val="clear" w:color="auto" w:fill="auto"/>
            <w:tcMar>
              <w:top w:w="0" w:type="dxa"/>
              <w:left w:w="20" w:type="dxa"/>
              <w:bottom w:w="0" w:type="dxa"/>
              <w:right w:w="20" w:type="dxa"/>
            </w:tcMar>
          </w:tcPr>
          <w:p w14:paraId="7DD0043B"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3C"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43D"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3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43F"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40"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441"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4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443"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4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445"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446" w14:textId="77777777" w:rsidR="00C1563E" w:rsidRDefault="00C1563E">
            <w:pPr>
              <w:rPr>
                <w:rFonts w:ascii="宋体"/>
              </w:rPr>
            </w:pPr>
          </w:p>
        </w:tc>
      </w:tr>
      <w:tr w:rsidR="00C1563E" w14:paraId="7DD0044A" w14:textId="77777777">
        <w:trPr>
          <w:jc w:val="center"/>
        </w:trPr>
        <w:tc>
          <w:tcPr>
            <w:tcW w:w="0" w:type="auto"/>
            <w:gridSpan w:val="3"/>
            <w:shd w:val="clear" w:color="auto" w:fill="auto"/>
            <w:tcMar>
              <w:top w:w="0" w:type="dxa"/>
              <w:left w:w="20" w:type="dxa"/>
              <w:bottom w:w="0" w:type="dxa"/>
              <w:right w:w="20" w:type="dxa"/>
            </w:tcMar>
          </w:tcPr>
          <w:p w14:paraId="7DD00448" w14:textId="77777777" w:rsidR="00C1563E" w:rsidRDefault="00C1563E">
            <w:pPr>
              <w:rPr>
                <w:rFonts w:ascii="宋体"/>
              </w:rPr>
            </w:pPr>
          </w:p>
        </w:tc>
        <w:tc>
          <w:tcPr>
            <w:tcW w:w="0" w:type="auto"/>
            <w:gridSpan w:val="33"/>
            <w:shd w:val="clear" w:color="auto" w:fill="auto"/>
            <w:tcMar>
              <w:top w:w="40" w:type="dxa"/>
              <w:left w:w="20" w:type="dxa"/>
              <w:bottom w:w="40" w:type="dxa"/>
              <w:right w:w="20" w:type="dxa"/>
            </w:tcMar>
            <w:vAlign w:val="bottom"/>
          </w:tcPr>
          <w:p w14:paraId="7DD00449"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455" w14:textId="77777777">
        <w:trPr>
          <w:trHeight w:val="540"/>
          <w:jc w:val="center"/>
        </w:trPr>
        <w:tc>
          <w:tcPr>
            <w:tcW w:w="0" w:type="auto"/>
            <w:gridSpan w:val="3"/>
            <w:vMerge w:val="restart"/>
            <w:shd w:val="clear" w:color="auto" w:fill="FFFFFF"/>
            <w:tcMar>
              <w:top w:w="0" w:type="dxa"/>
              <w:left w:w="20" w:type="dxa"/>
              <w:bottom w:w="0" w:type="dxa"/>
              <w:right w:w="20" w:type="dxa"/>
            </w:tcMar>
          </w:tcPr>
          <w:p w14:paraId="7DD0044B" w14:textId="77777777" w:rsidR="00C1563E" w:rsidRDefault="00C1563E">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DD0044C" w14:textId="77777777" w:rsidR="00C1563E" w:rsidRDefault="000B648B">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tcPr>
          <w:p w14:paraId="7DD0044D"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4E" w14:textId="77777777" w:rsidR="00C1563E" w:rsidRDefault="000B648B">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tcPr>
          <w:p w14:paraId="7DD0044F"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50" w14:textId="77777777" w:rsidR="00C1563E" w:rsidRDefault="000B648B">
            <w:pPr>
              <w:jc w:val="center"/>
              <w:textAlignment w:val="bottom"/>
            </w:pPr>
            <w:r>
              <w:rPr>
                <w:rFonts w:ascii="Times New Roman" w:eastAsia="宋体" w:hAnsi="Times New Roman"/>
                <w:b/>
                <w:bCs/>
                <w:color w:val="000000"/>
                <w:sz w:val="18"/>
                <w:szCs w:val="18"/>
              </w:rPr>
              <w:t xml:space="preserve">Net Amounts of Assets/ (Liabilities) Presented in the </w:t>
            </w:r>
            <w:r>
              <w:rPr>
                <w:rFonts w:ascii="Times New Roman" w:eastAsia="宋体" w:hAnsi="Times New Roman"/>
                <w:b/>
                <w:bCs/>
                <w:color w:val="000000"/>
                <w:sz w:val="18"/>
                <w:szCs w:val="18"/>
              </w:rPr>
              <w:t>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DD00451"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0452" w14:textId="77777777" w:rsidR="00C1563E" w:rsidRDefault="000B648B">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tcPr>
          <w:p w14:paraId="7DD00453" w14:textId="77777777" w:rsidR="00C1563E" w:rsidRDefault="00C1563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54" w14:textId="77777777" w:rsidR="00C1563E" w:rsidRDefault="000B648B">
            <w:pPr>
              <w:jc w:val="center"/>
              <w:textAlignment w:val="bottom"/>
            </w:pPr>
            <w:r>
              <w:rPr>
                <w:rFonts w:ascii="Times New Roman" w:eastAsia="宋体" w:hAnsi="Times New Roman"/>
                <w:b/>
                <w:bCs/>
                <w:color w:val="000000"/>
                <w:sz w:val="18"/>
                <w:szCs w:val="18"/>
              </w:rPr>
              <w:t xml:space="preserve">Net Amount of Assets/ (Liabilities) Recognized in the Consolidated Statement of Financial Position </w:t>
            </w:r>
          </w:p>
        </w:tc>
      </w:tr>
      <w:tr w:rsidR="00C1563E" w14:paraId="7DD00462" w14:textId="77777777">
        <w:trPr>
          <w:trHeight w:val="780"/>
          <w:jc w:val="center"/>
        </w:trPr>
        <w:tc>
          <w:tcPr>
            <w:tcW w:w="0" w:type="auto"/>
            <w:gridSpan w:val="3"/>
            <w:vMerge/>
            <w:shd w:val="clear" w:color="auto" w:fill="FFFFFF"/>
            <w:tcMar>
              <w:top w:w="0" w:type="dxa"/>
              <w:left w:w="20" w:type="dxa"/>
              <w:bottom w:w="0" w:type="dxa"/>
              <w:right w:w="20" w:type="dxa"/>
            </w:tcMar>
          </w:tcPr>
          <w:p w14:paraId="7DD00456" w14:textId="77777777" w:rsidR="00C1563E" w:rsidRDefault="00C1563E">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DD00457" w14:textId="77777777" w:rsidR="00C1563E" w:rsidRDefault="00C1563E">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tcPr>
          <w:p w14:paraId="7DD00458"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59" w14:textId="77777777" w:rsidR="00C1563E" w:rsidRDefault="00C1563E">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tcPr>
          <w:p w14:paraId="7DD0045A"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5B" w14:textId="77777777" w:rsidR="00C1563E" w:rsidRDefault="00C1563E">
            <w:pPr>
              <w:jc w:val="center"/>
              <w:rPr>
                <w:rFonts w:ascii="宋体"/>
              </w:rPr>
            </w:pPr>
          </w:p>
        </w:tc>
        <w:tc>
          <w:tcPr>
            <w:tcW w:w="0" w:type="auto"/>
            <w:gridSpan w:val="3"/>
            <w:shd w:val="clear" w:color="auto" w:fill="auto"/>
            <w:tcMar>
              <w:top w:w="0" w:type="dxa"/>
              <w:left w:w="20" w:type="dxa"/>
              <w:bottom w:w="0" w:type="dxa"/>
              <w:right w:w="20" w:type="dxa"/>
            </w:tcMar>
          </w:tcPr>
          <w:p w14:paraId="7DD0045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45D" w14:textId="77777777" w:rsidR="00C1563E" w:rsidRDefault="000B648B">
            <w:pPr>
              <w:jc w:val="center"/>
              <w:textAlignment w:val="bottom"/>
            </w:pPr>
            <w:r>
              <w:rPr>
                <w:rFonts w:ascii="Times New Roman" w:eastAsia="宋体" w:hAnsi="Times New Roman"/>
                <w:b/>
                <w:bCs/>
                <w:color w:val="000000"/>
                <w:sz w:val="18"/>
                <w:szCs w:val="18"/>
              </w:rPr>
              <w:t xml:space="preserve">Financial </w:t>
            </w:r>
            <w:r>
              <w:rPr>
                <w:rFonts w:ascii="Times New Roman" w:eastAsia="宋体" w:hAnsi="Times New Roman"/>
                <w:b/>
                <w:bCs/>
                <w:color w:val="000000"/>
                <w:sz w:val="18"/>
                <w:szCs w:val="18"/>
              </w:rPr>
              <w:t>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DD0045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45F" w14:textId="77777777" w:rsidR="00C1563E" w:rsidRDefault="000B648B">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tcPr>
          <w:p w14:paraId="7DD00460" w14:textId="77777777" w:rsidR="00C1563E" w:rsidRDefault="00C1563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DD00461" w14:textId="77777777" w:rsidR="00C1563E" w:rsidRDefault="00C1563E">
            <w:pPr>
              <w:jc w:val="center"/>
              <w:rPr>
                <w:rFonts w:ascii="宋体"/>
              </w:rPr>
            </w:pPr>
          </w:p>
        </w:tc>
      </w:tr>
      <w:tr w:rsidR="00C1563E" w14:paraId="7DD00465" w14:textId="77777777">
        <w:trPr>
          <w:jc w:val="center"/>
        </w:trPr>
        <w:tc>
          <w:tcPr>
            <w:tcW w:w="0" w:type="auto"/>
            <w:gridSpan w:val="3"/>
            <w:shd w:val="clear" w:color="auto" w:fill="auto"/>
            <w:tcMar>
              <w:top w:w="0" w:type="dxa"/>
              <w:left w:w="20" w:type="dxa"/>
              <w:bottom w:w="0" w:type="dxa"/>
              <w:right w:w="20" w:type="dxa"/>
            </w:tcMar>
          </w:tcPr>
          <w:p w14:paraId="7DD00463" w14:textId="77777777" w:rsidR="00C1563E" w:rsidRDefault="00C1563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DD00464" w14:textId="77777777" w:rsidR="00C1563E" w:rsidRDefault="000B648B">
            <w:pPr>
              <w:jc w:val="center"/>
              <w:textAlignment w:val="bottom"/>
            </w:pPr>
            <w:r>
              <w:rPr>
                <w:rFonts w:ascii="Times New Roman" w:eastAsia="宋体" w:hAnsi="Times New Roman"/>
                <w:color w:val="000000"/>
                <w:sz w:val="18"/>
                <w:szCs w:val="18"/>
              </w:rPr>
              <w:t>(in millions)</w:t>
            </w:r>
          </w:p>
        </w:tc>
      </w:tr>
      <w:tr w:rsidR="00C1563E" w14:paraId="7DD00472" w14:textId="77777777">
        <w:trPr>
          <w:jc w:val="center"/>
        </w:trPr>
        <w:tc>
          <w:tcPr>
            <w:tcW w:w="0" w:type="auto"/>
            <w:gridSpan w:val="3"/>
            <w:shd w:val="clear" w:color="auto" w:fill="CCEEFF"/>
            <w:tcMar>
              <w:top w:w="40" w:type="dxa"/>
              <w:left w:w="20" w:type="dxa"/>
              <w:bottom w:w="40" w:type="dxa"/>
              <w:right w:w="20" w:type="dxa"/>
            </w:tcMar>
            <w:vAlign w:val="bottom"/>
          </w:tcPr>
          <w:p w14:paraId="7DD00466" w14:textId="77777777" w:rsidR="00C1563E" w:rsidRDefault="000B648B">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tcPr>
          <w:p w14:paraId="7DD0046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6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7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471" w14:textId="77777777" w:rsidR="00C1563E" w:rsidRDefault="00C1563E">
            <w:pPr>
              <w:rPr>
                <w:rFonts w:ascii="宋体"/>
              </w:rPr>
            </w:pPr>
          </w:p>
        </w:tc>
      </w:tr>
      <w:tr w:rsidR="00C1563E" w14:paraId="7DD0048B" w14:textId="77777777">
        <w:trPr>
          <w:jc w:val="center"/>
        </w:trPr>
        <w:tc>
          <w:tcPr>
            <w:tcW w:w="0" w:type="auto"/>
            <w:gridSpan w:val="3"/>
            <w:shd w:val="clear" w:color="auto" w:fill="FFFFFF"/>
            <w:tcMar>
              <w:top w:w="40" w:type="dxa"/>
              <w:left w:w="20" w:type="dxa"/>
              <w:bottom w:w="40" w:type="dxa"/>
              <w:right w:w="20" w:type="dxa"/>
            </w:tcMar>
            <w:vAlign w:val="bottom"/>
          </w:tcPr>
          <w:p w14:paraId="7DD00473" w14:textId="77777777" w:rsidR="00C1563E" w:rsidRDefault="000B648B">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DD0047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75" w14:textId="77777777" w:rsidR="00C1563E" w:rsidRDefault="000B648B">
            <w:pPr>
              <w:jc w:val="right"/>
              <w:textAlignment w:val="bottom"/>
            </w:pPr>
            <w:r>
              <w:rPr>
                <w:rFonts w:ascii="Times New Roman" w:eastAsia="宋体" w:hAnsi="Times New Roman"/>
                <w:color w:val="000000"/>
                <w:sz w:val="20"/>
                <w:szCs w:val="20"/>
              </w:rPr>
              <w:t>299 </w:t>
            </w:r>
          </w:p>
        </w:tc>
        <w:tc>
          <w:tcPr>
            <w:tcW w:w="0" w:type="auto"/>
            <w:shd w:val="clear" w:color="auto" w:fill="FFFFFF"/>
            <w:tcMar>
              <w:top w:w="40" w:type="dxa"/>
              <w:left w:w="0" w:type="dxa"/>
              <w:bottom w:w="40" w:type="dxa"/>
              <w:right w:w="20" w:type="dxa"/>
            </w:tcMar>
            <w:vAlign w:val="bottom"/>
          </w:tcPr>
          <w:p w14:paraId="7DD004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7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7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79" w14:textId="77777777" w:rsidR="00C1563E" w:rsidRDefault="000B648B">
            <w:pPr>
              <w:jc w:val="right"/>
              <w:textAlignment w:val="bottom"/>
            </w:pPr>
            <w:r>
              <w:rPr>
                <w:rFonts w:ascii="Times New Roman" w:eastAsia="宋体" w:hAnsi="Times New Roman"/>
                <w:color w:val="000000"/>
                <w:sz w:val="20"/>
                <w:szCs w:val="20"/>
              </w:rPr>
              <w:t>(218)</w:t>
            </w:r>
          </w:p>
        </w:tc>
        <w:tc>
          <w:tcPr>
            <w:tcW w:w="0" w:type="auto"/>
            <w:shd w:val="clear" w:color="auto" w:fill="FFFFFF"/>
            <w:tcMar>
              <w:top w:w="40" w:type="dxa"/>
              <w:left w:w="0" w:type="dxa"/>
              <w:bottom w:w="40" w:type="dxa"/>
              <w:right w:w="20" w:type="dxa"/>
            </w:tcMar>
            <w:vAlign w:val="bottom"/>
          </w:tcPr>
          <w:p w14:paraId="7DD0047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7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7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7D" w14:textId="77777777" w:rsidR="00C1563E" w:rsidRDefault="000B648B">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7DD0047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7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8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8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48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8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8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8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48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8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48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489" w14:textId="77777777" w:rsidR="00C1563E" w:rsidRDefault="000B648B">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7DD0048A" w14:textId="77777777" w:rsidR="00C1563E" w:rsidRDefault="00C1563E">
            <w:pPr>
              <w:jc w:val="right"/>
              <w:rPr>
                <w:rFonts w:ascii="宋体"/>
              </w:rPr>
            </w:pPr>
          </w:p>
        </w:tc>
      </w:tr>
      <w:tr w:rsidR="00C1563E" w14:paraId="7DD0049E" w14:textId="77777777">
        <w:trPr>
          <w:jc w:val="center"/>
        </w:trPr>
        <w:tc>
          <w:tcPr>
            <w:tcW w:w="0" w:type="auto"/>
            <w:gridSpan w:val="3"/>
            <w:shd w:val="clear" w:color="auto" w:fill="CCEEFF"/>
            <w:tcMar>
              <w:top w:w="40" w:type="dxa"/>
              <w:left w:w="20" w:type="dxa"/>
              <w:bottom w:w="40" w:type="dxa"/>
              <w:right w:w="20" w:type="dxa"/>
            </w:tcMar>
            <w:vAlign w:val="bottom"/>
          </w:tcPr>
          <w:p w14:paraId="7DD0048C" w14:textId="77777777" w:rsidR="00C1563E" w:rsidRDefault="000B648B">
            <w:pPr>
              <w:textAlignment w:val="bottom"/>
            </w:pPr>
            <w:r>
              <w:rPr>
                <w:rFonts w:ascii="Times New Roman" w:eastAsia="宋体" w:hAnsi="Times New Roman"/>
                <w:color w:val="000000"/>
                <w:sz w:val="20"/>
                <w:szCs w:val="20"/>
              </w:rPr>
              <w:t>Financial liabilities</w:t>
            </w:r>
          </w:p>
        </w:tc>
        <w:tc>
          <w:tcPr>
            <w:tcW w:w="0" w:type="auto"/>
            <w:gridSpan w:val="2"/>
            <w:shd w:val="clear" w:color="auto" w:fill="CCEEFF"/>
            <w:tcMar>
              <w:top w:w="40" w:type="dxa"/>
              <w:left w:w="20" w:type="dxa"/>
              <w:bottom w:w="40" w:type="dxa"/>
              <w:right w:w="0" w:type="dxa"/>
            </w:tcMar>
            <w:vAlign w:val="bottom"/>
          </w:tcPr>
          <w:p w14:paraId="7DD0048D" w14:textId="77777777" w:rsidR="00C1563E" w:rsidRDefault="000B648B">
            <w:pPr>
              <w:jc w:val="right"/>
              <w:textAlignment w:val="bottom"/>
            </w:pPr>
            <w:r>
              <w:rPr>
                <w:rFonts w:ascii="Times New Roman" w:eastAsia="宋体" w:hAnsi="Times New Roman"/>
                <w:color w:val="000000"/>
                <w:sz w:val="20"/>
                <w:szCs w:val="20"/>
              </w:rPr>
              <w:t>(286)</w:t>
            </w:r>
          </w:p>
        </w:tc>
        <w:tc>
          <w:tcPr>
            <w:tcW w:w="0" w:type="auto"/>
            <w:shd w:val="clear" w:color="auto" w:fill="CCEEFF"/>
            <w:tcMar>
              <w:top w:w="40" w:type="dxa"/>
              <w:left w:w="0" w:type="dxa"/>
              <w:bottom w:w="40" w:type="dxa"/>
              <w:right w:w="20" w:type="dxa"/>
            </w:tcMar>
            <w:vAlign w:val="bottom"/>
          </w:tcPr>
          <w:p w14:paraId="7DD004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8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90" w14:textId="77777777" w:rsidR="00C1563E" w:rsidRDefault="000B648B">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7DD004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9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93" w14:textId="77777777" w:rsidR="00C1563E" w:rsidRDefault="000B648B">
            <w:pPr>
              <w:jc w:val="right"/>
              <w:textAlignment w:val="bottom"/>
            </w:pPr>
            <w:r>
              <w:rPr>
                <w:rFonts w:ascii="Times New Roman" w:eastAsia="宋体" w:hAnsi="Times New Roman"/>
                <w:color w:val="000000"/>
                <w:sz w:val="20"/>
                <w:szCs w:val="20"/>
              </w:rPr>
              <w:t>(68)</w:t>
            </w:r>
          </w:p>
        </w:tc>
        <w:tc>
          <w:tcPr>
            <w:tcW w:w="0" w:type="auto"/>
            <w:shd w:val="clear" w:color="auto" w:fill="CCEEFF"/>
            <w:tcMar>
              <w:top w:w="40" w:type="dxa"/>
              <w:left w:w="0" w:type="dxa"/>
              <w:bottom w:w="40" w:type="dxa"/>
              <w:right w:w="20" w:type="dxa"/>
            </w:tcMar>
            <w:vAlign w:val="bottom"/>
          </w:tcPr>
          <w:p w14:paraId="7DD0049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9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9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49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9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99"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D0049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49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49C" w14:textId="77777777" w:rsidR="00C1563E" w:rsidRDefault="000B648B">
            <w:pPr>
              <w:jc w:val="right"/>
              <w:textAlignment w:val="bottom"/>
            </w:pPr>
            <w:r>
              <w:rPr>
                <w:rFonts w:ascii="Times New Roman" w:eastAsia="宋体" w:hAnsi="Times New Roman"/>
                <w:color w:val="000000"/>
                <w:sz w:val="20"/>
                <w:szCs w:val="20"/>
              </w:rPr>
              <w:t>(53)</w:t>
            </w:r>
          </w:p>
        </w:tc>
        <w:tc>
          <w:tcPr>
            <w:tcW w:w="0" w:type="auto"/>
            <w:shd w:val="clear" w:color="auto" w:fill="CCEEFF"/>
            <w:tcMar>
              <w:top w:w="40" w:type="dxa"/>
              <w:left w:w="0" w:type="dxa"/>
              <w:bottom w:w="40" w:type="dxa"/>
              <w:right w:w="20" w:type="dxa"/>
            </w:tcMar>
            <w:vAlign w:val="bottom"/>
          </w:tcPr>
          <w:p w14:paraId="7DD0049D" w14:textId="77777777" w:rsidR="00C1563E" w:rsidRDefault="00C1563E">
            <w:pPr>
              <w:jc w:val="right"/>
              <w:rPr>
                <w:rFonts w:ascii="宋体"/>
              </w:rPr>
            </w:pPr>
          </w:p>
        </w:tc>
      </w:tr>
      <w:tr w:rsidR="00C1563E" w14:paraId="7DD004B7" w14:textId="77777777">
        <w:trPr>
          <w:jc w:val="center"/>
        </w:trPr>
        <w:tc>
          <w:tcPr>
            <w:tcW w:w="0" w:type="auto"/>
            <w:gridSpan w:val="3"/>
            <w:shd w:val="clear" w:color="auto" w:fill="FFFFFF"/>
            <w:tcMar>
              <w:top w:w="40" w:type="dxa"/>
              <w:left w:w="155" w:type="dxa"/>
              <w:bottom w:w="40" w:type="dxa"/>
              <w:right w:w="20" w:type="dxa"/>
            </w:tcMar>
            <w:vAlign w:val="bottom"/>
          </w:tcPr>
          <w:p w14:paraId="7DD0049F" w14:textId="77777777" w:rsidR="00C1563E" w:rsidRDefault="000B648B">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A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A1" w14:textId="77777777" w:rsidR="00C1563E" w:rsidRDefault="000B648B">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A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A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A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A5"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A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A7"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A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A9" w14:textId="77777777" w:rsidR="00C1563E" w:rsidRDefault="000B648B">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A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A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A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AD"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A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AF"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B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B1" w14:textId="77777777" w:rsidR="00C1563E" w:rsidRDefault="000B648B">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B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4B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4B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4B5" w14:textId="77777777" w:rsidR="00C1563E" w:rsidRDefault="000B648B">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4B6" w14:textId="77777777" w:rsidR="00C1563E" w:rsidRDefault="00C1563E">
            <w:pPr>
              <w:jc w:val="right"/>
              <w:rPr>
                <w:rFonts w:ascii="宋体"/>
              </w:rPr>
            </w:pPr>
          </w:p>
        </w:tc>
      </w:tr>
    </w:tbl>
    <w:p w14:paraId="7DD004B8" w14:textId="77777777" w:rsidR="00C1563E" w:rsidRDefault="00C1563E"/>
    <w:p w14:paraId="7DD004B9" w14:textId="77777777" w:rsidR="00C1563E" w:rsidRDefault="00C1563E">
      <w:pPr>
        <w:ind w:hanging="360"/>
      </w:pPr>
    </w:p>
    <w:p w14:paraId="7DD004BA" w14:textId="77777777" w:rsidR="00C1563E" w:rsidRDefault="00C1563E">
      <w:pPr>
        <w:ind w:hanging="360"/>
      </w:pPr>
    </w:p>
    <w:p w14:paraId="7DD004BB" w14:textId="77777777" w:rsidR="00C1563E" w:rsidRDefault="00C1563E">
      <w:pPr>
        <w:jc w:val="center"/>
      </w:pPr>
    </w:p>
    <w:p w14:paraId="7DD004BC" w14:textId="77777777" w:rsidR="00C1563E" w:rsidRDefault="000B648B">
      <w:pPr>
        <w:jc w:val="center"/>
      </w:pPr>
      <w:r>
        <w:rPr>
          <w:rFonts w:ascii="Times New Roman" w:eastAsia="宋体" w:hAnsi="Times New Roman"/>
          <w:color w:val="000000"/>
          <w:sz w:val="20"/>
          <w:szCs w:val="20"/>
        </w:rPr>
        <w:t>118</w:t>
      </w:r>
    </w:p>
    <w:p w14:paraId="7DD004BD" w14:textId="77777777" w:rsidR="00C1563E" w:rsidRDefault="00C1563E">
      <w:pPr>
        <w:jc w:val="center"/>
      </w:pPr>
    </w:p>
    <w:p w14:paraId="7DD004BE" w14:textId="77777777" w:rsidR="00C1563E" w:rsidRDefault="000B648B">
      <w:r>
        <w:pict w14:anchorId="7DD025E0">
          <v:rect id="_x0000_i1142" style="width:415.3pt;height:1.5pt" o:hralign="center" o:hrstd="t" o:hr="t" fillcolor="#a0a0a0" stroked="f"/>
        </w:pict>
      </w:r>
    </w:p>
    <w:p w14:paraId="7DD004BF" w14:textId="77777777" w:rsidR="00C1563E" w:rsidRDefault="000B648B">
      <w:hyperlink r:id="rId301" w:anchor="i418e32e4a35149ffbf7d3a25d66881b8_10" w:history="1">
        <w:r>
          <w:rPr>
            <w:rStyle w:val="a5"/>
            <w:rFonts w:ascii="Times New Roman" w:eastAsia="宋体" w:hAnsi="Times New Roman"/>
            <w:sz w:val="20"/>
            <w:szCs w:val="20"/>
          </w:rPr>
          <w:t>Table of Contents</w:t>
        </w:r>
      </w:hyperlink>
    </w:p>
    <w:p w14:paraId="7DD004C0" w14:textId="77777777" w:rsidR="00C1563E" w:rsidRDefault="000B648B">
      <w:r>
        <w:rPr>
          <w:rFonts w:ascii="Times New Roman" w:eastAsia="宋体" w:hAnsi="Times New Roman"/>
          <w:b/>
          <w:bCs/>
          <w:color w:val="000000"/>
          <w:sz w:val="20"/>
          <w:szCs w:val="20"/>
        </w:rPr>
        <w:t>NOTE 8 — BUSINESS COMBINATIONS, GOODWILL AND INTANGIBLE ASSETS</w:t>
      </w:r>
    </w:p>
    <w:p w14:paraId="7DD004C1" w14:textId="77777777" w:rsidR="00C1563E" w:rsidRDefault="00C1563E"/>
    <w:p w14:paraId="7DD004C2" w14:textId="77777777" w:rsidR="00C1563E" w:rsidRDefault="000B648B">
      <w:r>
        <w:rPr>
          <w:rFonts w:ascii="Times New Roman" w:eastAsia="宋体" w:hAnsi="Times New Roman"/>
          <w:b/>
          <w:bCs/>
          <w:color w:val="000000"/>
          <w:sz w:val="20"/>
          <w:szCs w:val="20"/>
        </w:rPr>
        <w:t xml:space="preserve">Business </w:t>
      </w:r>
      <w:r>
        <w:rPr>
          <w:rFonts w:ascii="Times New Roman" w:eastAsia="宋体" w:hAnsi="Times New Roman"/>
          <w:b/>
          <w:bCs/>
          <w:color w:val="000000"/>
          <w:sz w:val="20"/>
          <w:szCs w:val="20"/>
        </w:rPr>
        <w:t>Combinations</w:t>
      </w:r>
    </w:p>
    <w:p w14:paraId="7DD004C3" w14:textId="77777777" w:rsidR="00C1563E" w:rsidRDefault="00C1563E"/>
    <w:p w14:paraId="7DD004C4" w14:textId="77777777" w:rsidR="00C1563E" w:rsidRDefault="000B648B">
      <w:r>
        <w:rPr>
          <w:rFonts w:ascii="Times New Roman" w:eastAsia="宋体" w:hAnsi="Times New Roman"/>
          <w:i/>
          <w:iCs/>
          <w:color w:val="000000"/>
          <w:sz w:val="20"/>
          <w:szCs w:val="20"/>
        </w:rPr>
        <w:t xml:space="preserve">Fiscal year ended January 29, 2021 </w:t>
      </w:r>
    </w:p>
    <w:p w14:paraId="7DD004C5" w14:textId="77777777" w:rsidR="00C1563E" w:rsidRDefault="00C1563E"/>
    <w:p w14:paraId="7DD004C6" w14:textId="77777777" w:rsidR="00C1563E" w:rsidRDefault="000B648B">
      <w:r>
        <w:rPr>
          <w:rFonts w:ascii="Times New Roman" w:eastAsia="宋体" w:hAnsi="Times New Roman"/>
          <w:i/>
          <w:iCs/>
          <w:color w:val="000000"/>
          <w:sz w:val="20"/>
          <w:szCs w:val="20"/>
          <w:u w:val="single"/>
        </w:rPr>
        <w:t>VMware, Inc. Acquisitions</w:t>
      </w:r>
    </w:p>
    <w:p w14:paraId="7DD004C7" w14:textId="77777777" w:rsidR="00C1563E" w:rsidRDefault="00C1563E"/>
    <w:p w14:paraId="7DD004C8" w14:textId="77777777" w:rsidR="00C1563E" w:rsidRDefault="000B648B">
      <w:r>
        <w:rPr>
          <w:rFonts w:ascii="Times New Roman" w:eastAsia="宋体" w:hAnsi="Times New Roman"/>
          <w:i/>
          <w:iCs/>
          <w:color w:val="000000"/>
          <w:sz w:val="20"/>
          <w:szCs w:val="20"/>
        </w:rPr>
        <w:t xml:space="preserve">SaltStack, Inc. — </w:t>
      </w:r>
      <w:r>
        <w:rPr>
          <w:rFonts w:ascii="Times New Roman" w:eastAsia="宋体" w:hAnsi="Times New Roman"/>
          <w:color w:val="000000"/>
          <w:sz w:val="20"/>
          <w:szCs w:val="20"/>
        </w:rPr>
        <w:t>During the three months ended October 30, 2020, VMware, Inc. completed the acquisition of SaltStack, Inc., a developer of intelligent, event-driven automation s</w:t>
      </w:r>
      <w:r>
        <w:rPr>
          <w:rFonts w:ascii="Times New Roman" w:eastAsia="宋体" w:hAnsi="Times New Roman"/>
          <w:color w:val="000000"/>
          <w:sz w:val="20"/>
          <w:szCs w:val="20"/>
        </w:rPr>
        <w:t>oftware, to broaden VMware, Inc.’s Cloud Management capabilities from infrastructure to applications. The total purchase price, net of cash acquired, was $51 million. The purchase price primarily included $29 million of intangible assets and $24 million of</w:t>
      </w:r>
      <w:r>
        <w:rPr>
          <w:rFonts w:ascii="Times New Roman" w:eastAsia="宋体" w:hAnsi="Times New Roman"/>
          <w:color w:val="000000"/>
          <w:sz w:val="20"/>
          <w:szCs w:val="20"/>
        </w:rPr>
        <w:t xml:space="preserve"> goodwill that is not expected to be deductible for tax purposes. The identifiable intangible assets, which primarily consisted of completed technology, have estimated useful lives of three years.</w:t>
      </w:r>
    </w:p>
    <w:p w14:paraId="7DD004C9" w14:textId="77777777" w:rsidR="00C1563E" w:rsidRDefault="00C1563E"/>
    <w:p w14:paraId="7DD004CA" w14:textId="77777777" w:rsidR="00C1563E" w:rsidRDefault="000B648B">
      <w:r>
        <w:rPr>
          <w:rFonts w:ascii="Times New Roman" w:eastAsia="宋体" w:hAnsi="Times New Roman"/>
          <w:i/>
          <w:iCs/>
          <w:color w:val="000000"/>
          <w:sz w:val="20"/>
          <w:szCs w:val="20"/>
        </w:rPr>
        <w:t xml:space="preserve">Datrium, Inc. — </w:t>
      </w:r>
      <w:r>
        <w:rPr>
          <w:rFonts w:ascii="Times New Roman" w:eastAsia="宋体" w:hAnsi="Times New Roman"/>
          <w:color w:val="000000"/>
          <w:sz w:val="20"/>
          <w:szCs w:val="20"/>
        </w:rPr>
        <w:t>During the three months ended July 31, 202</w:t>
      </w:r>
      <w:r>
        <w:rPr>
          <w:rFonts w:ascii="Times New Roman" w:eastAsia="宋体" w:hAnsi="Times New Roman"/>
          <w:color w:val="000000"/>
          <w:sz w:val="20"/>
          <w:szCs w:val="20"/>
        </w:rPr>
        <w:t>0, VMware, Inc. completed the acquisition of Datrium, Inc., a provider of cloud-native disaster recovery solutions, to broaden the VMware Site Recovery Disaster Recovery as a Service offerings. The total purchase price, net of cash acquired, was $137 milli</w:t>
      </w:r>
      <w:r>
        <w:rPr>
          <w:rFonts w:ascii="Times New Roman" w:eastAsia="宋体" w:hAnsi="Times New Roman"/>
          <w:color w:val="000000"/>
          <w:sz w:val="20"/>
          <w:szCs w:val="20"/>
        </w:rPr>
        <w:t>on. The purchase price primarily included $25 million of identifiable intangible assets and $91 million of goodwill. The identifiable intangible assets, which primarily consisted of completed technology, have estimated useful lives of three years to five y</w:t>
      </w:r>
      <w:r>
        <w:rPr>
          <w:rFonts w:ascii="Times New Roman" w:eastAsia="宋体" w:hAnsi="Times New Roman"/>
          <w:color w:val="000000"/>
          <w:sz w:val="20"/>
          <w:szCs w:val="20"/>
        </w:rPr>
        <w:t>ears. During the three months ended January 29, 2021, VMware, Inc. evaluated facts and circumstances that existed as of the acquisition date and adjusted the provisional amount recorded to deferred tax asset, resulting in an increase of $40 million to good</w:t>
      </w:r>
      <w:r>
        <w:rPr>
          <w:rFonts w:ascii="Times New Roman" w:eastAsia="宋体" w:hAnsi="Times New Roman"/>
          <w:color w:val="000000"/>
          <w:sz w:val="20"/>
          <w:szCs w:val="20"/>
        </w:rPr>
        <w:t>will, and determined that intangible assets and goodwill are expected to be deductible for tax purposes.</w:t>
      </w:r>
    </w:p>
    <w:p w14:paraId="7DD004CB" w14:textId="77777777" w:rsidR="00C1563E" w:rsidRDefault="00C1563E"/>
    <w:p w14:paraId="7DD004CC" w14:textId="77777777" w:rsidR="00C1563E" w:rsidRDefault="000B648B">
      <w:r>
        <w:rPr>
          <w:rFonts w:ascii="Times New Roman" w:eastAsia="宋体" w:hAnsi="Times New Roman"/>
          <w:i/>
          <w:iCs/>
          <w:color w:val="000000"/>
          <w:sz w:val="20"/>
          <w:szCs w:val="20"/>
        </w:rPr>
        <w:t>Lastline, Inc. —</w:t>
      </w:r>
      <w:r>
        <w:rPr>
          <w:rFonts w:ascii="Times New Roman" w:eastAsia="宋体" w:hAnsi="Times New Roman"/>
          <w:color w:val="000000"/>
          <w:sz w:val="20"/>
          <w:szCs w:val="20"/>
        </w:rPr>
        <w:t xml:space="preserve"> During the three months ended July 31, 2020, VMware, Inc. completed the acquisition of Lastline, Inc., a provider of network-based se</w:t>
      </w:r>
      <w:r>
        <w:rPr>
          <w:rFonts w:ascii="Times New Roman" w:eastAsia="宋体" w:hAnsi="Times New Roman"/>
          <w:color w:val="000000"/>
          <w:sz w:val="20"/>
          <w:szCs w:val="20"/>
        </w:rPr>
        <w:t>curity breach detection products and services, to enhance capabilities for network detection and threat analysis on VMware NSX and SD-WAN offerings. The total purchase price, net of cash acquired, was $114 million. The purchase price primarily included $29</w:t>
      </w:r>
      <w:r>
        <w:rPr>
          <w:rFonts w:ascii="Times New Roman" w:eastAsia="宋体" w:hAnsi="Times New Roman"/>
          <w:color w:val="000000"/>
          <w:sz w:val="20"/>
          <w:szCs w:val="20"/>
        </w:rPr>
        <w:t> million of identifiable intangible assets and $86 million of goodwill that is not expected to be deductible for tax purposes. The identifiable intangible assets, which primarily consisted of completed technology, have estimated useful lives of one year to</w:t>
      </w:r>
      <w:r>
        <w:rPr>
          <w:rFonts w:ascii="Times New Roman" w:eastAsia="宋体" w:hAnsi="Times New Roman"/>
          <w:color w:val="000000"/>
          <w:sz w:val="20"/>
          <w:szCs w:val="20"/>
        </w:rPr>
        <w:t xml:space="preserve"> four years.</w:t>
      </w:r>
    </w:p>
    <w:p w14:paraId="7DD004CD" w14:textId="77777777" w:rsidR="00C1563E" w:rsidRDefault="00C1563E"/>
    <w:p w14:paraId="7DD004CE" w14:textId="77777777" w:rsidR="00C1563E" w:rsidRDefault="000B648B">
      <w:r>
        <w:rPr>
          <w:rFonts w:ascii="Times New Roman" w:eastAsia="宋体" w:hAnsi="Times New Roman"/>
          <w:i/>
          <w:iCs/>
          <w:color w:val="000000"/>
          <w:sz w:val="20"/>
          <w:szCs w:val="20"/>
        </w:rPr>
        <w:t xml:space="preserve">Nyansa, Inc. — </w:t>
      </w:r>
      <w:r>
        <w:rPr>
          <w:rFonts w:ascii="Times New Roman" w:eastAsia="宋体" w:hAnsi="Times New Roman"/>
          <w:color w:val="000000"/>
          <w:sz w:val="20"/>
          <w:szCs w:val="20"/>
        </w:rPr>
        <w:t>During the three months ended May 1, 2020, VMware, Inc. completed the acquisition of Nyansa, Inc., a developer of artificial intelligence-based network analytics, to accelerate the delivery of end-to-end monitoring and troubles</w:t>
      </w:r>
      <w:r>
        <w:rPr>
          <w:rFonts w:ascii="Times New Roman" w:eastAsia="宋体" w:hAnsi="Times New Roman"/>
          <w:color w:val="000000"/>
          <w:sz w:val="20"/>
          <w:szCs w:val="20"/>
        </w:rPr>
        <w:t>hooting capabilities within VMware SD-WAN by VeloCloud. The total purchase price, net of cash acquired, was $38 million. The purchase price primarily included $14 million of identifiable intangible assets and $24 million of goodwill that is not expected to</w:t>
      </w:r>
      <w:r>
        <w:rPr>
          <w:rFonts w:ascii="Times New Roman" w:eastAsia="宋体" w:hAnsi="Times New Roman"/>
          <w:color w:val="000000"/>
          <w:sz w:val="20"/>
          <w:szCs w:val="20"/>
        </w:rPr>
        <w:t xml:space="preserve"> be deductible for tax purposes. The identifiable intangible assets, which primarily consisted of completed technology, have estimated useful lives of one year to four years.</w:t>
      </w:r>
    </w:p>
    <w:p w14:paraId="7DD004CF" w14:textId="77777777" w:rsidR="00C1563E" w:rsidRDefault="00C1563E"/>
    <w:p w14:paraId="7DD004D0" w14:textId="77777777" w:rsidR="00C1563E" w:rsidRDefault="000B648B">
      <w:r>
        <w:rPr>
          <w:rFonts w:ascii="Times New Roman" w:eastAsia="宋体" w:hAnsi="Times New Roman"/>
          <w:i/>
          <w:iCs/>
          <w:color w:val="000000"/>
          <w:sz w:val="20"/>
          <w:szCs w:val="20"/>
        </w:rPr>
        <w:t xml:space="preserve">Other Fiscal 2021 Acquisitions — </w:t>
      </w:r>
      <w:r>
        <w:rPr>
          <w:rFonts w:ascii="Times New Roman" w:eastAsia="宋体" w:hAnsi="Times New Roman"/>
          <w:color w:val="000000"/>
          <w:sz w:val="20"/>
          <w:szCs w:val="20"/>
        </w:rPr>
        <w:t xml:space="preserve">During the fiscal year ended January 29, 2021, </w:t>
      </w:r>
      <w:r>
        <w:rPr>
          <w:rFonts w:ascii="Times New Roman" w:eastAsia="宋体" w:hAnsi="Times New Roman"/>
          <w:color w:val="000000"/>
          <w:sz w:val="20"/>
          <w:szCs w:val="20"/>
        </w:rPr>
        <w:t xml:space="preserve">VMware, Inc. completed five other acquisitions, which were not material, individually or in aggregate, to the Consolidated Financial Statements. VMware, Inc. expects these acquisitions to enhance its product features and capabilities for its VMware Carbon </w:t>
      </w:r>
      <w:r>
        <w:rPr>
          <w:rFonts w:ascii="Times New Roman" w:eastAsia="宋体" w:hAnsi="Times New Roman"/>
          <w:color w:val="000000"/>
          <w:sz w:val="20"/>
          <w:szCs w:val="20"/>
        </w:rPr>
        <w:t>Black Cloud and vRealize Operations offerings. The aggregate purchase price for these five acquisitions, net of cash acquired, was $62 million and primarily included $52 million of identifiable intangible assets and $16 million of goodwill, of which $24 mi</w:t>
      </w:r>
      <w:r>
        <w:rPr>
          <w:rFonts w:ascii="Times New Roman" w:eastAsia="宋体" w:hAnsi="Times New Roman"/>
          <w:color w:val="000000"/>
          <w:sz w:val="20"/>
          <w:szCs w:val="20"/>
        </w:rPr>
        <w:t>llion is expected to be deductible for tax purposes. The identifiable intangible assets, which primarily consisted of completed technology, have estimated useful lives of one year to five years.</w:t>
      </w:r>
    </w:p>
    <w:p w14:paraId="7DD004D1" w14:textId="77777777" w:rsidR="00C1563E" w:rsidRDefault="00C1563E"/>
    <w:p w14:paraId="7DD004D2" w14:textId="77777777" w:rsidR="00C1563E" w:rsidRDefault="000B648B">
      <w:r>
        <w:rPr>
          <w:rFonts w:ascii="Times New Roman" w:eastAsia="宋体" w:hAnsi="Times New Roman"/>
          <w:color w:val="000000"/>
          <w:sz w:val="20"/>
          <w:szCs w:val="20"/>
        </w:rPr>
        <w:t>For each of the acquisitions completed during the fiscal yea</w:t>
      </w:r>
      <w:r>
        <w:rPr>
          <w:rFonts w:ascii="Times New Roman" w:eastAsia="宋体" w:hAnsi="Times New Roman"/>
          <w:color w:val="000000"/>
          <w:sz w:val="20"/>
          <w:szCs w:val="20"/>
        </w:rPr>
        <w:t>r ended January 29, 2021, the excess of the purchase consideration over the fair value of net tangible and identifiable intangible assets acquired was recorded as goodwill, which management believes represents synergies expected from combining the technolo</w:t>
      </w:r>
      <w:r>
        <w:rPr>
          <w:rFonts w:ascii="Times New Roman" w:eastAsia="宋体" w:hAnsi="Times New Roman"/>
          <w:color w:val="000000"/>
          <w:sz w:val="20"/>
          <w:szCs w:val="20"/>
        </w:rPr>
        <w:t>gies of VMware, Inc. with those of the acquired businesses. The estimated fair value assigned to the tangible assets, identifiable intangible assets, and assumed liabilities were based on management's estimates and assumptions. The initial allocation of th</w:t>
      </w:r>
      <w:r>
        <w:rPr>
          <w:rFonts w:ascii="Times New Roman" w:eastAsia="宋体" w:hAnsi="Times New Roman"/>
          <w:color w:val="000000"/>
          <w:sz w:val="20"/>
          <w:szCs w:val="20"/>
        </w:rPr>
        <w:t>e purchase price was based on preliminary valuations and assumptions and is subject to change within the measurement period. VMware, Inc. expects to finalize the allocation of the purchase price within the measurement period.</w:t>
      </w:r>
    </w:p>
    <w:p w14:paraId="7DD004D3" w14:textId="77777777" w:rsidR="00C1563E" w:rsidRDefault="00C1563E"/>
    <w:p w14:paraId="7DD004D4" w14:textId="77777777" w:rsidR="00C1563E" w:rsidRDefault="00C1563E">
      <w:pPr>
        <w:jc w:val="center"/>
      </w:pPr>
    </w:p>
    <w:p w14:paraId="7DD004D5" w14:textId="77777777" w:rsidR="00C1563E" w:rsidRDefault="000B648B">
      <w:pPr>
        <w:jc w:val="center"/>
      </w:pPr>
      <w:r>
        <w:rPr>
          <w:rFonts w:ascii="Times New Roman" w:eastAsia="宋体" w:hAnsi="Times New Roman"/>
          <w:color w:val="000000"/>
          <w:sz w:val="20"/>
          <w:szCs w:val="20"/>
        </w:rPr>
        <w:t>119</w:t>
      </w:r>
    </w:p>
    <w:p w14:paraId="7DD004D6" w14:textId="77777777" w:rsidR="00C1563E" w:rsidRDefault="00C1563E">
      <w:pPr>
        <w:jc w:val="center"/>
      </w:pPr>
    </w:p>
    <w:p w14:paraId="7DD004D7" w14:textId="77777777" w:rsidR="00C1563E" w:rsidRDefault="000B648B">
      <w:r>
        <w:pict w14:anchorId="7DD025E1">
          <v:rect id="_x0000_i1143" style="width:415.3pt;height:1.5pt" o:hralign="center" o:hrstd="t" o:hr="t" fillcolor="#a0a0a0" stroked="f"/>
        </w:pict>
      </w:r>
    </w:p>
    <w:p w14:paraId="7DD004D8" w14:textId="77777777" w:rsidR="00C1563E" w:rsidRDefault="000B648B">
      <w:hyperlink r:id="rId302" w:anchor="i418e32e4a35149ffbf7d3a25d66881b8_10" w:history="1">
        <w:r>
          <w:rPr>
            <w:rStyle w:val="a5"/>
            <w:rFonts w:ascii="Times New Roman" w:eastAsia="宋体" w:hAnsi="Times New Roman"/>
            <w:sz w:val="20"/>
            <w:szCs w:val="20"/>
          </w:rPr>
          <w:t>Table of Contents</w:t>
        </w:r>
      </w:hyperlink>
    </w:p>
    <w:p w14:paraId="7DD004D9" w14:textId="77777777" w:rsidR="00C1563E" w:rsidRDefault="000B648B">
      <w:r>
        <w:rPr>
          <w:rFonts w:ascii="Times New Roman" w:eastAsia="宋体" w:hAnsi="Times New Roman"/>
          <w:color w:val="000000"/>
          <w:sz w:val="20"/>
          <w:szCs w:val="20"/>
        </w:rPr>
        <w:t>The pro forma financial information assuming these Fiscal 2021 acquisitions had occu</w:t>
      </w:r>
      <w:r>
        <w:rPr>
          <w:rFonts w:ascii="Times New Roman" w:eastAsia="宋体" w:hAnsi="Times New Roman"/>
          <w:color w:val="000000"/>
          <w:sz w:val="20"/>
          <w:szCs w:val="20"/>
        </w:rPr>
        <w:t>rred as of the beginning of the fiscal year prior to the fiscal year of acquisition, as well as the revenue and earnings generated during the current fiscal year, were not material for disclosure purposes.</w:t>
      </w:r>
    </w:p>
    <w:p w14:paraId="7DD004DA" w14:textId="77777777" w:rsidR="00C1563E" w:rsidRDefault="00C1563E"/>
    <w:p w14:paraId="7DD004DB" w14:textId="77777777" w:rsidR="00C1563E" w:rsidRDefault="000B648B">
      <w:r>
        <w:rPr>
          <w:rFonts w:ascii="Times New Roman" w:eastAsia="宋体" w:hAnsi="Times New Roman"/>
          <w:i/>
          <w:iCs/>
          <w:color w:val="000000"/>
          <w:sz w:val="20"/>
          <w:szCs w:val="20"/>
        </w:rPr>
        <w:t xml:space="preserve">Fiscal year ended January 31, 2020 </w:t>
      </w:r>
    </w:p>
    <w:p w14:paraId="7DD004DC" w14:textId="77777777" w:rsidR="00C1563E" w:rsidRDefault="00C1563E"/>
    <w:p w14:paraId="7DD004DD" w14:textId="77777777" w:rsidR="00C1563E" w:rsidRDefault="000B648B">
      <w:r>
        <w:rPr>
          <w:rFonts w:ascii="Times New Roman" w:eastAsia="宋体" w:hAnsi="Times New Roman"/>
          <w:i/>
          <w:iCs/>
          <w:color w:val="000000"/>
          <w:sz w:val="20"/>
          <w:szCs w:val="20"/>
          <w:u w:val="single"/>
        </w:rPr>
        <w:t xml:space="preserve">VMware, </w:t>
      </w:r>
      <w:r>
        <w:rPr>
          <w:rFonts w:ascii="Times New Roman" w:eastAsia="宋体" w:hAnsi="Times New Roman"/>
          <w:i/>
          <w:iCs/>
          <w:color w:val="000000"/>
          <w:sz w:val="20"/>
          <w:szCs w:val="20"/>
          <w:u w:val="single"/>
        </w:rPr>
        <w:t>Inc. Acquisition of Carbon Black, Inc.</w:t>
      </w:r>
      <w:r>
        <w:rPr>
          <w:rFonts w:ascii="Times New Roman" w:eastAsia="宋体" w:hAnsi="Times New Roman"/>
          <w:color w:val="000000"/>
          <w:sz w:val="20"/>
          <w:szCs w:val="20"/>
        </w:rPr>
        <w:t xml:space="preserve"> </w:t>
      </w:r>
    </w:p>
    <w:p w14:paraId="7DD004DE" w14:textId="77777777" w:rsidR="00C1563E" w:rsidRDefault="00C1563E"/>
    <w:p w14:paraId="7DD004DF" w14:textId="77777777" w:rsidR="00C1563E" w:rsidRDefault="000B648B">
      <w:r>
        <w:rPr>
          <w:rFonts w:ascii="Times New Roman" w:eastAsia="宋体" w:hAnsi="Times New Roman"/>
          <w:color w:val="000000"/>
          <w:sz w:val="20"/>
          <w:szCs w:val="20"/>
        </w:rPr>
        <w:t xml:space="preserve">On October 8, 2019, VMware, Inc. completed the acquisition of Carbon Black, Inc. (“Carbon Black”), a developer of cloud-native endpoint protection, in a cash tender offer for all of the outstanding shares of Carbon </w:t>
      </w:r>
      <w:r>
        <w:rPr>
          <w:rFonts w:ascii="Times New Roman" w:eastAsia="宋体" w:hAnsi="Times New Roman"/>
          <w:color w:val="000000"/>
          <w:sz w:val="20"/>
          <w:szCs w:val="20"/>
        </w:rPr>
        <w:t>Black’s common stock, at a price of $26.00 per share. VMware, Inc. acquired Carbon Black to create a comprehensive intrinsic security portfolio to protect workloads, clients, and infrastructure from cloud to edge. VMware, Inc. believes that the acquisition</w:t>
      </w:r>
      <w:r>
        <w:rPr>
          <w:rFonts w:ascii="Times New Roman" w:eastAsia="宋体" w:hAnsi="Times New Roman"/>
          <w:color w:val="000000"/>
          <w:sz w:val="20"/>
          <w:szCs w:val="20"/>
        </w:rPr>
        <w:t xml:space="preserve"> will result in synergies with the Carbon Black platform and VMware NSX and VMware Workspace ONE offerings, among others, and enable VMware, Inc. to offer a highly-differentiated intrinsic security platform addressing multiple concerns of the security indu</w:t>
      </w:r>
      <w:r>
        <w:rPr>
          <w:rFonts w:ascii="Times New Roman" w:eastAsia="宋体" w:hAnsi="Times New Roman"/>
          <w:color w:val="000000"/>
          <w:sz w:val="20"/>
          <w:szCs w:val="20"/>
        </w:rPr>
        <w:t xml:space="preserve">stry. The total purchase price was $2.0 billion, net of cash acquired of $111 million. </w:t>
      </w:r>
    </w:p>
    <w:p w14:paraId="7DD004E0" w14:textId="77777777" w:rsidR="00C1563E" w:rsidRDefault="00C1563E"/>
    <w:p w14:paraId="7DD004E1" w14:textId="77777777" w:rsidR="00C1563E" w:rsidRDefault="000B648B">
      <w:r>
        <w:rPr>
          <w:rFonts w:ascii="Times New Roman" w:eastAsia="宋体" w:hAnsi="Times New Roman"/>
          <w:color w:val="000000"/>
          <w:sz w:val="20"/>
          <w:szCs w:val="20"/>
        </w:rPr>
        <w:t>Merger consideration totaling $18 million is held with a third-party paying agent and is payable to a certain employee of Carbon Black subject to specified future empl</w:t>
      </w:r>
      <w:r>
        <w:rPr>
          <w:rFonts w:ascii="Times New Roman" w:eastAsia="宋体" w:hAnsi="Times New Roman"/>
          <w:color w:val="000000"/>
          <w:sz w:val="20"/>
          <w:szCs w:val="20"/>
        </w:rPr>
        <w:t>oyment conditions, and is being recognized as an expense over the requisite service period of approximately two years on a straight-line basis.</w:t>
      </w:r>
    </w:p>
    <w:p w14:paraId="7DD004E2" w14:textId="77777777" w:rsidR="00C1563E" w:rsidRDefault="00C1563E"/>
    <w:p w14:paraId="7DD004E3" w14:textId="77777777" w:rsidR="00C1563E" w:rsidRDefault="000B648B">
      <w:r>
        <w:rPr>
          <w:rFonts w:ascii="Times New Roman" w:eastAsia="宋体" w:hAnsi="Times New Roman"/>
          <w:color w:val="000000"/>
          <w:sz w:val="20"/>
          <w:szCs w:val="20"/>
        </w:rPr>
        <w:t>VMware, Inc. assumed all of Carbon Black’s unvested stock options and restricted stock awards outstanding at th</w:t>
      </w:r>
      <w:r>
        <w:rPr>
          <w:rFonts w:ascii="Times New Roman" w:eastAsia="宋体" w:hAnsi="Times New Roman"/>
          <w:color w:val="000000"/>
          <w:sz w:val="20"/>
          <w:szCs w:val="20"/>
        </w:rPr>
        <w:t>e completion of the acquisition with an estimated fair value of $181 million. Of the total consideration, $10 million was allocated to the purchase price and $171 million was allocated to future services and will be expensed over the remaining requisite se</w:t>
      </w:r>
      <w:r>
        <w:rPr>
          <w:rFonts w:ascii="Times New Roman" w:eastAsia="宋体" w:hAnsi="Times New Roman"/>
          <w:color w:val="000000"/>
          <w:sz w:val="20"/>
          <w:szCs w:val="20"/>
        </w:rPr>
        <w:t>rvice periods of approximately three years on a straight-line basis. The estimated fair value of the stock options assumed by VMware, Inc. was determined using the Black-Scholes option pricing model. A share conversion ratio of 0.2 was applied to convert C</w:t>
      </w:r>
      <w:r>
        <w:rPr>
          <w:rFonts w:ascii="Times New Roman" w:eastAsia="宋体" w:hAnsi="Times New Roman"/>
          <w:color w:val="000000"/>
          <w:sz w:val="20"/>
          <w:szCs w:val="20"/>
        </w:rPr>
        <w:t>arbon Black’s outstanding stock awards into awards for shares of VMware, Inc.'s common stock.</w:t>
      </w:r>
    </w:p>
    <w:p w14:paraId="7DD004E4" w14:textId="77777777" w:rsidR="00C1563E" w:rsidRDefault="00C1563E"/>
    <w:p w14:paraId="7DD004E5" w14:textId="77777777" w:rsidR="00C1563E" w:rsidRDefault="000B648B">
      <w:pPr>
        <w:spacing w:after="120"/>
      </w:pPr>
      <w:r>
        <w:rPr>
          <w:rFonts w:ascii="Times New Roman" w:eastAsia="宋体" w:hAnsi="Times New Roman"/>
          <w:color w:val="000000"/>
          <w:sz w:val="20"/>
          <w:szCs w:val="20"/>
        </w:rPr>
        <w:t>The following table summarizes the allocation of the consideration to the fair value of the assets acquired and liabilities assumed on the date of acquisition (i</w:t>
      </w:r>
      <w:r>
        <w:rPr>
          <w:rFonts w:ascii="Times New Roman" w:eastAsia="宋体" w:hAnsi="Times New Roman"/>
          <w:color w:val="000000"/>
          <w:sz w:val="20"/>
          <w:szCs w:val="20"/>
        </w:rPr>
        <w:t>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423"/>
        <w:gridCol w:w="38"/>
        <w:gridCol w:w="120"/>
        <w:gridCol w:w="1620"/>
        <w:gridCol w:w="36"/>
      </w:tblGrid>
      <w:tr w:rsidR="00C1563E" w14:paraId="7DD004EC" w14:textId="77777777">
        <w:trPr>
          <w:jc w:val="center"/>
        </w:trPr>
        <w:tc>
          <w:tcPr>
            <w:tcW w:w="50" w:type="pct"/>
            <w:shd w:val="clear" w:color="auto" w:fill="auto"/>
          </w:tcPr>
          <w:p w14:paraId="7DD004E6" w14:textId="77777777" w:rsidR="00C1563E" w:rsidRDefault="00C1563E">
            <w:pPr>
              <w:rPr>
                <w:rFonts w:ascii="宋体"/>
              </w:rPr>
            </w:pPr>
          </w:p>
        </w:tc>
        <w:tc>
          <w:tcPr>
            <w:tcW w:w="3893" w:type="pct"/>
            <w:shd w:val="clear" w:color="auto" w:fill="auto"/>
          </w:tcPr>
          <w:p w14:paraId="7DD004E7" w14:textId="77777777" w:rsidR="00C1563E" w:rsidRDefault="00C1563E">
            <w:pPr>
              <w:rPr>
                <w:rFonts w:ascii="宋体"/>
              </w:rPr>
            </w:pPr>
          </w:p>
        </w:tc>
        <w:tc>
          <w:tcPr>
            <w:tcW w:w="5" w:type="pct"/>
            <w:shd w:val="clear" w:color="auto" w:fill="auto"/>
          </w:tcPr>
          <w:p w14:paraId="7DD004E8" w14:textId="77777777" w:rsidR="00C1563E" w:rsidRDefault="00C1563E">
            <w:pPr>
              <w:rPr>
                <w:rFonts w:ascii="宋体"/>
              </w:rPr>
            </w:pPr>
          </w:p>
        </w:tc>
        <w:tc>
          <w:tcPr>
            <w:tcW w:w="50" w:type="pct"/>
            <w:shd w:val="clear" w:color="auto" w:fill="auto"/>
          </w:tcPr>
          <w:p w14:paraId="7DD004E9" w14:textId="77777777" w:rsidR="00C1563E" w:rsidRDefault="00C1563E">
            <w:pPr>
              <w:rPr>
                <w:rFonts w:ascii="宋体"/>
              </w:rPr>
            </w:pPr>
          </w:p>
        </w:tc>
        <w:tc>
          <w:tcPr>
            <w:tcW w:w="996" w:type="pct"/>
            <w:shd w:val="clear" w:color="auto" w:fill="auto"/>
          </w:tcPr>
          <w:p w14:paraId="7DD004EA" w14:textId="77777777" w:rsidR="00C1563E" w:rsidRDefault="00C1563E">
            <w:pPr>
              <w:rPr>
                <w:rFonts w:ascii="宋体"/>
              </w:rPr>
            </w:pPr>
          </w:p>
        </w:tc>
        <w:tc>
          <w:tcPr>
            <w:tcW w:w="5" w:type="pct"/>
            <w:shd w:val="clear" w:color="auto" w:fill="auto"/>
          </w:tcPr>
          <w:p w14:paraId="7DD004EB" w14:textId="77777777" w:rsidR="00C1563E" w:rsidRDefault="00C1563E">
            <w:pPr>
              <w:rPr>
                <w:rFonts w:ascii="宋体"/>
              </w:rPr>
            </w:pPr>
          </w:p>
        </w:tc>
      </w:tr>
      <w:tr w:rsidR="00C1563E" w14:paraId="7DD004F1" w14:textId="77777777">
        <w:trPr>
          <w:jc w:val="center"/>
        </w:trPr>
        <w:tc>
          <w:tcPr>
            <w:tcW w:w="0" w:type="auto"/>
            <w:gridSpan w:val="3"/>
            <w:shd w:val="clear" w:color="auto" w:fill="CCEEFF"/>
            <w:tcMar>
              <w:top w:w="40" w:type="dxa"/>
              <w:left w:w="20" w:type="dxa"/>
              <w:bottom w:w="40" w:type="dxa"/>
              <w:right w:w="20" w:type="dxa"/>
            </w:tcMar>
            <w:vAlign w:val="bottom"/>
          </w:tcPr>
          <w:p w14:paraId="7DD004ED" w14:textId="77777777" w:rsidR="00C1563E" w:rsidRDefault="000B648B">
            <w:pPr>
              <w:textAlignment w:val="bottom"/>
            </w:pPr>
            <w:r>
              <w:rPr>
                <w:rFonts w:ascii="Times New Roman" w:eastAsia="宋体" w:hAnsi="Times New Roman"/>
                <w:color w:val="000000"/>
                <w:sz w:val="20"/>
                <w:szCs w:val="20"/>
              </w:rPr>
              <w:t>Cash</w:t>
            </w:r>
          </w:p>
        </w:tc>
        <w:tc>
          <w:tcPr>
            <w:tcW w:w="0" w:type="auto"/>
            <w:shd w:val="clear" w:color="auto" w:fill="CCEEFF"/>
            <w:tcMar>
              <w:top w:w="40" w:type="dxa"/>
              <w:left w:w="20" w:type="dxa"/>
              <w:bottom w:w="40" w:type="dxa"/>
              <w:right w:w="0" w:type="dxa"/>
            </w:tcMar>
            <w:vAlign w:val="bottom"/>
          </w:tcPr>
          <w:p w14:paraId="7DD004E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4EF" w14:textId="77777777" w:rsidR="00C1563E" w:rsidRDefault="000B648B">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7DD004F0" w14:textId="77777777" w:rsidR="00C1563E" w:rsidRDefault="00C1563E">
            <w:pPr>
              <w:jc w:val="right"/>
              <w:rPr>
                <w:rFonts w:ascii="宋体"/>
              </w:rPr>
            </w:pPr>
          </w:p>
        </w:tc>
      </w:tr>
      <w:tr w:rsidR="00C1563E" w14:paraId="7DD004F5" w14:textId="77777777">
        <w:trPr>
          <w:jc w:val="center"/>
        </w:trPr>
        <w:tc>
          <w:tcPr>
            <w:tcW w:w="0" w:type="auto"/>
            <w:gridSpan w:val="3"/>
            <w:shd w:val="clear" w:color="auto" w:fill="FFFFFF"/>
            <w:tcMar>
              <w:top w:w="40" w:type="dxa"/>
              <w:left w:w="20" w:type="dxa"/>
              <w:bottom w:w="40" w:type="dxa"/>
              <w:right w:w="20" w:type="dxa"/>
            </w:tcMar>
            <w:vAlign w:val="bottom"/>
          </w:tcPr>
          <w:p w14:paraId="7DD004F2" w14:textId="77777777" w:rsidR="00C1563E" w:rsidRDefault="000B648B">
            <w:pPr>
              <w:textAlignment w:val="bottom"/>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7DD004F3" w14:textId="77777777" w:rsidR="00C1563E" w:rsidRDefault="000B648B">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7DD004F4" w14:textId="77777777" w:rsidR="00C1563E" w:rsidRDefault="00C1563E">
            <w:pPr>
              <w:jc w:val="right"/>
              <w:rPr>
                <w:rFonts w:ascii="宋体"/>
              </w:rPr>
            </w:pPr>
          </w:p>
        </w:tc>
      </w:tr>
      <w:tr w:rsidR="00C1563E" w14:paraId="7DD004F9" w14:textId="77777777">
        <w:trPr>
          <w:jc w:val="center"/>
        </w:trPr>
        <w:tc>
          <w:tcPr>
            <w:tcW w:w="0" w:type="auto"/>
            <w:gridSpan w:val="3"/>
            <w:shd w:val="clear" w:color="auto" w:fill="CCEEFF"/>
            <w:tcMar>
              <w:top w:w="40" w:type="dxa"/>
              <w:left w:w="20" w:type="dxa"/>
              <w:bottom w:w="40" w:type="dxa"/>
              <w:right w:w="20" w:type="dxa"/>
            </w:tcMar>
            <w:vAlign w:val="bottom"/>
          </w:tcPr>
          <w:p w14:paraId="7DD004F6" w14:textId="77777777" w:rsidR="00C1563E" w:rsidRDefault="000B648B">
            <w:pPr>
              <w:textAlignment w:val="bottom"/>
            </w:pPr>
            <w:r>
              <w:rPr>
                <w:rFonts w:ascii="Times New Roman" w:eastAsia="宋体" w:hAnsi="Times New Roman"/>
                <w:color w:val="000000"/>
                <w:sz w:val="20"/>
                <w:szCs w:val="20"/>
              </w:rPr>
              <w:t>Intangible assets</w:t>
            </w:r>
          </w:p>
        </w:tc>
        <w:tc>
          <w:tcPr>
            <w:tcW w:w="0" w:type="auto"/>
            <w:gridSpan w:val="2"/>
            <w:shd w:val="clear" w:color="auto" w:fill="CCEEFF"/>
            <w:tcMar>
              <w:top w:w="40" w:type="dxa"/>
              <w:left w:w="20" w:type="dxa"/>
              <w:bottom w:w="40" w:type="dxa"/>
              <w:right w:w="0" w:type="dxa"/>
            </w:tcMar>
            <w:vAlign w:val="bottom"/>
          </w:tcPr>
          <w:p w14:paraId="7DD004F7" w14:textId="77777777" w:rsidR="00C1563E" w:rsidRDefault="000B648B">
            <w:pPr>
              <w:jc w:val="right"/>
              <w:textAlignment w:val="bottom"/>
            </w:pPr>
            <w:r>
              <w:rPr>
                <w:rFonts w:ascii="Times New Roman" w:eastAsia="宋体" w:hAnsi="Times New Roman"/>
                <w:color w:val="000000"/>
                <w:sz w:val="20"/>
                <w:szCs w:val="20"/>
              </w:rPr>
              <w:t>492 </w:t>
            </w:r>
          </w:p>
        </w:tc>
        <w:tc>
          <w:tcPr>
            <w:tcW w:w="0" w:type="auto"/>
            <w:shd w:val="clear" w:color="auto" w:fill="CCEEFF"/>
            <w:tcMar>
              <w:top w:w="40" w:type="dxa"/>
              <w:left w:w="0" w:type="dxa"/>
              <w:bottom w:w="40" w:type="dxa"/>
              <w:right w:w="20" w:type="dxa"/>
            </w:tcMar>
            <w:vAlign w:val="bottom"/>
          </w:tcPr>
          <w:p w14:paraId="7DD004F8" w14:textId="77777777" w:rsidR="00C1563E" w:rsidRDefault="00C1563E">
            <w:pPr>
              <w:jc w:val="right"/>
              <w:rPr>
                <w:rFonts w:ascii="宋体"/>
              </w:rPr>
            </w:pPr>
          </w:p>
        </w:tc>
      </w:tr>
      <w:tr w:rsidR="00C1563E" w14:paraId="7DD004FD" w14:textId="77777777">
        <w:trPr>
          <w:jc w:val="center"/>
        </w:trPr>
        <w:tc>
          <w:tcPr>
            <w:tcW w:w="0" w:type="auto"/>
            <w:gridSpan w:val="3"/>
            <w:shd w:val="clear" w:color="auto" w:fill="FFFFFF"/>
            <w:tcMar>
              <w:top w:w="40" w:type="dxa"/>
              <w:left w:w="20" w:type="dxa"/>
              <w:bottom w:w="40" w:type="dxa"/>
              <w:right w:w="20" w:type="dxa"/>
            </w:tcMar>
            <w:vAlign w:val="bottom"/>
          </w:tcPr>
          <w:p w14:paraId="7DD004FA" w14:textId="77777777" w:rsidR="00C1563E" w:rsidRDefault="000B648B">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7DD004FB" w14:textId="77777777" w:rsidR="00C1563E" w:rsidRDefault="000B648B">
            <w:pPr>
              <w:jc w:val="right"/>
              <w:textAlignment w:val="bottom"/>
            </w:pPr>
            <w:r>
              <w:rPr>
                <w:rFonts w:ascii="Times New Roman" w:eastAsia="宋体" w:hAnsi="Times New Roman"/>
                <w:color w:val="000000"/>
                <w:sz w:val="20"/>
                <w:szCs w:val="20"/>
              </w:rPr>
              <w:t>1,588 </w:t>
            </w:r>
          </w:p>
        </w:tc>
        <w:tc>
          <w:tcPr>
            <w:tcW w:w="0" w:type="auto"/>
            <w:shd w:val="clear" w:color="auto" w:fill="FFFFFF"/>
            <w:tcMar>
              <w:top w:w="40" w:type="dxa"/>
              <w:left w:w="0" w:type="dxa"/>
              <w:bottom w:w="40" w:type="dxa"/>
              <w:right w:w="20" w:type="dxa"/>
            </w:tcMar>
            <w:vAlign w:val="bottom"/>
          </w:tcPr>
          <w:p w14:paraId="7DD004FC" w14:textId="77777777" w:rsidR="00C1563E" w:rsidRDefault="00C1563E">
            <w:pPr>
              <w:jc w:val="right"/>
              <w:rPr>
                <w:rFonts w:ascii="宋体"/>
              </w:rPr>
            </w:pPr>
          </w:p>
        </w:tc>
      </w:tr>
      <w:tr w:rsidR="00C1563E" w14:paraId="7DD00501" w14:textId="77777777">
        <w:trPr>
          <w:jc w:val="center"/>
        </w:trPr>
        <w:tc>
          <w:tcPr>
            <w:tcW w:w="0" w:type="auto"/>
            <w:gridSpan w:val="3"/>
            <w:shd w:val="clear" w:color="auto" w:fill="CCEEFF"/>
            <w:tcMar>
              <w:top w:w="40" w:type="dxa"/>
              <w:left w:w="20" w:type="dxa"/>
              <w:bottom w:w="40" w:type="dxa"/>
              <w:right w:w="20" w:type="dxa"/>
            </w:tcMar>
            <w:vAlign w:val="bottom"/>
          </w:tcPr>
          <w:p w14:paraId="7DD004FE" w14:textId="77777777" w:rsidR="00C1563E" w:rsidRDefault="000B648B">
            <w:pPr>
              <w:textAlignment w:val="bottom"/>
            </w:pPr>
            <w:r>
              <w:rPr>
                <w:rFonts w:ascii="Times New Roman" w:eastAsia="宋体" w:hAnsi="Times New Roman"/>
                <w:color w:val="000000"/>
                <w:sz w:val="20"/>
                <w:szCs w:val="20"/>
              </w:rPr>
              <w:t>Other acquired assets</w:t>
            </w:r>
          </w:p>
        </w:tc>
        <w:tc>
          <w:tcPr>
            <w:tcW w:w="0" w:type="auto"/>
            <w:gridSpan w:val="2"/>
            <w:shd w:val="clear" w:color="auto" w:fill="CCEEFF"/>
            <w:tcMar>
              <w:top w:w="40" w:type="dxa"/>
              <w:left w:w="20" w:type="dxa"/>
              <w:bottom w:w="40" w:type="dxa"/>
              <w:right w:w="0" w:type="dxa"/>
            </w:tcMar>
            <w:vAlign w:val="bottom"/>
          </w:tcPr>
          <w:p w14:paraId="7DD004FF" w14:textId="77777777" w:rsidR="00C1563E" w:rsidRDefault="000B648B">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7DD00500" w14:textId="77777777" w:rsidR="00C1563E" w:rsidRDefault="00C1563E">
            <w:pPr>
              <w:jc w:val="right"/>
              <w:rPr>
                <w:rFonts w:ascii="宋体"/>
              </w:rPr>
            </w:pPr>
          </w:p>
        </w:tc>
      </w:tr>
      <w:tr w:rsidR="00C1563E" w14:paraId="7DD00505" w14:textId="77777777">
        <w:trPr>
          <w:jc w:val="center"/>
        </w:trPr>
        <w:tc>
          <w:tcPr>
            <w:tcW w:w="0" w:type="auto"/>
            <w:gridSpan w:val="3"/>
            <w:shd w:val="clear" w:color="auto" w:fill="FFFFFF"/>
            <w:tcMar>
              <w:top w:w="40" w:type="dxa"/>
              <w:left w:w="245" w:type="dxa"/>
              <w:bottom w:w="40" w:type="dxa"/>
              <w:right w:w="20" w:type="dxa"/>
            </w:tcMar>
            <w:vAlign w:val="bottom"/>
          </w:tcPr>
          <w:p w14:paraId="7DD00502" w14:textId="77777777" w:rsidR="00C1563E" w:rsidRDefault="000B648B">
            <w:pPr>
              <w:textAlignment w:val="bottom"/>
            </w:pPr>
            <w:r>
              <w:rPr>
                <w:rFonts w:ascii="Times New Roman" w:eastAsia="宋体" w:hAnsi="Times New Roman"/>
                <w:color w:val="000000"/>
                <w:sz w:val="20"/>
                <w:szCs w:val="20"/>
              </w:rPr>
              <w:t>Total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503" w14:textId="77777777" w:rsidR="00C1563E" w:rsidRDefault="000B648B">
            <w:pPr>
              <w:jc w:val="right"/>
              <w:textAlignment w:val="bottom"/>
            </w:pPr>
            <w:r>
              <w:rPr>
                <w:rFonts w:ascii="Times New Roman" w:eastAsia="宋体" w:hAnsi="Times New Roman"/>
                <w:color w:val="000000"/>
                <w:sz w:val="20"/>
                <w:szCs w:val="20"/>
              </w:rPr>
              <w:t>2,301 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504" w14:textId="77777777" w:rsidR="00C1563E" w:rsidRDefault="00C1563E">
            <w:pPr>
              <w:jc w:val="right"/>
              <w:rPr>
                <w:rFonts w:ascii="宋体"/>
              </w:rPr>
            </w:pPr>
          </w:p>
        </w:tc>
      </w:tr>
      <w:tr w:rsidR="00C1563E" w14:paraId="7DD00509" w14:textId="77777777">
        <w:trPr>
          <w:jc w:val="center"/>
        </w:trPr>
        <w:tc>
          <w:tcPr>
            <w:tcW w:w="0" w:type="auto"/>
            <w:gridSpan w:val="3"/>
            <w:shd w:val="clear" w:color="auto" w:fill="CCEEFF"/>
            <w:tcMar>
              <w:top w:w="40" w:type="dxa"/>
              <w:left w:w="20" w:type="dxa"/>
              <w:bottom w:w="40" w:type="dxa"/>
              <w:right w:w="20" w:type="dxa"/>
            </w:tcMar>
            <w:vAlign w:val="bottom"/>
          </w:tcPr>
          <w:p w14:paraId="7DD00506" w14:textId="77777777" w:rsidR="00C1563E" w:rsidRDefault="000B648B">
            <w:pPr>
              <w:textAlignment w:val="bottom"/>
            </w:pPr>
            <w:r>
              <w:rPr>
                <w:rFonts w:ascii="Times New Roman" w:eastAsia="宋体" w:hAnsi="Times New Roman"/>
                <w:color w:val="000000"/>
                <w:sz w:val="20"/>
                <w:szCs w:val="20"/>
              </w:rPr>
              <w:t>Deferred revenue</w:t>
            </w:r>
          </w:p>
        </w:tc>
        <w:tc>
          <w:tcPr>
            <w:tcW w:w="0" w:type="auto"/>
            <w:gridSpan w:val="2"/>
            <w:shd w:val="clear" w:color="auto" w:fill="CCEEFF"/>
            <w:tcMar>
              <w:top w:w="40" w:type="dxa"/>
              <w:left w:w="20" w:type="dxa"/>
              <w:bottom w:w="40" w:type="dxa"/>
              <w:right w:w="0" w:type="dxa"/>
            </w:tcMar>
            <w:vAlign w:val="bottom"/>
          </w:tcPr>
          <w:p w14:paraId="7DD00507" w14:textId="77777777" w:rsidR="00C1563E" w:rsidRDefault="000B648B">
            <w:pPr>
              <w:jc w:val="right"/>
              <w:textAlignment w:val="bottom"/>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bottom"/>
          </w:tcPr>
          <w:p w14:paraId="7DD00508" w14:textId="77777777" w:rsidR="00C1563E" w:rsidRDefault="00C1563E">
            <w:pPr>
              <w:jc w:val="right"/>
              <w:rPr>
                <w:rFonts w:ascii="宋体"/>
              </w:rPr>
            </w:pPr>
          </w:p>
        </w:tc>
      </w:tr>
      <w:tr w:rsidR="00C1563E" w14:paraId="7DD0050D" w14:textId="77777777">
        <w:trPr>
          <w:jc w:val="center"/>
        </w:trPr>
        <w:tc>
          <w:tcPr>
            <w:tcW w:w="0" w:type="auto"/>
            <w:gridSpan w:val="3"/>
            <w:shd w:val="clear" w:color="auto" w:fill="FFFFFF"/>
            <w:tcMar>
              <w:top w:w="40" w:type="dxa"/>
              <w:left w:w="20" w:type="dxa"/>
              <w:bottom w:w="40" w:type="dxa"/>
              <w:right w:w="20" w:type="dxa"/>
            </w:tcMar>
            <w:vAlign w:val="bottom"/>
          </w:tcPr>
          <w:p w14:paraId="7DD0050A" w14:textId="77777777" w:rsidR="00C1563E" w:rsidRDefault="000B648B">
            <w:pPr>
              <w:textAlignment w:val="bottom"/>
            </w:pPr>
            <w:r>
              <w:rPr>
                <w:rFonts w:ascii="Times New Roman" w:eastAsia="宋体" w:hAnsi="Times New Roman"/>
                <w:color w:val="000000"/>
                <w:sz w:val="20"/>
                <w:szCs w:val="20"/>
              </w:rPr>
              <w:t>Other assumed liabilities</w:t>
            </w:r>
          </w:p>
        </w:tc>
        <w:tc>
          <w:tcPr>
            <w:tcW w:w="0" w:type="auto"/>
            <w:gridSpan w:val="2"/>
            <w:shd w:val="clear" w:color="auto" w:fill="FFFFFF"/>
            <w:tcMar>
              <w:top w:w="40" w:type="dxa"/>
              <w:left w:w="20" w:type="dxa"/>
              <w:bottom w:w="40" w:type="dxa"/>
              <w:right w:w="0" w:type="dxa"/>
            </w:tcMar>
            <w:vAlign w:val="bottom"/>
          </w:tcPr>
          <w:p w14:paraId="7DD0050B"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7DD0050C" w14:textId="77777777" w:rsidR="00C1563E" w:rsidRDefault="00C1563E">
            <w:pPr>
              <w:jc w:val="right"/>
              <w:rPr>
                <w:rFonts w:ascii="宋体"/>
              </w:rPr>
            </w:pPr>
          </w:p>
        </w:tc>
      </w:tr>
      <w:tr w:rsidR="00C1563E" w14:paraId="7DD00511" w14:textId="77777777">
        <w:trPr>
          <w:jc w:val="center"/>
        </w:trPr>
        <w:tc>
          <w:tcPr>
            <w:tcW w:w="0" w:type="auto"/>
            <w:gridSpan w:val="3"/>
            <w:shd w:val="clear" w:color="auto" w:fill="CCEEFF"/>
            <w:tcMar>
              <w:top w:w="40" w:type="dxa"/>
              <w:left w:w="245" w:type="dxa"/>
              <w:bottom w:w="40" w:type="dxa"/>
              <w:right w:w="20" w:type="dxa"/>
            </w:tcMar>
            <w:vAlign w:val="bottom"/>
          </w:tcPr>
          <w:p w14:paraId="7DD0050E" w14:textId="77777777" w:rsidR="00C1563E" w:rsidRDefault="000B648B">
            <w:pPr>
              <w:textAlignment w:val="bottom"/>
            </w:pPr>
            <w:r>
              <w:rPr>
                <w:rFonts w:ascii="Times New Roman" w:eastAsia="宋体" w:hAnsi="Times New Roman"/>
                <w:color w:val="000000"/>
                <w:sz w:val="20"/>
                <w:szCs w:val="20"/>
              </w:rPr>
              <w:t>Total liabilities assumed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0F" w14:textId="77777777" w:rsidR="00C1563E" w:rsidRDefault="000B648B">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10" w14:textId="77777777" w:rsidR="00C1563E" w:rsidRDefault="00C1563E">
            <w:pPr>
              <w:jc w:val="right"/>
              <w:rPr>
                <w:rFonts w:ascii="宋体"/>
              </w:rPr>
            </w:pPr>
          </w:p>
        </w:tc>
      </w:tr>
      <w:tr w:rsidR="00C1563E" w14:paraId="7DD00516" w14:textId="77777777">
        <w:trPr>
          <w:jc w:val="center"/>
        </w:trPr>
        <w:tc>
          <w:tcPr>
            <w:tcW w:w="0" w:type="auto"/>
            <w:gridSpan w:val="3"/>
            <w:shd w:val="clear" w:color="auto" w:fill="FFFFFF"/>
            <w:tcMar>
              <w:top w:w="40" w:type="dxa"/>
              <w:left w:w="515" w:type="dxa"/>
              <w:bottom w:w="40" w:type="dxa"/>
              <w:right w:w="20" w:type="dxa"/>
            </w:tcMar>
            <w:vAlign w:val="bottom"/>
          </w:tcPr>
          <w:p w14:paraId="7DD00512" w14:textId="77777777" w:rsidR="00C1563E" w:rsidRDefault="000B648B">
            <w:pPr>
              <w:textAlignment w:val="bottom"/>
            </w:pPr>
            <w:r>
              <w:rPr>
                <w:rFonts w:ascii="Times New Roman" w:eastAsia="宋体" w:hAnsi="Times New Roman"/>
                <w:color w:val="000000"/>
                <w:sz w:val="20"/>
                <w:szCs w:val="20"/>
              </w:rPr>
              <w:t>Fair value of assets acquired and liabilities assumed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51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514" w14:textId="77777777" w:rsidR="00C1563E" w:rsidRDefault="000B648B">
            <w:pPr>
              <w:jc w:val="right"/>
              <w:textAlignment w:val="bottom"/>
            </w:pPr>
            <w:r>
              <w:rPr>
                <w:rFonts w:ascii="Times New Roman" w:eastAsia="宋体" w:hAnsi="Times New Roman"/>
                <w:color w:val="000000"/>
                <w:sz w:val="20"/>
                <w:szCs w:val="20"/>
              </w:rPr>
              <w:t>2,105 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515" w14:textId="77777777" w:rsidR="00C1563E" w:rsidRDefault="00C1563E">
            <w:pPr>
              <w:jc w:val="right"/>
              <w:rPr>
                <w:rFonts w:ascii="宋体"/>
              </w:rPr>
            </w:pPr>
          </w:p>
        </w:tc>
      </w:tr>
    </w:tbl>
    <w:p w14:paraId="7DD00517" w14:textId="77777777" w:rsidR="00C1563E" w:rsidRDefault="00C1563E"/>
    <w:p w14:paraId="7DD00518" w14:textId="77777777" w:rsidR="00C1563E" w:rsidRDefault="000B648B">
      <w:pPr>
        <w:spacing w:after="120"/>
      </w:pPr>
      <w:r>
        <w:rPr>
          <w:rFonts w:ascii="Times New Roman" w:eastAsia="宋体" w:hAnsi="Times New Roman"/>
          <w:color w:val="000000"/>
          <w:sz w:val="20"/>
          <w:szCs w:val="20"/>
        </w:rPr>
        <w:t>The following table summarizes the components of the intangible assets acquired and their estimated useful lives by VMware, Inc. in conjunction with the acquisition:</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4646"/>
        <w:gridCol w:w="38"/>
        <w:gridCol w:w="80"/>
        <w:gridCol w:w="1571"/>
        <w:gridCol w:w="36"/>
        <w:gridCol w:w="36"/>
        <w:gridCol w:w="36"/>
        <w:gridCol w:w="36"/>
        <w:gridCol w:w="121"/>
        <w:gridCol w:w="1600"/>
        <w:gridCol w:w="36"/>
      </w:tblGrid>
      <w:tr w:rsidR="00C1563E" w14:paraId="7DD00525" w14:textId="77777777">
        <w:trPr>
          <w:jc w:val="center"/>
        </w:trPr>
        <w:tc>
          <w:tcPr>
            <w:tcW w:w="50" w:type="pct"/>
            <w:shd w:val="clear" w:color="auto" w:fill="auto"/>
          </w:tcPr>
          <w:p w14:paraId="7DD00519" w14:textId="77777777" w:rsidR="00C1563E" w:rsidRDefault="00C1563E">
            <w:pPr>
              <w:rPr>
                <w:rFonts w:ascii="宋体"/>
              </w:rPr>
            </w:pPr>
          </w:p>
        </w:tc>
        <w:tc>
          <w:tcPr>
            <w:tcW w:w="2819" w:type="pct"/>
            <w:shd w:val="clear" w:color="auto" w:fill="auto"/>
          </w:tcPr>
          <w:p w14:paraId="7DD0051A" w14:textId="77777777" w:rsidR="00C1563E" w:rsidRDefault="00C1563E">
            <w:pPr>
              <w:rPr>
                <w:rFonts w:ascii="宋体"/>
              </w:rPr>
            </w:pPr>
          </w:p>
        </w:tc>
        <w:tc>
          <w:tcPr>
            <w:tcW w:w="5" w:type="pct"/>
            <w:shd w:val="clear" w:color="auto" w:fill="auto"/>
          </w:tcPr>
          <w:p w14:paraId="7DD0051B" w14:textId="77777777" w:rsidR="00C1563E" w:rsidRDefault="00C1563E">
            <w:pPr>
              <w:rPr>
                <w:rFonts w:ascii="宋体"/>
              </w:rPr>
            </w:pPr>
          </w:p>
        </w:tc>
        <w:tc>
          <w:tcPr>
            <w:tcW w:w="50" w:type="pct"/>
            <w:shd w:val="clear" w:color="auto" w:fill="auto"/>
          </w:tcPr>
          <w:p w14:paraId="7DD0051C" w14:textId="77777777" w:rsidR="00C1563E" w:rsidRDefault="00C1563E">
            <w:pPr>
              <w:rPr>
                <w:rFonts w:ascii="宋体"/>
              </w:rPr>
            </w:pPr>
          </w:p>
        </w:tc>
        <w:tc>
          <w:tcPr>
            <w:tcW w:w="981" w:type="pct"/>
            <w:shd w:val="clear" w:color="auto" w:fill="auto"/>
          </w:tcPr>
          <w:p w14:paraId="7DD0051D" w14:textId="77777777" w:rsidR="00C1563E" w:rsidRDefault="00C1563E">
            <w:pPr>
              <w:rPr>
                <w:rFonts w:ascii="宋体"/>
              </w:rPr>
            </w:pPr>
          </w:p>
        </w:tc>
        <w:tc>
          <w:tcPr>
            <w:tcW w:w="5" w:type="pct"/>
            <w:shd w:val="clear" w:color="auto" w:fill="auto"/>
          </w:tcPr>
          <w:p w14:paraId="7DD0051E" w14:textId="77777777" w:rsidR="00C1563E" w:rsidRDefault="00C1563E">
            <w:pPr>
              <w:rPr>
                <w:rFonts w:ascii="宋体"/>
              </w:rPr>
            </w:pPr>
          </w:p>
        </w:tc>
        <w:tc>
          <w:tcPr>
            <w:tcW w:w="5" w:type="pct"/>
            <w:shd w:val="clear" w:color="auto" w:fill="auto"/>
          </w:tcPr>
          <w:p w14:paraId="7DD0051F" w14:textId="77777777" w:rsidR="00C1563E" w:rsidRDefault="00C1563E">
            <w:pPr>
              <w:rPr>
                <w:rFonts w:ascii="宋体"/>
              </w:rPr>
            </w:pPr>
          </w:p>
        </w:tc>
        <w:tc>
          <w:tcPr>
            <w:tcW w:w="26" w:type="pct"/>
            <w:shd w:val="clear" w:color="auto" w:fill="auto"/>
          </w:tcPr>
          <w:p w14:paraId="7DD00520" w14:textId="77777777" w:rsidR="00C1563E" w:rsidRDefault="00C1563E">
            <w:pPr>
              <w:rPr>
                <w:rFonts w:ascii="宋体"/>
              </w:rPr>
            </w:pPr>
          </w:p>
        </w:tc>
        <w:tc>
          <w:tcPr>
            <w:tcW w:w="5" w:type="pct"/>
            <w:shd w:val="clear" w:color="auto" w:fill="auto"/>
          </w:tcPr>
          <w:p w14:paraId="7DD00521" w14:textId="77777777" w:rsidR="00C1563E" w:rsidRDefault="00C1563E">
            <w:pPr>
              <w:rPr>
                <w:rFonts w:ascii="宋体"/>
              </w:rPr>
            </w:pPr>
          </w:p>
        </w:tc>
        <w:tc>
          <w:tcPr>
            <w:tcW w:w="50" w:type="pct"/>
            <w:shd w:val="clear" w:color="auto" w:fill="auto"/>
          </w:tcPr>
          <w:p w14:paraId="7DD00522" w14:textId="77777777" w:rsidR="00C1563E" w:rsidRDefault="00C1563E">
            <w:pPr>
              <w:rPr>
                <w:rFonts w:ascii="宋体"/>
              </w:rPr>
            </w:pPr>
          </w:p>
        </w:tc>
        <w:tc>
          <w:tcPr>
            <w:tcW w:w="996" w:type="pct"/>
            <w:shd w:val="clear" w:color="auto" w:fill="auto"/>
          </w:tcPr>
          <w:p w14:paraId="7DD00523" w14:textId="77777777" w:rsidR="00C1563E" w:rsidRDefault="00C1563E">
            <w:pPr>
              <w:rPr>
                <w:rFonts w:ascii="宋体"/>
              </w:rPr>
            </w:pPr>
          </w:p>
        </w:tc>
        <w:tc>
          <w:tcPr>
            <w:tcW w:w="5" w:type="pct"/>
            <w:shd w:val="clear" w:color="auto" w:fill="auto"/>
          </w:tcPr>
          <w:p w14:paraId="7DD00524" w14:textId="77777777" w:rsidR="00C1563E" w:rsidRDefault="00C1563E">
            <w:pPr>
              <w:rPr>
                <w:rFonts w:ascii="宋体"/>
              </w:rPr>
            </w:pPr>
          </w:p>
        </w:tc>
      </w:tr>
      <w:tr w:rsidR="00C1563E" w14:paraId="7DD0052A" w14:textId="77777777">
        <w:trPr>
          <w:jc w:val="center"/>
        </w:trPr>
        <w:tc>
          <w:tcPr>
            <w:tcW w:w="0" w:type="auto"/>
            <w:gridSpan w:val="3"/>
            <w:shd w:val="clear" w:color="auto" w:fill="FFFFFF"/>
            <w:tcMar>
              <w:top w:w="0" w:type="dxa"/>
              <w:left w:w="20" w:type="dxa"/>
              <w:bottom w:w="0" w:type="dxa"/>
              <w:right w:w="20" w:type="dxa"/>
            </w:tcMar>
          </w:tcPr>
          <w:p w14:paraId="7DD00526"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527" w14:textId="77777777" w:rsidR="00C1563E" w:rsidRDefault="000B648B">
            <w:pPr>
              <w:spacing w:before="40" w:after="40"/>
              <w:jc w:val="center"/>
              <w:textAlignment w:val="bottom"/>
            </w:pPr>
            <w:r>
              <w:rPr>
                <w:rFonts w:ascii="Times New Roman" w:eastAsia="宋体" w:hAnsi="Times New Roman"/>
                <w:b/>
                <w:bCs/>
                <w:color w:val="000000"/>
                <w:sz w:val="20"/>
                <w:szCs w:val="20"/>
              </w:rPr>
              <w:t>Weighted-Average Useful Lives</w:t>
            </w:r>
          </w:p>
        </w:tc>
        <w:tc>
          <w:tcPr>
            <w:tcW w:w="0" w:type="auto"/>
            <w:gridSpan w:val="3"/>
            <w:shd w:val="clear" w:color="auto" w:fill="FFFFFF"/>
            <w:tcMar>
              <w:top w:w="0" w:type="dxa"/>
              <w:left w:w="20" w:type="dxa"/>
              <w:bottom w:w="0" w:type="dxa"/>
              <w:right w:w="20" w:type="dxa"/>
            </w:tcMar>
          </w:tcPr>
          <w:p w14:paraId="7DD00528"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529" w14:textId="77777777" w:rsidR="00C1563E" w:rsidRDefault="000B648B">
            <w:pPr>
              <w:jc w:val="center"/>
              <w:textAlignment w:val="bottom"/>
            </w:pPr>
            <w:r>
              <w:rPr>
                <w:rFonts w:ascii="Times New Roman" w:eastAsia="宋体" w:hAnsi="Times New Roman"/>
                <w:b/>
                <w:bCs/>
                <w:color w:val="000000"/>
                <w:sz w:val="20"/>
                <w:szCs w:val="20"/>
              </w:rPr>
              <w:t>Fair Value Amount</w:t>
            </w:r>
          </w:p>
        </w:tc>
      </w:tr>
      <w:tr w:rsidR="00C1563E" w14:paraId="7DD0052F" w14:textId="77777777">
        <w:trPr>
          <w:jc w:val="center"/>
        </w:trPr>
        <w:tc>
          <w:tcPr>
            <w:tcW w:w="0" w:type="auto"/>
            <w:gridSpan w:val="3"/>
            <w:shd w:val="clear" w:color="auto" w:fill="FFFFFF"/>
            <w:tcMar>
              <w:top w:w="0" w:type="dxa"/>
              <w:left w:w="20" w:type="dxa"/>
              <w:bottom w:w="0" w:type="dxa"/>
              <w:right w:w="20" w:type="dxa"/>
            </w:tcMar>
          </w:tcPr>
          <w:p w14:paraId="7DD0052B" w14:textId="77777777" w:rsidR="00C1563E" w:rsidRDefault="00C1563E">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DD0052C" w14:textId="77777777" w:rsidR="00C1563E" w:rsidRDefault="000B648B">
            <w:pPr>
              <w:jc w:val="center"/>
              <w:textAlignment w:val="bottom"/>
            </w:pPr>
            <w:r>
              <w:rPr>
                <w:rFonts w:ascii="Times New Roman" w:eastAsia="宋体" w:hAnsi="Times New Roman"/>
                <w:color w:val="000000"/>
                <w:sz w:val="20"/>
                <w:szCs w:val="20"/>
              </w:rPr>
              <w:t>(in years)</w:t>
            </w:r>
          </w:p>
        </w:tc>
        <w:tc>
          <w:tcPr>
            <w:tcW w:w="0" w:type="auto"/>
            <w:gridSpan w:val="3"/>
            <w:shd w:val="clear" w:color="auto" w:fill="FFFFFF"/>
            <w:tcMar>
              <w:top w:w="0" w:type="dxa"/>
              <w:left w:w="20" w:type="dxa"/>
              <w:bottom w:w="0" w:type="dxa"/>
              <w:right w:w="20" w:type="dxa"/>
            </w:tcMar>
          </w:tcPr>
          <w:p w14:paraId="7DD0052D" w14:textId="77777777" w:rsidR="00C1563E" w:rsidRDefault="00C1563E">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DD0052E"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536" w14:textId="77777777">
        <w:trPr>
          <w:jc w:val="center"/>
        </w:trPr>
        <w:tc>
          <w:tcPr>
            <w:tcW w:w="0" w:type="auto"/>
            <w:gridSpan w:val="3"/>
            <w:shd w:val="clear" w:color="auto" w:fill="CCEEFF"/>
            <w:tcMar>
              <w:top w:w="40" w:type="dxa"/>
              <w:left w:w="20" w:type="dxa"/>
              <w:bottom w:w="40" w:type="dxa"/>
              <w:right w:w="20" w:type="dxa"/>
            </w:tcMar>
            <w:vAlign w:val="bottom"/>
          </w:tcPr>
          <w:p w14:paraId="7DD00530" w14:textId="77777777" w:rsidR="00C1563E" w:rsidRDefault="000B648B">
            <w:pPr>
              <w:textAlignment w:val="bottom"/>
            </w:pPr>
            <w:r>
              <w:rPr>
                <w:rFonts w:ascii="Times New Roman" w:eastAsia="宋体" w:hAnsi="Times New Roman"/>
                <w:color w:val="000000"/>
                <w:sz w:val="20"/>
                <w:szCs w:val="20"/>
              </w:rPr>
              <w:t>Purchased technology</w:t>
            </w:r>
          </w:p>
        </w:tc>
        <w:tc>
          <w:tcPr>
            <w:tcW w:w="0" w:type="auto"/>
            <w:gridSpan w:val="3"/>
            <w:shd w:val="clear" w:color="auto" w:fill="CCEEFF"/>
            <w:tcMar>
              <w:top w:w="40" w:type="dxa"/>
              <w:left w:w="20" w:type="dxa"/>
              <w:bottom w:w="40" w:type="dxa"/>
              <w:right w:w="20" w:type="dxa"/>
            </w:tcMar>
            <w:vAlign w:val="bottom"/>
          </w:tcPr>
          <w:p w14:paraId="7DD00531" w14:textId="77777777" w:rsidR="00C1563E" w:rsidRDefault="000B648B">
            <w:pPr>
              <w:jc w:val="center"/>
              <w:textAlignment w:val="bottom"/>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tcPr>
          <w:p w14:paraId="7DD0053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53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34" w14:textId="77777777" w:rsidR="00C1563E" w:rsidRDefault="000B648B">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7DD00535" w14:textId="77777777" w:rsidR="00C1563E" w:rsidRDefault="00C1563E">
            <w:pPr>
              <w:jc w:val="right"/>
              <w:rPr>
                <w:rFonts w:ascii="宋体"/>
              </w:rPr>
            </w:pPr>
          </w:p>
        </w:tc>
      </w:tr>
      <w:tr w:rsidR="00C1563E" w14:paraId="7DD0053C" w14:textId="77777777">
        <w:trPr>
          <w:jc w:val="center"/>
        </w:trPr>
        <w:tc>
          <w:tcPr>
            <w:tcW w:w="0" w:type="auto"/>
            <w:gridSpan w:val="3"/>
            <w:shd w:val="clear" w:color="auto" w:fill="FFFFFF"/>
            <w:tcMar>
              <w:top w:w="40" w:type="dxa"/>
              <w:left w:w="20" w:type="dxa"/>
              <w:bottom w:w="40" w:type="dxa"/>
              <w:right w:w="20" w:type="dxa"/>
            </w:tcMar>
            <w:vAlign w:val="bottom"/>
          </w:tcPr>
          <w:p w14:paraId="7DD00537" w14:textId="77777777" w:rsidR="00C1563E" w:rsidRDefault="000B648B">
            <w:pPr>
              <w:textAlignment w:val="bottom"/>
            </w:pPr>
            <w:r>
              <w:rPr>
                <w:rFonts w:ascii="Times New Roman" w:eastAsia="宋体" w:hAnsi="Times New Roman"/>
                <w:color w:val="000000"/>
                <w:sz w:val="20"/>
                <w:szCs w:val="20"/>
              </w:rPr>
              <w:t>Customer relationships and customer lists</w:t>
            </w:r>
          </w:p>
        </w:tc>
        <w:tc>
          <w:tcPr>
            <w:tcW w:w="0" w:type="auto"/>
            <w:gridSpan w:val="3"/>
            <w:shd w:val="clear" w:color="auto" w:fill="FFFFFF"/>
            <w:tcMar>
              <w:top w:w="40" w:type="dxa"/>
              <w:left w:w="20" w:type="dxa"/>
              <w:bottom w:w="40" w:type="dxa"/>
              <w:right w:w="20" w:type="dxa"/>
            </w:tcMar>
            <w:vAlign w:val="bottom"/>
          </w:tcPr>
          <w:p w14:paraId="7DD00538" w14:textId="77777777" w:rsidR="00C1563E" w:rsidRDefault="000B648B">
            <w:pPr>
              <w:jc w:val="center"/>
              <w:textAlignment w:val="bottom"/>
            </w:pPr>
            <w:r>
              <w:rPr>
                <w:rFonts w:ascii="Times New Roman" w:eastAsia="宋体" w:hAnsi="Times New Roman"/>
                <w:color w:val="000000"/>
                <w:sz w:val="20"/>
                <w:szCs w:val="20"/>
              </w:rPr>
              <w:t>7.0</w:t>
            </w:r>
          </w:p>
        </w:tc>
        <w:tc>
          <w:tcPr>
            <w:tcW w:w="0" w:type="auto"/>
            <w:gridSpan w:val="3"/>
            <w:shd w:val="clear" w:color="auto" w:fill="FFFFFF"/>
            <w:tcMar>
              <w:top w:w="0" w:type="dxa"/>
              <w:left w:w="20" w:type="dxa"/>
              <w:bottom w:w="0" w:type="dxa"/>
              <w:right w:w="20" w:type="dxa"/>
            </w:tcMar>
          </w:tcPr>
          <w:p w14:paraId="7DD0053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3A" w14:textId="77777777" w:rsidR="00C1563E" w:rsidRDefault="000B648B">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7DD0053B" w14:textId="77777777" w:rsidR="00C1563E" w:rsidRDefault="00C1563E">
            <w:pPr>
              <w:jc w:val="right"/>
              <w:rPr>
                <w:rFonts w:ascii="宋体"/>
              </w:rPr>
            </w:pPr>
          </w:p>
        </w:tc>
      </w:tr>
      <w:tr w:rsidR="00C1563E" w14:paraId="7DD00542" w14:textId="77777777">
        <w:trPr>
          <w:jc w:val="center"/>
        </w:trPr>
        <w:tc>
          <w:tcPr>
            <w:tcW w:w="0" w:type="auto"/>
            <w:gridSpan w:val="3"/>
            <w:shd w:val="clear" w:color="auto" w:fill="CCEEFF"/>
            <w:tcMar>
              <w:top w:w="40" w:type="dxa"/>
              <w:left w:w="20" w:type="dxa"/>
              <w:bottom w:w="40" w:type="dxa"/>
              <w:right w:w="20" w:type="dxa"/>
            </w:tcMar>
            <w:vAlign w:val="bottom"/>
          </w:tcPr>
          <w:p w14:paraId="7DD0053D" w14:textId="77777777" w:rsidR="00C1563E" w:rsidRDefault="000B648B">
            <w:pPr>
              <w:textAlignment w:val="bottom"/>
            </w:pPr>
            <w:r>
              <w:rPr>
                <w:rFonts w:ascii="Times New Roman" w:eastAsia="宋体" w:hAnsi="Times New Roman"/>
                <w:color w:val="000000"/>
                <w:sz w:val="20"/>
                <w:szCs w:val="20"/>
              </w:rPr>
              <w:t>Trademarks and tradenames</w:t>
            </w:r>
          </w:p>
        </w:tc>
        <w:tc>
          <w:tcPr>
            <w:tcW w:w="0" w:type="auto"/>
            <w:gridSpan w:val="3"/>
            <w:shd w:val="clear" w:color="auto" w:fill="CCEEFF"/>
            <w:tcMar>
              <w:top w:w="40" w:type="dxa"/>
              <w:left w:w="20" w:type="dxa"/>
              <w:bottom w:w="40" w:type="dxa"/>
              <w:right w:w="20" w:type="dxa"/>
            </w:tcMar>
            <w:vAlign w:val="bottom"/>
          </w:tcPr>
          <w:p w14:paraId="7DD0053E" w14:textId="77777777" w:rsidR="00C1563E" w:rsidRDefault="000B648B">
            <w:pPr>
              <w:jc w:val="center"/>
              <w:textAlignment w:val="bottom"/>
            </w:pPr>
            <w:r>
              <w:rPr>
                <w:rFonts w:ascii="Times New Roman" w:eastAsia="宋体" w:hAnsi="Times New Roman"/>
                <w:color w:val="000000"/>
                <w:sz w:val="20"/>
                <w:szCs w:val="20"/>
              </w:rPr>
              <w:t>5.0</w:t>
            </w:r>
          </w:p>
        </w:tc>
        <w:tc>
          <w:tcPr>
            <w:tcW w:w="0" w:type="auto"/>
            <w:gridSpan w:val="3"/>
            <w:shd w:val="clear" w:color="auto" w:fill="CCEEFF"/>
            <w:tcMar>
              <w:top w:w="0" w:type="dxa"/>
              <w:left w:w="20" w:type="dxa"/>
              <w:bottom w:w="0" w:type="dxa"/>
              <w:right w:w="20" w:type="dxa"/>
            </w:tcMar>
          </w:tcPr>
          <w:p w14:paraId="7DD0053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540" w14:textId="77777777" w:rsidR="00C1563E" w:rsidRDefault="000B648B">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7DD00541" w14:textId="77777777" w:rsidR="00C1563E" w:rsidRDefault="00C1563E">
            <w:pPr>
              <w:jc w:val="right"/>
              <w:rPr>
                <w:rFonts w:ascii="宋体"/>
              </w:rPr>
            </w:pPr>
          </w:p>
        </w:tc>
      </w:tr>
      <w:tr w:rsidR="00C1563E" w14:paraId="7DD00548" w14:textId="77777777">
        <w:trPr>
          <w:jc w:val="center"/>
        </w:trPr>
        <w:tc>
          <w:tcPr>
            <w:tcW w:w="0" w:type="auto"/>
            <w:gridSpan w:val="3"/>
            <w:shd w:val="clear" w:color="auto" w:fill="FFFFFF"/>
            <w:tcMar>
              <w:top w:w="40" w:type="dxa"/>
              <w:left w:w="20" w:type="dxa"/>
              <w:bottom w:w="40" w:type="dxa"/>
              <w:right w:w="20" w:type="dxa"/>
            </w:tcMar>
            <w:vAlign w:val="bottom"/>
          </w:tcPr>
          <w:p w14:paraId="7DD00543" w14:textId="77777777" w:rsidR="00C1563E" w:rsidRDefault="000B648B">
            <w:pPr>
              <w:textAlignment w:val="bottom"/>
            </w:pPr>
            <w:r>
              <w:rPr>
                <w:rFonts w:ascii="Times New Roman" w:eastAsia="宋体" w:hAnsi="Times New Roman"/>
                <w:color w:val="000000"/>
                <w:sz w:val="20"/>
                <w:szCs w:val="20"/>
              </w:rPr>
              <w:t>Other</w:t>
            </w:r>
          </w:p>
        </w:tc>
        <w:tc>
          <w:tcPr>
            <w:tcW w:w="0" w:type="auto"/>
            <w:gridSpan w:val="3"/>
            <w:shd w:val="clear" w:color="auto" w:fill="FFFFFF"/>
            <w:tcMar>
              <w:top w:w="40" w:type="dxa"/>
              <w:left w:w="20" w:type="dxa"/>
              <w:bottom w:w="40" w:type="dxa"/>
              <w:right w:w="20" w:type="dxa"/>
            </w:tcMar>
            <w:vAlign w:val="bottom"/>
          </w:tcPr>
          <w:p w14:paraId="7DD00544" w14:textId="77777777" w:rsidR="00C1563E" w:rsidRDefault="000B648B">
            <w:pPr>
              <w:jc w:val="center"/>
              <w:textAlignment w:val="bottom"/>
            </w:pPr>
            <w:r>
              <w:rPr>
                <w:rFonts w:ascii="Times New Roman" w:eastAsia="宋体" w:hAnsi="Times New Roman"/>
                <w:color w:val="000000"/>
                <w:sz w:val="20"/>
                <w:szCs w:val="20"/>
              </w:rPr>
              <w:t>2.0</w:t>
            </w:r>
          </w:p>
        </w:tc>
        <w:tc>
          <w:tcPr>
            <w:tcW w:w="0" w:type="auto"/>
            <w:gridSpan w:val="3"/>
            <w:shd w:val="clear" w:color="auto" w:fill="FFFFFF"/>
            <w:tcMar>
              <w:top w:w="0" w:type="dxa"/>
              <w:left w:w="20" w:type="dxa"/>
              <w:bottom w:w="0" w:type="dxa"/>
              <w:right w:w="20" w:type="dxa"/>
            </w:tcMar>
          </w:tcPr>
          <w:p w14:paraId="7DD0054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46"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DD00547" w14:textId="77777777" w:rsidR="00C1563E" w:rsidRDefault="00C1563E">
            <w:pPr>
              <w:jc w:val="right"/>
              <w:rPr>
                <w:rFonts w:ascii="宋体"/>
              </w:rPr>
            </w:pPr>
          </w:p>
        </w:tc>
      </w:tr>
      <w:tr w:rsidR="00C1563E" w14:paraId="7DD0054F" w14:textId="77777777">
        <w:trPr>
          <w:jc w:val="center"/>
        </w:trPr>
        <w:tc>
          <w:tcPr>
            <w:tcW w:w="0" w:type="auto"/>
            <w:gridSpan w:val="3"/>
            <w:shd w:val="clear" w:color="auto" w:fill="CCEEFF"/>
            <w:tcMar>
              <w:top w:w="40" w:type="dxa"/>
              <w:left w:w="245" w:type="dxa"/>
              <w:bottom w:w="40" w:type="dxa"/>
              <w:right w:w="20" w:type="dxa"/>
            </w:tcMar>
            <w:vAlign w:val="bottom"/>
          </w:tcPr>
          <w:p w14:paraId="7DD00549" w14:textId="77777777" w:rsidR="00C1563E" w:rsidRDefault="000B648B">
            <w:pPr>
              <w:textAlignment w:val="bottom"/>
            </w:pPr>
            <w:r>
              <w:rPr>
                <w:rFonts w:ascii="Times New Roman" w:eastAsia="宋体" w:hAnsi="Times New Roman"/>
                <w:color w:val="000000"/>
                <w:sz w:val="20"/>
                <w:szCs w:val="20"/>
              </w:rPr>
              <w:t xml:space="preserve">Total definite-lived </w:t>
            </w:r>
            <w:r>
              <w:rPr>
                <w:rFonts w:ascii="Times New Roman" w:eastAsia="宋体" w:hAnsi="Times New Roman"/>
                <w:color w:val="000000"/>
                <w:sz w:val="20"/>
                <w:szCs w:val="20"/>
              </w:rPr>
              <w:t>intangible assets</w:t>
            </w:r>
          </w:p>
        </w:tc>
        <w:tc>
          <w:tcPr>
            <w:tcW w:w="0" w:type="auto"/>
            <w:gridSpan w:val="3"/>
            <w:shd w:val="clear" w:color="auto" w:fill="CCEEFF"/>
            <w:tcMar>
              <w:top w:w="0" w:type="dxa"/>
              <w:left w:w="20" w:type="dxa"/>
              <w:bottom w:w="0" w:type="dxa"/>
              <w:right w:w="20" w:type="dxa"/>
            </w:tcMar>
          </w:tcPr>
          <w:p w14:paraId="7DD0054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54B"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54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54D" w14:textId="77777777" w:rsidR="00C1563E" w:rsidRDefault="000B648B">
            <w:pPr>
              <w:jc w:val="right"/>
              <w:textAlignment w:val="bottom"/>
            </w:pPr>
            <w:r>
              <w:rPr>
                <w:rFonts w:ascii="Times New Roman" w:eastAsia="宋体" w:hAnsi="Times New Roman"/>
                <w:color w:val="000000"/>
                <w:sz w:val="20"/>
                <w:szCs w:val="20"/>
              </w:rPr>
              <w:t>492 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54E" w14:textId="77777777" w:rsidR="00C1563E" w:rsidRDefault="00C1563E">
            <w:pPr>
              <w:jc w:val="right"/>
              <w:rPr>
                <w:rFonts w:ascii="宋体"/>
              </w:rPr>
            </w:pPr>
          </w:p>
        </w:tc>
      </w:tr>
    </w:tbl>
    <w:p w14:paraId="7DD00550" w14:textId="77777777" w:rsidR="00C1563E" w:rsidRDefault="00C1563E">
      <w:pPr>
        <w:jc w:val="center"/>
      </w:pPr>
    </w:p>
    <w:p w14:paraId="7DD00551" w14:textId="77777777" w:rsidR="00C1563E" w:rsidRDefault="000B648B">
      <w:pPr>
        <w:jc w:val="center"/>
      </w:pPr>
      <w:r>
        <w:rPr>
          <w:rFonts w:ascii="Times New Roman" w:eastAsia="宋体" w:hAnsi="Times New Roman"/>
          <w:color w:val="000000"/>
          <w:sz w:val="20"/>
          <w:szCs w:val="20"/>
        </w:rPr>
        <w:t>120</w:t>
      </w:r>
    </w:p>
    <w:p w14:paraId="7DD00552" w14:textId="77777777" w:rsidR="00C1563E" w:rsidRDefault="00C1563E">
      <w:pPr>
        <w:jc w:val="center"/>
      </w:pPr>
    </w:p>
    <w:p w14:paraId="7DD00553" w14:textId="77777777" w:rsidR="00C1563E" w:rsidRDefault="000B648B">
      <w:r>
        <w:pict w14:anchorId="7DD025E2">
          <v:rect id="_x0000_i1144" style="width:415.3pt;height:1.5pt" o:hralign="center" o:hrstd="t" o:hr="t" fillcolor="#a0a0a0" stroked="f"/>
        </w:pict>
      </w:r>
    </w:p>
    <w:p w14:paraId="7DD00554" w14:textId="77777777" w:rsidR="00C1563E" w:rsidRDefault="000B648B">
      <w:hyperlink r:id="rId303" w:anchor="i418e32e4a35149ffbf7d3a25d66881b8_10" w:history="1">
        <w:r>
          <w:rPr>
            <w:rStyle w:val="a5"/>
            <w:rFonts w:ascii="Times New Roman" w:eastAsia="宋体" w:hAnsi="Times New Roman"/>
            <w:sz w:val="20"/>
            <w:szCs w:val="20"/>
          </w:rPr>
          <w:t>Table of Contents</w:t>
        </w:r>
      </w:hyperlink>
    </w:p>
    <w:p w14:paraId="7DD00555" w14:textId="77777777" w:rsidR="00C1563E" w:rsidRDefault="00C1563E"/>
    <w:p w14:paraId="7DD00556" w14:textId="77777777" w:rsidR="00C1563E" w:rsidRDefault="000B648B">
      <w:r>
        <w:rPr>
          <w:rFonts w:ascii="Times New Roman" w:eastAsia="宋体" w:hAnsi="Times New Roman"/>
          <w:color w:val="000000"/>
          <w:sz w:val="20"/>
          <w:szCs w:val="20"/>
        </w:rPr>
        <w:t xml:space="preserve">The excess of the purchase consideration over the fair value of net </w:t>
      </w:r>
      <w:r>
        <w:rPr>
          <w:rFonts w:ascii="Times New Roman" w:eastAsia="宋体" w:hAnsi="Times New Roman"/>
          <w:color w:val="000000"/>
          <w:sz w:val="20"/>
          <w:szCs w:val="20"/>
        </w:rPr>
        <w:t>tangible and identifiable intangible assets acquired was recorded as goodwill. The estimated fair value assigned to the tangible assets, identifiable intangible assets, and assumed liabilities were based on VMware, Inc. management's estimates and assumptio</w:t>
      </w:r>
      <w:r>
        <w:rPr>
          <w:rFonts w:ascii="Times New Roman" w:eastAsia="宋体" w:hAnsi="Times New Roman"/>
          <w:color w:val="000000"/>
          <w:sz w:val="20"/>
          <w:szCs w:val="20"/>
        </w:rPr>
        <w:t>ns. Goodwill and identifiable intangible assets were not deductible for tax purposes.</w:t>
      </w:r>
    </w:p>
    <w:p w14:paraId="7DD00557" w14:textId="77777777" w:rsidR="00C1563E" w:rsidRDefault="00C1563E"/>
    <w:p w14:paraId="7DD00558" w14:textId="77777777" w:rsidR="00C1563E" w:rsidRDefault="000B648B">
      <w:r>
        <w:rPr>
          <w:rFonts w:ascii="Times New Roman" w:eastAsia="宋体" w:hAnsi="Times New Roman"/>
          <w:i/>
          <w:iCs/>
          <w:color w:val="000000"/>
          <w:sz w:val="20"/>
          <w:szCs w:val="20"/>
          <w:u w:val="single"/>
        </w:rPr>
        <w:t>Other VMware, Inc. Acquisitions</w:t>
      </w:r>
    </w:p>
    <w:p w14:paraId="7DD00559" w14:textId="77777777" w:rsidR="00C1563E" w:rsidRDefault="00C1563E"/>
    <w:p w14:paraId="7DD0055A" w14:textId="77777777" w:rsidR="00C1563E" w:rsidRDefault="000B648B">
      <w:r>
        <w:rPr>
          <w:rFonts w:ascii="Times New Roman" w:eastAsia="宋体" w:hAnsi="Times New Roman"/>
          <w:color w:val="000000"/>
          <w:sz w:val="20"/>
          <w:szCs w:val="20"/>
        </w:rPr>
        <w:t>During the fiscal year ended January 31, 2020, VMware, Inc. completed the acquisition of Avi Networks, Inc., a provider of multi-cloud a</w:t>
      </w:r>
      <w:r>
        <w:rPr>
          <w:rFonts w:ascii="Times New Roman" w:eastAsia="宋体" w:hAnsi="Times New Roman"/>
          <w:color w:val="000000"/>
          <w:sz w:val="20"/>
          <w:szCs w:val="20"/>
        </w:rPr>
        <w:t>pplication delivery services. Together, VMware, Inc. and Avi Networks, Inc. expect to deliver a software defined networking stack built for the multi-cloud environment. The total purchase price was $326 million, net of cash acquired of $9 million. The purc</w:t>
      </w:r>
      <w:r>
        <w:rPr>
          <w:rFonts w:ascii="Times New Roman" w:eastAsia="宋体" w:hAnsi="Times New Roman"/>
          <w:color w:val="000000"/>
          <w:sz w:val="20"/>
          <w:szCs w:val="20"/>
        </w:rPr>
        <w:t xml:space="preserve">hase price primarily included $94 million of identifiable intangible assets and $228 million of goodwill that was not deductible for tax purposes. </w:t>
      </w:r>
    </w:p>
    <w:p w14:paraId="7DD0055B" w14:textId="77777777" w:rsidR="00C1563E" w:rsidRDefault="00C1563E"/>
    <w:p w14:paraId="7DD0055C" w14:textId="77777777" w:rsidR="00C1563E" w:rsidRDefault="000B648B">
      <w:r>
        <w:rPr>
          <w:rFonts w:ascii="Times New Roman" w:eastAsia="宋体" w:hAnsi="Times New Roman"/>
          <w:color w:val="000000"/>
          <w:sz w:val="20"/>
          <w:szCs w:val="20"/>
        </w:rPr>
        <w:t>VMware, Inc. completed other acquisitions during the fiscal year ended January 31, 2020 which were not mate</w:t>
      </w:r>
      <w:r>
        <w:rPr>
          <w:rFonts w:ascii="Times New Roman" w:eastAsia="宋体" w:hAnsi="Times New Roman"/>
          <w:color w:val="000000"/>
          <w:sz w:val="20"/>
          <w:szCs w:val="20"/>
        </w:rPr>
        <w:t>rial, individually or in aggregate, to the Consolidated Financial Statements. VMware, Inc. expects that these acquisitions will enhance its product features and capabilities for its software-defined data center solutions and software-as-a-service offerings</w:t>
      </w:r>
      <w:r>
        <w:rPr>
          <w:rFonts w:ascii="Times New Roman" w:eastAsia="宋体" w:hAnsi="Times New Roman"/>
          <w:color w:val="000000"/>
          <w:sz w:val="20"/>
          <w:szCs w:val="20"/>
        </w:rPr>
        <w:t>.</w:t>
      </w:r>
    </w:p>
    <w:p w14:paraId="7DD0055D" w14:textId="77777777" w:rsidR="00C1563E" w:rsidRDefault="00C1563E"/>
    <w:p w14:paraId="7DD0055E" w14:textId="77777777" w:rsidR="00C1563E" w:rsidRDefault="000B648B">
      <w:r>
        <w:rPr>
          <w:rFonts w:ascii="Times New Roman" w:eastAsia="宋体" w:hAnsi="Times New Roman"/>
          <w:i/>
          <w:iCs/>
          <w:color w:val="000000"/>
          <w:sz w:val="20"/>
          <w:szCs w:val="20"/>
        </w:rPr>
        <w:t xml:space="preserve">Fiscal year ended February 1, 2019 </w:t>
      </w:r>
    </w:p>
    <w:p w14:paraId="7DD0055F" w14:textId="77777777" w:rsidR="00C1563E" w:rsidRDefault="00C1563E"/>
    <w:p w14:paraId="7DD00560" w14:textId="77777777" w:rsidR="00C1563E" w:rsidRDefault="000B648B">
      <w:r>
        <w:rPr>
          <w:rFonts w:ascii="Times New Roman" w:eastAsia="宋体" w:hAnsi="Times New Roman"/>
          <w:i/>
          <w:iCs/>
          <w:color w:val="000000"/>
          <w:sz w:val="20"/>
          <w:szCs w:val="20"/>
          <w:u w:val="single"/>
        </w:rPr>
        <w:t>VMware, Inc. Acquisitions</w:t>
      </w:r>
    </w:p>
    <w:p w14:paraId="7DD00561" w14:textId="77777777" w:rsidR="00C1563E" w:rsidRDefault="00C1563E"/>
    <w:p w14:paraId="7DD00562" w14:textId="77777777" w:rsidR="00C1563E" w:rsidRDefault="000B648B">
      <w:pPr>
        <w:spacing w:after="160"/>
      </w:pPr>
      <w:r>
        <w:rPr>
          <w:rFonts w:ascii="Times New Roman" w:eastAsia="宋体" w:hAnsi="Times New Roman"/>
          <w:i/>
          <w:iCs/>
          <w:color w:val="000000"/>
          <w:sz w:val="20"/>
          <w:szCs w:val="20"/>
        </w:rPr>
        <w:t xml:space="preserve">CloudHealth Technologies, Inc. </w:t>
      </w:r>
      <w:r>
        <w:rPr>
          <w:rFonts w:ascii="Times New Roman" w:eastAsia="宋体" w:hAnsi="Times New Roman"/>
          <w:color w:val="000000"/>
          <w:sz w:val="20"/>
          <w:szCs w:val="20"/>
        </w:rPr>
        <w:t>— During the third quarter of the fiscal year ended February 1, 2019, VMware, Inc. completed the acquisition of CloudHealth Technologies, Inc. (“CloudHealth T</w:t>
      </w:r>
      <w:r>
        <w:rPr>
          <w:rFonts w:ascii="Times New Roman" w:eastAsia="宋体" w:hAnsi="Times New Roman"/>
          <w:color w:val="000000"/>
          <w:sz w:val="20"/>
          <w:szCs w:val="20"/>
        </w:rPr>
        <w:t>echnologies”). CloudHealth Technologies delivers a cloud operations platform that enables customers to analyze and manage cloud cost, usage, security, and performance centrally for native public clouds, which expanded VMware, Inc’s portfolio of multi-cloud</w:t>
      </w:r>
      <w:r>
        <w:rPr>
          <w:rFonts w:ascii="Times New Roman" w:eastAsia="宋体" w:hAnsi="Times New Roman"/>
          <w:color w:val="000000"/>
          <w:sz w:val="20"/>
          <w:szCs w:val="20"/>
        </w:rPr>
        <w:t xml:space="preserve"> management solutions. The total purchase price was $495 million, net of cash acquired of $26 million. The fair value of assumed unvested equity awards attributed to post-combination services was $39 million and will be expensed over the remaining requisit</w:t>
      </w:r>
      <w:r>
        <w:rPr>
          <w:rFonts w:ascii="Times New Roman" w:eastAsia="宋体" w:hAnsi="Times New Roman"/>
          <w:color w:val="000000"/>
          <w:sz w:val="20"/>
          <w:szCs w:val="20"/>
        </w:rPr>
        <w:t>e service periods on a straight-line basis.</w:t>
      </w:r>
    </w:p>
    <w:p w14:paraId="7DD00563" w14:textId="77777777" w:rsidR="00C1563E" w:rsidRDefault="000B648B">
      <w:pPr>
        <w:spacing w:after="160"/>
      </w:pPr>
      <w:r>
        <w:rPr>
          <w:rFonts w:ascii="Times New Roman" w:eastAsia="宋体" w:hAnsi="Times New Roman"/>
          <w:i/>
          <w:iCs/>
          <w:color w:val="000000"/>
          <w:sz w:val="20"/>
          <w:szCs w:val="20"/>
        </w:rPr>
        <w:t xml:space="preserve">Heptio Inc. </w:t>
      </w:r>
      <w:r>
        <w:rPr>
          <w:rFonts w:ascii="Times New Roman" w:eastAsia="宋体" w:hAnsi="Times New Roman"/>
          <w:color w:val="000000"/>
          <w:sz w:val="20"/>
          <w:szCs w:val="20"/>
        </w:rPr>
        <w:t>— During the fourth quarter of the fiscal year ended February 1, 2019, VMware, Inc. completed the acquisition of Heptio Inc. (“Heptio”), a provider of products and services that help enterprises deplo</w:t>
      </w:r>
      <w:r>
        <w:rPr>
          <w:rFonts w:ascii="Times New Roman" w:eastAsia="宋体" w:hAnsi="Times New Roman"/>
          <w:color w:val="000000"/>
          <w:sz w:val="20"/>
          <w:szCs w:val="20"/>
        </w:rPr>
        <w:t>y and operationalize Kubernetes. VMware, Inc. acquired Heptio to enhance VMware, Inc’s Kubernetes portfolio and cloud native strategy. The total purchase price was $420 million, net of cash acquired of $15 million. Merger consideration totaling $117 millio</w:t>
      </w:r>
      <w:r>
        <w:rPr>
          <w:rFonts w:ascii="Times New Roman" w:eastAsia="宋体" w:hAnsi="Times New Roman"/>
          <w:color w:val="000000"/>
          <w:sz w:val="20"/>
          <w:szCs w:val="20"/>
        </w:rPr>
        <w:t>n, including $24 million being held in escrow, is payable to certain employees of Heptio subject to specified future employment conditions and is being recognized as expense over the requisite service period of approximately four years on a straight-line b</w:t>
      </w:r>
      <w:r>
        <w:rPr>
          <w:rFonts w:ascii="Times New Roman" w:eastAsia="宋体" w:hAnsi="Times New Roman"/>
          <w:color w:val="000000"/>
          <w:sz w:val="20"/>
          <w:szCs w:val="20"/>
        </w:rPr>
        <w:t xml:space="preserve">asis. The fair value of assumed unvested equity awards attributed to post-combination services was $47 million and will be expensed over the remaining requisite service periods on a straight-line basis. </w:t>
      </w:r>
    </w:p>
    <w:p w14:paraId="7DD00564" w14:textId="77777777" w:rsidR="00C1563E" w:rsidRDefault="00C1563E"/>
    <w:p w14:paraId="7DD00565" w14:textId="77777777" w:rsidR="00C1563E" w:rsidRDefault="00C1563E">
      <w:pPr>
        <w:jc w:val="center"/>
      </w:pPr>
    </w:p>
    <w:p w14:paraId="7DD00566" w14:textId="77777777" w:rsidR="00C1563E" w:rsidRDefault="000B648B">
      <w:pPr>
        <w:jc w:val="center"/>
      </w:pPr>
      <w:r>
        <w:rPr>
          <w:rFonts w:ascii="Times New Roman" w:eastAsia="宋体" w:hAnsi="Times New Roman"/>
          <w:color w:val="000000"/>
          <w:sz w:val="20"/>
          <w:szCs w:val="20"/>
        </w:rPr>
        <w:t>121</w:t>
      </w:r>
    </w:p>
    <w:p w14:paraId="7DD00567" w14:textId="77777777" w:rsidR="00C1563E" w:rsidRDefault="00C1563E">
      <w:pPr>
        <w:jc w:val="center"/>
      </w:pPr>
    </w:p>
    <w:p w14:paraId="7DD00568" w14:textId="77777777" w:rsidR="00C1563E" w:rsidRDefault="000B648B">
      <w:r>
        <w:pict w14:anchorId="7DD025E3">
          <v:rect id="_x0000_i1145" style="width:415.3pt;height:1.5pt" o:hralign="center" o:hrstd="t" o:hr="t" fillcolor="#a0a0a0" stroked="f"/>
        </w:pict>
      </w:r>
    </w:p>
    <w:p w14:paraId="7DD00569" w14:textId="77777777" w:rsidR="00C1563E" w:rsidRDefault="000B648B">
      <w:hyperlink r:id="rId304" w:anchor="i418e32e4a35149ffbf7d3a25d66881b8_10" w:history="1">
        <w:r>
          <w:rPr>
            <w:rStyle w:val="a5"/>
            <w:rFonts w:ascii="Times New Roman" w:eastAsia="宋体" w:hAnsi="Times New Roman"/>
            <w:sz w:val="20"/>
            <w:szCs w:val="20"/>
          </w:rPr>
          <w:t>Table of Contents</w:t>
        </w:r>
      </w:hyperlink>
    </w:p>
    <w:p w14:paraId="7DD0056A" w14:textId="77777777" w:rsidR="00C1563E" w:rsidRDefault="000B648B">
      <w:r>
        <w:rPr>
          <w:rFonts w:ascii="Times New Roman" w:eastAsia="宋体" w:hAnsi="Times New Roman"/>
          <w:b/>
          <w:bCs/>
          <w:color w:val="000000"/>
          <w:sz w:val="20"/>
          <w:szCs w:val="20"/>
        </w:rPr>
        <w:t>Goodwill</w:t>
      </w:r>
    </w:p>
    <w:p w14:paraId="7DD0056B" w14:textId="77777777" w:rsidR="00C1563E" w:rsidRDefault="00C1563E"/>
    <w:p w14:paraId="7DD0056C" w14:textId="77777777" w:rsidR="00C1563E" w:rsidRDefault="000B648B">
      <w:r>
        <w:rPr>
          <w:rFonts w:ascii="Times New Roman" w:eastAsia="宋体" w:hAnsi="Times New Roman"/>
          <w:color w:val="000000"/>
          <w:sz w:val="20"/>
          <w:szCs w:val="20"/>
        </w:rPr>
        <w:t>The Infrastructure Solutions Group, Client Solutions Group, and VMware reporting units are consistent with the report</w:t>
      </w:r>
      <w:r>
        <w:rPr>
          <w:rFonts w:ascii="Times New Roman" w:eastAsia="宋体" w:hAnsi="Times New Roman"/>
          <w:color w:val="000000"/>
          <w:sz w:val="20"/>
          <w:szCs w:val="20"/>
        </w:rPr>
        <w:t xml:space="preserve">able segments identified in Note 19 of the Notes to the Consolidated Financial Statements. Offerings within Other businesses as defined below represent separate reporting units. </w:t>
      </w:r>
    </w:p>
    <w:p w14:paraId="7DD0056D" w14:textId="77777777" w:rsidR="00C1563E" w:rsidRDefault="00C1563E"/>
    <w:p w14:paraId="7DD0056E" w14:textId="77777777" w:rsidR="00C1563E" w:rsidRDefault="000B648B">
      <w:r>
        <w:rPr>
          <w:rFonts w:ascii="Times New Roman" w:eastAsia="宋体" w:hAnsi="Times New Roman"/>
          <w:color w:val="000000"/>
          <w:sz w:val="20"/>
          <w:szCs w:val="20"/>
        </w:rPr>
        <w:t>During the fiscal year ended January 31, 2020, VMware, Inc. completed its ac</w:t>
      </w:r>
      <w:r>
        <w:rPr>
          <w:rFonts w:ascii="Times New Roman" w:eastAsia="宋体" w:hAnsi="Times New Roman"/>
          <w:color w:val="000000"/>
          <w:sz w:val="20"/>
          <w:szCs w:val="20"/>
        </w:rPr>
        <w:t>quisition of Pivotal which was accounted for as a transaction by entities under common control, and Dell Technologies now reports Pivotal results within the VMware reportable segment. Pivotal results and goodwill were previously included within Other busin</w:t>
      </w:r>
      <w:r>
        <w:rPr>
          <w:rFonts w:ascii="Times New Roman" w:eastAsia="宋体" w:hAnsi="Times New Roman"/>
          <w:color w:val="000000"/>
          <w:sz w:val="20"/>
          <w:szCs w:val="20"/>
        </w:rPr>
        <w:t>esses. The historical segment results and the historical carrying amounts of goodwill attributable to Pivotal ($2.2 billion as of February 1, 2019) were recast to reflect this change. See Note 19 of the Notes to the Consolidated Financial Statements for th</w:t>
      </w:r>
      <w:r>
        <w:rPr>
          <w:rFonts w:ascii="Times New Roman" w:eastAsia="宋体" w:hAnsi="Times New Roman"/>
          <w:color w:val="000000"/>
          <w:sz w:val="20"/>
          <w:szCs w:val="20"/>
        </w:rPr>
        <w:t xml:space="preserve">e recast of segment results. </w:t>
      </w:r>
    </w:p>
    <w:p w14:paraId="7DD0056F" w14:textId="77777777" w:rsidR="00C1563E" w:rsidRDefault="00C1563E"/>
    <w:p w14:paraId="7DD00570" w14:textId="77777777" w:rsidR="00C1563E" w:rsidRDefault="000B648B">
      <w:pPr>
        <w:spacing w:after="120"/>
      </w:pPr>
      <w:r>
        <w:rPr>
          <w:rFonts w:ascii="Times New Roman" w:eastAsia="宋体" w:hAnsi="Times New Roman"/>
          <w:color w:val="000000"/>
          <w:sz w:val="20"/>
          <w:szCs w:val="20"/>
        </w:rPr>
        <w:t>The following table presents goodwill allocated to the Company’s reportable segments and changes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35"/>
        <w:gridCol w:w="38"/>
        <w:gridCol w:w="121"/>
        <w:gridCol w:w="1169"/>
        <w:gridCol w:w="36"/>
        <w:gridCol w:w="36"/>
        <w:gridCol w:w="36"/>
        <w:gridCol w:w="36"/>
        <w:gridCol w:w="121"/>
        <w:gridCol w:w="856"/>
        <w:gridCol w:w="36"/>
        <w:gridCol w:w="36"/>
        <w:gridCol w:w="36"/>
        <w:gridCol w:w="36"/>
        <w:gridCol w:w="121"/>
        <w:gridCol w:w="856"/>
        <w:gridCol w:w="36"/>
        <w:gridCol w:w="36"/>
        <w:gridCol w:w="36"/>
        <w:gridCol w:w="36"/>
        <w:gridCol w:w="121"/>
        <w:gridCol w:w="881"/>
        <w:gridCol w:w="36"/>
        <w:gridCol w:w="36"/>
        <w:gridCol w:w="36"/>
        <w:gridCol w:w="36"/>
        <w:gridCol w:w="120"/>
        <w:gridCol w:w="846"/>
        <w:gridCol w:w="36"/>
      </w:tblGrid>
      <w:tr w:rsidR="00C1563E" w14:paraId="7DD0058F" w14:textId="77777777">
        <w:trPr>
          <w:jc w:val="center"/>
        </w:trPr>
        <w:tc>
          <w:tcPr>
            <w:tcW w:w="50" w:type="pct"/>
            <w:shd w:val="clear" w:color="auto" w:fill="auto"/>
          </w:tcPr>
          <w:p w14:paraId="7DD00571" w14:textId="77777777" w:rsidR="00C1563E" w:rsidRDefault="00C1563E">
            <w:pPr>
              <w:rPr>
                <w:rFonts w:ascii="宋体"/>
              </w:rPr>
            </w:pPr>
          </w:p>
        </w:tc>
        <w:tc>
          <w:tcPr>
            <w:tcW w:w="1582" w:type="pct"/>
            <w:shd w:val="clear" w:color="auto" w:fill="auto"/>
          </w:tcPr>
          <w:p w14:paraId="7DD00572" w14:textId="77777777" w:rsidR="00C1563E" w:rsidRDefault="00C1563E">
            <w:pPr>
              <w:rPr>
                <w:rFonts w:ascii="宋体"/>
              </w:rPr>
            </w:pPr>
          </w:p>
        </w:tc>
        <w:tc>
          <w:tcPr>
            <w:tcW w:w="5" w:type="pct"/>
            <w:shd w:val="clear" w:color="auto" w:fill="auto"/>
          </w:tcPr>
          <w:p w14:paraId="7DD00573" w14:textId="77777777" w:rsidR="00C1563E" w:rsidRDefault="00C1563E">
            <w:pPr>
              <w:rPr>
                <w:rFonts w:ascii="宋体"/>
              </w:rPr>
            </w:pPr>
          </w:p>
        </w:tc>
        <w:tc>
          <w:tcPr>
            <w:tcW w:w="50" w:type="pct"/>
            <w:shd w:val="clear" w:color="auto" w:fill="auto"/>
          </w:tcPr>
          <w:p w14:paraId="7DD00574" w14:textId="77777777" w:rsidR="00C1563E" w:rsidRDefault="00C1563E">
            <w:pPr>
              <w:rPr>
                <w:rFonts w:ascii="宋体"/>
              </w:rPr>
            </w:pPr>
          </w:p>
        </w:tc>
        <w:tc>
          <w:tcPr>
            <w:tcW w:w="610" w:type="pct"/>
            <w:shd w:val="clear" w:color="auto" w:fill="auto"/>
          </w:tcPr>
          <w:p w14:paraId="7DD00575" w14:textId="77777777" w:rsidR="00C1563E" w:rsidRDefault="00C1563E">
            <w:pPr>
              <w:rPr>
                <w:rFonts w:ascii="宋体"/>
              </w:rPr>
            </w:pPr>
          </w:p>
        </w:tc>
        <w:tc>
          <w:tcPr>
            <w:tcW w:w="5" w:type="pct"/>
            <w:shd w:val="clear" w:color="auto" w:fill="auto"/>
          </w:tcPr>
          <w:p w14:paraId="7DD00576" w14:textId="77777777" w:rsidR="00C1563E" w:rsidRDefault="00C1563E">
            <w:pPr>
              <w:rPr>
                <w:rFonts w:ascii="宋体"/>
              </w:rPr>
            </w:pPr>
          </w:p>
        </w:tc>
        <w:tc>
          <w:tcPr>
            <w:tcW w:w="5" w:type="pct"/>
            <w:shd w:val="clear" w:color="auto" w:fill="auto"/>
          </w:tcPr>
          <w:p w14:paraId="7DD00577" w14:textId="77777777" w:rsidR="00C1563E" w:rsidRDefault="00C1563E">
            <w:pPr>
              <w:rPr>
                <w:rFonts w:ascii="宋体"/>
              </w:rPr>
            </w:pPr>
          </w:p>
        </w:tc>
        <w:tc>
          <w:tcPr>
            <w:tcW w:w="19" w:type="pct"/>
            <w:shd w:val="clear" w:color="auto" w:fill="auto"/>
          </w:tcPr>
          <w:p w14:paraId="7DD00578" w14:textId="77777777" w:rsidR="00C1563E" w:rsidRDefault="00C1563E">
            <w:pPr>
              <w:rPr>
                <w:rFonts w:ascii="宋体"/>
              </w:rPr>
            </w:pPr>
          </w:p>
        </w:tc>
        <w:tc>
          <w:tcPr>
            <w:tcW w:w="5" w:type="pct"/>
            <w:shd w:val="clear" w:color="auto" w:fill="auto"/>
          </w:tcPr>
          <w:p w14:paraId="7DD00579" w14:textId="77777777" w:rsidR="00C1563E" w:rsidRDefault="00C1563E">
            <w:pPr>
              <w:rPr>
                <w:rFonts w:ascii="宋体"/>
              </w:rPr>
            </w:pPr>
          </w:p>
        </w:tc>
        <w:tc>
          <w:tcPr>
            <w:tcW w:w="50" w:type="pct"/>
            <w:shd w:val="clear" w:color="auto" w:fill="auto"/>
          </w:tcPr>
          <w:p w14:paraId="7DD0057A" w14:textId="77777777" w:rsidR="00C1563E" w:rsidRDefault="00C1563E">
            <w:pPr>
              <w:rPr>
                <w:rFonts w:ascii="宋体"/>
              </w:rPr>
            </w:pPr>
          </w:p>
        </w:tc>
        <w:tc>
          <w:tcPr>
            <w:tcW w:w="588" w:type="pct"/>
            <w:shd w:val="clear" w:color="auto" w:fill="auto"/>
          </w:tcPr>
          <w:p w14:paraId="7DD0057B" w14:textId="77777777" w:rsidR="00C1563E" w:rsidRDefault="00C1563E">
            <w:pPr>
              <w:rPr>
                <w:rFonts w:ascii="宋体"/>
              </w:rPr>
            </w:pPr>
          </w:p>
        </w:tc>
        <w:tc>
          <w:tcPr>
            <w:tcW w:w="5" w:type="pct"/>
            <w:shd w:val="clear" w:color="auto" w:fill="auto"/>
          </w:tcPr>
          <w:p w14:paraId="7DD0057C" w14:textId="77777777" w:rsidR="00C1563E" w:rsidRDefault="00C1563E">
            <w:pPr>
              <w:rPr>
                <w:rFonts w:ascii="宋体"/>
              </w:rPr>
            </w:pPr>
          </w:p>
        </w:tc>
        <w:tc>
          <w:tcPr>
            <w:tcW w:w="5" w:type="pct"/>
            <w:shd w:val="clear" w:color="auto" w:fill="auto"/>
          </w:tcPr>
          <w:p w14:paraId="7DD0057D" w14:textId="77777777" w:rsidR="00C1563E" w:rsidRDefault="00C1563E">
            <w:pPr>
              <w:rPr>
                <w:rFonts w:ascii="宋体"/>
              </w:rPr>
            </w:pPr>
          </w:p>
        </w:tc>
        <w:tc>
          <w:tcPr>
            <w:tcW w:w="19" w:type="pct"/>
            <w:shd w:val="clear" w:color="auto" w:fill="auto"/>
          </w:tcPr>
          <w:p w14:paraId="7DD0057E" w14:textId="77777777" w:rsidR="00C1563E" w:rsidRDefault="00C1563E">
            <w:pPr>
              <w:rPr>
                <w:rFonts w:ascii="宋体"/>
              </w:rPr>
            </w:pPr>
          </w:p>
        </w:tc>
        <w:tc>
          <w:tcPr>
            <w:tcW w:w="5" w:type="pct"/>
            <w:shd w:val="clear" w:color="auto" w:fill="auto"/>
          </w:tcPr>
          <w:p w14:paraId="7DD0057F" w14:textId="77777777" w:rsidR="00C1563E" w:rsidRDefault="00C1563E">
            <w:pPr>
              <w:rPr>
                <w:rFonts w:ascii="宋体"/>
              </w:rPr>
            </w:pPr>
          </w:p>
        </w:tc>
        <w:tc>
          <w:tcPr>
            <w:tcW w:w="50" w:type="pct"/>
            <w:shd w:val="clear" w:color="auto" w:fill="auto"/>
          </w:tcPr>
          <w:p w14:paraId="7DD00580" w14:textId="77777777" w:rsidR="00C1563E" w:rsidRDefault="00C1563E">
            <w:pPr>
              <w:rPr>
                <w:rFonts w:ascii="宋体"/>
              </w:rPr>
            </w:pPr>
          </w:p>
        </w:tc>
        <w:tc>
          <w:tcPr>
            <w:tcW w:w="588" w:type="pct"/>
            <w:shd w:val="clear" w:color="auto" w:fill="auto"/>
          </w:tcPr>
          <w:p w14:paraId="7DD00581" w14:textId="77777777" w:rsidR="00C1563E" w:rsidRDefault="00C1563E">
            <w:pPr>
              <w:rPr>
                <w:rFonts w:ascii="宋体"/>
              </w:rPr>
            </w:pPr>
          </w:p>
        </w:tc>
        <w:tc>
          <w:tcPr>
            <w:tcW w:w="5" w:type="pct"/>
            <w:shd w:val="clear" w:color="auto" w:fill="auto"/>
          </w:tcPr>
          <w:p w14:paraId="7DD00582" w14:textId="77777777" w:rsidR="00C1563E" w:rsidRDefault="00C1563E">
            <w:pPr>
              <w:rPr>
                <w:rFonts w:ascii="宋体"/>
              </w:rPr>
            </w:pPr>
          </w:p>
        </w:tc>
        <w:tc>
          <w:tcPr>
            <w:tcW w:w="5" w:type="pct"/>
            <w:shd w:val="clear" w:color="auto" w:fill="auto"/>
          </w:tcPr>
          <w:p w14:paraId="7DD00583" w14:textId="77777777" w:rsidR="00C1563E" w:rsidRDefault="00C1563E">
            <w:pPr>
              <w:rPr>
                <w:rFonts w:ascii="宋体"/>
              </w:rPr>
            </w:pPr>
          </w:p>
        </w:tc>
        <w:tc>
          <w:tcPr>
            <w:tcW w:w="19" w:type="pct"/>
            <w:shd w:val="clear" w:color="auto" w:fill="auto"/>
          </w:tcPr>
          <w:p w14:paraId="7DD00584" w14:textId="77777777" w:rsidR="00C1563E" w:rsidRDefault="00C1563E">
            <w:pPr>
              <w:rPr>
                <w:rFonts w:ascii="宋体"/>
              </w:rPr>
            </w:pPr>
          </w:p>
        </w:tc>
        <w:tc>
          <w:tcPr>
            <w:tcW w:w="5" w:type="pct"/>
            <w:shd w:val="clear" w:color="auto" w:fill="auto"/>
          </w:tcPr>
          <w:p w14:paraId="7DD00585" w14:textId="77777777" w:rsidR="00C1563E" w:rsidRDefault="00C1563E">
            <w:pPr>
              <w:rPr>
                <w:rFonts w:ascii="宋体"/>
              </w:rPr>
            </w:pPr>
          </w:p>
        </w:tc>
        <w:tc>
          <w:tcPr>
            <w:tcW w:w="50" w:type="pct"/>
            <w:shd w:val="clear" w:color="auto" w:fill="auto"/>
          </w:tcPr>
          <w:p w14:paraId="7DD00586" w14:textId="77777777" w:rsidR="00C1563E" w:rsidRDefault="00C1563E">
            <w:pPr>
              <w:rPr>
                <w:rFonts w:ascii="宋体"/>
              </w:rPr>
            </w:pPr>
          </w:p>
        </w:tc>
        <w:tc>
          <w:tcPr>
            <w:tcW w:w="602" w:type="pct"/>
            <w:shd w:val="clear" w:color="auto" w:fill="auto"/>
          </w:tcPr>
          <w:p w14:paraId="7DD00587" w14:textId="77777777" w:rsidR="00C1563E" w:rsidRDefault="00C1563E">
            <w:pPr>
              <w:rPr>
                <w:rFonts w:ascii="宋体"/>
              </w:rPr>
            </w:pPr>
          </w:p>
        </w:tc>
        <w:tc>
          <w:tcPr>
            <w:tcW w:w="5" w:type="pct"/>
            <w:shd w:val="clear" w:color="auto" w:fill="auto"/>
          </w:tcPr>
          <w:p w14:paraId="7DD00588" w14:textId="77777777" w:rsidR="00C1563E" w:rsidRDefault="00C1563E">
            <w:pPr>
              <w:rPr>
                <w:rFonts w:ascii="宋体"/>
              </w:rPr>
            </w:pPr>
          </w:p>
        </w:tc>
        <w:tc>
          <w:tcPr>
            <w:tcW w:w="5" w:type="pct"/>
            <w:shd w:val="clear" w:color="auto" w:fill="auto"/>
          </w:tcPr>
          <w:p w14:paraId="7DD00589" w14:textId="77777777" w:rsidR="00C1563E" w:rsidRDefault="00C1563E">
            <w:pPr>
              <w:rPr>
                <w:rFonts w:ascii="宋体"/>
              </w:rPr>
            </w:pPr>
          </w:p>
        </w:tc>
        <w:tc>
          <w:tcPr>
            <w:tcW w:w="19" w:type="pct"/>
            <w:shd w:val="clear" w:color="auto" w:fill="auto"/>
          </w:tcPr>
          <w:p w14:paraId="7DD0058A" w14:textId="77777777" w:rsidR="00C1563E" w:rsidRDefault="00C1563E">
            <w:pPr>
              <w:rPr>
                <w:rFonts w:ascii="宋体"/>
              </w:rPr>
            </w:pPr>
          </w:p>
        </w:tc>
        <w:tc>
          <w:tcPr>
            <w:tcW w:w="5" w:type="pct"/>
            <w:shd w:val="clear" w:color="auto" w:fill="auto"/>
          </w:tcPr>
          <w:p w14:paraId="7DD0058B" w14:textId="77777777" w:rsidR="00C1563E" w:rsidRDefault="00C1563E">
            <w:pPr>
              <w:rPr>
                <w:rFonts w:ascii="宋体"/>
              </w:rPr>
            </w:pPr>
          </w:p>
        </w:tc>
        <w:tc>
          <w:tcPr>
            <w:tcW w:w="50" w:type="pct"/>
            <w:shd w:val="clear" w:color="auto" w:fill="auto"/>
          </w:tcPr>
          <w:p w14:paraId="7DD0058C" w14:textId="77777777" w:rsidR="00C1563E" w:rsidRDefault="00C1563E">
            <w:pPr>
              <w:rPr>
                <w:rFonts w:ascii="宋体"/>
              </w:rPr>
            </w:pPr>
          </w:p>
        </w:tc>
        <w:tc>
          <w:tcPr>
            <w:tcW w:w="581" w:type="pct"/>
            <w:shd w:val="clear" w:color="auto" w:fill="auto"/>
          </w:tcPr>
          <w:p w14:paraId="7DD0058D" w14:textId="77777777" w:rsidR="00C1563E" w:rsidRDefault="00C1563E">
            <w:pPr>
              <w:rPr>
                <w:rFonts w:ascii="宋体"/>
              </w:rPr>
            </w:pPr>
          </w:p>
        </w:tc>
        <w:tc>
          <w:tcPr>
            <w:tcW w:w="5" w:type="pct"/>
            <w:shd w:val="clear" w:color="auto" w:fill="auto"/>
          </w:tcPr>
          <w:p w14:paraId="7DD0058E" w14:textId="77777777" w:rsidR="00C1563E" w:rsidRDefault="00C1563E">
            <w:pPr>
              <w:rPr>
                <w:rFonts w:ascii="宋体"/>
              </w:rPr>
            </w:pPr>
          </w:p>
        </w:tc>
      </w:tr>
      <w:tr w:rsidR="00C1563E" w14:paraId="7DD0059A" w14:textId="77777777">
        <w:trPr>
          <w:jc w:val="center"/>
        </w:trPr>
        <w:tc>
          <w:tcPr>
            <w:tcW w:w="0" w:type="auto"/>
            <w:gridSpan w:val="3"/>
            <w:shd w:val="clear" w:color="auto" w:fill="auto"/>
            <w:tcMar>
              <w:top w:w="40" w:type="dxa"/>
              <w:left w:w="20" w:type="dxa"/>
              <w:bottom w:w="40" w:type="dxa"/>
              <w:right w:w="20" w:type="dxa"/>
            </w:tcMar>
            <w:vAlign w:val="bottom"/>
          </w:tcPr>
          <w:p w14:paraId="7DD00590" w14:textId="77777777" w:rsidR="00C1563E" w:rsidRDefault="000B648B">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DD00591" w14:textId="77777777" w:rsidR="00C1563E" w:rsidRDefault="000B648B">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tcPr>
          <w:p w14:paraId="7DD00592"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593" w14:textId="77777777" w:rsidR="00C1563E" w:rsidRDefault="000B648B">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tcPr>
          <w:p w14:paraId="7DD00594"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595" w14:textId="77777777" w:rsidR="00C1563E" w:rsidRDefault="000B648B">
            <w:pPr>
              <w:jc w:val="center"/>
              <w:textAlignment w:val="bottom"/>
            </w:pPr>
            <w:r>
              <w:rPr>
                <w:rFonts w:ascii="Times New Roman" w:eastAsia="宋体" w:hAnsi="Times New Roman"/>
                <w:b/>
                <w:bCs/>
                <w:color w:val="000000"/>
                <w:sz w:val="20"/>
                <w:szCs w:val="20"/>
              </w:rPr>
              <w:t>VMware</w:t>
            </w:r>
          </w:p>
        </w:tc>
        <w:tc>
          <w:tcPr>
            <w:tcW w:w="0" w:type="auto"/>
            <w:gridSpan w:val="3"/>
            <w:shd w:val="clear" w:color="auto" w:fill="auto"/>
            <w:tcMar>
              <w:top w:w="0" w:type="dxa"/>
              <w:left w:w="20" w:type="dxa"/>
              <w:bottom w:w="0" w:type="dxa"/>
              <w:right w:w="20" w:type="dxa"/>
            </w:tcMar>
          </w:tcPr>
          <w:p w14:paraId="7DD00596"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597" w14:textId="77777777" w:rsidR="00C1563E" w:rsidRDefault="000B648B">
            <w:pPr>
              <w:jc w:val="center"/>
              <w:textAlignment w:val="bottom"/>
            </w:pPr>
            <w:r>
              <w:rPr>
                <w:rFonts w:ascii="Times New Roman" w:eastAsia="宋体" w:hAnsi="Times New Roman"/>
                <w:b/>
                <w:bCs/>
                <w:color w:val="000000"/>
                <w:sz w:val="20"/>
                <w:szCs w:val="20"/>
              </w:rPr>
              <w:t>Other Businesses (a)</w:t>
            </w:r>
          </w:p>
        </w:tc>
        <w:tc>
          <w:tcPr>
            <w:tcW w:w="0" w:type="auto"/>
            <w:gridSpan w:val="3"/>
            <w:shd w:val="clear" w:color="auto" w:fill="auto"/>
            <w:tcMar>
              <w:top w:w="0" w:type="dxa"/>
              <w:left w:w="20" w:type="dxa"/>
              <w:bottom w:w="0" w:type="dxa"/>
              <w:right w:w="20" w:type="dxa"/>
            </w:tcMar>
          </w:tcPr>
          <w:p w14:paraId="7DD0059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599"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D0059D" w14:textId="77777777">
        <w:trPr>
          <w:jc w:val="center"/>
        </w:trPr>
        <w:tc>
          <w:tcPr>
            <w:tcW w:w="0" w:type="auto"/>
            <w:gridSpan w:val="3"/>
            <w:shd w:val="clear" w:color="auto" w:fill="auto"/>
            <w:tcMar>
              <w:top w:w="0" w:type="dxa"/>
              <w:left w:w="20" w:type="dxa"/>
              <w:bottom w:w="0" w:type="dxa"/>
              <w:right w:w="20" w:type="dxa"/>
            </w:tcMar>
          </w:tcPr>
          <w:p w14:paraId="7DD0059B" w14:textId="77777777" w:rsidR="00C1563E" w:rsidRDefault="00C1563E">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D0059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5B2" w14:textId="77777777">
        <w:trPr>
          <w:jc w:val="center"/>
        </w:trPr>
        <w:tc>
          <w:tcPr>
            <w:tcW w:w="0" w:type="auto"/>
            <w:gridSpan w:val="3"/>
            <w:shd w:val="clear" w:color="auto" w:fill="CCEEFF"/>
            <w:tcMar>
              <w:top w:w="40" w:type="dxa"/>
              <w:left w:w="20" w:type="dxa"/>
              <w:bottom w:w="40" w:type="dxa"/>
              <w:right w:w="20" w:type="dxa"/>
            </w:tcMar>
            <w:vAlign w:val="bottom"/>
          </w:tcPr>
          <w:p w14:paraId="7DD0059E" w14:textId="77777777" w:rsidR="00C1563E" w:rsidRDefault="000B648B">
            <w:pPr>
              <w:textAlignment w:val="bottom"/>
            </w:pPr>
            <w:r>
              <w:rPr>
                <w:rFonts w:ascii="Times New Roman" w:eastAsia="宋体" w:hAnsi="Times New Roman"/>
                <w:i/>
                <w:iCs/>
                <w:color w:val="000000"/>
                <w:sz w:val="20"/>
                <w:szCs w:val="20"/>
              </w:rPr>
              <w:t>Balances as of February 1, 2019</w:t>
            </w:r>
          </w:p>
        </w:tc>
        <w:tc>
          <w:tcPr>
            <w:tcW w:w="0" w:type="auto"/>
            <w:shd w:val="clear" w:color="auto" w:fill="CCEEFF"/>
            <w:tcMar>
              <w:top w:w="40" w:type="dxa"/>
              <w:left w:w="20" w:type="dxa"/>
              <w:bottom w:w="40" w:type="dxa"/>
              <w:right w:w="0" w:type="dxa"/>
            </w:tcMar>
            <w:vAlign w:val="bottom"/>
          </w:tcPr>
          <w:p w14:paraId="7DD0059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A0" w14:textId="77777777" w:rsidR="00C1563E" w:rsidRDefault="000B648B">
            <w:pPr>
              <w:jc w:val="right"/>
              <w:textAlignment w:val="bottom"/>
            </w:pPr>
            <w:r>
              <w:rPr>
                <w:rFonts w:ascii="Times New Roman" w:eastAsia="宋体" w:hAnsi="Times New Roman"/>
                <w:color w:val="000000"/>
                <w:sz w:val="20"/>
                <w:szCs w:val="20"/>
              </w:rPr>
              <w:t>15,199 </w:t>
            </w:r>
          </w:p>
        </w:tc>
        <w:tc>
          <w:tcPr>
            <w:tcW w:w="0" w:type="auto"/>
            <w:shd w:val="clear" w:color="auto" w:fill="CCEEFF"/>
            <w:tcMar>
              <w:top w:w="40" w:type="dxa"/>
              <w:left w:w="0" w:type="dxa"/>
              <w:bottom w:w="40" w:type="dxa"/>
              <w:right w:w="20" w:type="dxa"/>
            </w:tcMar>
            <w:vAlign w:val="bottom"/>
          </w:tcPr>
          <w:p w14:paraId="7DD005A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A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5A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A4" w14:textId="77777777" w:rsidR="00C1563E" w:rsidRDefault="000B648B">
            <w:pPr>
              <w:jc w:val="right"/>
              <w:textAlignment w:val="bottom"/>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bottom"/>
          </w:tcPr>
          <w:p w14:paraId="7DD005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A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5A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A8" w14:textId="77777777" w:rsidR="00C1563E" w:rsidRDefault="000B648B">
            <w:pPr>
              <w:jc w:val="right"/>
              <w:textAlignment w:val="bottom"/>
            </w:pPr>
            <w:r>
              <w:rPr>
                <w:rFonts w:ascii="Times New Roman" w:eastAsia="宋体" w:hAnsi="Times New Roman"/>
                <w:color w:val="000000"/>
                <w:sz w:val="20"/>
                <w:szCs w:val="20"/>
              </w:rPr>
              <w:t>18,621 </w:t>
            </w:r>
          </w:p>
        </w:tc>
        <w:tc>
          <w:tcPr>
            <w:tcW w:w="0" w:type="auto"/>
            <w:shd w:val="clear" w:color="auto" w:fill="CCEEFF"/>
            <w:tcMar>
              <w:top w:w="40" w:type="dxa"/>
              <w:left w:w="0" w:type="dxa"/>
              <w:bottom w:w="40" w:type="dxa"/>
              <w:right w:w="20" w:type="dxa"/>
            </w:tcMar>
            <w:vAlign w:val="bottom"/>
          </w:tcPr>
          <w:p w14:paraId="7DD005A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A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5A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AC" w14:textId="77777777" w:rsidR="00C1563E" w:rsidRDefault="000B648B">
            <w:pPr>
              <w:jc w:val="right"/>
              <w:textAlignment w:val="bottom"/>
            </w:pPr>
            <w:r>
              <w:rPr>
                <w:rFonts w:ascii="Times New Roman" w:eastAsia="宋体" w:hAnsi="Times New Roman"/>
                <w:color w:val="000000"/>
                <w:sz w:val="20"/>
                <w:szCs w:val="20"/>
              </w:rPr>
              <w:t>2,032 </w:t>
            </w:r>
          </w:p>
        </w:tc>
        <w:tc>
          <w:tcPr>
            <w:tcW w:w="0" w:type="auto"/>
            <w:shd w:val="clear" w:color="auto" w:fill="CCEEFF"/>
            <w:tcMar>
              <w:top w:w="40" w:type="dxa"/>
              <w:left w:w="0" w:type="dxa"/>
              <w:bottom w:w="40" w:type="dxa"/>
              <w:right w:w="20" w:type="dxa"/>
            </w:tcMar>
            <w:vAlign w:val="bottom"/>
          </w:tcPr>
          <w:p w14:paraId="7DD005A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A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5A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5B0" w14:textId="77777777" w:rsidR="00C1563E" w:rsidRDefault="000B648B">
            <w:pPr>
              <w:jc w:val="right"/>
              <w:textAlignment w:val="bottom"/>
            </w:pPr>
            <w:r>
              <w:rPr>
                <w:rFonts w:ascii="Times New Roman" w:eastAsia="宋体" w:hAnsi="Times New Roman"/>
                <w:color w:val="000000"/>
                <w:sz w:val="20"/>
                <w:szCs w:val="20"/>
              </w:rPr>
              <w:t>40,089 </w:t>
            </w:r>
          </w:p>
        </w:tc>
        <w:tc>
          <w:tcPr>
            <w:tcW w:w="0" w:type="auto"/>
            <w:shd w:val="clear" w:color="auto" w:fill="CCEEFF"/>
            <w:tcMar>
              <w:top w:w="40" w:type="dxa"/>
              <w:left w:w="0" w:type="dxa"/>
              <w:bottom w:w="40" w:type="dxa"/>
              <w:right w:w="20" w:type="dxa"/>
            </w:tcMar>
            <w:vAlign w:val="bottom"/>
          </w:tcPr>
          <w:p w14:paraId="7DD005B1" w14:textId="77777777" w:rsidR="00C1563E" w:rsidRDefault="00C1563E">
            <w:pPr>
              <w:jc w:val="right"/>
              <w:rPr>
                <w:rFonts w:ascii="宋体"/>
              </w:rPr>
            </w:pPr>
          </w:p>
        </w:tc>
      </w:tr>
      <w:tr w:rsidR="00C1563E" w14:paraId="7DD005C2" w14:textId="77777777">
        <w:trPr>
          <w:jc w:val="center"/>
        </w:trPr>
        <w:tc>
          <w:tcPr>
            <w:tcW w:w="0" w:type="auto"/>
            <w:gridSpan w:val="3"/>
            <w:shd w:val="clear" w:color="auto" w:fill="FFFFFF"/>
            <w:tcMar>
              <w:top w:w="40" w:type="dxa"/>
              <w:left w:w="155" w:type="dxa"/>
              <w:bottom w:w="40" w:type="dxa"/>
              <w:right w:w="20" w:type="dxa"/>
            </w:tcMar>
            <w:vAlign w:val="bottom"/>
          </w:tcPr>
          <w:p w14:paraId="7DD005B3" w14:textId="77777777" w:rsidR="00C1563E" w:rsidRDefault="000B648B">
            <w:pPr>
              <w:textAlignment w:val="bottom"/>
            </w:pPr>
            <w:r>
              <w:rPr>
                <w:rFonts w:ascii="Times New Roman" w:eastAsia="宋体" w:hAnsi="Times New Roman"/>
                <w:color w:val="000000"/>
                <w:sz w:val="20"/>
                <w:szCs w:val="20"/>
              </w:rPr>
              <w:t>Goodwill acquired (b)</w:t>
            </w:r>
          </w:p>
        </w:tc>
        <w:tc>
          <w:tcPr>
            <w:tcW w:w="0" w:type="auto"/>
            <w:gridSpan w:val="2"/>
            <w:shd w:val="clear" w:color="auto" w:fill="FFFFFF"/>
            <w:tcMar>
              <w:top w:w="40" w:type="dxa"/>
              <w:left w:w="20" w:type="dxa"/>
              <w:bottom w:w="40" w:type="dxa"/>
              <w:right w:w="0" w:type="dxa"/>
            </w:tcMar>
            <w:vAlign w:val="bottom"/>
          </w:tcPr>
          <w:p w14:paraId="7DD005B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5B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B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B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5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BA" w14:textId="77777777" w:rsidR="00C1563E" w:rsidRDefault="000B648B">
            <w:pPr>
              <w:jc w:val="right"/>
              <w:textAlignment w:val="bottom"/>
            </w:pPr>
            <w:r>
              <w:rPr>
                <w:rFonts w:ascii="Times New Roman" w:eastAsia="宋体" w:hAnsi="Times New Roman"/>
                <w:color w:val="000000"/>
                <w:sz w:val="20"/>
                <w:szCs w:val="20"/>
              </w:rPr>
              <w:t>1,911 </w:t>
            </w:r>
          </w:p>
        </w:tc>
        <w:tc>
          <w:tcPr>
            <w:tcW w:w="0" w:type="auto"/>
            <w:shd w:val="clear" w:color="auto" w:fill="FFFFFF"/>
            <w:tcMar>
              <w:top w:w="40" w:type="dxa"/>
              <w:left w:w="0" w:type="dxa"/>
              <w:bottom w:w="40" w:type="dxa"/>
              <w:right w:w="20" w:type="dxa"/>
            </w:tcMar>
            <w:vAlign w:val="bottom"/>
          </w:tcPr>
          <w:p w14:paraId="7DD005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B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BD" w14:textId="77777777" w:rsidR="00C1563E" w:rsidRDefault="000B648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DD005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B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C0" w14:textId="77777777" w:rsidR="00C1563E" w:rsidRDefault="000B648B">
            <w:pPr>
              <w:jc w:val="right"/>
              <w:textAlignment w:val="bottom"/>
            </w:pPr>
            <w:r>
              <w:rPr>
                <w:rFonts w:ascii="Times New Roman" w:eastAsia="宋体" w:hAnsi="Times New Roman"/>
                <w:color w:val="000000"/>
                <w:sz w:val="20"/>
                <w:szCs w:val="20"/>
              </w:rPr>
              <w:t>1,927 </w:t>
            </w:r>
          </w:p>
        </w:tc>
        <w:tc>
          <w:tcPr>
            <w:tcW w:w="0" w:type="auto"/>
            <w:shd w:val="clear" w:color="auto" w:fill="FFFFFF"/>
            <w:tcMar>
              <w:top w:w="40" w:type="dxa"/>
              <w:left w:w="0" w:type="dxa"/>
              <w:bottom w:w="40" w:type="dxa"/>
              <w:right w:w="20" w:type="dxa"/>
            </w:tcMar>
            <w:vAlign w:val="bottom"/>
          </w:tcPr>
          <w:p w14:paraId="7DD005C1" w14:textId="77777777" w:rsidR="00C1563E" w:rsidRDefault="00C1563E">
            <w:pPr>
              <w:jc w:val="right"/>
              <w:rPr>
                <w:rFonts w:ascii="宋体"/>
              </w:rPr>
            </w:pPr>
          </w:p>
        </w:tc>
      </w:tr>
      <w:tr w:rsidR="00C1563E" w14:paraId="7DD005D2" w14:textId="77777777">
        <w:trPr>
          <w:jc w:val="center"/>
        </w:trPr>
        <w:tc>
          <w:tcPr>
            <w:tcW w:w="0" w:type="auto"/>
            <w:gridSpan w:val="3"/>
            <w:shd w:val="clear" w:color="auto" w:fill="CCEEFF"/>
            <w:tcMar>
              <w:top w:w="40" w:type="dxa"/>
              <w:left w:w="155" w:type="dxa"/>
              <w:bottom w:w="40" w:type="dxa"/>
              <w:right w:w="20" w:type="dxa"/>
            </w:tcMar>
            <w:vAlign w:val="bottom"/>
          </w:tcPr>
          <w:p w14:paraId="7DD005C3" w14:textId="77777777" w:rsidR="00C1563E" w:rsidRDefault="000B648B">
            <w:pPr>
              <w:textAlignment w:val="bottom"/>
            </w:pPr>
            <w:r>
              <w:rPr>
                <w:rFonts w:ascii="Times New Roman" w:eastAsia="宋体" w:hAnsi="Times New Roman"/>
                <w:color w:val="000000"/>
                <w:sz w:val="20"/>
                <w:szCs w:val="20"/>
              </w:rPr>
              <w:t>Impact of foreign currency translation</w:t>
            </w:r>
          </w:p>
        </w:tc>
        <w:tc>
          <w:tcPr>
            <w:tcW w:w="0" w:type="auto"/>
            <w:gridSpan w:val="2"/>
            <w:shd w:val="clear" w:color="auto" w:fill="CCEEFF"/>
            <w:tcMar>
              <w:top w:w="40" w:type="dxa"/>
              <w:left w:w="20" w:type="dxa"/>
              <w:bottom w:w="40" w:type="dxa"/>
              <w:right w:w="0" w:type="dxa"/>
            </w:tcMar>
            <w:vAlign w:val="bottom"/>
          </w:tcPr>
          <w:p w14:paraId="7DD005C4" w14:textId="77777777" w:rsidR="00C1563E" w:rsidRDefault="000B648B">
            <w:pPr>
              <w:jc w:val="right"/>
              <w:textAlignment w:val="bottom"/>
            </w:pPr>
            <w:r>
              <w:rPr>
                <w:rFonts w:ascii="Times New Roman" w:eastAsia="宋体" w:hAnsi="Times New Roman"/>
                <w:color w:val="000000"/>
                <w:sz w:val="20"/>
                <w:szCs w:val="20"/>
              </w:rPr>
              <w:t>(110)</w:t>
            </w:r>
          </w:p>
        </w:tc>
        <w:tc>
          <w:tcPr>
            <w:tcW w:w="0" w:type="auto"/>
            <w:shd w:val="clear" w:color="auto" w:fill="CCEEFF"/>
            <w:tcMar>
              <w:top w:w="40" w:type="dxa"/>
              <w:left w:w="0" w:type="dxa"/>
              <w:bottom w:w="40" w:type="dxa"/>
              <w:right w:w="20" w:type="dxa"/>
            </w:tcMar>
            <w:vAlign w:val="bottom"/>
          </w:tcPr>
          <w:p w14:paraId="7DD005C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C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5C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5C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C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5C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5C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C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5CD"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7DD005C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C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5D0" w14:textId="77777777" w:rsidR="00C1563E" w:rsidRDefault="000B648B">
            <w:pPr>
              <w:jc w:val="right"/>
              <w:textAlignment w:val="bottom"/>
            </w:pPr>
            <w:r>
              <w:rPr>
                <w:rFonts w:ascii="Times New Roman" w:eastAsia="宋体" w:hAnsi="Times New Roman"/>
                <w:color w:val="000000"/>
                <w:sz w:val="20"/>
                <w:szCs w:val="20"/>
              </w:rPr>
              <w:t>(118)</w:t>
            </w:r>
          </w:p>
        </w:tc>
        <w:tc>
          <w:tcPr>
            <w:tcW w:w="0" w:type="auto"/>
            <w:shd w:val="clear" w:color="auto" w:fill="CCEEFF"/>
            <w:tcMar>
              <w:top w:w="40" w:type="dxa"/>
              <w:left w:w="0" w:type="dxa"/>
              <w:bottom w:w="40" w:type="dxa"/>
              <w:right w:w="20" w:type="dxa"/>
            </w:tcMar>
            <w:vAlign w:val="bottom"/>
          </w:tcPr>
          <w:p w14:paraId="7DD005D1" w14:textId="77777777" w:rsidR="00C1563E" w:rsidRDefault="00C1563E">
            <w:pPr>
              <w:jc w:val="right"/>
              <w:rPr>
                <w:rFonts w:ascii="宋体"/>
              </w:rPr>
            </w:pPr>
          </w:p>
        </w:tc>
      </w:tr>
      <w:tr w:rsidR="00C1563E" w14:paraId="7DD005DD" w14:textId="77777777">
        <w:trPr>
          <w:jc w:val="center"/>
          <w:hidden/>
        </w:trPr>
        <w:tc>
          <w:tcPr>
            <w:tcW w:w="0" w:type="auto"/>
            <w:gridSpan w:val="3"/>
            <w:shd w:val="clear" w:color="auto" w:fill="auto"/>
          </w:tcPr>
          <w:p w14:paraId="7DD005D3" w14:textId="77777777" w:rsidR="00C1563E" w:rsidRDefault="00C1563E">
            <w:pPr>
              <w:rPr>
                <w:rFonts w:ascii="宋体"/>
                <w:vanish/>
              </w:rPr>
            </w:pPr>
          </w:p>
        </w:tc>
        <w:tc>
          <w:tcPr>
            <w:tcW w:w="0" w:type="auto"/>
            <w:gridSpan w:val="3"/>
            <w:shd w:val="clear" w:color="auto" w:fill="auto"/>
          </w:tcPr>
          <w:p w14:paraId="7DD005D4" w14:textId="77777777" w:rsidR="00C1563E" w:rsidRDefault="00C1563E">
            <w:pPr>
              <w:rPr>
                <w:rFonts w:ascii="宋体"/>
                <w:vanish/>
              </w:rPr>
            </w:pPr>
          </w:p>
        </w:tc>
        <w:tc>
          <w:tcPr>
            <w:tcW w:w="0" w:type="auto"/>
            <w:gridSpan w:val="3"/>
            <w:shd w:val="clear" w:color="auto" w:fill="auto"/>
          </w:tcPr>
          <w:p w14:paraId="7DD005D5" w14:textId="77777777" w:rsidR="00C1563E" w:rsidRDefault="00C1563E">
            <w:pPr>
              <w:rPr>
                <w:rFonts w:ascii="宋体"/>
                <w:vanish/>
              </w:rPr>
            </w:pPr>
          </w:p>
        </w:tc>
        <w:tc>
          <w:tcPr>
            <w:tcW w:w="0" w:type="auto"/>
            <w:gridSpan w:val="3"/>
            <w:shd w:val="clear" w:color="auto" w:fill="auto"/>
          </w:tcPr>
          <w:p w14:paraId="7DD005D6" w14:textId="77777777" w:rsidR="00C1563E" w:rsidRDefault="00C1563E">
            <w:pPr>
              <w:rPr>
                <w:rFonts w:ascii="宋体"/>
                <w:vanish/>
              </w:rPr>
            </w:pPr>
          </w:p>
        </w:tc>
        <w:tc>
          <w:tcPr>
            <w:tcW w:w="0" w:type="auto"/>
            <w:gridSpan w:val="3"/>
            <w:shd w:val="clear" w:color="auto" w:fill="auto"/>
          </w:tcPr>
          <w:p w14:paraId="7DD005D7" w14:textId="77777777" w:rsidR="00C1563E" w:rsidRDefault="00C1563E">
            <w:pPr>
              <w:rPr>
                <w:rFonts w:ascii="宋体"/>
                <w:vanish/>
              </w:rPr>
            </w:pPr>
          </w:p>
        </w:tc>
        <w:tc>
          <w:tcPr>
            <w:tcW w:w="0" w:type="auto"/>
            <w:gridSpan w:val="3"/>
            <w:shd w:val="clear" w:color="auto" w:fill="auto"/>
          </w:tcPr>
          <w:p w14:paraId="7DD005D8" w14:textId="77777777" w:rsidR="00C1563E" w:rsidRDefault="00C1563E">
            <w:pPr>
              <w:rPr>
                <w:rFonts w:ascii="宋体"/>
                <w:vanish/>
              </w:rPr>
            </w:pPr>
          </w:p>
        </w:tc>
        <w:tc>
          <w:tcPr>
            <w:tcW w:w="0" w:type="auto"/>
            <w:gridSpan w:val="3"/>
            <w:shd w:val="clear" w:color="auto" w:fill="auto"/>
          </w:tcPr>
          <w:p w14:paraId="7DD005D9" w14:textId="77777777" w:rsidR="00C1563E" w:rsidRDefault="00C1563E">
            <w:pPr>
              <w:rPr>
                <w:rFonts w:ascii="宋体"/>
                <w:vanish/>
              </w:rPr>
            </w:pPr>
          </w:p>
        </w:tc>
        <w:tc>
          <w:tcPr>
            <w:tcW w:w="0" w:type="auto"/>
            <w:gridSpan w:val="3"/>
            <w:shd w:val="clear" w:color="auto" w:fill="auto"/>
          </w:tcPr>
          <w:p w14:paraId="7DD005DA" w14:textId="77777777" w:rsidR="00C1563E" w:rsidRDefault="00C1563E">
            <w:pPr>
              <w:rPr>
                <w:rFonts w:ascii="宋体"/>
                <w:vanish/>
              </w:rPr>
            </w:pPr>
          </w:p>
        </w:tc>
        <w:tc>
          <w:tcPr>
            <w:tcW w:w="0" w:type="auto"/>
            <w:gridSpan w:val="3"/>
            <w:shd w:val="clear" w:color="auto" w:fill="auto"/>
          </w:tcPr>
          <w:p w14:paraId="7DD005DB" w14:textId="77777777" w:rsidR="00C1563E" w:rsidRDefault="00C1563E">
            <w:pPr>
              <w:rPr>
                <w:rFonts w:ascii="宋体"/>
                <w:vanish/>
              </w:rPr>
            </w:pPr>
          </w:p>
        </w:tc>
        <w:tc>
          <w:tcPr>
            <w:tcW w:w="0" w:type="auto"/>
            <w:gridSpan w:val="3"/>
            <w:shd w:val="clear" w:color="auto" w:fill="auto"/>
          </w:tcPr>
          <w:p w14:paraId="7DD005DC" w14:textId="77777777" w:rsidR="00C1563E" w:rsidRDefault="00C1563E">
            <w:pPr>
              <w:rPr>
                <w:rFonts w:ascii="宋体"/>
                <w:vanish/>
              </w:rPr>
            </w:pPr>
          </w:p>
        </w:tc>
      </w:tr>
      <w:tr w:rsidR="00C1563E" w14:paraId="7DD005ED" w14:textId="77777777">
        <w:trPr>
          <w:jc w:val="center"/>
        </w:trPr>
        <w:tc>
          <w:tcPr>
            <w:tcW w:w="0" w:type="auto"/>
            <w:gridSpan w:val="3"/>
            <w:shd w:val="clear" w:color="auto" w:fill="FFFFFF"/>
            <w:tcMar>
              <w:top w:w="40" w:type="dxa"/>
              <w:left w:w="155" w:type="dxa"/>
              <w:bottom w:w="40" w:type="dxa"/>
              <w:right w:w="20" w:type="dxa"/>
            </w:tcMar>
            <w:vAlign w:val="bottom"/>
          </w:tcPr>
          <w:p w14:paraId="7DD005DE" w14:textId="77777777" w:rsidR="00C1563E" w:rsidRDefault="000B648B">
            <w:pPr>
              <w:textAlignment w:val="bottom"/>
            </w:pPr>
            <w:r>
              <w:rPr>
                <w:rFonts w:ascii="Times New Roman" w:eastAsia="宋体" w:hAnsi="Times New Roman"/>
                <w:color w:val="000000"/>
                <w:sz w:val="20"/>
                <w:szCs w:val="20"/>
              </w:rPr>
              <w:t>Goodwill impaired (c)</w:t>
            </w:r>
          </w:p>
        </w:tc>
        <w:tc>
          <w:tcPr>
            <w:tcW w:w="0" w:type="auto"/>
            <w:gridSpan w:val="2"/>
            <w:shd w:val="clear" w:color="auto" w:fill="FFFFFF"/>
            <w:tcMar>
              <w:top w:w="40" w:type="dxa"/>
              <w:left w:w="20" w:type="dxa"/>
              <w:bottom w:w="40" w:type="dxa"/>
              <w:right w:w="0" w:type="dxa"/>
            </w:tcMar>
            <w:vAlign w:val="bottom"/>
          </w:tcPr>
          <w:p w14:paraId="7DD005D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5E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E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E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5E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E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E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5E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E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E8" w14:textId="77777777" w:rsidR="00C1563E" w:rsidRDefault="000B648B">
            <w:pPr>
              <w:jc w:val="right"/>
              <w:textAlignment w:val="bottom"/>
            </w:pPr>
            <w:r>
              <w:rPr>
                <w:rFonts w:ascii="Times New Roman" w:eastAsia="宋体" w:hAnsi="Times New Roman"/>
                <w:color w:val="000000"/>
                <w:sz w:val="20"/>
                <w:szCs w:val="20"/>
              </w:rPr>
              <w:t>(207)</w:t>
            </w:r>
          </w:p>
        </w:tc>
        <w:tc>
          <w:tcPr>
            <w:tcW w:w="0" w:type="auto"/>
            <w:shd w:val="clear" w:color="auto" w:fill="FFFFFF"/>
            <w:tcMar>
              <w:top w:w="40" w:type="dxa"/>
              <w:left w:w="0" w:type="dxa"/>
              <w:bottom w:w="40" w:type="dxa"/>
              <w:right w:w="20" w:type="dxa"/>
            </w:tcMar>
            <w:vAlign w:val="bottom"/>
          </w:tcPr>
          <w:p w14:paraId="7DD005E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5E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5EB" w14:textId="77777777" w:rsidR="00C1563E" w:rsidRDefault="000B648B">
            <w:pPr>
              <w:jc w:val="right"/>
              <w:textAlignment w:val="bottom"/>
            </w:pPr>
            <w:r>
              <w:rPr>
                <w:rFonts w:ascii="Times New Roman" w:eastAsia="宋体" w:hAnsi="Times New Roman"/>
                <w:color w:val="000000"/>
                <w:sz w:val="20"/>
                <w:szCs w:val="20"/>
              </w:rPr>
              <w:t>(207)</w:t>
            </w:r>
          </w:p>
        </w:tc>
        <w:tc>
          <w:tcPr>
            <w:tcW w:w="0" w:type="auto"/>
            <w:shd w:val="clear" w:color="auto" w:fill="FFFFFF"/>
            <w:tcMar>
              <w:top w:w="40" w:type="dxa"/>
              <w:left w:w="0" w:type="dxa"/>
              <w:bottom w:w="40" w:type="dxa"/>
              <w:right w:w="20" w:type="dxa"/>
            </w:tcMar>
            <w:vAlign w:val="bottom"/>
          </w:tcPr>
          <w:p w14:paraId="7DD005EC" w14:textId="77777777" w:rsidR="00C1563E" w:rsidRDefault="00C1563E">
            <w:pPr>
              <w:jc w:val="right"/>
              <w:rPr>
                <w:rFonts w:ascii="宋体"/>
              </w:rPr>
            </w:pPr>
          </w:p>
        </w:tc>
      </w:tr>
      <w:tr w:rsidR="00C1563E" w14:paraId="7DD005FD" w14:textId="77777777">
        <w:trPr>
          <w:jc w:val="center"/>
        </w:trPr>
        <w:tc>
          <w:tcPr>
            <w:tcW w:w="0" w:type="auto"/>
            <w:gridSpan w:val="3"/>
            <w:shd w:val="clear" w:color="auto" w:fill="CCEEFF"/>
            <w:tcMar>
              <w:top w:w="40" w:type="dxa"/>
              <w:left w:w="20" w:type="dxa"/>
              <w:bottom w:w="40" w:type="dxa"/>
              <w:right w:w="20" w:type="dxa"/>
            </w:tcMar>
            <w:vAlign w:val="bottom"/>
          </w:tcPr>
          <w:p w14:paraId="7DD005EE" w14:textId="77777777" w:rsidR="00C1563E" w:rsidRDefault="000B648B">
            <w:pPr>
              <w:textAlignment w:val="bottom"/>
            </w:pPr>
            <w:r>
              <w:rPr>
                <w:rFonts w:ascii="Times New Roman" w:eastAsia="宋体" w:hAnsi="Times New Roman"/>
                <w:i/>
                <w:iCs/>
                <w:color w:val="000000"/>
                <w:sz w:val="20"/>
                <w:szCs w:val="20"/>
              </w:rPr>
              <w:t>Balances as of January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EF" w14:textId="77777777" w:rsidR="00C1563E" w:rsidRDefault="000B648B">
            <w:pPr>
              <w:jc w:val="right"/>
              <w:textAlignment w:val="bottom"/>
            </w:pPr>
            <w:r>
              <w:rPr>
                <w:rFonts w:ascii="Times New Roman" w:eastAsia="宋体" w:hAnsi="Times New Roman"/>
                <w:color w:val="000000"/>
                <w:sz w:val="20"/>
                <w:szCs w:val="20"/>
              </w:rPr>
              <w:t>15,089 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F1"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F2" w14:textId="77777777" w:rsidR="00C1563E" w:rsidRDefault="000B648B">
            <w:pPr>
              <w:jc w:val="right"/>
              <w:textAlignment w:val="bottom"/>
            </w:pPr>
            <w:r>
              <w:rPr>
                <w:rFonts w:ascii="Times New Roman" w:eastAsia="宋体" w:hAnsi="Times New Roman"/>
                <w:color w:val="000000"/>
                <w:sz w:val="20"/>
                <w:szCs w:val="20"/>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F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F5" w14:textId="77777777" w:rsidR="00C1563E" w:rsidRDefault="000B648B">
            <w:pPr>
              <w:jc w:val="right"/>
              <w:textAlignment w:val="bottom"/>
            </w:pPr>
            <w:r>
              <w:rPr>
                <w:rFonts w:ascii="Times New Roman" w:eastAsia="宋体" w:hAnsi="Times New Roman"/>
                <w:color w:val="000000"/>
                <w:sz w:val="20"/>
                <w:szCs w:val="20"/>
              </w:rPr>
              <w:t>20,532 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F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F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F8" w14:textId="77777777" w:rsidR="00C1563E" w:rsidRDefault="000B648B">
            <w:pPr>
              <w:jc w:val="right"/>
              <w:textAlignment w:val="bottom"/>
            </w:pPr>
            <w:r>
              <w:rPr>
                <w:rFonts w:ascii="Times New Roman" w:eastAsia="宋体" w:hAnsi="Times New Roman"/>
                <w:color w:val="000000"/>
                <w:sz w:val="20"/>
                <w:szCs w:val="20"/>
              </w:rPr>
              <w:t>1,833 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F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5FA"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5FB" w14:textId="77777777" w:rsidR="00C1563E" w:rsidRDefault="000B648B">
            <w:pPr>
              <w:jc w:val="right"/>
              <w:textAlignment w:val="bottom"/>
            </w:pPr>
            <w:r>
              <w:rPr>
                <w:rFonts w:ascii="Times New Roman" w:eastAsia="宋体" w:hAnsi="Times New Roman"/>
                <w:color w:val="000000"/>
                <w:sz w:val="20"/>
                <w:szCs w:val="20"/>
              </w:rPr>
              <w:t>41,691 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5FC" w14:textId="77777777" w:rsidR="00C1563E" w:rsidRDefault="00C1563E">
            <w:pPr>
              <w:jc w:val="right"/>
              <w:rPr>
                <w:rFonts w:ascii="宋体"/>
              </w:rPr>
            </w:pPr>
          </w:p>
        </w:tc>
      </w:tr>
      <w:tr w:rsidR="00C1563E" w14:paraId="7DD0060D" w14:textId="77777777">
        <w:trPr>
          <w:jc w:val="center"/>
        </w:trPr>
        <w:tc>
          <w:tcPr>
            <w:tcW w:w="0" w:type="auto"/>
            <w:gridSpan w:val="3"/>
            <w:shd w:val="clear" w:color="auto" w:fill="FFFFFF"/>
            <w:tcMar>
              <w:top w:w="40" w:type="dxa"/>
              <w:left w:w="155" w:type="dxa"/>
              <w:bottom w:w="40" w:type="dxa"/>
              <w:right w:w="20" w:type="dxa"/>
            </w:tcMar>
            <w:vAlign w:val="bottom"/>
          </w:tcPr>
          <w:p w14:paraId="7DD005FE" w14:textId="77777777" w:rsidR="00C1563E" w:rsidRDefault="000B648B">
            <w:pPr>
              <w:textAlignment w:val="bottom"/>
            </w:pPr>
            <w:r>
              <w:rPr>
                <w:rFonts w:ascii="Times New Roman" w:eastAsia="宋体" w:hAnsi="Times New Roman"/>
                <w:color w:val="000000"/>
                <w:sz w:val="20"/>
                <w:szCs w:val="20"/>
              </w:rPr>
              <w:t>Goodwill acquired (b)</w:t>
            </w:r>
          </w:p>
        </w:tc>
        <w:tc>
          <w:tcPr>
            <w:tcW w:w="0" w:type="auto"/>
            <w:gridSpan w:val="2"/>
            <w:shd w:val="clear" w:color="auto" w:fill="FFFFFF"/>
            <w:tcMar>
              <w:top w:w="40" w:type="dxa"/>
              <w:left w:w="20" w:type="dxa"/>
              <w:bottom w:w="40" w:type="dxa"/>
              <w:right w:w="0" w:type="dxa"/>
            </w:tcMar>
            <w:vAlign w:val="bottom"/>
          </w:tcPr>
          <w:p w14:paraId="7DD005F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60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0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0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60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0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05" w14:textId="77777777" w:rsidR="00C1563E" w:rsidRDefault="000B648B">
            <w:pPr>
              <w:jc w:val="right"/>
              <w:textAlignment w:val="bottom"/>
            </w:pPr>
            <w:r>
              <w:rPr>
                <w:rFonts w:ascii="Times New Roman" w:eastAsia="宋体" w:hAnsi="Times New Roman"/>
                <w:color w:val="000000"/>
                <w:sz w:val="20"/>
                <w:szCs w:val="20"/>
              </w:rPr>
              <w:t>270 </w:t>
            </w:r>
          </w:p>
        </w:tc>
        <w:tc>
          <w:tcPr>
            <w:tcW w:w="0" w:type="auto"/>
            <w:shd w:val="clear" w:color="auto" w:fill="FFFFFF"/>
            <w:tcMar>
              <w:top w:w="40" w:type="dxa"/>
              <w:left w:w="0" w:type="dxa"/>
              <w:bottom w:w="40" w:type="dxa"/>
              <w:right w:w="20" w:type="dxa"/>
            </w:tcMar>
            <w:vAlign w:val="bottom"/>
          </w:tcPr>
          <w:p w14:paraId="7DD0060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0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08"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DD006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0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0B" w14:textId="77777777" w:rsidR="00C1563E" w:rsidRDefault="000B648B">
            <w:pPr>
              <w:jc w:val="right"/>
              <w:textAlignment w:val="bottom"/>
            </w:pPr>
            <w:r>
              <w:rPr>
                <w:rFonts w:ascii="Times New Roman" w:eastAsia="宋体" w:hAnsi="Times New Roman"/>
                <w:color w:val="000000"/>
                <w:sz w:val="20"/>
                <w:szCs w:val="20"/>
              </w:rPr>
              <w:t>279 </w:t>
            </w:r>
          </w:p>
        </w:tc>
        <w:tc>
          <w:tcPr>
            <w:tcW w:w="0" w:type="auto"/>
            <w:shd w:val="clear" w:color="auto" w:fill="FFFFFF"/>
            <w:tcMar>
              <w:top w:w="40" w:type="dxa"/>
              <w:left w:w="0" w:type="dxa"/>
              <w:bottom w:w="40" w:type="dxa"/>
              <w:right w:w="20" w:type="dxa"/>
            </w:tcMar>
            <w:vAlign w:val="bottom"/>
          </w:tcPr>
          <w:p w14:paraId="7DD0060C" w14:textId="77777777" w:rsidR="00C1563E" w:rsidRDefault="00C1563E">
            <w:pPr>
              <w:jc w:val="right"/>
              <w:rPr>
                <w:rFonts w:ascii="宋体"/>
              </w:rPr>
            </w:pPr>
          </w:p>
        </w:tc>
      </w:tr>
      <w:tr w:rsidR="00C1563E" w14:paraId="7DD0061D" w14:textId="77777777">
        <w:trPr>
          <w:jc w:val="center"/>
        </w:trPr>
        <w:tc>
          <w:tcPr>
            <w:tcW w:w="0" w:type="auto"/>
            <w:gridSpan w:val="3"/>
            <w:shd w:val="clear" w:color="auto" w:fill="CCEEFF"/>
            <w:tcMar>
              <w:top w:w="40" w:type="dxa"/>
              <w:left w:w="155" w:type="dxa"/>
              <w:bottom w:w="40" w:type="dxa"/>
              <w:right w:w="20" w:type="dxa"/>
            </w:tcMar>
            <w:vAlign w:val="bottom"/>
          </w:tcPr>
          <w:p w14:paraId="7DD0060E" w14:textId="77777777" w:rsidR="00C1563E" w:rsidRDefault="000B648B">
            <w:pPr>
              <w:textAlignment w:val="bottom"/>
            </w:pPr>
            <w:r>
              <w:rPr>
                <w:rFonts w:ascii="Times New Roman" w:eastAsia="宋体" w:hAnsi="Times New Roman"/>
                <w:color w:val="000000"/>
                <w:sz w:val="20"/>
                <w:szCs w:val="20"/>
              </w:rPr>
              <w:t>Impact of foreign currency translation</w:t>
            </w:r>
          </w:p>
        </w:tc>
        <w:tc>
          <w:tcPr>
            <w:tcW w:w="0" w:type="auto"/>
            <w:gridSpan w:val="2"/>
            <w:shd w:val="clear" w:color="auto" w:fill="CCEEFF"/>
            <w:tcMar>
              <w:top w:w="40" w:type="dxa"/>
              <w:left w:w="20" w:type="dxa"/>
              <w:bottom w:w="40" w:type="dxa"/>
              <w:right w:w="0" w:type="dxa"/>
            </w:tcMar>
            <w:vAlign w:val="bottom"/>
          </w:tcPr>
          <w:p w14:paraId="7DD0060F" w14:textId="77777777" w:rsidR="00C1563E" w:rsidRDefault="000B648B">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7DD0061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1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1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6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1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1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6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1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18"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DD0061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1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1B" w14:textId="77777777" w:rsidR="00C1563E" w:rsidRDefault="000B648B">
            <w:pPr>
              <w:jc w:val="right"/>
              <w:textAlignment w:val="bottom"/>
            </w:pPr>
            <w:r>
              <w:rPr>
                <w:rFonts w:ascii="Times New Roman" w:eastAsia="宋体" w:hAnsi="Times New Roman"/>
                <w:color w:val="000000"/>
                <w:sz w:val="20"/>
                <w:szCs w:val="20"/>
              </w:rPr>
              <w:t>244 </w:t>
            </w:r>
          </w:p>
        </w:tc>
        <w:tc>
          <w:tcPr>
            <w:tcW w:w="0" w:type="auto"/>
            <w:shd w:val="clear" w:color="auto" w:fill="CCEEFF"/>
            <w:tcMar>
              <w:top w:w="40" w:type="dxa"/>
              <w:left w:w="0" w:type="dxa"/>
              <w:bottom w:w="40" w:type="dxa"/>
              <w:right w:w="20" w:type="dxa"/>
            </w:tcMar>
            <w:vAlign w:val="bottom"/>
          </w:tcPr>
          <w:p w14:paraId="7DD0061C" w14:textId="77777777" w:rsidR="00C1563E" w:rsidRDefault="00C1563E">
            <w:pPr>
              <w:jc w:val="right"/>
              <w:rPr>
                <w:rFonts w:ascii="宋体"/>
              </w:rPr>
            </w:pPr>
          </w:p>
        </w:tc>
      </w:tr>
      <w:tr w:rsidR="00C1563E" w14:paraId="7DD0062D" w14:textId="77777777">
        <w:trPr>
          <w:jc w:val="center"/>
        </w:trPr>
        <w:tc>
          <w:tcPr>
            <w:tcW w:w="0" w:type="auto"/>
            <w:gridSpan w:val="3"/>
            <w:shd w:val="clear" w:color="auto" w:fill="FFFFFF"/>
            <w:tcMar>
              <w:top w:w="40" w:type="dxa"/>
              <w:left w:w="155" w:type="dxa"/>
              <w:bottom w:w="40" w:type="dxa"/>
              <w:right w:w="20" w:type="dxa"/>
            </w:tcMar>
            <w:vAlign w:val="bottom"/>
          </w:tcPr>
          <w:p w14:paraId="7DD0061E" w14:textId="77777777" w:rsidR="00C1563E" w:rsidRDefault="000B648B">
            <w:pPr>
              <w:textAlignment w:val="bottom"/>
            </w:pPr>
            <w:r>
              <w:rPr>
                <w:rFonts w:ascii="Times New Roman" w:eastAsia="宋体" w:hAnsi="Times New Roman"/>
                <w:color w:val="000000"/>
                <w:sz w:val="20"/>
                <w:szCs w:val="20"/>
              </w:rPr>
              <w:t>Goodwill divested (d)</w:t>
            </w:r>
          </w:p>
        </w:tc>
        <w:tc>
          <w:tcPr>
            <w:tcW w:w="0" w:type="auto"/>
            <w:gridSpan w:val="2"/>
            <w:shd w:val="clear" w:color="auto" w:fill="FFFFFF"/>
            <w:tcMar>
              <w:top w:w="40" w:type="dxa"/>
              <w:left w:w="20" w:type="dxa"/>
              <w:bottom w:w="40" w:type="dxa"/>
              <w:right w:w="0" w:type="dxa"/>
            </w:tcMar>
            <w:vAlign w:val="bottom"/>
          </w:tcPr>
          <w:p w14:paraId="7DD0061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62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2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2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62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2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2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62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2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28" w14:textId="77777777" w:rsidR="00C1563E" w:rsidRDefault="000B648B">
            <w:pPr>
              <w:jc w:val="right"/>
              <w:textAlignment w:val="bottom"/>
            </w:pPr>
            <w:r>
              <w:rPr>
                <w:rFonts w:ascii="Times New Roman" w:eastAsia="宋体" w:hAnsi="Times New Roman"/>
                <w:color w:val="000000"/>
                <w:sz w:val="20"/>
                <w:szCs w:val="20"/>
              </w:rPr>
              <w:t>(1,385)</w:t>
            </w:r>
          </w:p>
        </w:tc>
        <w:tc>
          <w:tcPr>
            <w:tcW w:w="0" w:type="auto"/>
            <w:shd w:val="clear" w:color="auto" w:fill="FFFFFF"/>
            <w:tcMar>
              <w:top w:w="40" w:type="dxa"/>
              <w:left w:w="0" w:type="dxa"/>
              <w:bottom w:w="40" w:type="dxa"/>
              <w:right w:w="20" w:type="dxa"/>
            </w:tcMar>
            <w:vAlign w:val="bottom"/>
          </w:tcPr>
          <w:p w14:paraId="7DD0062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2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2B" w14:textId="77777777" w:rsidR="00C1563E" w:rsidRDefault="000B648B">
            <w:pPr>
              <w:jc w:val="right"/>
              <w:textAlignment w:val="bottom"/>
            </w:pPr>
            <w:r>
              <w:rPr>
                <w:rFonts w:ascii="Times New Roman" w:eastAsia="宋体" w:hAnsi="Times New Roman"/>
                <w:color w:val="000000"/>
                <w:sz w:val="20"/>
                <w:szCs w:val="20"/>
              </w:rPr>
              <w:t>(1,385)</w:t>
            </w:r>
          </w:p>
        </w:tc>
        <w:tc>
          <w:tcPr>
            <w:tcW w:w="0" w:type="auto"/>
            <w:shd w:val="clear" w:color="auto" w:fill="FFFFFF"/>
            <w:tcMar>
              <w:top w:w="40" w:type="dxa"/>
              <w:left w:w="0" w:type="dxa"/>
              <w:bottom w:w="40" w:type="dxa"/>
              <w:right w:w="20" w:type="dxa"/>
            </w:tcMar>
            <w:vAlign w:val="bottom"/>
          </w:tcPr>
          <w:p w14:paraId="7DD0062C" w14:textId="77777777" w:rsidR="00C1563E" w:rsidRDefault="00C1563E">
            <w:pPr>
              <w:jc w:val="right"/>
              <w:rPr>
                <w:rFonts w:ascii="宋体"/>
              </w:rPr>
            </w:pPr>
          </w:p>
        </w:tc>
      </w:tr>
      <w:tr w:rsidR="00C1563E" w14:paraId="7DD00638" w14:textId="77777777">
        <w:trPr>
          <w:jc w:val="center"/>
          <w:hidden/>
        </w:trPr>
        <w:tc>
          <w:tcPr>
            <w:tcW w:w="0" w:type="auto"/>
            <w:gridSpan w:val="3"/>
            <w:shd w:val="clear" w:color="auto" w:fill="auto"/>
          </w:tcPr>
          <w:p w14:paraId="7DD0062E" w14:textId="77777777" w:rsidR="00C1563E" w:rsidRDefault="00C1563E">
            <w:pPr>
              <w:rPr>
                <w:rFonts w:ascii="宋体"/>
                <w:vanish/>
              </w:rPr>
            </w:pPr>
          </w:p>
        </w:tc>
        <w:tc>
          <w:tcPr>
            <w:tcW w:w="0" w:type="auto"/>
            <w:gridSpan w:val="3"/>
            <w:shd w:val="clear" w:color="auto" w:fill="auto"/>
          </w:tcPr>
          <w:p w14:paraId="7DD0062F" w14:textId="77777777" w:rsidR="00C1563E" w:rsidRDefault="00C1563E">
            <w:pPr>
              <w:rPr>
                <w:rFonts w:ascii="宋体"/>
                <w:vanish/>
              </w:rPr>
            </w:pPr>
          </w:p>
        </w:tc>
        <w:tc>
          <w:tcPr>
            <w:tcW w:w="0" w:type="auto"/>
            <w:gridSpan w:val="3"/>
            <w:shd w:val="clear" w:color="auto" w:fill="auto"/>
          </w:tcPr>
          <w:p w14:paraId="7DD00630" w14:textId="77777777" w:rsidR="00C1563E" w:rsidRDefault="00C1563E">
            <w:pPr>
              <w:rPr>
                <w:rFonts w:ascii="宋体"/>
                <w:vanish/>
              </w:rPr>
            </w:pPr>
          </w:p>
        </w:tc>
        <w:tc>
          <w:tcPr>
            <w:tcW w:w="0" w:type="auto"/>
            <w:gridSpan w:val="3"/>
            <w:shd w:val="clear" w:color="auto" w:fill="auto"/>
          </w:tcPr>
          <w:p w14:paraId="7DD00631" w14:textId="77777777" w:rsidR="00C1563E" w:rsidRDefault="00C1563E">
            <w:pPr>
              <w:rPr>
                <w:rFonts w:ascii="宋体"/>
                <w:vanish/>
              </w:rPr>
            </w:pPr>
          </w:p>
        </w:tc>
        <w:tc>
          <w:tcPr>
            <w:tcW w:w="0" w:type="auto"/>
            <w:gridSpan w:val="3"/>
            <w:shd w:val="clear" w:color="auto" w:fill="auto"/>
          </w:tcPr>
          <w:p w14:paraId="7DD00632" w14:textId="77777777" w:rsidR="00C1563E" w:rsidRDefault="00C1563E">
            <w:pPr>
              <w:rPr>
                <w:rFonts w:ascii="宋体"/>
                <w:vanish/>
              </w:rPr>
            </w:pPr>
          </w:p>
        </w:tc>
        <w:tc>
          <w:tcPr>
            <w:tcW w:w="0" w:type="auto"/>
            <w:gridSpan w:val="3"/>
            <w:shd w:val="clear" w:color="auto" w:fill="auto"/>
          </w:tcPr>
          <w:p w14:paraId="7DD00633" w14:textId="77777777" w:rsidR="00C1563E" w:rsidRDefault="00C1563E">
            <w:pPr>
              <w:rPr>
                <w:rFonts w:ascii="宋体"/>
                <w:vanish/>
              </w:rPr>
            </w:pPr>
          </w:p>
        </w:tc>
        <w:tc>
          <w:tcPr>
            <w:tcW w:w="0" w:type="auto"/>
            <w:gridSpan w:val="3"/>
            <w:shd w:val="clear" w:color="auto" w:fill="auto"/>
          </w:tcPr>
          <w:p w14:paraId="7DD00634" w14:textId="77777777" w:rsidR="00C1563E" w:rsidRDefault="00C1563E">
            <w:pPr>
              <w:rPr>
                <w:rFonts w:ascii="宋体"/>
                <w:vanish/>
              </w:rPr>
            </w:pPr>
          </w:p>
        </w:tc>
        <w:tc>
          <w:tcPr>
            <w:tcW w:w="0" w:type="auto"/>
            <w:gridSpan w:val="3"/>
            <w:shd w:val="clear" w:color="auto" w:fill="auto"/>
          </w:tcPr>
          <w:p w14:paraId="7DD00635" w14:textId="77777777" w:rsidR="00C1563E" w:rsidRDefault="00C1563E">
            <w:pPr>
              <w:rPr>
                <w:rFonts w:ascii="宋体"/>
                <w:vanish/>
              </w:rPr>
            </w:pPr>
          </w:p>
        </w:tc>
        <w:tc>
          <w:tcPr>
            <w:tcW w:w="0" w:type="auto"/>
            <w:gridSpan w:val="3"/>
            <w:shd w:val="clear" w:color="auto" w:fill="auto"/>
          </w:tcPr>
          <w:p w14:paraId="7DD00636" w14:textId="77777777" w:rsidR="00C1563E" w:rsidRDefault="00C1563E">
            <w:pPr>
              <w:rPr>
                <w:rFonts w:ascii="宋体"/>
                <w:vanish/>
              </w:rPr>
            </w:pPr>
          </w:p>
        </w:tc>
        <w:tc>
          <w:tcPr>
            <w:tcW w:w="0" w:type="auto"/>
            <w:gridSpan w:val="3"/>
            <w:shd w:val="clear" w:color="auto" w:fill="auto"/>
          </w:tcPr>
          <w:p w14:paraId="7DD00637" w14:textId="77777777" w:rsidR="00C1563E" w:rsidRDefault="00C1563E">
            <w:pPr>
              <w:rPr>
                <w:rFonts w:ascii="宋体"/>
                <w:vanish/>
              </w:rPr>
            </w:pPr>
          </w:p>
        </w:tc>
      </w:tr>
      <w:tr w:rsidR="00C1563E" w14:paraId="7DD0064D" w14:textId="77777777">
        <w:trPr>
          <w:jc w:val="center"/>
        </w:trPr>
        <w:tc>
          <w:tcPr>
            <w:tcW w:w="0" w:type="auto"/>
            <w:gridSpan w:val="3"/>
            <w:shd w:val="clear" w:color="auto" w:fill="CCEEFF"/>
            <w:tcMar>
              <w:top w:w="40" w:type="dxa"/>
              <w:left w:w="20" w:type="dxa"/>
              <w:bottom w:w="40" w:type="dxa"/>
              <w:right w:w="20" w:type="dxa"/>
            </w:tcMar>
            <w:vAlign w:val="bottom"/>
          </w:tcPr>
          <w:p w14:paraId="7DD00639" w14:textId="77777777" w:rsidR="00C1563E" w:rsidRDefault="000B648B">
            <w:pPr>
              <w:textAlignment w:val="bottom"/>
            </w:pPr>
            <w:r>
              <w:rPr>
                <w:rFonts w:ascii="Times New Roman" w:eastAsia="宋体" w:hAnsi="Times New Roman"/>
                <w:i/>
                <w:iCs/>
                <w:color w:val="000000"/>
                <w:sz w:val="20"/>
                <w:szCs w:val="20"/>
              </w:rPr>
              <w:t>Balances as of January 29,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63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63B" w14:textId="77777777" w:rsidR="00C1563E" w:rsidRDefault="000B648B">
            <w:pPr>
              <w:jc w:val="right"/>
              <w:textAlignment w:val="bottom"/>
            </w:pPr>
            <w:r>
              <w:rPr>
                <w:rFonts w:ascii="Times New Roman" w:eastAsia="宋体" w:hAnsi="Times New Roman"/>
                <w:color w:val="000000"/>
                <w:sz w:val="20"/>
                <w:szCs w:val="20"/>
              </w:rPr>
              <w:t>15,324 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63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3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63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63F" w14:textId="77777777" w:rsidR="00C1563E" w:rsidRDefault="000B648B">
            <w:pPr>
              <w:jc w:val="right"/>
              <w:textAlignment w:val="bottom"/>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64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41"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64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643" w14:textId="77777777" w:rsidR="00C1563E" w:rsidRDefault="000B648B">
            <w:pPr>
              <w:jc w:val="right"/>
              <w:textAlignment w:val="bottom"/>
            </w:pPr>
            <w:r>
              <w:rPr>
                <w:rFonts w:ascii="Times New Roman" w:eastAsia="宋体" w:hAnsi="Times New Roman"/>
                <w:color w:val="000000"/>
                <w:sz w:val="20"/>
                <w:szCs w:val="20"/>
              </w:rPr>
              <w:t>20,802 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64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45"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64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647" w14:textId="77777777" w:rsidR="00C1563E" w:rsidRDefault="000B648B">
            <w:pPr>
              <w:jc w:val="right"/>
              <w:textAlignment w:val="bottom"/>
            </w:pPr>
            <w:r>
              <w:rPr>
                <w:rFonts w:ascii="Times New Roman" w:eastAsia="宋体" w:hAnsi="Times New Roman"/>
                <w:color w:val="000000"/>
                <w:sz w:val="20"/>
                <w:szCs w:val="20"/>
              </w:rPr>
              <w:t>466 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6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4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64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64B" w14:textId="77777777" w:rsidR="00C1563E" w:rsidRDefault="000B648B">
            <w:pPr>
              <w:jc w:val="right"/>
              <w:textAlignment w:val="bottom"/>
            </w:pPr>
            <w:r>
              <w:rPr>
                <w:rFonts w:ascii="Times New Roman" w:eastAsia="宋体" w:hAnsi="Times New Roman"/>
                <w:color w:val="000000"/>
                <w:sz w:val="20"/>
                <w:szCs w:val="20"/>
              </w:rPr>
              <w:t>40,829 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64C" w14:textId="77777777" w:rsidR="00C1563E" w:rsidRDefault="00C1563E">
            <w:pPr>
              <w:jc w:val="right"/>
              <w:rPr>
                <w:rFonts w:ascii="宋体"/>
              </w:rPr>
            </w:pPr>
          </w:p>
        </w:tc>
      </w:tr>
    </w:tbl>
    <w:p w14:paraId="7DD0064E" w14:textId="77777777" w:rsidR="00C1563E" w:rsidRDefault="000B648B">
      <w:r>
        <w:rPr>
          <w:rFonts w:ascii="Times New Roman" w:eastAsia="宋体" w:hAnsi="Times New Roman"/>
          <w:color w:val="000000"/>
          <w:sz w:val="20"/>
          <w:szCs w:val="20"/>
        </w:rPr>
        <w:t>______</w:t>
      </w:r>
      <w:r>
        <w:rPr>
          <w:rFonts w:ascii="Times New Roman" w:eastAsia="宋体" w:hAnsi="Times New Roman"/>
          <w:color w:val="000000"/>
          <w:sz w:val="20"/>
          <w:szCs w:val="20"/>
        </w:rPr>
        <w:t>______________</w:t>
      </w:r>
    </w:p>
    <w:p w14:paraId="7DD0064F" w14:textId="77777777" w:rsidR="00C1563E" w:rsidRDefault="000B648B">
      <w:pPr>
        <w:ind w:hanging="360"/>
      </w:pPr>
      <w:r>
        <w:rPr>
          <w:rFonts w:ascii="Times New Roman" w:eastAsia="宋体" w:hAnsi="Times New Roman"/>
          <w:color w:val="000000"/>
          <w:sz w:val="20"/>
          <w:szCs w:val="20"/>
        </w:rPr>
        <w:t>(a)    As of January 29, 2021, goodwill allocated to Other businesses consists of Secureworks, Virtustream, and Boomi.</w:t>
      </w:r>
    </w:p>
    <w:p w14:paraId="7DD00650" w14:textId="77777777" w:rsidR="00C1563E" w:rsidRDefault="000B648B">
      <w:pPr>
        <w:ind w:hanging="360"/>
      </w:pPr>
      <w:r>
        <w:rPr>
          <w:rFonts w:ascii="Times New Roman" w:eastAsia="宋体" w:hAnsi="Times New Roman"/>
          <w:color w:val="000000"/>
          <w:sz w:val="20"/>
          <w:szCs w:val="20"/>
        </w:rPr>
        <w:t>(b)    Related primarily to VMware, Inc. business combinations completed during the fiscal years ended January 29, 2021 an</w:t>
      </w:r>
      <w:r>
        <w:rPr>
          <w:rFonts w:ascii="Times New Roman" w:eastAsia="宋体" w:hAnsi="Times New Roman"/>
          <w:color w:val="000000"/>
          <w:sz w:val="20"/>
          <w:szCs w:val="20"/>
        </w:rPr>
        <w:t>d January 31, 2020, as discussed above.</w:t>
      </w:r>
    </w:p>
    <w:p w14:paraId="7DD00651" w14:textId="77777777" w:rsidR="00C1563E" w:rsidRDefault="000B648B">
      <w:pPr>
        <w:ind w:hanging="360"/>
      </w:pPr>
      <w:r>
        <w:rPr>
          <w:rFonts w:ascii="Times New Roman" w:eastAsia="宋体" w:hAnsi="Times New Roman"/>
          <w:color w:val="000000"/>
          <w:sz w:val="20"/>
          <w:szCs w:val="20"/>
        </w:rPr>
        <w:t>(c)    The Company recognized goodwill impairment charges related to Virtustream during the fiscal year ended January 31, 2020, as discussed below.</w:t>
      </w:r>
    </w:p>
    <w:p w14:paraId="7DD00652" w14:textId="77777777" w:rsidR="00C1563E" w:rsidRDefault="000B648B">
      <w:pPr>
        <w:ind w:hanging="360"/>
      </w:pPr>
      <w:r>
        <w:rPr>
          <w:rFonts w:ascii="Times New Roman" w:eastAsia="宋体" w:hAnsi="Times New Roman"/>
          <w:color w:val="000000"/>
          <w:sz w:val="20"/>
          <w:szCs w:val="20"/>
        </w:rPr>
        <w:t>(d) During the three months ended October 30, 2020, Dell Technologie</w:t>
      </w:r>
      <w:r>
        <w:rPr>
          <w:rFonts w:ascii="Times New Roman" w:eastAsia="宋体" w:hAnsi="Times New Roman"/>
          <w:color w:val="000000"/>
          <w:sz w:val="20"/>
          <w:szCs w:val="20"/>
        </w:rPr>
        <w:t>s closed the transaction to sell RSA Security. Prior to the divestiture, RSA Security was included within Other businesses. See Note 1 of the Notes to the Consolidated Financial Statements for additional information about the divestiture of RSA Security.</w:t>
      </w:r>
    </w:p>
    <w:p w14:paraId="7DD00653" w14:textId="77777777" w:rsidR="00C1563E" w:rsidRDefault="00C1563E">
      <w:pPr>
        <w:ind w:hanging="360"/>
      </w:pPr>
    </w:p>
    <w:p w14:paraId="7DD00654" w14:textId="77777777" w:rsidR="00C1563E" w:rsidRDefault="000B648B">
      <w:r>
        <w:rPr>
          <w:rFonts w:ascii="Times New Roman" w:eastAsia="宋体" w:hAnsi="Times New Roman"/>
          <w:i/>
          <w:iCs/>
          <w:color w:val="000000"/>
          <w:sz w:val="20"/>
          <w:szCs w:val="20"/>
          <w:u w:val="single"/>
        </w:rPr>
        <w:t>Goodwill Impairment Tests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Goodwill and indefinite-lived intangible assets are tested for impairment annually during the third fiscal quarter and whenever events or circumstances may indicate that an impairment has occurred. As a result of the </w:t>
      </w:r>
      <w:r>
        <w:rPr>
          <w:rFonts w:ascii="Times New Roman" w:eastAsia="宋体" w:hAnsi="Times New Roman"/>
          <w:color w:val="000000"/>
          <w:sz w:val="20"/>
          <w:szCs w:val="20"/>
        </w:rPr>
        <w:t xml:space="preserve">changes in the current economic environment related to the COVID-19 pandemic, the Company considered whether there was a potential triggering event requiring the evaluation of whether goodwill of any of the reporting units should be tested for impairment. </w:t>
      </w:r>
      <w:r>
        <w:rPr>
          <w:rFonts w:ascii="Times New Roman" w:eastAsia="宋体" w:hAnsi="Times New Roman"/>
          <w:color w:val="000000"/>
          <w:sz w:val="20"/>
          <w:szCs w:val="20"/>
        </w:rPr>
        <w:t>The Company determined there was no triggering event in previous quarters during Fiscal 2021, and no impairment test was performed other than the Company’s annual impairment review in the third quarter of Fiscal 2021.</w:t>
      </w:r>
    </w:p>
    <w:p w14:paraId="7DD00655" w14:textId="77777777" w:rsidR="00C1563E" w:rsidRDefault="00C1563E"/>
    <w:p w14:paraId="7DD00656" w14:textId="77777777" w:rsidR="00C1563E" w:rsidRDefault="000B648B">
      <w:r>
        <w:rPr>
          <w:rFonts w:ascii="Times New Roman" w:eastAsia="宋体" w:hAnsi="Times New Roman"/>
          <w:color w:val="000000"/>
          <w:sz w:val="20"/>
          <w:szCs w:val="20"/>
        </w:rPr>
        <w:t xml:space="preserve">For the annual impairment </w:t>
      </w:r>
      <w:r>
        <w:rPr>
          <w:rFonts w:ascii="Times New Roman" w:eastAsia="宋体" w:hAnsi="Times New Roman"/>
          <w:color w:val="000000"/>
          <w:sz w:val="20"/>
          <w:szCs w:val="20"/>
        </w:rPr>
        <w:t xml:space="preserve">review in the third quarter of Fiscal 2021, the Company elected to bypass the assessment of qualitative factors to determine whether it was more likely than not that the fair value of a reporting unit was less than its carrying amount, including goodwill. </w:t>
      </w:r>
      <w:r>
        <w:rPr>
          <w:rFonts w:ascii="Times New Roman" w:eastAsia="宋体" w:hAnsi="Times New Roman"/>
          <w:color w:val="000000"/>
          <w:sz w:val="20"/>
          <w:szCs w:val="20"/>
        </w:rPr>
        <w:t>In electing to bypass the qualitative assessment, the Company proceeded directly to performing a quantitative goodwill impairment test to measure the fair value of each goodwill reporting unit relative to its carrying amount, and to determine the amount of</w:t>
      </w:r>
      <w:r>
        <w:rPr>
          <w:rFonts w:ascii="Times New Roman" w:eastAsia="宋体" w:hAnsi="Times New Roman"/>
          <w:color w:val="000000"/>
          <w:sz w:val="20"/>
          <w:szCs w:val="20"/>
        </w:rPr>
        <w:t xml:space="preserve"> goodwill impairment loss to be recognized, if any.</w:t>
      </w:r>
    </w:p>
    <w:p w14:paraId="7DD00657" w14:textId="77777777" w:rsidR="00C1563E" w:rsidRDefault="00C1563E"/>
    <w:p w14:paraId="7DD00658" w14:textId="77777777" w:rsidR="00C1563E" w:rsidRDefault="00C1563E"/>
    <w:p w14:paraId="7DD00659" w14:textId="77777777" w:rsidR="00C1563E" w:rsidRDefault="00C1563E">
      <w:pPr>
        <w:jc w:val="center"/>
      </w:pPr>
    </w:p>
    <w:p w14:paraId="7DD0065A" w14:textId="77777777" w:rsidR="00C1563E" w:rsidRDefault="000B648B">
      <w:pPr>
        <w:jc w:val="center"/>
      </w:pPr>
      <w:r>
        <w:rPr>
          <w:rFonts w:ascii="Times New Roman" w:eastAsia="宋体" w:hAnsi="Times New Roman"/>
          <w:color w:val="000000"/>
          <w:sz w:val="20"/>
          <w:szCs w:val="20"/>
        </w:rPr>
        <w:t>122</w:t>
      </w:r>
    </w:p>
    <w:p w14:paraId="7DD0065B" w14:textId="77777777" w:rsidR="00C1563E" w:rsidRDefault="00C1563E">
      <w:pPr>
        <w:jc w:val="center"/>
      </w:pPr>
    </w:p>
    <w:p w14:paraId="7DD0065C" w14:textId="77777777" w:rsidR="00C1563E" w:rsidRDefault="000B648B">
      <w:r>
        <w:pict w14:anchorId="7DD025E4">
          <v:rect id="_x0000_i1146" style="width:415.3pt;height:1.5pt" o:hralign="center" o:hrstd="t" o:hr="t" fillcolor="#a0a0a0" stroked="f"/>
        </w:pict>
      </w:r>
    </w:p>
    <w:p w14:paraId="7DD0065D" w14:textId="77777777" w:rsidR="00C1563E" w:rsidRDefault="000B648B">
      <w:hyperlink r:id="rId305" w:anchor="i418e32e4a35149ffbf7d3a25d66881b8_10" w:history="1">
        <w:r>
          <w:rPr>
            <w:rStyle w:val="a5"/>
            <w:rFonts w:ascii="Times New Roman" w:eastAsia="宋体" w:hAnsi="Times New Roman"/>
            <w:sz w:val="20"/>
            <w:szCs w:val="20"/>
          </w:rPr>
          <w:t>Table of Contents</w:t>
        </w:r>
      </w:hyperlink>
    </w:p>
    <w:p w14:paraId="7DD0065E" w14:textId="77777777" w:rsidR="00C1563E" w:rsidRDefault="000B648B">
      <w:r>
        <w:rPr>
          <w:rFonts w:ascii="Times New Roman" w:eastAsia="宋体" w:hAnsi="Times New Roman"/>
          <w:color w:val="000000"/>
          <w:sz w:val="20"/>
          <w:szCs w:val="20"/>
        </w:rPr>
        <w:t>Management exercised s</w:t>
      </w:r>
      <w:r>
        <w:rPr>
          <w:rFonts w:ascii="Times New Roman" w:eastAsia="宋体" w:hAnsi="Times New Roman"/>
          <w:color w:val="000000"/>
          <w:sz w:val="20"/>
          <w:szCs w:val="20"/>
        </w:rPr>
        <w:t xml:space="preserve">ignificant judgment related to the above assessment, including the identification of goodwill reporting units, assignment of assets and liabilities to goodwill reporting units, assignment of goodwill to reporting units, and determination of the fair value </w:t>
      </w:r>
      <w:r>
        <w:rPr>
          <w:rFonts w:ascii="Times New Roman" w:eastAsia="宋体" w:hAnsi="Times New Roman"/>
          <w:color w:val="000000"/>
          <w:sz w:val="20"/>
          <w:szCs w:val="20"/>
        </w:rPr>
        <w:t>of each goodwill reporting unit. The fair value of each goodwill reporting unit is generally estimated using a combination of public company multiples and discounted cash flow methodologies, unless the reporting unit relates to a publicly-traded entity (VM</w:t>
      </w:r>
      <w:r>
        <w:rPr>
          <w:rFonts w:ascii="Times New Roman" w:eastAsia="宋体" w:hAnsi="Times New Roman"/>
          <w:color w:val="000000"/>
          <w:sz w:val="20"/>
          <w:szCs w:val="20"/>
        </w:rPr>
        <w:t xml:space="preserve">ware, Inc. or Secureworks), in which case the fair value is determined based primarily on the public company market valuation. The discounted cash flow and public company multiples methodologies require significant judgment, including estimation of future </w:t>
      </w:r>
      <w:r>
        <w:rPr>
          <w:rFonts w:ascii="Times New Roman" w:eastAsia="宋体" w:hAnsi="Times New Roman"/>
          <w:color w:val="000000"/>
          <w:sz w:val="20"/>
          <w:szCs w:val="20"/>
        </w:rPr>
        <w:t>revenues, gross margins, and operating expenses, which are dependent on internal forecasts, current and anticipated economic conditions and trends, selection of market multiples through assessment of the reporting unit’s performance relative to peer compet</w:t>
      </w:r>
      <w:r>
        <w:rPr>
          <w:rFonts w:ascii="Times New Roman" w:eastAsia="宋体" w:hAnsi="Times New Roman"/>
          <w:color w:val="000000"/>
          <w:sz w:val="20"/>
          <w:szCs w:val="20"/>
        </w:rPr>
        <w:t>itors, the estimation of the long-term revenue growth rate and discount rate of the Company’s business, and the determination of the Company’s weighted average cost of capital. Changes in these estimates and assumptions could materially affect the fair val</w:t>
      </w:r>
      <w:r>
        <w:rPr>
          <w:rFonts w:ascii="Times New Roman" w:eastAsia="宋体" w:hAnsi="Times New Roman"/>
          <w:color w:val="000000"/>
          <w:sz w:val="20"/>
          <w:szCs w:val="20"/>
        </w:rPr>
        <w:t>ue of the goodwill reporting unit, potentially resulting in a non-cash impairment charge.</w:t>
      </w:r>
    </w:p>
    <w:p w14:paraId="7DD0065F" w14:textId="77777777" w:rsidR="00C1563E" w:rsidRDefault="00C1563E"/>
    <w:p w14:paraId="7DD00660" w14:textId="77777777" w:rsidR="00C1563E" w:rsidRDefault="000B648B">
      <w:r>
        <w:rPr>
          <w:rFonts w:ascii="Times New Roman" w:eastAsia="宋体" w:hAnsi="Times New Roman"/>
          <w:color w:val="000000"/>
          <w:sz w:val="20"/>
          <w:szCs w:val="20"/>
        </w:rPr>
        <w:t>The fair value of the indefinite-lived trade names is generally estimated using discounted cash flow methodologies. The discounted cash flow methodology requires sig</w:t>
      </w:r>
      <w:r>
        <w:rPr>
          <w:rFonts w:ascii="Times New Roman" w:eastAsia="宋体" w:hAnsi="Times New Roman"/>
          <w:color w:val="000000"/>
          <w:sz w:val="20"/>
          <w:szCs w:val="20"/>
        </w:rPr>
        <w:t>nificant judgment, including estimation of future revenue, the estimation of the long-term revenue growth rate of the Company’s business and the determination of the Company’s weighted average cost of capital and royalty rates. Changes in these estimates a</w:t>
      </w:r>
      <w:r>
        <w:rPr>
          <w:rFonts w:ascii="Times New Roman" w:eastAsia="宋体" w:hAnsi="Times New Roman"/>
          <w:color w:val="000000"/>
          <w:sz w:val="20"/>
          <w:szCs w:val="20"/>
        </w:rPr>
        <w:t>nd assumptions could materially affect the fair value of the indefinite-lived intangible assets, potentially resulting in a non-cash impairment charge.</w:t>
      </w:r>
    </w:p>
    <w:p w14:paraId="7DD00661" w14:textId="77777777" w:rsidR="00C1563E" w:rsidRDefault="00C1563E"/>
    <w:p w14:paraId="7DD00662" w14:textId="77777777" w:rsidR="00C1563E" w:rsidRDefault="000B648B">
      <w:r>
        <w:rPr>
          <w:rFonts w:ascii="Times New Roman" w:eastAsia="宋体" w:hAnsi="Times New Roman"/>
          <w:color w:val="000000"/>
          <w:sz w:val="20"/>
          <w:szCs w:val="20"/>
        </w:rPr>
        <w:t>Based on the results of the annual impairment test performed during the fiscal year ended January 29, 2</w:t>
      </w:r>
      <w:r>
        <w:rPr>
          <w:rFonts w:ascii="Times New Roman" w:eastAsia="宋体" w:hAnsi="Times New Roman"/>
          <w:color w:val="000000"/>
          <w:sz w:val="20"/>
          <w:szCs w:val="20"/>
        </w:rPr>
        <w:t>021, the fair values of each of the reporting units exceeded their carrying values.</w:t>
      </w:r>
    </w:p>
    <w:p w14:paraId="7DD00663" w14:textId="77777777" w:rsidR="00C1563E" w:rsidRDefault="00C1563E"/>
    <w:p w14:paraId="7DD00664" w14:textId="77777777" w:rsidR="00C1563E" w:rsidRDefault="000B648B">
      <w:r>
        <w:rPr>
          <w:rFonts w:ascii="Times New Roman" w:eastAsia="宋体" w:hAnsi="Times New Roman"/>
          <w:color w:val="000000"/>
          <w:sz w:val="20"/>
          <w:szCs w:val="20"/>
        </w:rPr>
        <w:t>During the fiscal year ended January 31, 2020, an interim impairment assessment of Virtustream was required. There were no remaining balances of Virtustream goodwill, inta</w:t>
      </w:r>
      <w:r>
        <w:rPr>
          <w:rFonts w:ascii="Times New Roman" w:eastAsia="宋体" w:hAnsi="Times New Roman"/>
          <w:color w:val="000000"/>
          <w:sz w:val="20"/>
          <w:szCs w:val="20"/>
        </w:rPr>
        <w:t>ngible assets, or property, plant, and equipment as of January 31, 2020 following the pre-tax asset impairment charge of $619 million ($524 million net of tax benefits) recognized during the fiscal year ended January 31, 2020, and a gross goodwill impairme</w:t>
      </w:r>
      <w:r>
        <w:rPr>
          <w:rFonts w:ascii="Times New Roman" w:eastAsia="宋体" w:hAnsi="Times New Roman"/>
          <w:color w:val="000000"/>
          <w:sz w:val="20"/>
          <w:szCs w:val="20"/>
        </w:rPr>
        <w:t>nt charge of $190 million recognized during the fiscal year ended February 1, 2019. The asset impairment charge during the fiscal year ended January 31, 2020 was comprised of $207 million of goodwill, $266 million of intangible assets, net, $146 million of</w:t>
      </w:r>
      <w:r>
        <w:rPr>
          <w:rFonts w:ascii="Times New Roman" w:eastAsia="宋体" w:hAnsi="Times New Roman"/>
          <w:color w:val="000000"/>
          <w:sz w:val="20"/>
          <w:szCs w:val="20"/>
        </w:rPr>
        <w:t xml:space="preserve"> property plant and equipment, net, and $95 million of other non-current liabilities related to deferred income taxes. The impairments were reflected in Other, net within cash flows from operating activities on the Consolidated Statements of Cash Flows.</w:t>
      </w:r>
    </w:p>
    <w:p w14:paraId="7DD00665" w14:textId="77777777" w:rsidR="00C1563E" w:rsidRDefault="00C1563E"/>
    <w:p w14:paraId="7DD00666" w14:textId="77777777" w:rsidR="00C1563E" w:rsidRDefault="00C1563E">
      <w:pPr>
        <w:jc w:val="center"/>
      </w:pPr>
    </w:p>
    <w:p w14:paraId="7DD00667" w14:textId="77777777" w:rsidR="00C1563E" w:rsidRDefault="000B648B">
      <w:pPr>
        <w:jc w:val="center"/>
      </w:pPr>
      <w:r>
        <w:rPr>
          <w:rFonts w:ascii="Times New Roman" w:eastAsia="宋体" w:hAnsi="Times New Roman"/>
          <w:color w:val="000000"/>
          <w:sz w:val="20"/>
          <w:szCs w:val="20"/>
        </w:rPr>
        <w:t>123</w:t>
      </w:r>
    </w:p>
    <w:p w14:paraId="7DD00668" w14:textId="77777777" w:rsidR="00C1563E" w:rsidRDefault="00C1563E">
      <w:pPr>
        <w:jc w:val="center"/>
      </w:pPr>
    </w:p>
    <w:p w14:paraId="7DD00669" w14:textId="77777777" w:rsidR="00C1563E" w:rsidRDefault="000B648B">
      <w:r>
        <w:pict w14:anchorId="7DD025E5">
          <v:rect id="_x0000_i1147" style="width:415.3pt;height:1.5pt" o:hralign="center" o:hrstd="t" o:hr="t" fillcolor="#a0a0a0" stroked="f"/>
        </w:pict>
      </w:r>
    </w:p>
    <w:p w14:paraId="7DD0066A" w14:textId="77777777" w:rsidR="00C1563E" w:rsidRDefault="000B648B">
      <w:hyperlink r:id="rId306" w:anchor="i418e32e4a35149ffbf7d3a25d66881b8_10" w:history="1">
        <w:r>
          <w:rPr>
            <w:rStyle w:val="a5"/>
            <w:rFonts w:ascii="Times New Roman" w:eastAsia="宋体" w:hAnsi="Times New Roman"/>
            <w:sz w:val="20"/>
            <w:szCs w:val="20"/>
          </w:rPr>
          <w:t>Table of Contents</w:t>
        </w:r>
      </w:hyperlink>
    </w:p>
    <w:p w14:paraId="7DD0066B" w14:textId="77777777" w:rsidR="00C1563E" w:rsidRDefault="000B648B">
      <w:r>
        <w:rPr>
          <w:rFonts w:ascii="Times New Roman" w:eastAsia="宋体" w:hAnsi="Times New Roman"/>
          <w:b/>
          <w:bCs/>
          <w:color w:val="000000"/>
          <w:sz w:val="20"/>
          <w:szCs w:val="20"/>
        </w:rPr>
        <w:t>Intangible Assets</w:t>
      </w:r>
    </w:p>
    <w:p w14:paraId="7DD0066C" w14:textId="77777777" w:rsidR="00C1563E" w:rsidRDefault="00C1563E"/>
    <w:p w14:paraId="7DD0066D" w14:textId="77777777" w:rsidR="00C1563E" w:rsidRDefault="000B648B">
      <w:pPr>
        <w:spacing w:after="120"/>
      </w:pPr>
      <w:r>
        <w:rPr>
          <w:rFonts w:ascii="Times New Roman" w:eastAsia="宋体" w:hAnsi="Times New Roman"/>
          <w:color w:val="000000"/>
          <w:sz w:val="20"/>
          <w:szCs w:val="20"/>
        </w:rPr>
        <w:t>The following table presents the Company’s intangible asse</w:t>
      </w:r>
      <w:r>
        <w:rPr>
          <w:rFonts w:ascii="Times New Roman" w:eastAsia="宋体" w:hAnsi="Times New Roman"/>
          <w:color w:val="000000"/>
          <w:sz w:val="20"/>
          <w:szCs w:val="20"/>
        </w:rPr>
        <w:t>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216"/>
        <w:gridCol w:w="37"/>
        <w:gridCol w:w="120"/>
        <w:gridCol w:w="600"/>
        <w:gridCol w:w="36"/>
        <w:gridCol w:w="36"/>
        <w:gridCol w:w="36"/>
        <w:gridCol w:w="36"/>
        <w:gridCol w:w="121"/>
        <w:gridCol w:w="1082"/>
        <w:gridCol w:w="36"/>
        <w:gridCol w:w="36"/>
        <w:gridCol w:w="36"/>
        <w:gridCol w:w="36"/>
        <w:gridCol w:w="120"/>
        <w:gridCol w:w="600"/>
        <w:gridCol w:w="36"/>
        <w:gridCol w:w="36"/>
        <w:gridCol w:w="36"/>
        <w:gridCol w:w="36"/>
        <w:gridCol w:w="120"/>
        <w:gridCol w:w="600"/>
        <w:gridCol w:w="36"/>
        <w:gridCol w:w="36"/>
        <w:gridCol w:w="36"/>
        <w:gridCol w:w="36"/>
        <w:gridCol w:w="121"/>
        <w:gridCol w:w="1082"/>
        <w:gridCol w:w="36"/>
        <w:gridCol w:w="36"/>
        <w:gridCol w:w="36"/>
        <w:gridCol w:w="36"/>
        <w:gridCol w:w="120"/>
        <w:gridCol w:w="600"/>
        <w:gridCol w:w="36"/>
      </w:tblGrid>
      <w:tr w:rsidR="00C1563E" w14:paraId="7DD00692" w14:textId="77777777">
        <w:tc>
          <w:tcPr>
            <w:tcW w:w="50" w:type="pct"/>
            <w:shd w:val="clear" w:color="auto" w:fill="auto"/>
          </w:tcPr>
          <w:p w14:paraId="7DD0066E" w14:textId="77777777" w:rsidR="00C1563E" w:rsidRDefault="00C1563E">
            <w:pPr>
              <w:rPr>
                <w:rFonts w:ascii="宋体"/>
              </w:rPr>
            </w:pPr>
          </w:p>
        </w:tc>
        <w:tc>
          <w:tcPr>
            <w:tcW w:w="1538" w:type="pct"/>
            <w:shd w:val="clear" w:color="auto" w:fill="auto"/>
          </w:tcPr>
          <w:p w14:paraId="7DD0066F" w14:textId="77777777" w:rsidR="00C1563E" w:rsidRDefault="00C1563E">
            <w:pPr>
              <w:rPr>
                <w:rFonts w:ascii="宋体"/>
              </w:rPr>
            </w:pPr>
          </w:p>
        </w:tc>
        <w:tc>
          <w:tcPr>
            <w:tcW w:w="5" w:type="pct"/>
            <w:shd w:val="clear" w:color="auto" w:fill="auto"/>
          </w:tcPr>
          <w:p w14:paraId="7DD00670" w14:textId="77777777" w:rsidR="00C1563E" w:rsidRDefault="00C1563E">
            <w:pPr>
              <w:rPr>
                <w:rFonts w:ascii="宋体"/>
              </w:rPr>
            </w:pPr>
          </w:p>
        </w:tc>
        <w:tc>
          <w:tcPr>
            <w:tcW w:w="50" w:type="pct"/>
            <w:shd w:val="clear" w:color="auto" w:fill="auto"/>
          </w:tcPr>
          <w:p w14:paraId="7DD00671" w14:textId="77777777" w:rsidR="00C1563E" w:rsidRDefault="00C1563E">
            <w:pPr>
              <w:rPr>
                <w:rFonts w:ascii="宋体"/>
              </w:rPr>
            </w:pPr>
          </w:p>
        </w:tc>
        <w:tc>
          <w:tcPr>
            <w:tcW w:w="442" w:type="pct"/>
            <w:shd w:val="clear" w:color="auto" w:fill="auto"/>
          </w:tcPr>
          <w:p w14:paraId="7DD00672" w14:textId="77777777" w:rsidR="00C1563E" w:rsidRDefault="00C1563E">
            <w:pPr>
              <w:rPr>
                <w:rFonts w:ascii="宋体"/>
              </w:rPr>
            </w:pPr>
          </w:p>
        </w:tc>
        <w:tc>
          <w:tcPr>
            <w:tcW w:w="5" w:type="pct"/>
            <w:shd w:val="clear" w:color="auto" w:fill="auto"/>
          </w:tcPr>
          <w:p w14:paraId="7DD00673" w14:textId="77777777" w:rsidR="00C1563E" w:rsidRDefault="00C1563E">
            <w:pPr>
              <w:rPr>
                <w:rFonts w:ascii="宋体"/>
              </w:rPr>
            </w:pPr>
          </w:p>
        </w:tc>
        <w:tc>
          <w:tcPr>
            <w:tcW w:w="5" w:type="pct"/>
            <w:shd w:val="clear" w:color="auto" w:fill="auto"/>
          </w:tcPr>
          <w:p w14:paraId="7DD00674" w14:textId="77777777" w:rsidR="00C1563E" w:rsidRDefault="00C1563E">
            <w:pPr>
              <w:rPr>
                <w:rFonts w:ascii="宋体"/>
              </w:rPr>
            </w:pPr>
          </w:p>
        </w:tc>
        <w:tc>
          <w:tcPr>
            <w:tcW w:w="19" w:type="pct"/>
            <w:shd w:val="clear" w:color="auto" w:fill="auto"/>
          </w:tcPr>
          <w:p w14:paraId="7DD00675" w14:textId="77777777" w:rsidR="00C1563E" w:rsidRDefault="00C1563E">
            <w:pPr>
              <w:rPr>
                <w:rFonts w:ascii="宋体"/>
              </w:rPr>
            </w:pPr>
          </w:p>
        </w:tc>
        <w:tc>
          <w:tcPr>
            <w:tcW w:w="5" w:type="pct"/>
            <w:shd w:val="clear" w:color="auto" w:fill="auto"/>
          </w:tcPr>
          <w:p w14:paraId="7DD00676" w14:textId="77777777" w:rsidR="00C1563E" w:rsidRDefault="00C1563E">
            <w:pPr>
              <w:rPr>
                <w:rFonts w:ascii="宋体"/>
              </w:rPr>
            </w:pPr>
          </w:p>
        </w:tc>
        <w:tc>
          <w:tcPr>
            <w:tcW w:w="50" w:type="pct"/>
            <w:shd w:val="clear" w:color="auto" w:fill="auto"/>
          </w:tcPr>
          <w:p w14:paraId="7DD00677" w14:textId="77777777" w:rsidR="00C1563E" w:rsidRDefault="00C1563E">
            <w:pPr>
              <w:rPr>
                <w:rFonts w:ascii="宋体"/>
              </w:rPr>
            </w:pPr>
          </w:p>
        </w:tc>
        <w:tc>
          <w:tcPr>
            <w:tcW w:w="580" w:type="pct"/>
            <w:shd w:val="clear" w:color="auto" w:fill="auto"/>
          </w:tcPr>
          <w:p w14:paraId="7DD00678" w14:textId="77777777" w:rsidR="00C1563E" w:rsidRDefault="00C1563E">
            <w:pPr>
              <w:rPr>
                <w:rFonts w:ascii="宋体"/>
              </w:rPr>
            </w:pPr>
          </w:p>
        </w:tc>
        <w:tc>
          <w:tcPr>
            <w:tcW w:w="5" w:type="pct"/>
            <w:shd w:val="clear" w:color="auto" w:fill="auto"/>
          </w:tcPr>
          <w:p w14:paraId="7DD00679" w14:textId="77777777" w:rsidR="00C1563E" w:rsidRDefault="00C1563E">
            <w:pPr>
              <w:rPr>
                <w:rFonts w:ascii="宋体"/>
              </w:rPr>
            </w:pPr>
          </w:p>
        </w:tc>
        <w:tc>
          <w:tcPr>
            <w:tcW w:w="5" w:type="pct"/>
            <w:shd w:val="clear" w:color="auto" w:fill="auto"/>
          </w:tcPr>
          <w:p w14:paraId="7DD0067A" w14:textId="77777777" w:rsidR="00C1563E" w:rsidRDefault="00C1563E">
            <w:pPr>
              <w:rPr>
                <w:rFonts w:ascii="宋体"/>
              </w:rPr>
            </w:pPr>
          </w:p>
        </w:tc>
        <w:tc>
          <w:tcPr>
            <w:tcW w:w="19" w:type="pct"/>
            <w:shd w:val="clear" w:color="auto" w:fill="auto"/>
          </w:tcPr>
          <w:p w14:paraId="7DD0067B" w14:textId="77777777" w:rsidR="00C1563E" w:rsidRDefault="00C1563E">
            <w:pPr>
              <w:rPr>
                <w:rFonts w:ascii="宋体"/>
              </w:rPr>
            </w:pPr>
          </w:p>
        </w:tc>
        <w:tc>
          <w:tcPr>
            <w:tcW w:w="5" w:type="pct"/>
            <w:shd w:val="clear" w:color="auto" w:fill="auto"/>
          </w:tcPr>
          <w:p w14:paraId="7DD0067C" w14:textId="77777777" w:rsidR="00C1563E" w:rsidRDefault="00C1563E">
            <w:pPr>
              <w:rPr>
                <w:rFonts w:ascii="宋体"/>
              </w:rPr>
            </w:pPr>
          </w:p>
        </w:tc>
        <w:tc>
          <w:tcPr>
            <w:tcW w:w="50" w:type="pct"/>
            <w:shd w:val="clear" w:color="auto" w:fill="auto"/>
          </w:tcPr>
          <w:p w14:paraId="7DD0067D" w14:textId="77777777" w:rsidR="00C1563E" w:rsidRDefault="00C1563E">
            <w:pPr>
              <w:rPr>
                <w:rFonts w:ascii="宋体"/>
              </w:rPr>
            </w:pPr>
          </w:p>
        </w:tc>
        <w:tc>
          <w:tcPr>
            <w:tcW w:w="442" w:type="pct"/>
            <w:shd w:val="clear" w:color="auto" w:fill="auto"/>
          </w:tcPr>
          <w:p w14:paraId="7DD0067E" w14:textId="77777777" w:rsidR="00C1563E" w:rsidRDefault="00C1563E">
            <w:pPr>
              <w:rPr>
                <w:rFonts w:ascii="宋体"/>
              </w:rPr>
            </w:pPr>
          </w:p>
        </w:tc>
        <w:tc>
          <w:tcPr>
            <w:tcW w:w="5" w:type="pct"/>
            <w:shd w:val="clear" w:color="auto" w:fill="auto"/>
          </w:tcPr>
          <w:p w14:paraId="7DD0067F" w14:textId="77777777" w:rsidR="00C1563E" w:rsidRDefault="00C1563E">
            <w:pPr>
              <w:rPr>
                <w:rFonts w:ascii="宋体"/>
              </w:rPr>
            </w:pPr>
          </w:p>
        </w:tc>
        <w:tc>
          <w:tcPr>
            <w:tcW w:w="5" w:type="pct"/>
            <w:shd w:val="clear" w:color="auto" w:fill="auto"/>
          </w:tcPr>
          <w:p w14:paraId="7DD00680" w14:textId="77777777" w:rsidR="00C1563E" w:rsidRDefault="00C1563E">
            <w:pPr>
              <w:rPr>
                <w:rFonts w:ascii="宋体"/>
              </w:rPr>
            </w:pPr>
          </w:p>
        </w:tc>
        <w:tc>
          <w:tcPr>
            <w:tcW w:w="19" w:type="pct"/>
            <w:shd w:val="clear" w:color="auto" w:fill="auto"/>
          </w:tcPr>
          <w:p w14:paraId="7DD00681" w14:textId="77777777" w:rsidR="00C1563E" w:rsidRDefault="00C1563E">
            <w:pPr>
              <w:rPr>
                <w:rFonts w:ascii="宋体"/>
              </w:rPr>
            </w:pPr>
          </w:p>
        </w:tc>
        <w:tc>
          <w:tcPr>
            <w:tcW w:w="5" w:type="pct"/>
            <w:shd w:val="clear" w:color="auto" w:fill="auto"/>
          </w:tcPr>
          <w:p w14:paraId="7DD00682" w14:textId="77777777" w:rsidR="00C1563E" w:rsidRDefault="00C1563E">
            <w:pPr>
              <w:rPr>
                <w:rFonts w:ascii="宋体"/>
              </w:rPr>
            </w:pPr>
          </w:p>
        </w:tc>
        <w:tc>
          <w:tcPr>
            <w:tcW w:w="50" w:type="pct"/>
            <w:shd w:val="clear" w:color="auto" w:fill="auto"/>
          </w:tcPr>
          <w:p w14:paraId="7DD00683" w14:textId="77777777" w:rsidR="00C1563E" w:rsidRDefault="00C1563E">
            <w:pPr>
              <w:rPr>
                <w:rFonts w:ascii="宋体"/>
              </w:rPr>
            </w:pPr>
          </w:p>
        </w:tc>
        <w:tc>
          <w:tcPr>
            <w:tcW w:w="442" w:type="pct"/>
            <w:shd w:val="clear" w:color="auto" w:fill="auto"/>
          </w:tcPr>
          <w:p w14:paraId="7DD00684" w14:textId="77777777" w:rsidR="00C1563E" w:rsidRDefault="00C1563E">
            <w:pPr>
              <w:rPr>
                <w:rFonts w:ascii="宋体"/>
              </w:rPr>
            </w:pPr>
          </w:p>
        </w:tc>
        <w:tc>
          <w:tcPr>
            <w:tcW w:w="5" w:type="pct"/>
            <w:shd w:val="clear" w:color="auto" w:fill="auto"/>
          </w:tcPr>
          <w:p w14:paraId="7DD00685" w14:textId="77777777" w:rsidR="00C1563E" w:rsidRDefault="00C1563E">
            <w:pPr>
              <w:rPr>
                <w:rFonts w:ascii="宋体"/>
              </w:rPr>
            </w:pPr>
          </w:p>
        </w:tc>
        <w:tc>
          <w:tcPr>
            <w:tcW w:w="5" w:type="pct"/>
            <w:shd w:val="clear" w:color="auto" w:fill="auto"/>
          </w:tcPr>
          <w:p w14:paraId="7DD00686" w14:textId="77777777" w:rsidR="00C1563E" w:rsidRDefault="00C1563E">
            <w:pPr>
              <w:rPr>
                <w:rFonts w:ascii="宋体"/>
              </w:rPr>
            </w:pPr>
          </w:p>
        </w:tc>
        <w:tc>
          <w:tcPr>
            <w:tcW w:w="19" w:type="pct"/>
            <w:shd w:val="clear" w:color="auto" w:fill="auto"/>
          </w:tcPr>
          <w:p w14:paraId="7DD00687" w14:textId="77777777" w:rsidR="00C1563E" w:rsidRDefault="00C1563E">
            <w:pPr>
              <w:rPr>
                <w:rFonts w:ascii="宋体"/>
              </w:rPr>
            </w:pPr>
          </w:p>
        </w:tc>
        <w:tc>
          <w:tcPr>
            <w:tcW w:w="5" w:type="pct"/>
            <w:shd w:val="clear" w:color="auto" w:fill="auto"/>
          </w:tcPr>
          <w:p w14:paraId="7DD00688" w14:textId="77777777" w:rsidR="00C1563E" w:rsidRDefault="00C1563E">
            <w:pPr>
              <w:rPr>
                <w:rFonts w:ascii="宋体"/>
              </w:rPr>
            </w:pPr>
          </w:p>
        </w:tc>
        <w:tc>
          <w:tcPr>
            <w:tcW w:w="50" w:type="pct"/>
            <w:shd w:val="clear" w:color="auto" w:fill="auto"/>
          </w:tcPr>
          <w:p w14:paraId="7DD00689" w14:textId="77777777" w:rsidR="00C1563E" w:rsidRDefault="00C1563E">
            <w:pPr>
              <w:rPr>
                <w:rFonts w:ascii="宋体"/>
              </w:rPr>
            </w:pPr>
          </w:p>
        </w:tc>
        <w:tc>
          <w:tcPr>
            <w:tcW w:w="580" w:type="pct"/>
            <w:shd w:val="clear" w:color="auto" w:fill="auto"/>
          </w:tcPr>
          <w:p w14:paraId="7DD0068A" w14:textId="77777777" w:rsidR="00C1563E" w:rsidRDefault="00C1563E">
            <w:pPr>
              <w:rPr>
                <w:rFonts w:ascii="宋体"/>
              </w:rPr>
            </w:pPr>
          </w:p>
        </w:tc>
        <w:tc>
          <w:tcPr>
            <w:tcW w:w="5" w:type="pct"/>
            <w:shd w:val="clear" w:color="auto" w:fill="auto"/>
          </w:tcPr>
          <w:p w14:paraId="7DD0068B" w14:textId="77777777" w:rsidR="00C1563E" w:rsidRDefault="00C1563E">
            <w:pPr>
              <w:rPr>
                <w:rFonts w:ascii="宋体"/>
              </w:rPr>
            </w:pPr>
          </w:p>
        </w:tc>
        <w:tc>
          <w:tcPr>
            <w:tcW w:w="5" w:type="pct"/>
            <w:shd w:val="clear" w:color="auto" w:fill="auto"/>
          </w:tcPr>
          <w:p w14:paraId="7DD0068C" w14:textId="77777777" w:rsidR="00C1563E" w:rsidRDefault="00C1563E">
            <w:pPr>
              <w:rPr>
                <w:rFonts w:ascii="宋体"/>
              </w:rPr>
            </w:pPr>
          </w:p>
        </w:tc>
        <w:tc>
          <w:tcPr>
            <w:tcW w:w="19" w:type="pct"/>
            <w:shd w:val="clear" w:color="auto" w:fill="auto"/>
          </w:tcPr>
          <w:p w14:paraId="7DD0068D" w14:textId="77777777" w:rsidR="00C1563E" w:rsidRDefault="00C1563E">
            <w:pPr>
              <w:rPr>
                <w:rFonts w:ascii="宋体"/>
              </w:rPr>
            </w:pPr>
          </w:p>
        </w:tc>
        <w:tc>
          <w:tcPr>
            <w:tcW w:w="5" w:type="pct"/>
            <w:shd w:val="clear" w:color="auto" w:fill="auto"/>
          </w:tcPr>
          <w:p w14:paraId="7DD0068E" w14:textId="77777777" w:rsidR="00C1563E" w:rsidRDefault="00C1563E">
            <w:pPr>
              <w:rPr>
                <w:rFonts w:ascii="宋体"/>
              </w:rPr>
            </w:pPr>
          </w:p>
        </w:tc>
        <w:tc>
          <w:tcPr>
            <w:tcW w:w="50" w:type="pct"/>
            <w:shd w:val="clear" w:color="auto" w:fill="auto"/>
          </w:tcPr>
          <w:p w14:paraId="7DD0068F" w14:textId="77777777" w:rsidR="00C1563E" w:rsidRDefault="00C1563E">
            <w:pPr>
              <w:rPr>
                <w:rFonts w:ascii="宋体"/>
              </w:rPr>
            </w:pPr>
          </w:p>
        </w:tc>
        <w:tc>
          <w:tcPr>
            <w:tcW w:w="442" w:type="pct"/>
            <w:shd w:val="clear" w:color="auto" w:fill="auto"/>
          </w:tcPr>
          <w:p w14:paraId="7DD00690" w14:textId="77777777" w:rsidR="00C1563E" w:rsidRDefault="00C1563E">
            <w:pPr>
              <w:rPr>
                <w:rFonts w:ascii="宋体"/>
              </w:rPr>
            </w:pPr>
          </w:p>
        </w:tc>
        <w:tc>
          <w:tcPr>
            <w:tcW w:w="5" w:type="pct"/>
            <w:shd w:val="clear" w:color="auto" w:fill="auto"/>
          </w:tcPr>
          <w:p w14:paraId="7DD00691" w14:textId="77777777" w:rsidR="00C1563E" w:rsidRDefault="00C1563E">
            <w:pPr>
              <w:rPr>
                <w:rFonts w:ascii="宋体"/>
              </w:rPr>
            </w:pPr>
          </w:p>
        </w:tc>
      </w:tr>
      <w:tr w:rsidR="00C1563E" w14:paraId="7DD00697" w14:textId="77777777">
        <w:tc>
          <w:tcPr>
            <w:tcW w:w="0" w:type="auto"/>
            <w:gridSpan w:val="3"/>
            <w:shd w:val="clear" w:color="auto" w:fill="auto"/>
            <w:tcMar>
              <w:top w:w="40" w:type="dxa"/>
              <w:left w:w="20" w:type="dxa"/>
              <w:bottom w:w="40" w:type="dxa"/>
              <w:right w:w="20" w:type="dxa"/>
            </w:tcMar>
            <w:vAlign w:val="bottom"/>
          </w:tcPr>
          <w:p w14:paraId="7DD00693"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DD00694"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0695"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696"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6A4" w14:textId="77777777">
        <w:tc>
          <w:tcPr>
            <w:tcW w:w="0" w:type="auto"/>
            <w:gridSpan w:val="3"/>
            <w:shd w:val="clear" w:color="auto" w:fill="auto"/>
            <w:tcMar>
              <w:top w:w="40" w:type="dxa"/>
              <w:left w:w="20" w:type="dxa"/>
              <w:bottom w:w="40" w:type="dxa"/>
              <w:right w:w="20" w:type="dxa"/>
            </w:tcMar>
            <w:vAlign w:val="bottom"/>
          </w:tcPr>
          <w:p w14:paraId="7DD00698" w14:textId="77777777" w:rsidR="00C1563E" w:rsidRDefault="000B648B">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699" w14:textId="77777777" w:rsidR="00C1563E" w:rsidRDefault="000B648B">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tcPr>
          <w:p w14:paraId="7DD0069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69B" w14:textId="77777777" w:rsidR="00C1563E" w:rsidRDefault="000B648B">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DD0069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69D" w14:textId="77777777" w:rsidR="00C1563E" w:rsidRDefault="000B648B">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tcPr>
          <w:p w14:paraId="7DD0069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69F" w14:textId="77777777" w:rsidR="00C1563E" w:rsidRDefault="000B648B">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tcPr>
          <w:p w14:paraId="7DD006A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6A1" w14:textId="77777777" w:rsidR="00C1563E" w:rsidRDefault="000B648B">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DD006A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6A3" w14:textId="77777777" w:rsidR="00C1563E" w:rsidRDefault="000B648B">
            <w:pPr>
              <w:jc w:val="center"/>
              <w:textAlignment w:val="bottom"/>
            </w:pPr>
            <w:r>
              <w:rPr>
                <w:rFonts w:ascii="Times New Roman" w:eastAsia="宋体" w:hAnsi="Times New Roman"/>
                <w:b/>
                <w:bCs/>
                <w:color w:val="000000"/>
                <w:sz w:val="20"/>
                <w:szCs w:val="20"/>
              </w:rPr>
              <w:t>Net</w:t>
            </w:r>
          </w:p>
        </w:tc>
      </w:tr>
      <w:tr w:rsidR="00C1563E" w14:paraId="7DD006A7" w14:textId="77777777">
        <w:tc>
          <w:tcPr>
            <w:tcW w:w="0" w:type="auto"/>
            <w:gridSpan w:val="3"/>
            <w:shd w:val="clear" w:color="auto" w:fill="auto"/>
            <w:tcMar>
              <w:top w:w="40" w:type="dxa"/>
              <w:left w:w="20" w:type="dxa"/>
              <w:bottom w:w="40" w:type="dxa"/>
              <w:right w:w="20" w:type="dxa"/>
            </w:tcMar>
            <w:vAlign w:val="bottom"/>
          </w:tcPr>
          <w:p w14:paraId="7DD006A5"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DD006A6"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6C0" w14:textId="77777777">
        <w:tc>
          <w:tcPr>
            <w:tcW w:w="0" w:type="auto"/>
            <w:gridSpan w:val="3"/>
            <w:shd w:val="clear" w:color="auto" w:fill="CCEEFF"/>
            <w:tcMar>
              <w:top w:w="40" w:type="dxa"/>
              <w:left w:w="20" w:type="dxa"/>
              <w:bottom w:w="40" w:type="dxa"/>
              <w:right w:w="20" w:type="dxa"/>
            </w:tcMar>
            <w:vAlign w:val="bottom"/>
          </w:tcPr>
          <w:p w14:paraId="7DD006A8" w14:textId="77777777" w:rsidR="00C1563E" w:rsidRDefault="000B648B">
            <w:pPr>
              <w:textAlignment w:val="bottom"/>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bottom"/>
          </w:tcPr>
          <w:p w14:paraId="7DD006A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AA" w14:textId="77777777" w:rsidR="00C1563E" w:rsidRDefault="000B648B">
            <w:pPr>
              <w:jc w:val="right"/>
              <w:textAlignment w:val="bottom"/>
            </w:pPr>
            <w:r>
              <w:rPr>
                <w:rFonts w:ascii="Times New Roman" w:eastAsia="宋体" w:hAnsi="Times New Roman"/>
                <w:color w:val="000000"/>
                <w:sz w:val="20"/>
                <w:szCs w:val="20"/>
              </w:rPr>
              <w:t>22,394 </w:t>
            </w:r>
          </w:p>
        </w:tc>
        <w:tc>
          <w:tcPr>
            <w:tcW w:w="0" w:type="auto"/>
            <w:shd w:val="clear" w:color="auto" w:fill="CCEEFF"/>
            <w:tcMar>
              <w:top w:w="40" w:type="dxa"/>
              <w:left w:w="0" w:type="dxa"/>
              <w:bottom w:w="40" w:type="dxa"/>
              <w:right w:w="20" w:type="dxa"/>
            </w:tcMar>
            <w:vAlign w:val="bottom"/>
          </w:tcPr>
          <w:p w14:paraId="7DD006A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A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6A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AE" w14:textId="77777777" w:rsidR="00C1563E" w:rsidRDefault="000B648B">
            <w:pPr>
              <w:jc w:val="right"/>
              <w:textAlignment w:val="bottom"/>
            </w:pPr>
            <w:r>
              <w:rPr>
                <w:rFonts w:ascii="Times New Roman" w:eastAsia="宋体" w:hAnsi="Times New Roman"/>
                <w:color w:val="000000"/>
                <w:sz w:val="20"/>
                <w:szCs w:val="20"/>
              </w:rPr>
              <w:t>(15,448)</w:t>
            </w:r>
          </w:p>
        </w:tc>
        <w:tc>
          <w:tcPr>
            <w:tcW w:w="0" w:type="auto"/>
            <w:shd w:val="clear" w:color="auto" w:fill="CCEEFF"/>
            <w:tcMar>
              <w:top w:w="40" w:type="dxa"/>
              <w:left w:w="0" w:type="dxa"/>
              <w:bottom w:w="40" w:type="dxa"/>
              <w:right w:w="20" w:type="dxa"/>
            </w:tcMar>
            <w:vAlign w:val="bottom"/>
          </w:tcPr>
          <w:p w14:paraId="7DD006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B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6B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B2" w14:textId="77777777" w:rsidR="00C1563E" w:rsidRDefault="000B648B">
            <w:pPr>
              <w:jc w:val="right"/>
              <w:textAlignment w:val="bottom"/>
            </w:pPr>
            <w:r>
              <w:rPr>
                <w:rFonts w:ascii="Times New Roman" w:eastAsia="宋体" w:hAnsi="Times New Roman"/>
                <w:color w:val="000000"/>
                <w:sz w:val="20"/>
                <w:szCs w:val="20"/>
              </w:rPr>
              <w:t>6,946 </w:t>
            </w:r>
          </w:p>
        </w:tc>
        <w:tc>
          <w:tcPr>
            <w:tcW w:w="0" w:type="auto"/>
            <w:shd w:val="clear" w:color="auto" w:fill="CCEEFF"/>
            <w:tcMar>
              <w:top w:w="40" w:type="dxa"/>
              <w:left w:w="0" w:type="dxa"/>
              <w:bottom w:w="40" w:type="dxa"/>
              <w:right w:w="20" w:type="dxa"/>
            </w:tcMar>
            <w:vAlign w:val="bottom"/>
          </w:tcPr>
          <w:p w14:paraId="7DD006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B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6B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B6" w14:textId="77777777" w:rsidR="00C1563E" w:rsidRDefault="000B648B">
            <w:pPr>
              <w:jc w:val="right"/>
              <w:textAlignment w:val="bottom"/>
            </w:pPr>
            <w:r>
              <w:rPr>
                <w:rFonts w:ascii="Times New Roman" w:eastAsia="宋体" w:hAnsi="Times New Roman"/>
                <w:color w:val="000000"/>
                <w:sz w:val="20"/>
                <w:szCs w:val="20"/>
              </w:rPr>
              <w:t>22,950 </w:t>
            </w:r>
          </w:p>
        </w:tc>
        <w:tc>
          <w:tcPr>
            <w:tcW w:w="0" w:type="auto"/>
            <w:shd w:val="clear" w:color="auto" w:fill="CCEEFF"/>
            <w:tcMar>
              <w:top w:w="40" w:type="dxa"/>
              <w:left w:w="0" w:type="dxa"/>
              <w:bottom w:w="40" w:type="dxa"/>
              <w:right w:w="20" w:type="dxa"/>
            </w:tcMar>
            <w:vAlign w:val="bottom"/>
          </w:tcPr>
          <w:p w14:paraId="7DD006B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B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6B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BA" w14:textId="77777777" w:rsidR="00C1563E" w:rsidRDefault="000B648B">
            <w:pPr>
              <w:jc w:val="right"/>
              <w:textAlignment w:val="bottom"/>
            </w:pPr>
            <w:r>
              <w:rPr>
                <w:rFonts w:ascii="Times New Roman" w:eastAsia="宋体" w:hAnsi="Times New Roman"/>
                <w:color w:val="000000"/>
                <w:sz w:val="20"/>
                <w:szCs w:val="20"/>
              </w:rPr>
              <w:t>(13,821)</w:t>
            </w:r>
          </w:p>
        </w:tc>
        <w:tc>
          <w:tcPr>
            <w:tcW w:w="0" w:type="auto"/>
            <w:shd w:val="clear" w:color="auto" w:fill="CCEEFF"/>
            <w:tcMar>
              <w:top w:w="40" w:type="dxa"/>
              <w:left w:w="0" w:type="dxa"/>
              <w:bottom w:w="40" w:type="dxa"/>
              <w:right w:w="20" w:type="dxa"/>
            </w:tcMar>
            <w:vAlign w:val="bottom"/>
          </w:tcPr>
          <w:p w14:paraId="7DD006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B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6B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6BE" w14:textId="77777777" w:rsidR="00C1563E" w:rsidRDefault="000B648B">
            <w:pPr>
              <w:jc w:val="right"/>
              <w:textAlignment w:val="bottom"/>
            </w:pPr>
            <w:r>
              <w:rPr>
                <w:rFonts w:ascii="Times New Roman" w:eastAsia="宋体" w:hAnsi="Times New Roman"/>
                <w:color w:val="000000"/>
                <w:sz w:val="20"/>
                <w:szCs w:val="20"/>
              </w:rPr>
              <w:t>9,129 </w:t>
            </w:r>
          </w:p>
        </w:tc>
        <w:tc>
          <w:tcPr>
            <w:tcW w:w="0" w:type="auto"/>
            <w:shd w:val="clear" w:color="auto" w:fill="CCEEFF"/>
            <w:tcMar>
              <w:top w:w="40" w:type="dxa"/>
              <w:left w:w="0" w:type="dxa"/>
              <w:bottom w:w="40" w:type="dxa"/>
              <w:right w:w="20" w:type="dxa"/>
            </w:tcMar>
            <w:vAlign w:val="bottom"/>
          </w:tcPr>
          <w:p w14:paraId="7DD006BF" w14:textId="77777777" w:rsidR="00C1563E" w:rsidRDefault="00C1563E">
            <w:pPr>
              <w:jc w:val="right"/>
              <w:rPr>
                <w:rFonts w:ascii="宋体"/>
              </w:rPr>
            </w:pPr>
          </w:p>
        </w:tc>
      </w:tr>
      <w:tr w:rsidR="00C1563E" w14:paraId="7DD006D3" w14:textId="77777777">
        <w:tc>
          <w:tcPr>
            <w:tcW w:w="0" w:type="auto"/>
            <w:gridSpan w:val="3"/>
            <w:shd w:val="clear" w:color="auto" w:fill="FFFFFF"/>
            <w:tcMar>
              <w:top w:w="40" w:type="dxa"/>
              <w:left w:w="20" w:type="dxa"/>
              <w:bottom w:w="40" w:type="dxa"/>
              <w:right w:w="20" w:type="dxa"/>
            </w:tcMar>
            <w:vAlign w:val="bottom"/>
          </w:tcPr>
          <w:p w14:paraId="7DD006C1" w14:textId="77777777" w:rsidR="00C1563E" w:rsidRDefault="000B648B">
            <w:pPr>
              <w:textAlignment w:val="bottom"/>
            </w:pPr>
            <w:r>
              <w:rPr>
                <w:rFonts w:ascii="Times New Roman" w:eastAsia="宋体" w:hAnsi="Times New Roman"/>
                <w:color w:val="000000"/>
                <w:sz w:val="20"/>
                <w:szCs w:val="20"/>
              </w:rPr>
              <w:t>Developed technology</w:t>
            </w:r>
          </w:p>
        </w:tc>
        <w:tc>
          <w:tcPr>
            <w:tcW w:w="0" w:type="auto"/>
            <w:gridSpan w:val="2"/>
            <w:shd w:val="clear" w:color="auto" w:fill="FFFFFF"/>
            <w:tcMar>
              <w:top w:w="40" w:type="dxa"/>
              <w:left w:w="20" w:type="dxa"/>
              <w:bottom w:w="40" w:type="dxa"/>
              <w:right w:w="0" w:type="dxa"/>
            </w:tcMar>
            <w:vAlign w:val="bottom"/>
          </w:tcPr>
          <w:p w14:paraId="7DD006C2" w14:textId="77777777" w:rsidR="00C1563E" w:rsidRDefault="000B648B">
            <w:pPr>
              <w:jc w:val="right"/>
              <w:textAlignment w:val="bottom"/>
            </w:pPr>
            <w:r>
              <w:rPr>
                <w:rFonts w:ascii="Times New Roman" w:eastAsia="宋体" w:hAnsi="Times New Roman"/>
                <w:color w:val="000000"/>
                <w:sz w:val="20"/>
                <w:szCs w:val="20"/>
              </w:rPr>
              <w:t>15,488 </w:t>
            </w:r>
          </w:p>
        </w:tc>
        <w:tc>
          <w:tcPr>
            <w:tcW w:w="0" w:type="auto"/>
            <w:shd w:val="clear" w:color="auto" w:fill="FFFFFF"/>
            <w:tcMar>
              <w:top w:w="40" w:type="dxa"/>
              <w:left w:w="0" w:type="dxa"/>
              <w:bottom w:w="40" w:type="dxa"/>
              <w:right w:w="20" w:type="dxa"/>
            </w:tcMar>
            <w:vAlign w:val="bottom"/>
          </w:tcPr>
          <w:p w14:paraId="7DD006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C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C5" w14:textId="77777777" w:rsidR="00C1563E" w:rsidRDefault="000B648B">
            <w:pPr>
              <w:jc w:val="right"/>
              <w:textAlignment w:val="bottom"/>
            </w:pPr>
            <w:r>
              <w:rPr>
                <w:rFonts w:ascii="Times New Roman" w:eastAsia="宋体" w:hAnsi="Times New Roman"/>
                <w:color w:val="000000"/>
                <w:sz w:val="20"/>
                <w:szCs w:val="20"/>
              </w:rPr>
              <w:t>(12,136)</w:t>
            </w:r>
          </w:p>
        </w:tc>
        <w:tc>
          <w:tcPr>
            <w:tcW w:w="0" w:type="auto"/>
            <w:shd w:val="clear" w:color="auto" w:fill="FFFFFF"/>
            <w:tcMar>
              <w:top w:w="40" w:type="dxa"/>
              <w:left w:w="0" w:type="dxa"/>
              <w:bottom w:w="40" w:type="dxa"/>
              <w:right w:w="20" w:type="dxa"/>
            </w:tcMar>
            <w:vAlign w:val="bottom"/>
          </w:tcPr>
          <w:p w14:paraId="7DD006C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C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C8" w14:textId="77777777" w:rsidR="00C1563E" w:rsidRDefault="000B648B">
            <w:pPr>
              <w:jc w:val="right"/>
              <w:textAlignment w:val="bottom"/>
            </w:pPr>
            <w:r>
              <w:rPr>
                <w:rFonts w:ascii="Times New Roman" w:eastAsia="宋体" w:hAnsi="Times New Roman"/>
                <w:color w:val="000000"/>
                <w:sz w:val="20"/>
                <w:szCs w:val="20"/>
              </w:rPr>
              <w:t>3,352 </w:t>
            </w:r>
          </w:p>
        </w:tc>
        <w:tc>
          <w:tcPr>
            <w:tcW w:w="0" w:type="auto"/>
            <w:shd w:val="clear" w:color="auto" w:fill="FFFFFF"/>
            <w:tcMar>
              <w:top w:w="40" w:type="dxa"/>
              <w:left w:w="0" w:type="dxa"/>
              <w:bottom w:w="40" w:type="dxa"/>
              <w:right w:w="20" w:type="dxa"/>
            </w:tcMar>
            <w:vAlign w:val="bottom"/>
          </w:tcPr>
          <w:p w14:paraId="7DD006C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C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CB" w14:textId="77777777" w:rsidR="00C1563E" w:rsidRDefault="000B648B">
            <w:pPr>
              <w:jc w:val="right"/>
              <w:textAlignment w:val="bottom"/>
            </w:pPr>
            <w:r>
              <w:rPr>
                <w:rFonts w:ascii="Times New Roman" w:eastAsia="宋体" w:hAnsi="Times New Roman"/>
                <w:color w:val="000000"/>
                <w:sz w:val="20"/>
                <w:szCs w:val="20"/>
              </w:rPr>
              <w:t>15,707 </w:t>
            </w:r>
          </w:p>
        </w:tc>
        <w:tc>
          <w:tcPr>
            <w:tcW w:w="0" w:type="auto"/>
            <w:shd w:val="clear" w:color="auto" w:fill="FFFFFF"/>
            <w:tcMar>
              <w:top w:w="40" w:type="dxa"/>
              <w:left w:w="0" w:type="dxa"/>
              <w:bottom w:w="40" w:type="dxa"/>
              <w:right w:w="20" w:type="dxa"/>
            </w:tcMar>
            <w:vAlign w:val="bottom"/>
          </w:tcPr>
          <w:p w14:paraId="7DD006C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C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CE" w14:textId="77777777" w:rsidR="00C1563E" w:rsidRDefault="000B648B">
            <w:pPr>
              <w:jc w:val="right"/>
              <w:textAlignment w:val="bottom"/>
            </w:pPr>
            <w:r>
              <w:rPr>
                <w:rFonts w:ascii="Times New Roman" w:eastAsia="宋体" w:hAnsi="Times New Roman"/>
                <w:color w:val="000000"/>
                <w:sz w:val="20"/>
                <w:szCs w:val="20"/>
              </w:rPr>
              <w:t>(10,974)</w:t>
            </w:r>
          </w:p>
        </w:tc>
        <w:tc>
          <w:tcPr>
            <w:tcW w:w="0" w:type="auto"/>
            <w:shd w:val="clear" w:color="auto" w:fill="FFFFFF"/>
            <w:tcMar>
              <w:top w:w="40" w:type="dxa"/>
              <w:left w:w="0" w:type="dxa"/>
              <w:bottom w:w="40" w:type="dxa"/>
              <w:right w:w="20" w:type="dxa"/>
            </w:tcMar>
            <w:vAlign w:val="bottom"/>
          </w:tcPr>
          <w:p w14:paraId="7DD006C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D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6D1" w14:textId="77777777" w:rsidR="00C1563E" w:rsidRDefault="000B648B">
            <w:pPr>
              <w:jc w:val="right"/>
              <w:textAlignment w:val="bottom"/>
            </w:pPr>
            <w:r>
              <w:rPr>
                <w:rFonts w:ascii="Times New Roman" w:eastAsia="宋体" w:hAnsi="Times New Roman"/>
                <w:color w:val="000000"/>
                <w:sz w:val="20"/>
                <w:szCs w:val="20"/>
              </w:rPr>
              <w:t>4,733 </w:t>
            </w:r>
          </w:p>
        </w:tc>
        <w:tc>
          <w:tcPr>
            <w:tcW w:w="0" w:type="auto"/>
            <w:shd w:val="clear" w:color="auto" w:fill="FFFFFF"/>
            <w:tcMar>
              <w:top w:w="40" w:type="dxa"/>
              <w:left w:w="0" w:type="dxa"/>
              <w:bottom w:w="40" w:type="dxa"/>
              <w:right w:w="20" w:type="dxa"/>
            </w:tcMar>
            <w:vAlign w:val="bottom"/>
          </w:tcPr>
          <w:p w14:paraId="7DD006D2" w14:textId="77777777" w:rsidR="00C1563E" w:rsidRDefault="00C1563E">
            <w:pPr>
              <w:jc w:val="right"/>
              <w:rPr>
                <w:rFonts w:ascii="宋体"/>
              </w:rPr>
            </w:pPr>
          </w:p>
        </w:tc>
      </w:tr>
      <w:tr w:rsidR="00C1563E" w14:paraId="7DD006E6" w14:textId="77777777">
        <w:tc>
          <w:tcPr>
            <w:tcW w:w="0" w:type="auto"/>
            <w:gridSpan w:val="3"/>
            <w:shd w:val="clear" w:color="auto" w:fill="CCEEFF"/>
            <w:tcMar>
              <w:top w:w="40" w:type="dxa"/>
              <w:left w:w="20" w:type="dxa"/>
              <w:bottom w:w="40" w:type="dxa"/>
              <w:right w:w="20" w:type="dxa"/>
            </w:tcMar>
            <w:vAlign w:val="bottom"/>
          </w:tcPr>
          <w:p w14:paraId="7DD006D4" w14:textId="77777777" w:rsidR="00C1563E" w:rsidRDefault="000B648B">
            <w:pPr>
              <w:textAlignment w:val="bottom"/>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bottom"/>
          </w:tcPr>
          <w:p w14:paraId="7DD006D5" w14:textId="77777777" w:rsidR="00C1563E" w:rsidRDefault="000B648B">
            <w:pPr>
              <w:jc w:val="right"/>
              <w:textAlignment w:val="bottom"/>
            </w:pPr>
            <w:r>
              <w:rPr>
                <w:rFonts w:ascii="Times New Roman" w:eastAsia="宋体" w:hAnsi="Times New Roman"/>
                <w:color w:val="000000"/>
                <w:sz w:val="20"/>
                <w:szCs w:val="20"/>
              </w:rPr>
              <w:t>1,285 </w:t>
            </w:r>
          </w:p>
        </w:tc>
        <w:tc>
          <w:tcPr>
            <w:tcW w:w="0" w:type="auto"/>
            <w:shd w:val="clear" w:color="auto" w:fill="CCEEFF"/>
            <w:tcMar>
              <w:top w:w="40" w:type="dxa"/>
              <w:left w:w="0" w:type="dxa"/>
              <w:bottom w:w="40" w:type="dxa"/>
              <w:right w:w="20" w:type="dxa"/>
            </w:tcMar>
            <w:vAlign w:val="bottom"/>
          </w:tcPr>
          <w:p w14:paraId="7DD006D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D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D8" w14:textId="77777777" w:rsidR="00C1563E" w:rsidRDefault="000B648B">
            <w:pPr>
              <w:jc w:val="right"/>
              <w:textAlignment w:val="bottom"/>
            </w:pPr>
            <w:r>
              <w:rPr>
                <w:rFonts w:ascii="Times New Roman" w:eastAsia="宋体" w:hAnsi="Times New Roman"/>
                <w:color w:val="000000"/>
                <w:sz w:val="20"/>
                <w:szCs w:val="20"/>
              </w:rPr>
              <w:t>(909)</w:t>
            </w:r>
          </w:p>
        </w:tc>
        <w:tc>
          <w:tcPr>
            <w:tcW w:w="0" w:type="auto"/>
            <w:shd w:val="clear" w:color="auto" w:fill="CCEEFF"/>
            <w:tcMar>
              <w:top w:w="40" w:type="dxa"/>
              <w:left w:w="0" w:type="dxa"/>
              <w:bottom w:w="40" w:type="dxa"/>
              <w:right w:w="20" w:type="dxa"/>
            </w:tcMar>
            <w:vAlign w:val="bottom"/>
          </w:tcPr>
          <w:p w14:paraId="7DD006D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D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DB" w14:textId="77777777" w:rsidR="00C1563E" w:rsidRDefault="000B648B">
            <w:pPr>
              <w:jc w:val="right"/>
              <w:textAlignment w:val="bottom"/>
            </w:pPr>
            <w:r>
              <w:rPr>
                <w:rFonts w:ascii="Times New Roman" w:eastAsia="宋体" w:hAnsi="Times New Roman"/>
                <w:color w:val="000000"/>
                <w:sz w:val="20"/>
                <w:szCs w:val="20"/>
              </w:rPr>
              <w:t>376 </w:t>
            </w:r>
          </w:p>
        </w:tc>
        <w:tc>
          <w:tcPr>
            <w:tcW w:w="0" w:type="auto"/>
            <w:shd w:val="clear" w:color="auto" w:fill="CCEEFF"/>
            <w:tcMar>
              <w:top w:w="40" w:type="dxa"/>
              <w:left w:w="0" w:type="dxa"/>
              <w:bottom w:w="40" w:type="dxa"/>
              <w:right w:w="20" w:type="dxa"/>
            </w:tcMar>
            <w:vAlign w:val="bottom"/>
          </w:tcPr>
          <w:p w14:paraId="7DD006D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D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DE" w14:textId="77777777" w:rsidR="00C1563E" w:rsidRDefault="000B648B">
            <w:pPr>
              <w:jc w:val="right"/>
              <w:textAlignment w:val="bottom"/>
            </w:pPr>
            <w:r>
              <w:rPr>
                <w:rFonts w:ascii="Times New Roman" w:eastAsia="宋体" w:hAnsi="Times New Roman"/>
                <w:color w:val="000000"/>
                <w:sz w:val="20"/>
                <w:szCs w:val="20"/>
              </w:rPr>
              <w:t>1,306 </w:t>
            </w:r>
          </w:p>
        </w:tc>
        <w:tc>
          <w:tcPr>
            <w:tcW w:w="0" w:type="auto"/>
            <w:shd w:val="clear" w:color="auto" w:fill="CCEEFF"/>
            <w:tcMar>
              <w:top w:w="40" w:type="dxa"/>
              <w:left w:w="0" w:type="dxa"/>
              <w:bottom w:w="40" w:type="dxa"/>
              <w:right w:w="20" w:type="dxa"/>
            </w:tcMar>
            <w:vAlign w:val="bottom"/>
          </w:tcPr>
          <w:p w14:paraId="7DD006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E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E1" w14:textId="77777777" w:rsidR="00C1563E" w:rsidRDefault="000B648B">
            <w:pPr>
              <w:jc w:val="right"/>
              <w:textAlignment w:val="bottom"/>
            </w:pPr>
            <w:r>
              <w:rPr>
                <w:rFonts w:ascii="Times New Roman" w:eastAsia="宋体" w:hAnsi="Times New Roman"/>
                <w:color w:val="000000"/>
                <w:sz w:val="20"/>
                <w:szCs w:val="20"/>
              </w:rPr>
              <w:t>(816)</w:t>
            </w:r>
          </w:p>
        </w:tc>
        <w:tc>
          <w:tcPr>
            <w:tcW w:w="0" w:type="auto"/>
            <w:shd w:val="clear" w:color="auto" w:fill="CCEEFF"/>
            <w:tcMar>
              <w:top w:w="40" w:type="dxa"/>
              <w:left w:w="0" w:type="dxa"/>
              <w:bottom w:w="40" w:type="dxa"/>
              <w:right w:w="20" w:type="dxa"/>
            </w:tcMar>
            <w:vAlign w:val="bottom"/>
          </w:tcPr>
          <w:p w14:paraId="7DD006E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6E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6E4" w14:textId="77777777" w:rsidR="00C1563E" w:rsidRDefault="000B648B">
            <w:pPr>
              <w:jc w:val="right"/>
              <w:textAlignment w:val="bottom"/>
            </w:pPr>
            <w:r>
              <w:rPr>
                <w:rFonts w:ascii="Times New Roman" w:eastAsia="宋体" w:hAnsi="Times New Roman"/>
                <w:color w:val="000000"/>
                <w:sz w:val="20"/>
                <w:szCs w:val="20"/>
              </w:rPr>
              <w:t>490 </w:t>
            </w:r>
          </w:p>
        </w:tc>
        <w:tc>
          <w:tcPr>
            <w:tcW w:w="0" w:type="auto"/>
            <w:shd w:val="clear" w:color="auto" w:fill="CCEEFF"/>
            <w:tcMar>
              <w:top w:w="40" w:type="dxa"/>
              <w:left w:w="0" w:type="dxa"/>
              <w:bottom w:w="40" w:type="dxa"/>
              <w:right w:w="20" w:type="dxa"/>
            </w:tcMar>
            <w:vAlign w:val="bottom"/>
          </w:tcPr>
          <w:p w14:paraId="7DD006E5" w14:textId="77777777" w:rsidR="00C1563E" w:rsidRDefault="00C1563E">
            <w:pPr>
              <w:jc w:val="right"/>
              <w:rPr>
                <w:rFonts w:ascii="宋体"/>
              </w:rPr>
            </w:pPr>
          </w:p>
        </w:tc>
      </w:tr>
      <w:tr w:rsidR="00C1563E" w14:paraId="7DD006F3" w14:textId="77777777">
        <w:trPr>
          <w:hidden/>
        </w:trPr>
        <w:tc>
          <w:tcPr>
            <w:tcW w:w="0" w:type="auto"/>
            <w:gridSpan w:val="3"/>
            <w:shd w:val="clear" w:color="auto" w:fill="auto"/>
          </w:tcPr>
          <w:p w14:paraId="7DD006E7" w14:textId="77777777" w:rsidR="00C1563E" w:rsidRDefault="00C1563E">
            <w:pPr>
              <w:rPr>
                <w:rFonts w:ascii="宋体"/>
                <w:vanish/>
              </w:rPr>
            </w:pPr>
          </w:p>
        </w:tc>
        <w:tc>
          <w:tcPr>
            <w:tcW w:w="0" w:type="auto"/>
            <w:gridSpan w:val="3"/>
            <w:shd w:val="clear" w:color="auto" w:fill="auto"/>
          </w:tcPr>
          <w:p w14:paraId="7DD006E8" w14:textId="77777777" w:rsidR="00C1563E" w:rsidRDefault="00C1563E">
            <w:pPr>
              <w:rPr>
                <w:rFonts w:ascii="宋体"/>
                <w:vanish/>
              </w:rPr>
            </w:pPr>
          </w:p>
        </w:tc>
        <w:tc>
          <w:tcPr>
            <w:tcW w:w="0" w:type="auto"/>
            <w:gridSpan w:val="3"/>
            <w:shd w:val="clear" w:color="auto" w:fill="auto"/>
          </w:tcPr>
          <w:p w14:paraId="7DD006E9" w14:textId="77777777" w:rsidR="00C1563E" w:rsidRDefault="00C1563E">
            <w:pPr>
              <w:rPr>
                <w:rFonts w:ascii="宋体"/>
                <w:vanish/>
              </w:rPr>
            </w:pPr>
          </w:p>
        </w:tc>
        <w:tc>
          <w:tcPr>
            <w:tcW w:w="0" w:type="auto"/>
            <w:gridSpan w:val="3"/>
            <w:shd w:val="clear" w:color="auto" w:fill="auto"/>
          </w:tcPr>
          <w:p w14:paraId="7DD006EA" w14:textId="77777777" w:rsidR="00C1563E" w:rsidRDefault="00C1563E">
            <w:pPr>
              <w:rPr>
                <w:rFonts w:ascii="宋体"/>
                <w:vanish/>
              </w:rPr>
            </w:pPr>
          </w:p>
        </w:tc>
        <w:tc>
          <w:tcPr>
            <w:tcW w:w="0" w:type="auto"/>
            <w:gridSpan w:val="3"/>
            <w:shd w:val="clear" w:color="auto" w:fill="auto"/>
          </w:tcPr>
          <w:p w14:paraId="7DD006EB" w14:textId="77777777" w:rsidR="00C1563E" w:rsidRDefault="00C1563E">
            <w:pPr>
              <w:rPr>
                <w:rFonts w:ascii="宋体"/>
                <w:vanish/>
              </w:rPr>
            </w:pPr>
          </w:p>
        </w:tc>
        <w:tc>
          <w:tcPr>
            <w:tcW w:w="0" w:type="auto"/>
            <w:gridSpan w:val="3"/>
            <w:shd w:val="clear" w:color="auto" w:fill="auto"/>
          </w:tcPr>
          <w:p w14:paraId="7DD006EC" w14:textId="77777777" w:rsidR="00C1563E" w:rsidRDefault="00C1563E">
            <w:pPr>
              <w:rPr>
                <w:rFonts w:ascii="宋体"/>
                <w:vanish/>
              </w:rPr>
            </w:pPr>
          </w:p>
        </w:tc>
        <w:tc>
          <w:tcPr>
            <w:tcW w:w="0" w:type="auto"/>
            <w:gridSpan w:val="3"/>
            <w:shd w:val="clear" w:color="auto" w:fill="auto"/>
          </w:tcPr>
          <w:p w14:paraId="7DD006ED" w14:textId="77777777" w:rsidR="00C1563E" w:rsidRDefault="00C1563E">
            <w:pPr>
              <w:rPr>
                <w:rFonts w:ascii="宋体"/>
                <w:vanish/>
              </w:rPr>
            </w:pPr>
          </w:p>
        </w:tc>
        <w:tc>
          <w:tcPr>
            <w:tcW w:w="0" w:type="auto"/>
            <w:gridSpan w:val="3"/>
            <w:shd w:val="clear" w:color="auto" w:fill="auto"/>
          </w:tcPr>
          <w:p w14:paraId="7DD006EE" w14:textId="77777777" w:rsidR="00C1563E" w:rsidRDefault="00C1563E">
            <w:pPr>
              <w:rPr>
                <w:rFonts w:ascii="宋体"/>
                <w:vanish/>
              </w:rPr>
            </w:pPr>
          </w:p>
        </w:tc>
        <w:tc>
          <w:tcPr>
            <w:tcW w:w="0" w:type="auto"/>
            <w:gridSpan w:val="3"/>
            <w:shd w:val="clear" w:color="auto" w:fill="auto"/>
          </w:tcPr>
          <w:p w14:paraId="7DD006EF" w14:textId="77777777" w:rsidR="00C1563E" w:rsidRDefault="00C1563E">
            <w:pPr>
              <w:rPr>
                <w:rFonts w:ascii="宋体"/>
                <w:vanish/>
              </w:rPr>
            </w:pPr>
          </w:p>
        </w:tc>
        <w:tc>
          <w:tcPr>
            <w:tcW w:w="0" w:type="auto"/>
            <w:gridSpan w:val="3"/>
            <w:shd w:val="clear" w:color="auto" w:fill="auto"/>
          </w:tcPr>
          <w:p w14:paraId="7DD006F0" w14:textId="77777777" w:rsidR="00C1563E" w:rsidRDefault="00C1563E">
            <w:pPr>
              <w:rPr>
                <w:rFonts w:ascii="宋体"/>
                <w:vanish/>
              </w:rPr>
            </w:pPr>
          </w:p>
        </w:tc>
        <w:tc>
          <w:tcPr>
            <w:tcW w:w="0" w:type="auto"/>
            <w:gridSpan w:val="3"/>
            <w:shd w:val="clear" w:color="auto" w:fill="auto"/>
          </w:tcPr>
          <w:p w14:paraId="7DD006F1" w14:textId="77777777" w:rsidR="00C1563E" w:rsidRDefault="00C1563E">
            <w:pPr>
              <w:rPr>
                <w:rFonts w:ascii="宋体"/>
                <w:vanish/>
              </w:rPr>
            </w:pPr>
          </w:p>
        </w:tc>
        <w:tc>
          <w:tcPr>
            <w:tcW w:w="0" w:type="auto"/>
            <w:gridSpan w:val="3"/>
            <w:shd w:val="clear" w:color="auto" w:fill="auto"/>
          </w:tcPr>
          <w:p w14:paraId="7DD006F2" w14:textId="77777777" w:rsidR="00C1563E" w:rsidRDefault="00C1563E">
            <w:pPr>
              <w:rPr>
                <w:rFonts w:ascii="宋体"/>
                <w:vanish/>
              </w:rPr>
            </w:pPr>
          </w:p>
        </w:tc>
      </w:tr>
      <w:tr w:rsidR="00C1563E" w14:paraId="7DD00706" w14:textId="77777777">
        <w:tc>
          <w:tcPr>
            <w:tcW w:w="0" w:type="auto"/>
            <w:gridSpan w:val="3"/>
            <w:shd w:val="clear" w:color="auto" w:fill="FFFFFF"/>
            <w:tcMar>
              <w:top w:w="40" w:type="dxa"/>
              <w:left w:w="155" w:type="dxa"/>
              <w:bottom w:w="40" w:type="dxa"/>
              <w:right w:w="20" w:type="dxa"/>
            </w:tcMar>
            <w:vAlign w:val="bottom"/>
          </w:tcPr>
          <w:p w14:paraId="7DD006F4" w14:textId="77777777" w:rsidR="00C1563E" w:rsidRDefault="000B648B">
            <w:pPr>
              <w:textAlignment w:val="bottom"/>
            </w:pPr>
            <w:r>
              <w:rPr>
                <w:rFonts w:ascii="Times New Roman" w:eastAsia="宋体" w:hAnsi="Times New Roman"/>
                <w:color w:val="000000"/>
                <w:sz w:val="20"/>
                <w:szCs w:val="20"/>
              </w:rPr>
              <w:t>Definite-lived intangible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6F5" w14:textId="77777777" w:rsidR="00C1563E" w:rsidRDefault="000B648B">
            <w:pPr>
              <w:jc w:val="right"/>
              <w:textAlignment w:val="bottom"/>
            </w:pPr>
            <w:r>
              <w:rPr>
                <w:rFonts w:ascii="Times New Roman" w:eastAsia="宋体" w:hAnsi="Times New Roman"/>
                <w:color w:val="000000"/>
                <w:sz w:val="20"/>
                <w:szCs w:val="20"/>
              </w:rPr>
              <w:t>39,167 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6F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F7"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6F8" w14:textId="77777777" w:rsidR="00C1563E" w:rsidRDefault="000B648B">
            <w:pPr>
              <w:jc w:val="right"/>
              <w:textAlignment w:val="bottom"/>
            </w:pPr>
            <w:r>
              <w:rPr>
                <w:rFonts w:ascii="Times New Roman" w:eastAsia="宋体" w:hAnsi="Times New Roman"/>
                <w:color w:val="000000"/>
                <w:sz w:val="20"/>
                <w:szCs w:val="20"/>
              </w:rPr>
              <w:t>(28,493)</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6F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F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6FB" w14:textId="77777777" w:rsidR="00C1563E" w:rsidRDefault="000B648B">
            <w:pPr>
              <w:jc w:val="right"/>
              <w:textAlignment w:val="bottom"/>
            </w:pPr>
            <w:r>
              <w:rPr>
                <w:rFonts w:ascii="Times New Roman" w:eastAsia="宋体" w:hAnsi="Times New Roman"/>
                <w:color w:val="000000"/>
                <w:sz w:val="20"/>
                <w:szCs w:val="20"/>
              </w:rPr>
              <w:t>10,674 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6F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6F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6FE" w14:textId="77777777" w:rsidR="00C1563E" w:rsidRDefault="000B648B">
            <w:pPr>
              <w:jc w:val="right"/>
              <w:textAlignment w:val="bottom"/>
            </w:pPr>
            <w:r>
              <w:rPr>
                <w:rFonts w:ascii="Times New Roman" w:eastAsia="宋体" w:hAnsi="Times New Roman"/>
                <w:color w:val="000000"/>
                <w:sz w:val="20"/>
                <w:szCs w:val="20"/>
              </w:rPr>
              <w:t>39,963 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6F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0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701" w14:textId="77777777" w:rsidR="00C1563E" w:rsidRDefault="000B648B">
            <w:pPr>
              <w:jc w:val="right"/>
              <w:textAlignment w:val="bottom"/>
            </w:pPr>
            <w:r>
              <w:rPr>
                <w:rFonts w:ascii="Times New Roman" w:eastAsia="宋体" w:hAnsi="Times New Roman"/>
                <w:color w:val="000000"/>
                <w:sz w:val="20"/>
                <w:szCs w:val="20"/>
              </w:rPr>
              <w:t>(25,611)</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7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0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704" w14:textId="77777777" w:rsidR="00C1563E" w:rsidRDefault="000B648B">
            <w:pPr>
              <w:jc w:val="right"/>
              <w:textAlignment w:val="bottom"/>
            </w:pPr>
            <w:r>
              <w:rPr>
                <w:rFonts w:ascii="Times New Roman" w:eastAsia="宋体" w:hAnsi="Times New Roman"/>
                <w:color w:val="000000"/>
                <w:sz w:val="20"/>
                <w:szCs w:val="20"/>
              </w:rPr>
              <w:t>14,352 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705" w14:textId="77777777" w:rsidR="00C1563E" w:rsidRDefault="00C1563E">
            <w:pPr>
              <w:jc w:val="right"/>
              <w:rPr>
                <w:rFonts w:ascii="宋体"/>
              </w:rPr>
            </w:pPr>
          </w:p>
        </w:tc>
      </w:tr>
      <w:tr w:rsidR="00C1563E" w14:paraId="7DD00719" w14:textId="77777777">
        <w:tc>
          <w:tcPr>
            <w:tcW w:w="0" w:type="auto"/>
            <w:gridSpan w:val="3"/>
            <w:shd w:val="clear" w:color="auto" w:fill="CCEEFF"/>
            <w:tcMar>
              <w:top w:w="40" w:type="dxa"/>
              <w:left w:w="20" w:type="dxa"/>
              <w:bottom w:w="40" w:type="dxa"/>
              <w:right w:w="20" w:type="dxa"/>
            </w:tcMar>
            <w:vAlign w:val="bottom"/>
          </w:tcPr>
          <w:p w14:paraId="7DD00707" w14:textId="77777777" w:rsidR="00C1563E" w:rsidRDefault="000B648B">
            <w:pPr>
              <w:textAlignment w:val="bottom"/>
            </w:pPr>
            <w:r>
              <w:rPr>
                <w:rFonts w:ascii="Times New Roman" w:eastAsia="宋体" w:hAnsi="Times New Roman"/>
                <w:color w:val="000000"/>
                <w:sz w:val="20"/>
                <w:szCs w:val="20"/>
              </w:rPr>
              <w:t>Indefinite-lived trade names</w:t>
            </w:r>
          </w:p>
        </w:tc>
        <w:tc>
          <w:tcPr>
            <w:tcW w:w="0" w:type="auto"/>
            <w:gridSpan w:val="2"/>
            <w:shd w:val="clear" w:color="auto" w:fill="CCEEFF"/>
            <w:tcMar>
              <w:top w:w="40" w:type="dxa"/>
              <w:left w:w="20" w:type="dxa"/>
              <w:bottom w:w="40" w:type="dxa"/>
              <w:right w:w="0" w:type="dxa"/>
            </w:tcMar>
            <w:vAlign w:val="bottom"/>
          </w:tcPr>
          <w:p w14:paraId="7DD00708" w14:textId="77777777" w:rsidR="00C1563E" w:rsidRDefault="000B648B">
            <w:pPr>
              <w:jc w:val="right"/>
              <w:textAlignment w:val="bottom"/>
            </w:pPr>
            <w:r>
              <w:rPr>
                <w:rFonts w:ascii="Times New Roman" w:eastAsia="宋体" w:hAnsi="Times New Roman"/>
                <w:color w:val="000000"/>
                <w:sz w:val="20"/>
                <w:szCs w:val="20"/>
              </w:rPr>
              <w:t>3,75</w:t>
            </w: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DD0070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0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0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7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0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0E" w14:textId="77777777" w:rsidR="00C1563E" w:rsidRDefault="000B648B">
            <w:pPr>
              <w:jc w:val="right"/>
              <w:textAlignment w:val="bottom"/>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bottom"/>
          </w:tcPr>
          <w:p w14:paraId="7DD0070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1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11" w14:textId="77777777" w:rsidR="00C1563E" w:rsidRDefault="000B648B">
            <w:pPr>
              <w:jc w:val="right"/>
              <w:textAlignment w:val="bottom"/>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bottom"/>
          </w:tcPr>
          <w:p w14:paraId="7DD0071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1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1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71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1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17" w14:textId="77777777" w:rsidR="00C1563E" w:rsidRDefault="000B648B">
            <w:pPr>
              <w:jc w:val="right"/>
              <w:textAlignment w:val="bottom"/>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bottom"/>
          </w:tcPr>
          <w:p w14:paraId="7DD00718" w14:textId="77777777" w:rsidR="00C1563E" w:rsidRDefault="00C1563E">
            <w:pPr>
              <w:jc w:val="right"/>
              <w:rPr>
                <w:rFonts w:ascii="宋体"/>
              </w:rPr>
            </w:pPr>
          </w:p>
        </w:tc>
      </w:tr>
      <w:tr w:rsidR="00C1563E" w14:paraId="7DD00732" w14:textId="77777777">
        <w:tc>
          <w:tcPr>
            <w:tcW w:w="0" w:type="auto"/>
            <w:gridSpan w:val="3"/>
            <w:shd w:val="clear" w:color="auto" w:fill="FFFFFF"/>
            <w:tcMar>
              <w:top w:w="40" w:type="dxa"/>
              <w:left w:w="245" w:type="dxa"/>
              <w:bottom w:w="40" w:type="dxa"/>
              <w:right w:w="20" w:type="dxa"/>
            </w:tcMar>
            <w:vAlign w:val="bottom"/>
          </w:tcPr>
          <w:p w14:paraId="7DD0071A" w14:textId="77777777" w:rsidR="00C1563E" w:rsidRDefault="000B648B">
            <w:pPr>
              <w:textAlignment w:val="bottom"/>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1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1C" w14:textId="77777777" w:rsidR="00C1563E" w:rsidRDefault="000B648B">
            <w:pPr>
              <w:jc w:val="right"/>
              <w:textAlignment w:val="bottom"/>
            </w:pPr>
            <w:r>
              <w:rPr>
                <w:rFonts w:ascii="Times New Roman" w:eastAsia="宋体" w:hAnsi="Times New Roman"/>
                <w:color w:val="000000"/>
                <w:sz w:val="20"/>
                <w:szCs w:val="20"/>
              </w:rPr>
              <w:t>42,922 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1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1E"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1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20" w14:textId="77777777" w:rsidR="00C1563E" w:rsidRDefault="000B648B">
            <w:pPr>
              <w:jc w:val="right"/>
              <w:textAlignment w:val="bottom"/>
            </w:pPr>
            <w:r>
              <w:rPr>
                <w:rFonts w:ascii="Times New Roman" w:eastAsia="宋体" w:hAnsi="Times New Roman"/>
                <w:color w:val="000000"/>
                <w:sz w:val="20"/>
                <w:szCs w:val="20"/>
              </w:rPr>
              <w:t>(28,493)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2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22"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2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24" w14:textId="77777777" w:rsidR="00C1563E" w:rsidRDefault="000B648B">
            <w:pPr>
              <w:jc w:val="right"/>
              <w:textAlignment w:val="bottom"/>
            </w:pPr>
            <w:r>
              <w:rPr>
                <w:rFonts w:ascii="Times New Roman" w:eastAsia="宋体" w:hAnsi="Times New Roman"/>
                <w:color w:val="000000"/>
                <w:sz w:val="20"/>
                <w:szCs w:val="20"/>
              </w:rPr>
              <w:t>14,429 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2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26"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2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28" w14:textId="77777777" w:rsidR="00C1563E" w:rsidRDefault="000B648B">
            <w:pPr>
              <w:jc w:val="right"/>
              <w:textAlignment w:val="bottom"/>
            </w:pPr>
            <w:r>
              <w:rPr>
                <w:rFonts w:ascii="Times New Roman" w:eastAsia="宋体" w:hAnsi="Times New Roman"/>
                <w:color w:val="000000"/>
                <w:sz w:val="20"/>
                <w:szCs w:val="20"/>
              </w:rPr>
              <w:t>43,718 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2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2A"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2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2C" w14:textId="77777777" w:rsidR="00C1563E" w:rsidRDefault="000B648B">
            <w:pPr>
              <w:jc w:val="right"/>
              <w:textAlignment w:val="bottom"/>
            </w:pPr>
            <w:r>
              <w:rPr>
                <w:rFonts w:ascii="Times New Roman" w:eastAsia="宋体" w:hAnsi="Times New Roman"/>
                <w:color w:val="000000"/>
                <w:sz w:val="20"/>
                <w:szCs w:val="20"/>
              </w:rPr>
              <w:t>(25,611)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2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2E"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72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730" w14:textId="77777777" w:rsidR="00C1563E" w:rsidRDefault="000B648B">
            <w:pPr>
              <w:jc w:val="right"/>
              <w:textAlignment w:val="bottom"/>
            </w:pPr>
            <w:r>
              <w:rPr>
                <w:rFonts w:ascii="Times New Roman" w:eastAsia="宋体" w:hAnsi="Times New Roman"/>
                <w:color w:val="000000"/>
                <w:sz w:val="20"/>
                <w:szCs w:val="20"/>
              </w:rPr>
              <w:t>18,107 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731" w14:textId="77777777" w:rsidR="00C1563E" w:rsidRDefault="00C1563E">
            <w:pPr>
              <w:jc w:val="right"/>
              <w:rPr>
                <w:rFonts w:ascii="宋体"/>
              </w:rPr>
            </w:pPr>
          </w:p>
        </w:tc>
      </w:tr>
    </w:tbl>
    <w:p w14:paraId="7DD00733" w14:textId="77777777" w:rsidR="00C1563E" w:rsidRDefault="00C1563E"/>
    <w:p w14:paraId="7DD00734" w14:textId="77777777" w:rsidR="00C1563E" w:rsidRDefault="000B648B">
      <w:r>
        <w:rPr>
          <w:rFonts w:ascii="Times New Roman" w:eastAsia="宋体" w:hAnsi="Times New Roman"/>
          <w:color w:val="000000"/>
          <w:sz w:val="20"/>
          <w:szCs w:val="20"/>
        </w:rPr>
        <w:t>Amortization expense related to definite-lived intangible assets was approximately $3.4 billion, $4.4 billion, and $6.1 billion for the fiscal years ended</w:t>
      </w:r>
      <w:r>
        <w:rPr>
          <w:rFonts w:ascii="Times New Roman" w:eastAsia="宋体" w:hAnsi="Times New Roman"/>
          <w:color w:val="000000"/>
          <w:sz w:val="20"/>
          <w:szCs w:val="20"/>
        </w:rPr>
        <w:t xml:space="preserve"> January 29, 2021, January 31, 2020, and February 1, 2019, respectively. There were no material impairment charges related to intangible assets during the fiscal year ended January 29, 2021. During the fiscal year ended January 31, 2020, an impairment char</w:t>
      </w:r>
      <w:r>
        <w:rPr>
          <w:rFonts w:ascii="Times New Roman" w:eastAsia="宋体" w:hAnsi="Times New Roman"/>
          <w:color w:val="000000"/>
          <w:sz w:val="20"/>
          <w:szCs w:val="20"/>
        </w:rPr>
        <w:t>ge related to Virtustream intangible assets, net was approximately $266 million, as discussed above. During the fiscal year ended February 1, 2019, due to Virtustream business changes, the Virtustream definite-lived intangible assets were tested for impair</w:t>
      </w:r>
      <w:r>
        <w:rPr>
          <w:rFonts w:ascii="Times New Roman" w:eastAsia="宋体" w:hAnsi="Times New Roman"/>
          <w:color w:val="000000"/>
          <w:sz w:val="20"/>
          <w:szCs w:val="20"/>
        </w:rPr>
        <w:t>ment using a quantitative analysis, and no impairment was identified.</w:t>
      </w:r>
    </w:p>
    <w:p w14:paraId="7DD00735" w14:textId="77777777" w:rsidR="00C1563E" w:rsidRDefault="00C1563E"/>
    <w:p w14:paraId="7DD00736" w14:textId="77777777" w:rsidR="00C1563E" w:rsidRDefault="000B648B">
      <w:r>
        <w:rPr>
          <w:rFonts w:ascii="Times New Roman" w:eastAsia="宋体" w:hAnsi="Times New Roman"/>
          <w:color w:val="000000"/>
          <w:sz w:val="20"/>
          <w:szCs w:val="20"/>
        </w:rPr>
        <w:t>During the three months ended May 1, 2020, the Company recognized proceeds and a gain of $120 million from the sale of certain internally developed intellectual property assets.</w:t>
      </w:r>
    </w:p>
    <w:p w14:paraId="7DD00737" w14:textId="77777777" w:rsidR="00C1563E" w:rsidRDefault="00C1563E"/>
    <w:p w14:paraId="7DD00738" w14:textId="77777777" w:rsidR="00C1563E" w:rsidRDefault="000B648B">
      <w:pPr>
        <w:spacing w:after="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2"/>
        <w:gridCol w:w="37"/>
        <w:gridCol w:w="121"/>
        <w:gridCol w:w="1498"/>
        <w:gridCol w:w="37"/>
      </w:tblGrid>
      <w:tr w:rsidR="00C1563E" w14:paraId="7DD0073F" w14:textId="77777777">
        <w:trPr>
          <w:jc w:val="center"/>
        </w:trPr>
        <w:tc>
          <w:tcPr>
            <w:tcW w:w="50" w:type="pct"/>
            <w:shd w:val="clear" w:color="auto" w:fill="auto"/>
          </w:tcPr>
          <w:p w14:paraId="7DD00739" w14:textId="77777777" w:rsidR="00C1563E" w:rsidRDefault="00C1563E">
            <w:pPr>
              <w:rPr>
                <w:rFonts w:ascii="宋体"/>
              </w:rPr>
            </w:pPr>
          </w:p>
        </w:tc>
        <w:tc>
          <w:tcPr>
            <w:tcW w:w="3972" w:type="pct"/>
            <w:shd w:val="clear" w:color="auto" w:fill="auto"/>
          </w:tcPr>
          <w:p w14:paraId="7DD0073A" w14:textId="77777777" w:rsidR="00C1563E" w:rsidRDefault="00C1563E">
            <w:pPr>
              <w:rPr>
                <w:rFonts w:ascii="宋体"/>
              </w:rPr>
            </w:pPr>
          </w:p>
        </w:tc>
        <w:tc>
          <w:tcPr>
            <w:tcW w:w="5" w:type="pct"/>
            <w:shd w:val="clear" w:color="auto" w:fill="auto"/>
          </w:tcPr>
          <w:p w14:paraId="7DD0073B" w14:textId="77777777" w:rsidR="00C1563E" w:rsidRDefault="00C1563E">
            <w:pPr>
              <w:rPr>
                <w:rFonts w:ascii="宋体"/>
              </w:rPr>
            </w:pPr>
          </w:p>
        </w:tc>
        <w:tc>
          <w:tcPr>
            <w:tcW w:w="50" w:type="pct"/>
            <w:shd w:val="clear" w:color="auto" w:fill="auto"/>
          </w:tcPr>
          <w:p w14:paraId="7DD0073C" w14:textId="77777777" w:rsidR="00C1563E" w:rsidRDefault="00C1563E">
            <w:pPr>
              <w:rPr>
                <w:rFonts w:ascii="宋体"/>
              </w:rPr>
            </w:pPr>
          </w:p>
        </w:tc>
        <w:tc>
          <w:tcPr>
            <w:tcW w:w="917" w:type="pct"/>
            <w:shd w:val="clear" w:color="auto" w:fill="auto"/>
          </w:tcPr>
          <w:p w14:paraId="7DD0073D" w14:textId="77777777" w:rsidR="00C1563E" w:rsidRDefault="00C1563E">
            <w:pPr>
              <w:rPr>
                <w:rFonts w:ascii="宋体"/>
              </w:rPr>
            </w:pPr>
          </w:p>
        </w:tc>
        <w:tc>
          <w:tcPr>
            <w:tcW w:w="5" w:type="pct"/>
            <w:shd w:val="clear" w:color="auto" w:fill="auto"/>
          </w:tcPr>
          <w:p w14:paraId="7DD0073E" w14:textId="77777777" w:rsidR="00C1563E" w:rsidRDefault="00C1563E">
            <w:pPr>
              <w:rPr>
                <w:rFonts w:ascii="宋体"/>
              </w:rPr>
            </w:pPr>
          </w:p>
        </w:tc>
      </w:tr>
      <w:tr w:rsidR="00C1563E" w14:paraId="7DD00742" w14:textId="77777777">
        <w:trPr>
          <w:jc w:val="center"/>
        </w:trPr>
        <w:tc>
          <w:tcPr>
            <w:tcW w:w="0" w:type="auto"/>
            <w:gridSpan w:val="3"/>
            <w:shd w:val="clear" w:color="auto" w:fill="auto"/>
            <w:tcMar>
              <w:top w:w="0" w:type="dxa"/>
              <w:left w:w="20" w:type="dxa"/>
              <w:bottom w:w="0" w:type="dxa"/>
              <w:right w:w="20" w:type="dxa"/>
            </w:tcMar>
          </w:tcPr>
          <w:p w14:paraId="7DD0074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741" w14:textId="77777777" w:rsidR="00C1563E" w:rsidRDefault="000B648B">
            <w:pPr>
              <w:jc w:val="center"/>
              <w:textAlignment w:val="bottom"/>
            </w:pPr>
            <w:r>
              <w:rPr>
                <w:rFonts w:ascii="Times New Roman" w:eastAsia="宋体" w:hAnsi="Times New Roman"/>
                <w:b/>
                <w:bCs/>
                <w:color w:val="000000"/>
                <w:sz w:val="20"/>
                <w:szCs w:val="20"/>
              </w:rPr>
              <w:t>January 29, 2021</w:t>
            </w:r>
          </w:p>
        </w:tc>
      </w:tr>
      <w:tr w:rsidR="00C1563E" w14:paraId="7DD00745" w14:textId="77777777">
        <w:trPr>
          <w:jc w:val="center"/>
        </w:trPr>
        <w:tc>
          <w:tcPr>
            <w:tcW w:w="0" w:type="auto"/>
            <w:gridSpan w:val="3"/>
            <w:shd w:val="clear" w:color="auto" w:fill="auto"/>
            <w:tcMar>
              <w:top w:w="0" w:type="dxa"/>
              <w:left w:w="20" w:type="dxa"/>
              <w:bottom w:w="0" w:type="dxa"/>
              <w:right w:w="20" w:type="dxa"/>
            </w:tcMar>
          </w:tcPr>
          <w:p w14:paraId="7DD00743"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744"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74A" w14:textId="77777777">
        <w:trPr>
          <w:jc w:val="center"/>
        </w:trPr>
        <w:tc>
          <w:tcPr>
            <w:tcW w:w="0" w:type="auto"/>
            <w:gridSpan w:val="3"/>
            <w:shd w:val="clear" w:color="auto" w:fill="CCEEFF"/>
            <w:tcMar>
              <w:top w:w="40" w:type="dxa"/>
              <w:left w:w="20" w:type="dxa"/>
              <w:bottom w:w="40" w:type="dxa"/>
              <w:right w:w="20" w:type="dxa"/>
            </w:tcMar>
            <w:vAlign w:val="bottom"/>
          </w:tcPr>
          <w:p w14:paraId="7DD00746" w14:textId="77777777" w:rsidR="00C1563E" w:rsidRDefault="000B648B">
            <w:pPr>
              <w:textAlignment w:val="bottom"/>
            </w:pPr>
            <w:r>
              <w:rPr>
                <w:rFonts w:ascii="Times New Roman" w:eastAsia="宋体" w:hAnsi="Times New Roman"/>
                <w:color w:val="000000"/>
                <w:sz w:val="20"/>
                <w:szCs w:val="20"/>
              </w:rPr>
              <w:t>Fiscal 2022</w:t>
            </w:r>
          </w:p>
        </w:tc>
        <w:tc>
          <w:tcPr>
            <w:tcW w:w="0" w:type="auto"/>
            <w:shd w:val="clear" w:color="auto" w:fill="CCEEFF"/>
            <w:tcMar>
              <w:top w:w="40" w:type="dxa"/>
              <w:left w:w="20" w:type="dxa"/>
              <w:bottom w:w="40" w:type="dxa"/>
              <w:right w:w="0" w:type="dxa"/>
            </w:tcMar>
            <w:vAlign w:val="bottom"/>
          </w:tcPr>
          <w:p w14:paraId="7DD0074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748" w14:textId="77777777" w:rsidR="00C1563E" w:rsidRDefault="000B648B">
            <w:pPr>
              <w:jc w:val="right"/>
              <w:textAlignment w:val="bottom"/>
            </w:pPr>
            <w:r>
              <w:rPr>
                <w:rFonts w:ascii="Times New Roman" w:eastAsia="宋体" w:hAnsi="Times New Roman"/>
                <w:color w:val="000000"/>
                <w:sz w:val="20"/>
                <w:szCs w:val="20"/>
              </w:rPr>
              <w:t>2,702 </w:t>
            </w:r>
          </w:p>
        </w:tc>
        <w:tc>
          <w:tcPr>
            <w:tcW w:w="0" w:type="auto"/>
            <w:shd w:val="clear" w:color="auto" w:fill="CCEEFF"/>
            <w:tcMar>
              <w:top w:w="40" w:type="dxa"/>
              <w:left w:w="0" w:type="dxa"/>
              <w:bottom w:w="40" w:type="dxa"/>
              <w:right w:w="20" w:type="dxa"/>
            </w:tcMar>
            <w:vAlign w:val="bottom"/>
          </w:tcPr>
          <w:p w14:paraId="7DD00749" w14:textId="77777777" w:rsidR="00C1563E" w:rsidRDefault="00C1563E">
            <w:pPr>
              <w:jc w:val="right"/>
              <w:rPr>
                <w:rFonts w:ascii="宋体"/>
              </w:rPr>
            </w:pPr>
          </w:p>
        </w:tc>
      </w:tr>
      <w:tr w:rsidR="00C1563E" w14:paraId="7DD0074E" w14:textId="77777777">
        <w:trPr>
          <w:jc w:val="center"/>
        </w:trPr>
        <w:tc>
          <w:tcPr>
            <w:tcW w:w="0" w:type="auto"/>
            <w:gridSpan w:val="3"/>
            <w:shd w:val="clear" w:color="auto" w:fill="FFFFFF"/>
            <w:tcMar>
              <w:top w:w="40" w:type="dxa"/>
              <w:left w:w="20" w:type="dxa"/>
              <w:bottom w:w="40" w:type="dxa"/>
              <w:right w:w="20" w:type="dxa"/>
            </w:tcMar>
            <w:vAlign w:val="bottom"/>
          </w:tcPr>
          <w:p w14:paraId="7DD0074B" w14:textId="77777777" w:rsidR="00C1563E" w:rsidRDefault="000B648B">
            <w:pPr>
              <w:textAlignment w:val="bottom"/>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bottom"/>
          </w:tcPr>
          <w:p w14:paraId="7DD0074C" w14:textId="77777777" w:rsidR="00C1563E" w:rsidRDefault="000B648B">
            <w:pPr>
              <w:jc w:val="right"/>
              <w:textAlignment w:val="bottom"/>
            </w:pPr>
            <w:r>
              <w:rPr>
                <w:rFonts w:ascii="Times New Roman" w:eastAsia="宋体" w:hAnsi="Times New Roman"/>
                <w:color w:val="000000"/>
                <w:sz w:val="20"/>
                <w:szCs w:val="20"/>
              </w:rPr>
              <w:t>1,824 </w:t>
            </w:r>
          </w:p>
        </w:tc>
        <w:tc>
          <w:tcPr>
            <w:tcW w:w="0" w:type="auto"/>
            <w:shd w:val="clear" w:color="auto" w:fill="FFFFFF"/>
            <w:tcMar>
              <w:top w:w="40" w:type="dxa"/>
              <w:left w:w="0" w:type="dxa"/>
              <w:bottom w:w="40" w:type="dxa"/>
              <w:right w:w="20" w:type="dxa"/>
            </w:tcMar>
            <w:vAlign w:val="bottom"/>
          </w:tcPr>
          <w:p w14:paraId="7DD0074D" w14:textId="77777777" w:rsidR="00C1563E" w:rsidRDefault="00C1563E">
            <w:pPr>
              <w:jc w:val="right"/>
              <w:rPr>
                <w:rFonts w:ascii="宋体"/>
              </w:rPr>
            </w:pPr>
          </w:p>
        </w:tc>
      </w:tr>
      <w:tr w:rsidR="00C1563E" w14:paraId="7DD00752" w14:textId="77777777">
        <w:trPr>
          <w:jc w:val="center"/>
        </w:trPr>
        <w:tc>
          <w:tcPr>
            <w:tcW w:w="0" w:type="auto"/>
            <w:gridSpan w:val="3"/>
            <w:shd w:val="clear" w:color="auto" w:fill="CCEEFF"/>
            <w:tcMar>
              <w:top w:w="40" w:type="dxa"/>
              <w:left w:w="20" w:type="dxa"/>
              <w:bottom w:w="40" w:type="dxa"/>
              <w:right w:w="20" w:type="dxa"/>
            </w:tcMar>
            <w:vAlign w:val="bottom"/>
          </w:tcPr>
          <w:p w14:paraId="7DD0074F" w14:textId="77777777" w:rsidR="00C1563E" w:rsidRDefault="000B648B">
            <w:pPr>
              <w:textAlignment w:val="bottom"/>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bottom"/>
          </w:tcPr>
          <w:p w14:paraId="7DD00750" w14:textId="77777777" w:rsidR="00C1563E" w:rsidRDefault="000B648B">
            <w:pPr>
              <w:jc w:val="right"/>
              <w:textAlignment w:val="bottom"/>
            </w:pPr>
            <w:r>
              <w:rPr>
                <w:rFonts w:ascii="Times New Roman" w:eastAsia="宋体" w:hAnsi="Times New Roman"/>
                <w:color w:val="000000"/>
                <w:sz w:val="20"/>
                <w:szCs w:val="20"/>
              </w:rPr>
              <w:t>1,455 </w:t>
            </w:r>
          </w:p>
        </w:tc>
        <w:tc>
          <w:tcPr>
            <w:tcW w:w="0" w:type="auto"/>
            <w:shd w:val="clear" w:color="auto" w:fill="CCEEFF"/>
            <w:tcMar>
              <w:top w:w="40" w:type="dxa"/>
              <w:left w:w="0" w:type="dxa"/>
              <w:bottom w:w="40" w:type="dxa"/>
              <w:right w:w="20" w:type="dxa"/>
            </w:tcMar>
            <w:vAlign w:val="bottom"/>
          </w:tcPr>
          <w:p w14:paraId="7DD00751" w14:textId="77777777" w:rsidR="00C1563E" w:rsidRDefault="00C1563E">
            <w:pPr>
              <w:jc w:val="right"/>
              <w:rPr>
                <w:rFonts w:ascii="宋体"/>
              </w:rPr>
            </w:pPr>
          </w:p>
        </w:tc>
      </w:tr>
      <w:tr w:rsidR="00C1563E" w14:paraId="7DD00756" w14:textId="77777777">
        <w:trPr>
          <w:jc w:val="center"/>
        </w:trPr>
        <w:tc>
          <w:tcPr>
            <w:tcW w:w="0" w:type="auto"/>
            <w:gridSpan w:val="3"/>
            <w:shd w:val="clear" w:color="auto" w:fill="FFFFFF"/>
            <w:tcMar>
              <w:top w:w="40" w:type="dxa"/>
              <w:left w:w="20" w:type="dxa"/>
              <w:bottom w:w="40" w:type="dxa"/>
              <w:right w:w="20" w:type="dxa"/>
            </w:tcMar>
            <w:vAlign w:val="bottom"/>
          </w:tcPr>
          <w:p w14:paraId="7DD00753" w14:textId="77777777" w:rsidR="00C1563E" w:rsidRDefault="000B648B">
            <w:pPr>
              <w:textAlignment w:val="bottom"/>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bottom"/>
          </w:tcPr>
          <w:p w14:paraId="7DD00754" w14:textId="77777777" w:rsidR="00C1563E" w:rsidRDefault="000B648B">
            <w:pPr>
              <w:jc w:val="right"/>
              <w:textAlignment w:val="bottom"/>
            </w:pPr>
            <w:r>
              <w:rPr>
                <w:rFonts w:ascii="Times New Roman" w:eastAsia="宋体" w:hAnsi="Times New Roman"/>
                <w:color w:val="000000"/>
                <w:sz w:val="20"/>
                <w:szCs w:val="20"/>
              </w:rPr>
              <w:t>1,105 </w:t>
            </w:r>
          </w:p>
        </w:tc>
        <w:tc>
          <w:tcPr>
            <w:tcW w:w="0" w:type="auto"/>
            <w:shd w:val="clear" w:color="auto" w:fill="FFFFFF"/>
            <w:tcMar>
              <w:top w:w="40" w:type="dxa"/>
              <w:left w:w="0" w:type="dxa"/>
              <w:bottom w:w="40" w:type="dxa"/>
              <w:right w:w="20" w:type="dxa"/>
            </w:tcMar>
            <w:vAlign w:val="bottom"/>
          </w:tcPr>
          <w:p w14:paraId="7DD00755" w14:textId="77777777" w:rsidR="00C1563E" w:rsidRDefault="00C1563E">
            <w:pPr>
              <w:jc w:val="right"/>
              <w:rPr>
                <w:rFonts w:ascii="宋体"/>
              </w:rPr>
            </w:pPr>
          </w:p>
        </w:tc>
      </w:tr>
      <w:tr w:rsidR="00C1563E" w14:paraId="7DD0075A" w14:textId="77777777">
        <w:trPr>
          <w:jc w:val="center"/>
        </w:trPr>
        <w:tc>
          <w:tcPr>
            <w:tcW w:w="0" w:type="auto"/>
            <w:gridSpan w:val="3"/>
            <w:shd w:val="clear" w:color="auto" w:fill="CCEEFF"/>
            <w:tcMar>
              <w:top w:w="40" w:type="dxa"/>
              <w:left w:w="20" w:type="dxa"/>
              <w:bottom w:w="40" w:type="dxa"/>
              <w:right w:w="20" w:type="dxa"/>
            </w:tcMar>
            <w:vAlign w:val="bottom"/>
          </w:tcPr>
          <w:p w14:paraId="7DD00757" w14:textId="77777777" w:rsidR="00C1563E" w:rsidRDefault="000B648B">
            <w:pPr>
              <w:textAlignment w:val="bottom"/>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bottom"/>
          </w:tcPr>
          <w:p w14:paraId="7DD00758" w14:textId="77777777" w:rsidR="00C1563E" w:rsidRDefault="000B648B">
            <w:pPr>
              <w:jc w:val="right"/>
              <w:textAlignment w:val="bottom"/>
            </w:pPr>
            <w:r>
              <w:rPr>
                <w:rFonts w:ascii="Times New Roman" w:eastAsia="宋体" w:hAnsi="Times New Roman"/>
                <w:color w:val="000000"/>
                <w:sz w:val="20"/>
                <w:szCs w:val="20"/>
              </w:rPr>
              <w:t>859 </w:t>
            </w:r>
          </w:p>
        </w:tc>
        <w:tc>
          <w:tcPr>
            <w:tcW w:w="0" w:type="auto"/>
            <w:shd w:val="clear" w:color="auto" w:fill="CCEEFF"/>
            <w:tcMar>
              <w:top w:w="40" w:type="dxa"/>
              <w:left w:w="0" w:type="dxa"/>
              <w:bottom w:w="40" w:type="dxa"/>
              <w:right w:w="20" w:type="dxa"/>
            </w:tcMar>
            <w:vAlign w:val="bottom"/>
          </w:tcPr>
          <w:p w14:paraId="7DD00759" w14:textId="77777777" w:rsidR="00C1563E" w:rsidRDefault="00C1563E">
            <w:pPr>
              <w:jc w:val="right"/>
              <w:rPr>
                <w:rFonts w:ascii="宋体"/>
              </w:rPr>
            </w:pPr>
          </w:p>
        </w:tc>
      </w:tr>
      <w:tr w:rsidR="00C1563E" w14:paraId="7DD0075E" w14:textId="77777777">
        <w:trPr>
          <w:jc w:val="center"/>
        </w:trPr>
        <w:tc>
          <w:tcPr>
            <w:tcW w:w="0" w:type="auto"/>
            <w:gridSpan w:val="3"/>
            <w:shd w:val="clear" w:color="auto" w:fill="FFFFFF"/>
            <w:tcMar>
              <w:top w:w="40" w:type="dxa"/>
              <w:left w:w="20" w:type="dxa"/>
              <w:bottom w:w="40" w:type="dxa"/>
              <w:right w:w="20" w:type="dxa"/>
            </w:tcMar>
            <w:vAlign w:val="bottom"/>
          </w:tcPr>
          <w:p w14:paraId="7DD0075B" w14:textId="77777777" w:rsidR="00C1563E" w:rsidRDefault="000B648B">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DD0075C" w14:textId="77777777" w:rsidR="00C1563E" w:rsidRDefault="000B648B">
            <w:pPr>
              <w:jc w:val="right"/>
              <w:textAlignment w:val="bottom"/>
            </w:pPr>
            <w:r>
              <w:rPr>
                <w:rFonts w:ascii="Times New Roman" w:eastAsia="宋体" w:hAnsi="Times New Roman"/>
                <w:color w:val="000000"/>
                <w:sz w:val="20"/>
                <w:szCs w:val="20"/>
              </w:rPr>
              <w:t>2,729 </w:t>
            </w:r>
          </w:p>
        </w:tc>
        <w:tc>
          <w:tcPr>
            <w:tcW w:w="0" w:type="auto"/>
            <w:shd w:val="clear" w:color="auto" w:fill="FFFFFF"/>
            <w:tcMar>
              <w:top w:w="40" w:type="dxa"/>
              <w:left w:w="0" w:type="dxa"/>
              <w:bottom w:w="40" w:type="dxa"/>
              <w:right w:w="20" w:type="dxa"/>
            </w:tcMar>
            <w:vAlign w:val="bottom"/>
          </w:tcPr>
          <w:p w14:paraId="7DD0075D" w14:textId="77777777" w:rsidR="00C1563E" w:rsidRDefault="00C1563E">
            <w:pPr>
              <w:jc w:val="right"/>
              <w:rPr>
                <w:rFonts w:ascii="宋体"/>
              </w:rPr>
            </w:pPr>
          </w:p>
        </w:tc>
      </w:tr>
      <w:tr w:rsidR="00C1563E" w14:paraId="7DD00763" w14:textId="77777777">
        <w:trPr>
          <w:jc w:val="center"/>
        </w:trPr>
        <w:tc>
          <w:tcPr>
            <w:tcW w:w="0" w:type="auto"/>
            <w:gridSpan w:val="3"/>
            <w:shd w:val="clear" w:color="auto" w:fill="CCEEFF"/>
            <w:tcMar>
              <w:top w:w="40" w:type="dxa"/>
              <w:left w:w="155" w:type="dxa"/>
              <w:bottom w:w="40" w:type="dxa"/>
              <w:right w:w="20" w:type="dxa"/>
            </w:tcMar>
            <w:vAlign w:val="bottom"/>
          </w:tcPr>
          <w:p w14:paraId="7DD0075F" w14:textId="77777777" w:rsidR="00C1563E" w:rsidRDefault="000B648B">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76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761" w14:textId="77777777" w:rsidR="00C1563E" w:rsidRDefault="000B648B">
            <w:pPr>
              <w:jc w:val="right"/>
              <w:textAlignment w:val="bottom"/>
            </w:pPr>
            <w:r>
              <w:rPr>
                <w:rFonts w:ascii="Times New Roman" w:eastAsia="宋体" w:hAnsi="Times New Roman"/>
                <w:color w:val="000000"/>
                <w:sz w:val="20"/>
                <w:szCs w:val="20"/>
              </w:rPr>
              <w:t>10,674 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762" w14:textId="77777777" w:rsidR="00C1563E" w:rsidRDefault="00C1563E">
            <w:pPr>
              <w:jc w:val="right"/>
              <w:rPr>
                <w:rFonts w:ascii="宋体"/>
              </w:rPr>
            </w:pPr>
          </w:p>
        </w:tc>
      </w:tr>
    </w:tbl>
    <w:p w14:paraId="7DD00764" w14:textId="77777777" w:rsidR="00C1563E" w:rsidRDefault="00C1563E">
      <w:pPr>
        <w:jc w:val="center"/>
      </w:pPr>
    </w:p>
    <w:p w14:paraId="7DD00765" w14:textId="77777777" w:rsidR="00C1563E" w:rsidRDefault="000B648B">
      <w:pPr>
        <w:jc w:val="center"/>
      </w:pPr>
      <w:r>
        <w:rPr>
          <w:rFonts w:ascii="Times New Roman" w:eastAsia="宋体" w:hAnsi="Times New Roman"/>
          <w:color w:val="000000"/>
          <w:sz w:val="20"/>
          <w:szCs w:val="20"/>
        </w:rPr>
        <w:t>124</w:t>
      </w:r>
    </w:p>
    <w:p w14:paraId="7DD00766" w14:textId="77777777" w:rsidR="00C1563E" w:rsidRDefault="00C1563E">
      <w:pPr>
        <w:jc w:val="center"/>
      </w:pPr>
    </w:p>
    <w:p w14:paraId="7DD00767" w14:textId="77777777" w:rsidR="00C1563E" w:rsidRDefault="000B648B">
      <w:r>
        <w:pict w14:anchorId="7DD025E6">
          <v:rect id="_x0000_i1148" style="width:415.3pt;height:1.5pt" o:hralign="center" o:hrstd="t" o:hr="t" fillcolor="#a0a0a0" stroked="f"/>
        </w:pict>
      </w:r>
    </w:p>
    <w:p w14:paraId="7DD00768" w14:textId="77777777" w:rsidR="00C1563E" w:rsidRDefault="000B648B">
      <w:hyperlink r:id="rId307" w:anchor="i418e32e4a35149ffbf7d3a25d66881b8_10" w:history="1">
        <w:r>
          <w:rPr>
            <w:rStyle w:val="a5"/>
            <w:rFonts w:ascii="Times New Roman" w:eastAsia="宋体" w:hAnsi="Times New Roman"/>
            <w:sz w:val="20"/>
            <w:szCs w:val="20"/>
          </w:rPr>
          <w:t>Table of Contents</w:t>
        </w:r>
      </w:hyperlink>
    </w:p>
    <w:p w14:paraId="7DD00769" w14:textId="77777777" w:rsidR="00C1563E" w:rsidRDefault="000B648B">
      <w:r>
        <w:rPr>
          <w:rFonts w:ascii="Times New Roman" w:eastAsia="宋体" w:hAnsi="Times New Roman"/>
          <w:b/>
          <w:bCs/>
          <w:color w:val="000000"/>
          <w:sz w:val="20"/>
          <w:szCs w:val="20"/>
        </w:rPr>
        <w:t xml:space="preserve">NOTE 9 — DEFERRED REVENUE </w:t>
      </w:r>
    </w:p>
    <w:p w14:paraId="7DD0076A" w14:textId="77777777" w:rsidR="00C1563E" w:rsidRDefault="00C1563E"/>
    <w:p w14:paraId="7DD0076B" w14:textId="77777777" w:rsidR="00C1563E" w:rsidRDefault="000B648B">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is recorded for supp</w:t>
      </w:r>
      <w:r>
        <w:rPr>
          <w:rFonts w:ascii="Times New Roman" w:eastAsia="宋体" w:hAnsi="Times New Roman"/>
          <w:color w:val="000000"/>
          <w:sz w:val="20"/>
          <w:szCs w:val="20"/>
        </w:rPr>
        <w:t>ort and deployment services, software maintenance, professional services, training, and software-as-a-service when the Company has a right to invoice or payments have been received for undelivered products or services where transfer of control has not occu</w:t>
      </w:r>
      <w:r>
        <w:rPr>
          <w:rFonts w:ascii="Times New Roman" w:eastAsia="宋体" w:hAnsi="Times New Roman"/>
          <w:color w:val="000000"/>
          <w:sz w:val="20"/>
          <w:szCs w:val="20"/>
        </w:rPr>
        <w:t>rred. Revenue is recognized on these items when the revenue recognition criteria are met, generally resulting in ratable recognition over the contract term. The Company also has deferred revenue related to undelivered hardware and professional services, co</w:t>
      </w:r>
      <w:r>
        <w:rPr>
          <w:rFonts w:ascii="Times New Roman" w:eastAsia="宋体" w:hAnsi="Times New Roman"/>
          <w:color w:val="000000"/>
          <w:sz w:val="20"/>
          <w:szCs w:val="20"/>
        </w:rPr>
        <w:t>nsisting of installations and consulting engagements, which are recognized as the Company’s performance obligations under the contract are completed.</w:t>
      </w:r>
    </w:p>
    <w:p w14:paraId="7DD0076C" w14:textId="77777777" w:rsidR="00C1563E" w:rsidRDefault="00C1563E"/>
    <w:p w14:paraId="7DD0076D" w14:textId="77777777" w:rsidR="00C1563E" w:rsidRDefault="000B648B">
      <w:pPr>
        <w:spacing w:after="120"/>
      </w:pPr>
      <w:r>
        <w:rPr>
          <w:rFonts w:ascii="Times New Roman" w:eastAsia="宋体" w:hAnsi="Times New Roman"/>
          <w:color w:val="000000"/>
          <w:sz w:val="20"/>
          <w:szCs w:val="20"/>
        </w:rPr>
        <w:t>The following table presents the changes in the Company’s deferred revenue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0"/>
        <w:gridCol w:w="1475"/>
        <w:gridCol w:w="36"/>
      </w:tblGrid>
      <w:tr w:rsidR="00C1563E" w14:paraId="7DD0077A" w14:textId="77777777">
        <w:tc>
          <w:tcPr>
            <w:tcW w:w="50" w:type="pct"/>
            <w:shd w:val="clear" w:color="auto" w:fill="auto"/>
          </w:tcPr>
          <w:p w14:paraId="7DD0076E" w14:textId="77777777" w:rsidR="00C1563E" w:rsidRDefault="00C1563E">
            <w:pPr>
              <w:rPr>
                <w:rFonts w:ascii="宋体"/>
              </w:rPr>
            </w:pPr>
          </w:p>
        </w:tc>
        <w:tc>
          <w:tcPr>
            <w:tcW w:w="2971" w:type="pct"/>
            <w:shd w:val="clear" w:color="auto" w:fill="auto"/>
          </w:tcPr>
          <w:p w14:paraId="7DD0076F" w14:textId="77777777" w:rsidR="00C1563E" w:rsidRDefault="00C1563E">
            <w:pPr>
              <w:rPr>
                <w:rFonts w:ascii="宋体"/>
              </w:rPr>
            </w:pPr>
          </w:p>
        </w:tc>
        <w:tc>
          <w:tcPr>
            <w:tcW w:w="5" w:type="pct"/>
            <w:shd w:val="clear" w:color="auto" w:fill="auto"/>
          </w:tcPr>
          <w:p w14:paraId="7DD00770" w14:textId="77777777" w:rsidR="00C1563E" w:rsidRDefault="00C1563E">
            <w:pPr>
              <w:rPr>
                <w:rFonts w:ascii="宋体"/>
              </w:rPr>
            </w:pPr>
          </w:p>
        </w:tc>
        <w:tc>
          <w:tcPr>
            <w:tcW w:w="50" w:type="pct"/>
            <w:shd w:val="clear" w:color="auto" w:fill="auto"/>
          </w:tcPr>
          <w:p w14:paraId="7DD00771" w14:textId="77777777" w:rsidR="00C1563E" w:rsidRDefault="00C1563E">
            <w:pPr>
              <w:rPr>
                <w:rFonts w:ascii="宋体"/>
              </w:rPr>
            </w:pPr>
          </w:p>
        </w:tc>
        <w:tc>
          <w:tcPr>
            <w:tcW w:w="917" w:type="pct"/>
            <w:shd w:val="clear" w:color="auto" w:fill="auto"/>
          </w:tcPr>
          <w:p w14:paraId="7DD00772" w14:textId="77777777" w:rsidR="00C1563E" w:rsidRDefault="00C1563E">
            <w:pPr>
              <w:rPr>
                <w:rFonts w:ascii="宋体"/>
              </w:rPr>
            </w:pPr>
          </w:p>
        </w:tc>
        <w:tc>
          <w:tcPr>
            <w:tcW w:w="5" w:type="pct"/>
            <w:shd w:val="clear" w:color="auto" w:fill="auto"/>
          </w:tcPr>
          <w:p w14:paraId="7DD00773" w14:textId="77777777" w:rsidR="00C1563E" w:rsidRDefault="00C1563E">
            <w:pPr>
              <w:rPr>
                <w:rFonts w:ascii="宋体"/>
              </w:rPr>
            </w:pPr>
          </w:p>
        </w:tc>
        <w:tc>
          <w:tcPr>
            <w:tcW w:w="5" w:type="pct"/>
            <w:shd w:val="clear" w:color="auto" w:fill="auto"/>
          </w:tcPr>
          <w:p w14:paraId="7DD00774" w14:textId="77777777" w:rsidR="00C1563E" w:rsidRDefault="00C1563E">
            <w:pPr>
              <w:rPr>
                <w:rFonts w:ascii="宋体"/>
              </w:rPr>
            </w:pPr>
          </w:p>
        </w:tc>
        <w:tc>
          <w:tcPr>
            <w:tcW w:w="19" w:type="pct"/>
            <w:shd w:val="clear" w:color="auto" w:fill="auto"/>
          </w:tcPr>
          <w:p w14:paraId="7DD00775" w14:textId="77777777" w:rsidR="00C1563E" w:rsidRDefault="00C1563E">
            <w:pPr>
              <w:rPr>
                <w:rFonts w:ascii="宋体"/>
              </w:rPr>
            </w:pPr>
          </w:p>
        </w:tc>
        <w:tc>
          <w:tcPr>
            <w:tcW w:w="5" w:type="pct"/>
            <w:shd w:val="clear" w:color="auto" w:fill="auto"/>
          </w:tcPr>
          <w:p w14:paraId="7DD00776" w14:textId="77777777" w:rsidR="00C1563E" w:rsidRDefault="00C1563E">
            <w:pPr>
              <w:rPr>
                <w:rFonts w:ascii="宋体"/>
              </w:rPr>
            </w:pPr>
          </w:p>
        </w:tc>
        <w:tc>
          <w:tcPr>
            <w:tcW w:w="50" w:type="pct"/>
            <w:shd w:val="clear" w:color="auto" w:fill="auto"/>
          </w:tcPr>
          <w:p w14:paraId="7DD00777" w14:textId="77777777" w:rsidR="00C1563E" w:rsidRDefault="00C1563E">
            <w:pPr>
              <w:rPr>
                <w:rFonts w:ascii="宋体"/>
              </w:rPr>
            </w:pPr>
          </w:p>
        </w:tc>
        <w:tc>
          <w:tcPr>
            <w:tcW w:w="917" w:type="pct"/>
            <w:shd w:val="clear" w:color="auto" w:fill="auto"/>
          </w:tcPr>
          <w:p w14:paraId="7DD00778" w14:textId="77777777" w:rsidR="00C1563E" w:rsidRDefault="00C1563E">
            <w:pPr>
              <w:rPr>
                <w:rFonts w:ascii="宋体"/>
              </w:rPr>
            </w:pPr>
          </w:p>
        </w:tc>
        <w:tc>
          <w:tcPr>
            <w:tcW w:w="5" w:type="pct"/>
            <w:shd w:val="clear" w:color="auto" w:fill="auto"/>
          </w:tcPr>
          <w:p w14:paraId="7DD00779" w14:textId="77777777" w:rsidR="00C1563E" w:rsidRDefault="00C1563E">
            <w:pPr>
              <w:rPr>
                <w:rFonts w:ascii="宋体"/>
              </w:rPr>
            </w:pPr>
          </w:p>
        </w:tc>
      </w:tr>
      <w:tr w:rsidR="00C1563E" w14:paraId="7DD0077D" w14:textId="77777777">
        <w:tc>
          <w:tcPr>
            <w:tcW w:w="0" w:type="auto"/>
            <w:gridSpan w:val="3"/>
            <w:shd w:val="clear" w:color="auto" w:fill="auto"/>
            <w:tcMar>
              <w:top w:w="0" w:type="dxa"/>
              <w:left w:w="20" w:type="dxa"/>
              <w:bottom w:w="0" w:type="dxa"/>
              <w:right w:w="20" w:type="dxa"/>
            </w:tcMar>
          </w:tcPr>
          <w:p w14:paraId="7DD0077B"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D0077C"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782" w14:textId="77777777">
        <w:tc>
          <w:tcPr>
            <w:tcW w:w="0" w:type="auto"/>
            <w:gridSpan w:val="3"/>
            <w:shd w:val="clear" w:color="auto" w:fill="auto"/>
            <w:tcMar>
              <w:top w:w="0" w:type="dxa"/>
              <w:left w:w="20" w:type="dxa"/>
              <w:bottom w:w="0" w:type="dxa"/>
              <w:right w:w="20" w:type="dxa"/>
            </w:tcMar>
          </w:tcPr>
          <w:p w14:paraId="7DD0077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77F"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78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781"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785" w14:textId="77777777">
        <w:tc>
          <w:tcPr>
            <w:tcW w:w="0" w:type="auto"/>
            <w:gridSpan w:val="3"/>
            <w:shd w:val="clear" w:color="auto" w:fill="auto"/>
            <w:tcMar>
              <w:top w:w="0" w:type="dxa"/>
              <w:left w:w="20" w:type="dxa"/>
              <w:bottom w:w="0" w:type="dxa"/>
              <w:right w:w="20" w:type="dxa"/>
            </w:tcMar>
          </w:tcPr>
          <w:p w14:paraId="7DD00783"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0784"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78A" w14:textId="77777777">
        <w:tc>
          <w:tcPr>
            <w:tcW w:w="0" w:type="auto"/>
            <w:gridSpan w:val="3"/>
            <w:shd w:val="clear" w:color="auto" w:fill="CCEEFF"/>
            <w:tcMar>
              <w:top w:w="40" w:type="dxa"/>
              <w:left w:w="20" w:type="dxa"/>
              <w:bottom w:w="40" w:type="dxa"/>
              <w:right w:w="20" w:type="dxa"/>
            </w:tcMar>
            <w:vAlign w:val="bottom"/>
          </w:tcPr>
          <w:p w14:paraId="7DD00786" w14:textId="77777777" w:rsidR="00C1563E" w:rsidRDefault="000B648B">
            <w:pPr>
              <w:textAlignment w:val="bottom"/>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tcPr>
          <w:p w14:paraId="7DD0078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78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789" w14:textId="77777777" w:rsidR="00C1563E" w:rsidRDefault="00C1563E">
            <w:pPr>
              <w:rPr>
                <w:rFonts w:ascii="宋体"/>
              </w:rPr>
            </w:pPr>
          </w:p>
        </w:tc>
      </w:tr>
      <w:tr w:rsidR="00C1563E" w14:paraId="7DD00793" w14:textId="77777777">
        <w:tc>
          <w:tcPr>
            <w:tcW w:w="0" w:type="auto"/>
            <w:gridSpan w:val="3"/>
            <w:shd w:val="clear" w:color="auto" w:fill="FFFFFF"/>
            <w:tcMar>
              <w:top w:w="40" w:type="dxa"/>
              <w:left w:w="20" w:type="dxa"/>
              <w:bottom w:w="40" w:type="dxa"/>
              <w:right w:w="20" w:type="dxa"/>
            </w:tcMar>
            <w:vAlign w:val="bottom"/>
          </w:tcPr>
          <w:p w14:paraId="7DD0078B" w14:textId="77777777" w:rsidR="00C1563E" w:rsidRDefault="000B648B">
            <w:pPr>
              <w:textAlignment w:val="bottom"/>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bottom"/>
          </w:tcPr>
          <w:p w14:paraId="7DD0078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78D" w14:textId="77777777" w:rsidR="00C1563E" w:rsidRDefault="000B648B">
            <w:pPr>
              <w:jc w:val="right"/>
              <w:textAlignment w:val="bottom"/>
            </w:pPr>
            <w:r>
              <w:rPr>
                <w:rFonts w:ascii="Times New Roman" w:eastAsia="宋体" w:hAnsi="Times New Roman"/>
                <w:color w:val="000000"/>
                <w:sz w:val="20"/>
                <w:szCs w:val="20"/>
              </w:rPr>
              <w:t>27,800 </w:t>
            </w:r>
          </w:p>
        </w:tc>
        <w:tc>
          <w:tcPr>
            <w:tcW w:w="0" w:type="auto"/>
            <w:shd w:val="clear" w:color="auto" w:fill="FFFFFF"/>
            <w:tcMar>
              <w:top w:w="40" w:type="dxa"/>
              <w:left w:w="0" w:type="dxa"/>
              <w:bottom w:w="40" w:type="dxa"/>
              <w:right w:w="20" w:type="dxa"/>
            </w:tcMar>
            <w:vAlign w:val="bottom"/>
          </w:tcPr>
          <w:p w14:paraId="7DD0078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8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79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791" w14:textId="77777777" w:rsidR="00C1563E" w:rsidRDefault="000B648B">
            <w:pPr>
              <w:jc w:val="right"/>
              <w:textAlignment w:val="bottom"/>
            </w:pPr>
            <w:r>
              <w:rPr>
                <w:rFonts w:ascii="Times New Roman" w:eastAsia="宋体" w:hAnsi="Times New Roman"/>
                <w:color w:val="000000"/>
                <w:sz w:val="20"/>
                <w:szCs w:val="20"/>
              </w:rPr>
              <w:t>24,010 </w:t>
            </w:r>
          </w:p>
        </w:tc>
        <w:tc>
          <w:tcPr>
            <w:tcW w:w="0" w:type="auto"/>
            <w:shd w:val="clear" w:color="auto" w:fill="FFFFFF"/>
            <w:tcMar>
              <w:top w:w="40" w:type="dxa"/>
              <w:left w:w="0" w:type="dxa"/>
              <w:bottom w:w="40" w:type="dxa"/>
              <w:right w:w="20" w:type="dxa"/>
            </w:tcMar>
            <w:vAlign w:val="bottom"/>
          </w:tcPr>
          <w:p w14:paraId="7DD00792" w14:textId="77777777" w:rsidR="00C1563E" w:rsidRDefault="00C1563E">
            <w:pPr>
              <w:jc w:val="right"/>
              <w:rPr>
                <w:rFonts w:ascii="宋体"/>
              </w:rPr>
            </w:pPr>
          </w:p>
        </w:tc>
      </w:tr>
      <w:tr w:rsidR="00C1563E" w14:paraId="7DD0079A" w14:textId="77777777">
        <w:tc>
          <w:tcPr>
            <w:tcW w:w="0" w:type="auto"/>
            <w:gridSpan w:val="3"/>
            <w:shd w:val="clear" w:color="auto" w:fill="CCEEFF"/>
            <w:tcMar>
              <w:top w:w="40" w:type="dxa"/>
              <w:left w:w="20" w:type="dxa"/>
              <w:bottom w:w="40" w:type="dxa"/>
              <w:right w:w="20" w:type="dxa"/>
            </w:tcMar>
            <w:vAlign w:val="bottom"/>
          </w:tcPr>
          <w:p w14:paraId="7DD00794" w14:textId="77777777" w:rsidR="00C1563E" w:rsidRDefault="000B648B">
            <w:pPr>
              <w:textAlignment w:val="bottom"/>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bottom"/>
          </w:tcPr>
          <w:p w14:paraId="7DD00795" w14:textId="77777777" w:rsidR="00C1563E" w:rsidRDefault="000B648B">
            <w:pPr>
              <w:jc w:val="right"/>
              <w:textAlignment w:val="bottom"/>
            </w:pPr>
            <w:r>
              <w:rPr>
                <w:rFonts w:ascii="Times New Roman" w:eastAsia="宋体" w:hAnsi="Times New Roman"/>
                <w:color w:val="000000"/>
                <w:sz w:val="20"/>
                <w:szCs w:val="20"/>
              </w:rPr>
              <w:t>25,475 </w:t>
            </w:r>
          </w:p>
        </w:tc>
        <w:tc>
          <w:tcPr>
            <w:tcW w:w="0" w:type="auto"/>
            <w:shd w:val="clear" w:color="auto" w:fill="CCEEFF"/>
            <w:tcMar>
              <w:top w:w="40" w:type="dxa"/>
              <w:left w:w="0" w:type="dxa"/>
              <w:bottom w:w="40" w:type="dxa"/>
              <w:right w:w="20" w:type="dxa"/>
            </w:tcMar>
            <w:vAlign w:val="bottom"/>
          </w:tcPr>
          <w:p w14:paraId="7DD0079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9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98" w14:textId="77777777" w:rsidR="00C1563E" w:rsidRDefault="000B648B">
            <w:pPr>
              <w:jc w:val="right"/>
              <w:textAlignment w:val="bottom"/>
            </w:pPr>
            <w:r>
              <w:rPr>
                <w:rFonts w:ascii="Times New Roman" w:eastAsia="宋体" w:hAnsi="Times New Roman"/>
                <w:color w:val="000000"/>
                <w:sz w:val="20"/>
                <w:szCs w:val="20"/>
              </w:rPr>
              <w:t>23,315 </w:t>
            </w:r>
          </w:p>
        </w:tc>
        <w:tc>
          <w:tcPr>
            <w:tcW w:w="0" w:type="auto"/>
            <w:shd w:val="clear" w:color="auto" w:fill="CCEEFF"/>
            <w:tcMar>
              <w:top w:w="40" w:type="dxa"/>
              <w:left w:w="0" w:type="dxa"/>
              <w:bottom w:w="40" w:type="dxa"/>
              <w:right w:w="20" w:type="dxa"/>
            </w:tcMar>
            <w:vAlign w:val="bottom"/>
          </w:tcPr>
          <w:p w14:paraId="7DD00799" w14:textId="77777777" w:rsidR="00C1563E" w:rsidRDefault="00C1563E">
            <w:pPr>
              <w:jc w:val="right"/>
              <w:rPr>
                <w:rFonts w:ascii="宋体"/>
              </w:rPr>
            </w:pPr>
          </w:p>
        </w:tc>
      </w:tr>
      <w:tr w:rsidR="00C1563E" w14:paraId="7DD007A1" w14:textId="77777777">
        <w:tc>
          <w:tcPr>
            <w:tcW w:w="0" w:type="auto"/>
            <w:gridSpan w:val="3"/>
            <w:shd w:val="clear" w:color="auto" w:fill="FFFFFF"/>
            <w:tcMar>
              <w:top w:w="40" w:type="dxa"/>
              <w:left w:w="20" w:type="dxa"/>
              <w:bottom w:w="40" w:type="dxa"/>
              <w:right w:w="20" w:type="dxa"/>
            </w:tcMar>
            <w:vAlign w:val="bottom"/>
          </w:tcPr>
          <w:p w14:paraId="7DD0079B" w14:textId="77777777" w:rsidR="00C1563E" w:rsidRDefault="000B648B">
            <w:pPr>
              <w:textAlignment w:val="bottom"/>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bottom"/>
          </w:tcPr>
          <w:p w14:paraId="7DD0079C" w14:textId="77777777" w:rsidR="00C1563E" w:rsidRDefault="000B648B">
            <w:pPr>
              <w:jc w:val="right"/>
              <w:textAlignment w:val="bottom"/>
            </w:pPr>
            <w:r>
              <w:rPr>
                <w:rFonts w:ascii="Times New Roman" w:eastAsia="宋体" w:hAnsi="Times New Roman"/>
                <w:color w:val="000000"/>
                <w:sz w:val="20"/>
                <w:szCs w:val="20"/>
              </w:rPr>
              <w:t>(22,213)</w:t>
            </w:r>
          </w:p>
        </w:tc>
        <w:tc>
          <w:tcPr>
            <w:tcW w:w="0" w:type="auto"/>
            <w:shd w:val="clear" w:color="auto" w:fill="FFFFFF"/>
            <w:tcMar>
              <w:top w:w="40" w:type="dxa"/>
              <w:left w:w="0" w:type="dxa"/>
              <w:bottom w:w="40" w:type="dxa"/>
              <w:right w:w="20" w:type="dxa"/>
            </w:tcMar>
            <w:vAlign w:val="bottom"/>
          </w:tcPr>
          <w:p w14:paraId="7DD0079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9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79F" w14:textId="77777777" w:rsidR="00C1563E" w:rsidRDefault="000B648B">
            <w:pPr>
              <w:jc w:val="right"/>
              <w:textAlignment w:val="bottom"/>
            </w:pPr>
            <w:r>
              <w:rPr>
                <w:rFonts w:ascii="Times New Roman" w:eastAsia="宋体" w:hAnsi="Times New Roman"/>
                <w:color w:val="000000"/>
                <w:sz w:val="20"/>
                <w:szCs w:val="20"/>
              </w:rPr>
              <w:t>(19,676)</w:t>
            </w:r>
          </w:p>
        </w:tc>
        <w:tc>
          <w:tcPr>
            <w:tcW w:w="0" w:type="auto"/>
            <w:shd w:val="clear" w:color="auto" w:fill="FFFFFF"/>
            <w:tcMar>
              <w:top w:w="40" w:type="dxa"/>
              <w:left w:w="0" w:type="dxa"/>
              <w:bottom w:w="40" w:type="dxa"/>
              <w:right w:w="20" w:type="dxa"/>
            </w:tcMar>
            <w:vAlign w:val="bottom"/>
          </w:tcPr>
          <w:p w14:paraId="7DD007A0" w14:textId="77777777" w:rsidR="00C1563E" w:rsidRDefault="00C1563E">
            <w:pPr>
              <w:jc w:val="right"/>
              <w:rPr>
                <w:rFonts w:ascii="宋体"/>
              </w:rPr>
            </w:pPr>
          </w:p>
        </w:tc>
      </w:tr>
      <w:tr w:rsidR="00C1563E" w14:paraId="7DD007A8" w14:textId="77777777">
        <w:tc>
          <w:tcPr>
            <w:tcW w:w="0" w:type="auto"/>
            <w:gridSpan w:val="3"/>
            <w:shd w:val="clear" w:color="auto" w:fill="CCEEFF"/>
            <w:tcMar>
              <w:top w:w="40" w:type="dxa"/>
              <w:left w:w="20" w:type="dxa"/>
              <w:bottom w:w="40" w:type="dxa"/>
              <w:right w:w="20" w:type="dxa"/>
            </w:tcMar>
            <w:vAlign w:val="bottom"/>
          </w:tcPr>
          <w:p w14:paraId="7DD007A2" w14:textId="77777777" w:rsidR="00C1563E" w:rsidRDefault="000B648B">
            <w:pPr>
              <w:textAlignment w:val="bottom"/>
            </w:pPr>
            <w:r>
              <w:rPr>
                <w:rFonts w:ascii="Times New Roman" w:eastAsia="宋体" w:hAnsi="Times New Roman"/>
                <w:color w:val="000000"/>
                <w:sz w:val="20"/>
                <w:szCs w:val="20"/>
              </w:rPr>
              <w:t>Other (a) (b)</w:t>
            </w:r>
          </w:p>
        </w:tc>
        <w:tc>
          <w:tcPr>
            <w:tcW w:w="0" w:type="auto"/>
            <w:gridSpan w:val="2"/>
            <w:shd w:val="clear" w:color="auto" w:fill="CCEEFF"/>
            <w:tcMar>
              <w:top w:w="40" w:type="dxa"/>
              <w:left w:w="20" w:type="dxa"/>
              <w:bottom w:w="40" w:type="dxa"/>
              <w:right w:w="0" w:type="dxa"/>
            </w:tcMar>
            <w:vAlign w:val="bottom"/>
          </w:tcPr>
          <w:p w14:paraId="7DD007A3" w14:textId="77777777" w:rsidR="00C1563E" w:rsidRDefault="000B648B">
            <w:pPr>
              <w:jc w:val="right"/>
              <w:textAlignment w:val="bottom"/>
            </w:pPr>
            <w:r>
              <w:rPr>
                <w:rFonts w:ascii="Times New Roman" w:eastAsia="宋体" w:hAnsi="Times New Roman"/>
                <w:color w:val="000000"/>
                <w:sz w:val="20"/>
                <w:szCs w:val="20"/>
              </w:rPr>
              <w:t>(261)</w:t>
            </w:r>
          </w:p>
        </w:tc>
        <w:tc>
          <w:tcPr>
            <w:tcW w:w="0" w:type="auto"/>
            <w:shd w:val="clear" w:color="auto" w:fill="CCEEFF"/>
            <w:tcMar>
              <w:top w:w="40" w:type="dxa"/>
              <w:left w:w="0" w:type="dxa"/>
              <w:bottom w:w="40" w:type="dxa"/>
              <w:right w:w="20" w:type="dxa"/>
            </w:tcMar>
            <w:vAlign w:val="bottom"/>
          </w:tcPr>
          <w:p w14:paraId="7DD007A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A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7A6" w14:textId="77777777" w:rsidR="00C1563E" w:rsidRDefault="000B648B">
            <w:pPr>
              <w:jc w:val="right"/>
              <w:textAlignment w:val="bottom"/>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bottom"/>
          </w:tcPr>
          <w:p w14:paraId="7DD007A7" w14:textId="77777777" w:rsidR="00C1563E" w:rsidRDefault="00C1563E">
            <w:pPr>
              <w:jc w:val="right"/>
              <w:rPr>
                <w:rFonts w:ascii="宋体"/>
              </w:rPr>
            </w:pPr>
          </w:p>
        </w:tc>
      </w:tr>
      <w:tr w:rsidR="00C1563E" w14:paraId="7DD007B1" w14:textId="77777777">
        <w:tc>
          <w:tcPr>
            <w:tcW w:w="0" w:type="auto"/>
            <w:gridSpan w:val="3"/>
            <w:shd w:val="clear" w:color="auto" w:fill="FFFFFF"/>
            <w:tcMar>
              <w:top w:w="40" w:type="dxa"/>
              <w:left w:w="20" w:type="dxa"/>
              <w:bottom w:w="40" w:type="dxa"/>
              <w:right w:w="20" w:type="dxa"/>
            </w:tcMar>
            <w:vAlign w:val="bottom"/>
          </w:tcPr>
          <w:p w14:paraId="7DD007A9" w14:textId="77777777" w:rsidR="00C1563E" w:rsidRDefault="000B648B">
            <w:pPr>
              <w:textAlignment w:val="bottom"/>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07A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7AB" w14:textId="77777777" w:rsidR="00C1563E" w:rsidRDefault="000B648B">
            <w:pPr>
              <w:jc w:val="right"/>
              <w:textAlignment w:val="bottom"/>
            </w:pPr>
            <w:r>
              <w:rPr>
                <w:rFonts w:ascii="Times New Roman" w:eastAsia="宋体" w:hAnsi="Times New Roman"/>
                <w:color w:val="000000"/>
                <w:sz w:val="20"/>
                <w:szCs w:val="20"/>
              </w:rPr>
              <w:t>30,801 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7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AD"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7A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7AF" w14:textId="77777777" w:rsidR="00C1563E" w:rsidRDefault="000B648B">
            <w:pPr>
              <w:jc w:val="right"/>
              <w:textAlignment w:val="bottom"/>
            </w:pPr>
            <w:r>
              <w:rPr>
                <w:rFonts w:ascii="Times New Roman" w:eastAsia="宋体" w:hAnsi="Times New Roman"/>
                <w:color w:val="000000"/>
                <w:sz w:val="20"/>
                <w:szCs w:val="20"/>
              </w:rPr>
              <w:t>27,800 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7B0" w14:textId="77777777" w:rsidR="00C1563E" w:rsidRDefault="00C1563E">
            <w:pPr>
              <w:jc w:val="right"/>
              <w:rPr>
                <w:rFonts w:ascii="宋体"/>
              </w:rPr>
            </w:pPr>
          </w:p>
        </w:tc>
      </w:tr>
      <w:tr w:rsidR="00C1563E" w14:paraId="7DD007BA" w14:textId="77777777">
        <w:tc>
          <w:tcPr>
            <w:tcW w:w="0" w:type="auto"/>
            <w:gridSpan w:val="3"/>
            <w:shd w:val="clear" w:color="auto" w:fill="CCEEFF"/>
            <w:tcMar>
              <w:top w:w="40" w:type="dxa"/>
              <w:left w:w="155" w:type="dxa"/>
              <w:bottom w:w="40" w:type="dxa"/>
              <w:right w:w="20" w:type="dxa"/>
            </w:tcMar>
            <w:vAlign w:val="bottom"/>
          </w:tcPr>
          <w:p w14:paraId="7DD007B2" w14:textId="77777777" w:rsidR="00C1563E" w:rsidRDefault="000B648B">
            <w:pPr>
              <w:textAlignment w:val="bottom"/>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right w:w="0" w:type="dxa"/>
            </w:tcMar>
            <w:vAlign w:val="bottom"/>
          </w:tcPr>
          <w:p w14:paraId="7DD007B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D007B4" w14:textId="77777777" w:rsidR="00C1563E" w:rsidRDefault="000B648B">
            <w:pPr>
              <w:jc w:val="right"/>
              <w:textAlignment w:val="bottom"/>
            </w:pPr>
            <w:r>
              <w:rPr>
                <w:rFonts w:ascii="Times New Roman" w:eastAsia="宋体" w:hAnsi="Times New Roman"/>
                <w:color w:val="000000"/>
                <w:sz w:val="20"/>
                <w:szCs w:val="20"/>
              </w:rPr>
              <w:t>16,525 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7B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7B6" w14:textId="77777777" w:rsidR="00C1563E" w:rsidRDefault="00C1563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DD007B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DD007B8" w14:textId="77777777" w:rsidR="00C1563E" w:rsidRDefault="000B648B">
            <w:pPr>
              <w:jc w:val="right"/>
              <w:textAlignment w:val="bottom"/>
            </w:pPr>
            <w:r>
              <w:rPr>
                <w:rFonts w:ascii="Times New Roman" w:eastAsia="宋体" w:hAnsi="Times New Roman"/>
                <w:color w:val="000000"/>
                <w:sz w:val="20"/>
                <w:szCs w:val="20"/>
              </w:rPr>
              <w:t>14,881 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7B9" w14:textId="77777777" w:rsidR="00C1563E" w:rsidRDefault="00C1563E">
            <w:pPr>
              <w:jc w:val="right"/>
              <w:rPr>
                <w:rFonts w:ascii="宋体"/>
              </w:rPr>
            </w:pPr>
          </w:p>
        </w:tc>
      </w:tr>
      <w:tr w:rsidR="00C1563E" w14:paraId="7DD007C3" w14:textId="77777777">
        <w:tc>
          <w:tcPr>
            <w:tcW w:w="0" w:type="auto"/>
            <w:gridSpan w:val="3"/>
            <w:shd w:val="clear" w:color="auto" w:fill="FFFFFF"/>
            <w:tcMar>
              <w:top w:w="40" w:type="dxa"/>
              <w:left w:w="155" w:type="dxa"/>
              <w:bottom w:w="40" w:type="dxa"/>
              <w:right w:w="20" w:type="dxa"/>
            </w:tcMar>
            <w:vAlign w:val="bottom"/>
          </w:tcPr>
          <w:p w14:paraId="7DD007BB" w14:textId="77777777" w:rsidR="00C1563E" w:rsidRDefault="000B648B">
            <w:pPr>
              <w:textAlignment w:val="bottom"/>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bottom"/>
          </w:tcPr>
          <w:p w14:paraId="7DD007B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7BD" w14:textId="77777777" w:rsidR="00C1563E" w:rsidRDefault="000B648B">
            <w:pPr>
              <w:jc w:val="right"/>
              <w:textAlignment w:val="bottom"/>
            </w:pPr>
            <w:r>
              <w:rPr>
                <w:rFonts w:ascii="Times New Roman" w:eastAsia="宋体" w:hAnsi="Times New Roman"/>
                <w:color w:val="000000"/>
                <w:sz w:val="20"/>
                <w:szCs w:val="20"/>
              </w:rPr>
              <w:t>14,276 </w:t>
            </w:r>
          </w:p>
        </w:tc>
        <w:tc>
          <w:tcPr>
            <w:tcW w:w="0" w:type="auto"/>
            <w:shd w:val="clear" w:color="auto" w:fill="FFFFFF"/>
            <w:tcMar>
              <w:top w:w="40" w:type="dxa"/>
              <w:left w:w="0" w:type="dxa"/>
              <w:bottom w:w="40" w:type="dxa"/>
              <w:right w:w="20" w:type="dxa"/>
            </w:tcMar>
            <w:vAlign w:val="bottom"/>
          </w:tcPr>
          <w:p w14:paraId="7DD007B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7B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7C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7C1" w14:textId="77777777" w:rsidR="00C1563E" w:rsidRDefault="000B648B">
            <w:pPr>
              <w:jc w:val="right"/>
              <w:textAlignment w:val="bottom"/>
            </w:pPr>
            <w:r>
              <w:rPr>
                <w:rFonts w:ascii="Times New Roman" w:eastAsia="宋体" w:hAnsi="Times New Roman"/>
                <w:color w:val="000000"/>
                <w:sz w:val="20"/>
                <w:szCs w:val="20"/>
              </w:rPr>
              <w:t>12,919 </w:t>
            </w:r>
          </w:p>
        </w:tc>
        <w:tc>
          <w:tcPr>
            <w:tcW w:w="0" w:type="auto"/>
            <w:shd w:val="clear" w:color="auto" w:fill="FFFFFF"/>
            <w:tcMar>
              <w:top w:w="40" w:type="dxa"/>
              <w:left w:w="0" w:type="dxa"/>
              <w:bottom w:w="40" w:type="dxa"/>
              <w:right w:w="20" w:type="dxa"/>
            </w:tcMar>
            <w:vAlign w:val="bottom"/>
          </w:tcPr>
          <w:p w14:paraId="7DD007C2" w14:textId="77777777" w:rsidR="00C1563E" w:rsidRDefault="00C1563E">
            <w:pPr>
              <w:jc w:val="right"/>
              <w:rPr>
                <w:rFonts w:ascii="宋体"/>
              </w:rPr>
            </w:pPr>
          </w:p>
        </w:tc>
      </w:tr>
    </w:tbl>
    <w:p w14:paraId="7DD007C4" w14:textId="77777777" w:rsidR="00C1563E" w:rsidRDefault="000B648B">
      <w:r>
        <w:rPr>
          <w:rFonts w:ascii="Times New Roman" w:eastAsia="宋体" w:hAnsi="Times New Roman"/>
          <w:color w:val="000000"/>
          <w:sz w:val="20"/>
          <w:szCs w:val="20"/>
        </w:rPr>
        <w:t>____________________</w:t>
      </w:r>
    </w:p>
    <w:p w14:paraId="7DD007C5" w14:textId="77777777" w:rsidR="00C1563E" w:rsidRDefault="000B648B">
      <w:pPr>
        <w:ind w:hanging="360"/>
      </w:pPr>
      <w:r>
        <w:rPr>
          <w:rFonts w:ascii="Times New Roman" w:eastAsia="宋体" w:hAnsi="Times New Roman"/>
          <w:color w:val="000000"/>
          <w:sz w:val="20"/>
          <w:szCs w:val="20"/>
        </w:rPr>
        <w:t xml:space="preserve">(a)    For the fiscal year ended </w:t>
      </w:r>
      <w:r>
        <w:rPr>
          <w:rFonts w:ascii="Times New Roman" w:eastAsia="宋体" w:hAnsi="Times New Roman"/>
          <w:color w:val="000000"/>
          <w:sz w:val="20"/>
          <w:szCs w:val="20"/>
        </w:rPr>
        <w:t>January 29, 2021, Other consists of divested deferred revenue from the sale of RSA Security. See Note 1 of the Notes to the Consolidated Financial Statements for more information about the divestiture of RSA Security.</w:t>
      </w:r>
    </w:p>
    <w:p w14:paraId="7DD007C6" w14:textId="77777777" w:rsidR="00C1563E" w:rsidRDefault="000B648B">
      <w:pPr>
        <w:ind w:hanging="360"/>
      </w:pPr>
      <w:r>
        <w:rPr>
          <w:rFonts w:ascii="Times New Roman" w:eastAsia="宋体" w:hAnsi="Times New Roman"/>
          <w:color w:val="000000"/>
          <w:sz w:val="20"/>
          <w:szCs w:val="20"/>
        </w:rPr>
        <w:t>(b)    For the fiscal year ended Janua</w:t>
      </w:r>
      <w:r>
        <w:rPr>
          <w:rFonts w:ascii="Times New Roman" w:eastAsia="宋体" w:hAnsi="Times New Roman"/>
          <w:color w:val="000000"/>
          <w:sz w:val="20"/>
          <w:szCs w:val="20"/>
        </w:rPr>
        <w:t>ry 31, 2020, Other consists of acquired deferred revenue from Carbon Black, Inc. by VMware, Inc.</w:t>
      </w:r>
    </w:p>
    <w:p w14:paraId="7DD007C7" w14:textId="77777777" w:rsidR="00C1563E" w:rsidRDefault="00C1563E"/>
    <w:p w14:paraId="7DD007C8" w14:textId="77777777" w:rsidR="00C1563E" w:rsidRDefault="000B648B">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xml:space="preserve">— Remaining performance obligations represent the aggregate amount of the transaction price allocated to </w:t>
      </w:r>
      <w:r>
        <w:rPr>
          <w:rFonts w:ascii="Times New Roman" w:eastAsia="宋体" w:hAnsi="Times New Roman"/>
          <w:color w:val="000000"/>
          <w:sz w:val="20"/>
          <w:szCs w:val="20"/>
        </w:rPr>
        <w:t>performance obligations not delivered, or partially undelivered, as of the end of the reporting period. Remaining performance obligations include deferred revenue plus unbilled amounts not yet recorded in deferred revenue. The value of the transaction pric</w:t>
      </w:r>
      <w:r>
        <w:rPr>
          <w:rFonts w:ascii="Times New Roman" w:eastAsia="宋体" w:hAnsi="Times New Roman"/>
          <w:color w:val="000000"/>
          <w:sz w:val="20"/>
          <w:szCs w:val="20"/>
        </w:rPr>
        <w:t>e allocated to remaining performance obligations as of January 29, 2021 was approximately $41 billion. The Company expects to recognize approximately 60% of remaining performance obligations as revenue in the next twelve months, and the remainder thereafte</w:t>
      </w:r>
      <w:r>
        <w:rPr>
          <w:rFonts w:ascii="Times New Roman" w:eastAsia="宋体" w:hAnsi="Times New Roman"/>
          <w:color w:val="000000"/>
          <w:sz w:val="20"/>
          <w:szCs w:val="20"/>
        </w:rPr>
        <w:t>r.</w:t>
      </w:r>
    </w:p>
    <w:p w14:paraId="7DD007C9" w14:textId="77777777" w:rsidR="00C1563E" w:rsidRDefault="00C1563E"/>
    <w:p w14:paraId="7DD007CA" w14:textId="77777777" w:rsidR="00C1563E" w:rsidRDefault="000B648B">
      <w:r>
        <w:rPr>
          <w:rFonts w:ascii="Times New Roman" w:eastAsia="宋体" w:hAnsi="Times New Roman"/>
          <w:color w:val="000000"/>
          <w:sz w:val="20"/>
          <w:szCs w:val="20"/>
        </w:rPr>
        <w:t xml:space="preserve">The aggregate amount of the transaction price allocated to remaining performance obligations does not include amounts owed under cancelable contracts where there is no substantive termination penalty. The Company applied the practical </w:t>
      </w:r>
      <w:r>
        <w:rPr>
          <w:rFonts w:ascii="Times New Roman" w:eastAsia="宋体" w:hAnsi="Times New Roman"/>
          <w:color w:val="000000"/>
          <w:sz w:val="20"/>
          <w:szCs w:val="20"/>
        </w:rPr>
        <w:t>expedient to exclude the value of remaining performance obligations for contracts for which revenue is recognized at the amount to which the Company has the right to invoice for services performed.</w:t>
      </w:r>
    </w:p>
    <w:p w14:paraId="7DD007CB" w14:textId="77777777" w:rsidR="00C1563E" w:rsidRDefault="00C1563E"/>
    <w:p w14:paraId="7DD007CC" w14:textId="77777777" w:rsidR="00C1563E" w:rsidRDefault="000B648B">
      <w:r>
        <w:rPr>
          <w:rFonts w:ascii="Times New Roman" w:eastAsia="宋体" w:hAnsi="Times New Roman"/>
          <w:color w:val="000000"/>
          <w:sz w:val="20"/>
          <w:szCs w:val="20"/>
        </w:rPr>
        <w:t>Remaining performance obligation estimates are subject to</w:t>
      </w:r>
      <w:r>
        <w:rPr>
          <w:rFonts w:ascii="Times New Roman" w:eastAsia="宋体" w:hAnsi="Times New Roman"/>
          <w:color w:val="000000"/>
          <w:sz w:val="20"/>
          <w:szCs w:val="20"/>
        </w:rPr>
        <w:t xml:space="preserve"> change and are affected by several factors, including terminations, changes in the scope of contracts, periodic revalidation, adjustments for revenue that have not materialized, and adjustments for currency.</w:t>
      </w:r>
    </w:p>
    <w:p w14:paraId="7DD007CD" w14:textId="77777777" w:rsidR="00C1563E" w:rsidRDefault="00C1563E"/>
    <w:p w14:paraId="7DD007CE" w14:textId="77777777" w:rsidR="00C1563E" w:rsidRDefault="00C1563E">
      <w:pPr>
        <w:jc w:val="center"/>
      </w:pPr>
    </w:p>
    <w:p w14:paraId="7DD007CF" w14:textId="77777777" w:rsidR="00C1563E" w:rsidRDefault="000B648B">
      <w:pPr>
        <w:jc w:val="center"/>
      </w:pPr>
      <w:r>
        <w:rPr>
          <w:rFonts w:ascii="Times New Roman" w:eastAsia="宋体" w:hAnsi="Times New Roman"/>
          <w:color w:val="000000"/>
          <w:sz w:val="20"/>
          <w:szCs w:val="20"/>
        </w:rPr>
        <w:t>125</w:t>
      </w:r>
    </w:p>
    <w:p w14:paraId="7DD007D0" w14:textId="77777777" w:rsidR="00C1563E" w:rsidRDefault="00C1563E">
      <w:pPr>
        <w:jc w:val="center"/>
      </w:pPr>
    </w:p>
    <w:p w14:paraId="7DD007D1" w14:textId="77777777" w:rsidR="00C1563E" w:rsidRDefault="000B648B">
      <w:r>
        <w:pict w14:anchorId="7DD025E7">
          <v:rect id="_x0000_i1149" style="width:415.3pt;height:1.5pt" o:hralign="center" o:hrstd="t" o:hr="t" fillcolor="#a0a0a0" stroked="f"/>
        </w:pict>
      </w:r>
    </w:p>
    <w:p w14:paraId="7DD007D2" w14:textId="77777777" w:rsidR="00C1563E" w:rsidRDefault="000B648B">
      <w:hyperlink r:id="rId308" w:anchor="i418e32e4a35149ffbf7d3a25d66881b8_10" w:history="1">
        <w:r>
          <w:rPr>
            <w:rStyle w:val="a5"/>
            <w:rFonts w:ascii="Times New Roman" w:eastAsia="宋体" w:hAnsi="Times New Roman"/>
            <w:sz w:val="20"/>
            <w:szCs w:val="20"/>
          </w:rPr>
          <w:t>Table of Contents</w:t>
        </w:r>
      </w:hyperlink>
    </w:p>
    <w:p w14:paraId="7DD007D3" w14:textId="77777777" w:rsidR="00C1563E" w:rsidRDefault="000B648B">
      <w:r>
        <w:rPr>
          <w:rFonts w:ascii="Times New Roman" w:eastAsia="宋体" w:hAnsi="Times New Roman"/>
          <w:b/>
          <w:bCs/>
          <w:color w:val="000000"/>
          <w:sz w:val="20"/>
          <w:szCs w:val="20"/>
        </w:rPr>
        <w:t xml:space="preserve">NOTE 10 — COMMITMENTS AND CONTINGENCIES </w:t>
      </w:r>
    </w:p>
    <w:p w14:paraId="7DD007D4" w14:textId="77777777" w:rsidR="00C1563E" w:rsidRDefault="00C1563E"/>
    <w:p w14:paraId="7DD007D5" w14:textId="77777777" w:rsidR="00C1563E" w:rsidRDefault="000B648B">
      <w:r>
        <w:rPr>
          <w:rFonts w:ascii="Times New Roman" w:eastAsia="宋体" w:hAnsi="Times New Roman"/>
          <w:b/>
          <w:bCs/>
          <w:color w:val="000000"/>
          <w:sz w:val="20"/>
          <w:szCs w:val="20"/>
        </w:rPr>
        <w:t>Purchase Obligations</w:t>
      </w:r>
    </w:p>
    <w:p w14:paraId="7DD007D6" w14:textId="77777777" w:rsidR="00C1563E" w:rsidRDefault="00C1563E"/>
    <w:p w14:paraId="7DD007D7" w14:textId="77777777" w:rsidR="00C1563E" w:rsidRDefault="000B648B">
      <w:r>
        <w:rPr>
          <w:rFonts w:ascii="Times New Roman" w:eastAsia="宋体" w:hAnsi="Times New Roman"/>
          <w:color w:val="000000"/>
          <w:sz w:val="20"/>
          <w:szCs w:val="20"/>
        </w:rPr>
        <w:t xml:space="preserve">The Company has contractual obligations to purchase goods </w:t>
      </w:r>
      <w:r>
        <w:rPr>
          <w:rFonts w:ascii="Times New Roman" w:eastAsia="宋体" w:hAnsi="Times New Roman"/>
          <w:color w:val="000000"/>
          <w:sz w:val="20"/>
          <w:szCs w:val="20"/>
        </w:rPr>
        <w:t>or services, which specify significant terms, including fixed or minimum quantities to be purchased; fixed, minimum, or variable price provisions; and the approximate timing of the transaction. As of January 29, 2021, purchase obligations were $4,885 milli</w:t>
      </w:r>
      <w:r>
        <w:rPr>
          <w:rFonts w:ascii="Times New Roman" w:eastAsia="宋体" w:hAnsi="Times New Roman"/>
          <w:color w:val="000000"/>
          <w:sz w:val="20"/>
          <w:szCs w:val="20"/>
        </w:rPr>
        <w:t>on, $462 million, and $531 million for Fiscal 2022, Fiscal 2023, and Fiscal 2024 and thereafter, respectively.</w:t>
      </w:r>
    </w:p>
    <w:p w14:paraId="7DD007D8" w14:textId="77777777" w:rsidR="00C1563E" w:rsidRDefault="00C1563E"/>
    <w:p w14:paraId="7DD007D9" w14:textId="77777777" w:rsidR="00C1563E" w:rsidRDefault="000B648B">
      <w:r>
        <w:rPr>
          <w:rFonts w:ascii="Times New Roman" w:eastAsia="宋体" w:hAnsi="Times New Roman"/>
          <w:b/>
          <w:bCs/>
          <w:color w:val="000000"/>
          <w:sz w:val="20"/>
          <w:szCs w:val="20"/>
        </w:rPr>
        <w:t>Lease Commitments</w:t>
      </w:r>
    </w:p>
    <w:p w14:paraId="7DD007DA" w14:textId="77777777" w:rsidR="00C1563E" w:rsidRDefault="00C1563E"/>
    <w:p w14:paraId="7DD007DB" w14:textId="77777777" w:rsidR="00C1563E" w:rsidRDefault="000B648B">
      <w:r>
        <w:rPr>
          <w:rFonts w:ascii="Times New Roman" w:eastAsia="宋体" w:hAnsi="Times New Roman"/>
          <w:color w:val="000000"/>
          <w:sz w:val="20"/>
          <w:szCs w:val="20"/>
        </w:rPr>
        <w:t>The Company leases property and equipment, manufacturing facilities, and office space under non-cancelable leases. As of Janu</w:t>
      </w:r>
      <w:r>
        <w:rPr>
          <w:rFonts w:ascii="Times New Roman" w:eastAsia="宋体" w:hAnsi="Times New Roman"/>
          <w:color w:val="000000"/>
          <w:sz w:val="20"/>
          <w:szCs w:val="20"/>
        </w:rPr>
        <w:t>ary 29, 2021, the future maturity of the Company’s operating lease liabilities under non-cancelable leases was as follows: $472 million in Fiscal 2022; $445 million in Fiscal 2023; $324 million in Fiscal 2024; $242 million in Fiscal 2025; $194 million in F</w:t>
      </w:r>
      <w:r>
        <w:rPr>
          <w:rFonts w:ascii="Times New Roman" w:eastAsia="宋体" w:hAnsi="Times New Roman"/>
          <w:color w:val="000000"/>
          <w:sz w:val="20"/>
          <w:szCs w:val="20"/>
        </w:rPr>
        <w:t>iscal 2026; and $975 million thereafter.</w:t>
      </w:r>
    </w:p>
    <w:p w14:paraId="7DD007DC" w14:textId="77777777" w:rsidR="00C1563E" w:rsidRDefault="00C1563E"/>
    <w:p w14:paraId="7DD007DD" w14:textId="77777777" w:rsidR="00C1563E" w:rsidRDefault="000B648B">
      <w:r>
        <w:rPr>
          <w:rFonts w:ascii="Times New Roman" w:eastAsia="宋体" w:hAnsi="Times New Roman"/>
          <w:color w:val="000000"/>
          <w:sz w:val="20"/>
          <w:szCs w:val="20"/>
        </w:rPr>
        <w:t xml:space="preserve">The amount of future lease commitments after Fiscal 2026 includes the ground lease on VMware, Inc.’s Palo Alto, California headquarter facilities, which expires in Fiscal 2047. </w:t>
      </w:r>
    </w:p>
    <w:p w14:paraId="7DD007DE" w14:textId="77777777" w:rsidR="00C1563E" w:rsidRDefault="00C1563E"/>
    <w:p w14:paraId="7DD007DF" w14:textId="77777777" w:rsidR="00C1563E" w:rsidRDefault="000B648B">
      <w:r>
        <w:rPr>
          <w:rFonts w:ascii="Times New Roman" w:eastAsia="宋体" w:hAnsi="Times New Roman"/>
          <w:color w:val="000000"/>
          <w:sz w:val="20"/>
          <w:szCs w:val="20"/>
        </w:rPr>
        <w:t>As of January 29, 2021, the Company</w:t>
      </w:r>
      <w:r>
        <w:rPr>
          <w:rFonts w:ascii="Times New Roman" w:eastAsia="宋体" w:hAnsi="Times New Roman"/>
          <w:color w:val="000000"/>
          <w:sz w:val="20"/>
          <w:szCs w:val="20"/>
        </w:rPr>
        <w:t xml:space="preserve"> has additional operating leases that have not yet commenced of $72 million. These operating leases will commence during Fiscal 2022 with lease terms of one year to 10 years.</w:t>
      </w:r>
    </w:p>
    <w:p w14:paraId="7DD007E0" w14:textId="77777777" w:rsidR="00C1563E" w:rsidRDefault="00C1563E"/>
    <w:p w14:paraId="7DD007E1" w14:textId="77777777" w:rsidR="00C1563E" w:rsidRDefault="000B648B">
      <w:r>
        <w:rPr>
          <w:rFonts w:ascii="Times New Roman" w:eastAsia="宋体" w:hAnsi="Times New Roman"/>
          <w:b/>
          <w:bCs/>
          <w:color w:val="000000"/>
          <w:sz w:val="20"/>
          <w:szCs w:val="20"/>
        </w:rPr>
        <w:t>Legal Matters</w:t>
      </w:r>
    </w:p>
    <w:p w14:paraId="7DD007E2" w14:textId="77777777" w:rsidR="00C1563E" w:rsidRDefault="00C1563E"/>
    <w:p w14:paraId="7DD007E3" w14:textId="77777777" w:rsidR="00C1563E" w:rsidRDefault="000B648B">
      <w:r>
        <w:rPr>
          <w:rFonts w:ascii="Times New Roman" w:eastAsia="宋体" w:hAnsi="Times New Roman"/>
          <w:color w:val="000000"/>
          <w:sz w:val="20"/>
          <w:szCs w:val="20"/>
        </w:rPr>
        <w:t>The Company is involved in various claims, suits, assessments, in</w:t>
      </w:r>
      <w:r>
        <w:rPr>
          <w:rFonts w:ascii="Times New Roman" w:eastAsia="宋体" w:hAnsi="Times New Roman"/>
          <w:color w:val="000000"/>
          <w:sz w:val="20"/>
          <w:szCs w:val="20"/>
        </w:rPr>
        <w:t xml:space="preserve">vestigations, and legal proceedings that arise from time to time in the ordinary course of its business, including those identified below, consisting of matters involving consumer, antitrust, tax, intellectual property, and other issues on a global basis. </w:t>
      </w:r>
    </w:p>
    <w:p w14:paraId="7DD007E4" w14:textId="77777777" w:rsidR="00C1563E" w:rsidRDefault="00C1563E"/>
    <w:p w14:paraId="7DD007E5" w14:textId="77777777" w:rsidR="00C1563E" w:rsidRDefault="000B648B">
      <w:r>
        <w:rPr>
          <w:rFonts w:ascii="Times New Roman" w:eastAsia="宋体" w:hAnsi="Times New Roman"/>
          <w:color w:val="00000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w:t>
      </w:r>
      <w:r>
        <w:rPr>
          <w:rFonts w:ascii="Times New Roman" w:eastAsia="宋体" w:hAnsi="Times New Roman"/>
          <w:color w:val="000000"/>
          <w:sz w:val="20"/>
          <w:szCs w:val="20"/>
        </w:rPr>
        <w:t>ng negotiations, settlements, rulings, advice of legal counsel, and other relevant information. To the extent new information is obtained and the Company’s views on the probable outcomes of claims, suits, assessments, investigations, or legal proceedings c</w:t>
      </w:r>
      <w:r>
        <w:rPr>
          <w:rFonts w:ascii="Times New Roman" w:eastAsia="宋体" w:hAnsi="Times New Roman"/>
          <w:color w:val="000000"/>
          <w:sz w:val="20"/>
          <w:szCs w:val="20"/>
        </w:rPr>
        <w:t>hange, changes in the Company’s accrued liabilities would be recorded in the period in which such a determination is made. For some matters, the amount of liability is not probable or the amount cannot be reasonably estimated and therefore accruals have no</w:t>
      </w:r>
      <w:r>
        <w:rPr>
          <w:rFonts w:ascii="Times New Roman" w:eastAsia="宋体" w:hAnsi="Times New Roman"/>
          <w:color w:val="000000"/>
          <w:sz w:val="20"/>
          <w:szCs w:val="20"/>
        </w:rPr>
        <w:t xml:space="preserve">t been made. </w:t>
      </w:r>
    </w:p>
    <w:p w14:paraId="7DD007E6" w14:textId="77777777" w:rsidR="00C1563E" w:rsidRDefault="00C1563E"/>
    <w:p w14:paraId="7DD007E7" w14:textId="77777777" w:rsidR="00C1563E" w:rsidRDefault="000B648B">
      <w:r>
        <w:rPr>
          <w:rFonts w:ascii="Times New Roman" w:eastAsia="宋体" w:hAnsi="Times New Roman"/>
          <w:color w:val="000000"/>
          <w:sz w:val="20"/>
          <w:szCs w:val="20"/>
        </w:rPr>
        <w:t>The following is a discussion of the Company’s significant legal matters and other proceedings:</w:t>
      </w:r>
    </w:p>
    <w:p w14:paraId="7DD007E8" w14:textId="77777777" w:rsidR="00C1563E" w:rsidRDefault="00C1563E"/>
    <w:p w14:paraId="7DD007E9" w14:textId="77777777" w:rsidR="00C1563E" w:rsidRDefault="000B648B">
      <w:r>
        <w:rPr>
          <w:rFonts w:ascii="Times New Roman" w:eastAsia="宋体" w:hAnsi="Times New Roman"/>
          <w:i/>
          <w:iCs/>
          <w:color w:val="000000"/>
          <w:sz w:val="20"/>
          <w:szCs w:val="20"/>
        </w:rPr>
        <w:t>Class Actions Related to the Class V Transaction</w:t>
      </w:r>
      <w:r>
        <w:rPr>
          <w:rFonts w:ascii="Times New Roman" w:eastAsia="宋体" w:hAnsi="Times New Roman"/>
          <w:color w:val="000000"/>
          <w:sz w:val="20"/>
          <w:szCs w:val="20"/>
        </w:rPr>
        <w:t> — Four purported stockholders brought putative class action complaints arising out of the Class</w:t>
      </w:r>
      <w:r>
        <w:rPr>
          <w:rFonts w:ascii="Times New Roman" w:eastAsia="宋体" w:hAnsi="Times New Roman"/>
          <w:color w:val="000000"/>
          <w:sz w:val="20"/>
          <w:szCs w:val="20"/>
        </w:rPr>
        <w:t xml:space="preserve"> V transaction described in Note 1 of the Notes to the Consolidated Financial Statements. The actions were captioned Hallandale Beach Police and Fire Retirement Plan v. Michael Dell et al. (Civil Action No. 2018-0816-JTL), Howard Karp v. Michael Dell et al</w:t>
      </w:r>
      <w:r>
        <w:rPr>
          <w:rFonts w:ascii="Times New Roman" w:eastAsia="宋体" w:hAnsi="Times New Roman"/>
          <w:color w:val="000000"/>
          <w:sz w:val="20"/>
          <w:szCs w:val="20"/>
        </w:rPr>
        <w:t>. (Civil Action No. 2019-0032-JTL), Miramar Police Officers’ Retirement Plan v. Michael Dell et al. (Civil Action No. 2019-0049-JTL), and Steamfitters Local 449 Pension Plan v. Michael Dell et al. (Civil Action No. 2019-0115-JTL). The four actions were con</w:t>
      </w:r>
      <w:r>
        <w:rPr>
          <w:rFonts w:ascii="Times New Roman" w:eastAsia="宋体" w:hAnsi="Times New Roman"/>
          <w:color w:val="000000"/>
          <w:sz w:val="20"/>
          <w:szCs w:val="20"/>
        </w:rPr>
        <w:t>solidated in the Delaware Chancery Court into In Re Dell Class V Litigation (Consol. C.A. No. 2018-0816-JTL), which names as defendants the Company’s board of directors and certain stockholders of the Company, including Michael S. Dell. The plaintiffs gene</w:t>
      </w:r>
      <w:r>
        <w:rPr>
          <w:rFonts w:ascii="Times New Roman" w:eastAsia="宋体" w:hAnsi="Times New Roman"/>
          <w:color w:val="000000"/>
          <w:sz w:val="20"/>
          <w:szCs w:val="20"/>
        </w:rPr>
        <w:t>rally allege that the defendants breached their fiduciary duties to the former holders of Class V Common Stock in connection with the Class V transaction by allegedly causing the Company to enter into a transaction that favored the interests of the control</w:t>
      </w:r>
      <w:r>
        <w:rPr>
          <w:rFonts w:ascii="Times New Roman" w:eastAsia="宋体" w:hAnsi="Times New Roman"/>
          <w:color w:val="000000"/>
          <w:sz w:val="20"/>
          <w:szCs w:val="20"/>
        </w:rPr>
        <w:t>ling stockholders at the expense of such former stockholders. The plaintiffs seek, among other remedies, a judicial declaration that the defendants breached their fiduciary duties and an award of damages, fees, and costs. The plaintiffs filed an amended co</w:t>
      </w:r>
      <w:r>
        <w:rPr>
          <w:rFonts w:ascii="Times New Roman" w:eastAsia="宋体" w:hAnsi="Times New Roman"/>
          <w:color w:val="000000"/>
          <w:sz w:val="20"/>
          <w:szCs w:val="20"/>
        </w:rPr>
        <w:t>mplaint in August 2019 making substantially similar allegations to those described above. The defendants filed a motion to dismiss the action in September 2019. The court denied the motion in June 2020 and the case is currently in the discovery phase.</w:t>
      </w:r>
    </w:p>
    <w:p w14:paraId="7DD007EA" w14:textId="77777777" w:rsidR="00C1563E" w:rsidRDefault="00C1563E"/>
    <w:p w14:paraId="7DD007EB" w14:textId="77777777" w:rsidR="00C1563E" w:rsidRDefault="00C1563E"/>
    <w:p w14:paraId="7DD007EC" w14:textId="77777777" w:rsidR="00C1563E" w:rsidRDefault="00C1563E">
      <w:pPr>
        <w:jc w:val="center"/>
      </w:pPr>
    </w:p>
    <w:p w14:paraId="7DD007ED" w14:textId="77777777" w:rsidR="00C1563E" w:rsidRDefault="000B648B">
      <w:pPr>
        <w:jc w:val="center"/>
      </w:pPr>
      <w:r>
        <w:rPr>
          <w:rFonts w:ascii="Times New Roman" w:eastAsia="宋体" w:hAnsi="Times New Roman"/>
          <w:color w:val="000000"/>
          <w:sz w:val="20"/>
          <w:szCs w:val="20"/>
        </w:rPr>
        <w:t>1</w:t>
      </w:r>
      <w:r>
        <w:rPr>
          <w:rFonts w:ascii="Times New Roman" w:eastAsia="宋体" w:hAnsi="Times New Roman"/>
          <w:color w:val="000000"/>
          <w:sz w:val="20"/>
          <w:szCs w:val="20"/>
        </w:rPr>
        <w:t>26</w:t>
      </w:r>
    </w:p>
    <w:p w14:paraId="7DD007EE" w14:textId="77777777" w:rsidR="00C1563E" w:rsidRDefault="00C1563E">
      <w:pPr>
        <w:jc w:val="center"/>
      </w:pPr>
    </w:p>
    <w:p w14:paraId="7DD007EF" w14:textId="77777777" w:rsidR="00C1563E" w:rsidRDefault="000B648B">
      <w:r>
        <w:pict w14:anchorId="7DD025E8">
          <v:rect id="_x0000_i1150" style="width:415.3pt;height:1.5pt" o:hralign="center" o:hrstd="t" o:hr="t" fillcolor="#a0a0a0" stroked="f"/>
        </w:pict>
      </w:r>
    </w:p>
    <w:p w14:paraId="7DD007F0" w14:textId="77777777" w:rsidR="00C1563E" w:rsidRDefault="000B648B">
      <w:hyperlink r:id="rId309" w:anchor="i418e32e4a35149ffbf7d3a25d66881b8_10" w:history="1">
        <w:r>
          <w:rPr>
            <w:rStyle w:val="a5"/>
            <w:rFonts w:ascii="Times New Roman" w:eastAsia="宋体" w:hAnsi="Times New Roman"/>
            <w:sz w:val="20"/>
            <w:szCs w:val="20"/>
          </w:rPr>
          <w:t>Table of Contents</w:t>
        </w:r>
      </w:hyperlink>
    </w:p>
    <w:p w14:paraId="7DD007F1" w14:textId="77777777" w:rsidR="00C1563E" w:rsidRDefault="000B648B">
      <w:r>
        <w:rPr>
          <w:rFonts w:ascii="Times New Roman" w:eastAsia="宋体" w:hAnsi="Times New Roman"/>
          <w:i/>
          <w:iCs/>
          <w:color w:val="000000"/>
          <w:sz w:val="20"/>
          <w:szCs w:val="20"/>
        </w:rPr>
        <w:t>Patent Litigation</w:t>
      </w:r>
      <w:r>
        <w:rPr>
          <w:rFonts w:ascii="Times New Roman" w:eastAsia="宋体" w:hAnsi="Times New Roman"/>
          <w:color w:val="000000"/>
          <w:sz w:val="20"/>
          <w:szCs w:val="20"/>
        </w:rPr>
        <w:t xml:space="preserve"> — On April 25, 2019, Cirba Inc. and Cirba IP, Inc. (collectively, “Cirba”) filed a lawsuit against VMware, Inc. in the United States District Court for the District of Delaware (the “Delaware Court”), alleging two patent infringement claims and three trad</w:t>
      </w:r>
      <w:r>
        <w:rPr>
          <w:rFonts w:ascii="Times New Roman" w:eastAsia="宋体" w:hAnsi="Times New Roman"/>
          <w:color w:val="000000"/>
          <w:sz w:val="20"/>
          <w:szCs w:val="20"/>
        </w:rPr>
        <w:t>emark infringement-related claims (the “First Action”).  On May 6, 2019, Cirba filed a motion seeking a preliminary injunction tied to one of the two patents it alleges VMware, Inc. infringes.  Following a hearing on August 6, 2019, the Delaware Court deni</w:t>
      </w:r>
      <w:r>
        <w:rPr>
          <w:rFonts w:ascii="Times New Roman" w:eastAsia="宋体" w:hAnsi="Times New Roman"/>
          <w:color w:val="000000"/>
          <w:sz w:val="20"/>
          <w:szCs w:val="20"/>
        </w:rPr>
        <w:t>ed Cirba’s preliminary injunction motion. On August 20, 2019, VMware, Inc. filed counterclaims against Cirba, asserting among other claims that Cirba is infringing four VMware, Inc. patents.  The Delaware Court severed those claims from the January 2020 tr</w:t>
      </w:r>
      <w:r>
        <w:rPr>
          <w:rFonts w:ascii="Times New Roman" w:eastAsia="宋体" w:hAnsi="Times New Roman"/>
          <w:color w:val="000000"/>
          <w:sz w:val="20"/>
          <w:szCs w:val="20"/>
        </w:rPr>
        <w:t>ial on Cirba’s claims. The trial on Cirba’s claims in Delaware was completed on January 23, 2020, and on January 24, 2020, the jury returned a verdict finding that VMware, Inc. willfully infringed the two asserted patents and awarding approximately $237 mi</w:t>
      </w:r>
      <w:r>
        <w:rPr>
          <w:rFonts w:ascii="Times New Roman" w:eastAsia="宋体" w:hAnsi="Times New Roman"/>
          <w:color w:val="000000"/>
          <w:sz w:val="20"/>
          <w:szCs w:val="20"/>
        </w:rPr>
        <w:t>llion in damages. The jury further found that VMware, Inc. was not liable on Cirba’s trademark infringement-related claims. A total of $237 million was accrued for the First Action, which reflected the estimated losses that were considered both probable an</w:t>
      </w:r>
      <w:r>
        <w:rPr>
          <w:rFonts w:ascii="Times New Roman" w:eastAsia="宋体" w:hAnsi="Times New Roman"/>
          <w:color w:val="000000"/>
          <w:sz w:val="20"/>
          <w:szCs w:val="20"/>
        </w:rPr>
        <w:t>d reasonably estimable at that time. The amount accrued for this matter was included in Accrued and other in the Consolidated Statements of Financial Position as of January 31, 2020, and the charge was classified in Selling, general and administrative in t</w:t>
      </w:r>
      <w:r>
        <w:rPr>
          <w:rFonts w:ascii="Times New Roman" w:eastAsia="宋体" w:hAnsi="Times New Roman"/>
          <w:color w:val="000000"/>
          <w:sz w:val="20"/>
          <w:szCs w:val="20"/>
        </w:rPr>
        <w:t>he Consolidated Statements of Income (Loss) during the fiscal year ended January 31, 2020. On March 9, 2020, the parties filed post-trial motions in the First Action. On December 21, 2020, the Delaware Court granted VMware, Inc.’s request for a new trial b</w:t>
      </w:r>
      <w:r>
        <w:rPr>
          <w:rFonts w:ascii="Times New Roman" w:eastAsia="宋体" w:hAnsi="Times New Roman"/>
          <w:color w:val="000000"/>
          <w:sz w:val="20"/>
          <w:szCs w:val="20"/>
        </w:rPr>
        <w:t xml:space="preserve">ased, in part, on Cirba Inc.’s lack of standing, set aside the verdict and damages award, and denied Cirba’s post-trial motions (the “Post-Trial Order”). </w:t>
      </w:r>
    </w:p>
    <w:p w14:paraId="7DD007F2" w14:textId="77777777" w:rsidR="00C1563E" w:rsidRDefault="00C1563E"/>
    <w:p w14:paraId="7DD007F3" w14:textId="77777777" w:rsidR="00C1563E" w:rsidRDefault="000B648B">
      <w:r>
        <w:rPr>
          <w:rFonts w:ascii="Times New Roman" w:eastAsia="宋体" w:hAnsi="Times New Roman"/>
          <w:color w:val="000000"/>
          <w:sz w:val="20"/>
          <w:szCs w:val="20"/>
        </w:rPr>
        <w:t>On October 22, 2019, VMware, Inc. filed a separate patent infringement lawsuit against Cirba Inc. in</w:t>
      </w:r>
      <w:r>
        <w:rPr>
          <w:rFonts w:ascii="Times New Roman" w:eastAsia="宋体" w:hAnsi="Times New Roman"/>
          <w:color w:val="000000"/>
          <w:sz w:val="20"/>
          <w:szCs w:val="20"/>
        </w:rPr>
        <w:t xml:space="preserve"> the United States District Court for the Eastern District of Virginia, asserting that Cirba infringes four additional VMware, Inc. patents (the “Second Action”). The Virginia court transferred the Second Action to the Delaware Court on February 25, 2020. </w:t>
      </w:r>
      <w:r>
        <w:rPr>
          <w:rFonts w:ascii="Times New Roman" w:eastAsia="宋体" w:hAnsi="Times New Roman"/>
          <w:color w:val="000000"/>
          <w:sz w:val="20"/>
          <w:szCs w:val="20"/>
        </w:rPr>
        <w:t>On March 23, 2020, Cirba filed a counterclaim asserting one additional patent infringement claim against VMware, Inc. The Delaware Court consolidated the First and Second Actions and ordered a consolidated trial on all of the parties’ patent infringement c</w:t>
      </w:r>
      <w:r>
        <w:rPr>
          <w:rFonts w:ascii="Times New Roman" w:eastAsia="宋体" w:hAnsi="Times New Roman"/>
          <w:color w:val="000000"/>
          <w:sz w:val="20"/>
          <w:szCs w:val="20"/>
        </w:rPr>
        <w:t>laims and counterclaims. The parties have proposed April 24, 2023 as the date for a consolidated trial. On January 20, 2021, Cirba moved to certify the Post-Trial Order to enable an interlocutory appeal to the United States Court of Appeals for the Federal</w:t>
      </w:r>
      <w:r>
        <w:rPr>
          <w:rFonts w:ascii="Times New Roman" w:eastAsia="宋体" w:hAnsi="Times New Roman"/>
          <w:color w:val="000000"/>
          <w:sz w:val="20"/>
          <w:szCs w:val="20"/>
        </w:rPr>
        <w:t xml:space="preserve"> Circuit. This motion has been fully briefed and is now pending before the Delaware Court. As of January 29, 2021, VMware, Inc. reassessed its estimated loss accrual for the First Action based on the Post-Trial Order and determined that a loss is no longer</w:t>
      </w:r>
      <w:r>
        <w:rPr>
          <w:rFonts w:ascii="Times New Roman" w:eastAsia="宋体" w:hAnsi="Times New Roman"/>
          <w:color w:val="000000"/>
          <w:sz w:val="20"/>
          <w:szCs w:val="20"/>
        </w:rPr>
        <w:t xml:space="preserve"> probable and reasonably estimable with respect to the consolidated First and Second Actions. Accordingly, the estimated loss accrual recognized during the fiscal year ended January 31, 2020 totaling $237 million was adjusted to $0 with the credit included</w:t>
      </w:r>
      <w:r>
        <w:rPr>
          <w:rFonts w:ascii="Times New Roman" w:eastAsia="宋体" w:hAnsi="Times New Roman"/>
          <w:color w:val="000000"/>
          <w:sz w:val="20"/>
          <w:szCs w:val="20"/>
        </w:rPr>
        <w:t xml:space="preserve"> in Selling, general, and administrative in the Consolidated Statements of Income (Loss) during the fiscal year ended January 29, 2021. VMware, Inc. is unable at this time to assess whether, or to what extent, it may be found liable and, if found liable, w</w:t>
      </w:r>
      <w:r>
        <w:rPr>
          <w:rFonts w:ascii="Times New Roman" w:eastAsia="宋体" w:hAnsi="Times New Roman"/>
          <w:color w:val="000000"/>
          <w:sz w:val="20"/>
          <w:szCs w:val="20"/>
        </w:rPr>
        <w:t>hat the damages may be. VMware, Inc. intends to vigorously defend itself in this matter.</w:t>
      </w:r>
    </w:p>
    <w:p w14:paraId="7DD007F4" w14:textId="77777777" w:rsidR="00C1563E" w:rsidRDefault="00C1563E"/>
    <w:p w14:paraId="7DD007F5" w14:textId="77777777" w:rsidR="00C1563E" w:rsidRDefault="000B648B">
      <w:r>
        <w:rPr>
          <w:rFonts w:ascii="Times New Roman" w:eastAsia="宋体" w:hAnsi="Times New Roman"/>
          <w:i/>
          <w:iCs/>
          <w:color w:val="000000"/>
          <w:sz w:val="20"/>
          <w:szCs w:val="20"/>
        </w:rPr>
        <w:t>Class Actions Related to VMware, Inc.’s Acquisition of Pivotal</w:t>
      </w:r>
      <w:r>
        <w:rPr>
          <w:rFonts w:ascii="Times New Roman" w:eastAsia="宋体" w:hAnsi="Times New Roman"/>
          <w:color w:val="000000"/>
          <w:sz w:val="20"/>
          <w:szCs w:val="20"/>
        </w:rPr>
        <w:t xml:space="preserve"> — Two purported stockholders brought putative class action complaints arising out of VMware, Inc.’s acq</w:t>
      </w:r>
      <w:r>
        <w:rPr>
          <w:rFonts w:ascii="Times New Roman" w:eastAsia="宋体" w:hAnsi="Times New Roman"/>
          <w:color w:val="000000"/>
          <w:sz w:val="20"/>
          <w:szCs w:val="20"/>
        </w:rPr>
        <w:t>uisition of Pivotal Software, Inc. on December 30, 2019 as described in Note 1 of the Notes to the Consolidated Financial Statements. The two actions were consolidated in the Delaware Chancery Court into In re: Pivotal Software, Inc. Stockholders Litigatio</w:t>
      </w:r>
      <w:r>
        <w:rPr>
          <w:rFonts w:ascii="Times New Roman" w:eastAsia="宋体" w:hAnsi="Times New Roman"/>
          <w:color w:val="000000"/>
          <w:sz w:val="20"/>
          <w:szCs w:val="20"/>
        </w:rPr>
        <w:t>n (Civil Action No. 2020-0440-KSJM). The complaint names as defendants the Company, VMware, Inc., Michael S. Dell, and certain officers of Pivotal. The plaintiffs generally allege that the defendants breached their fiduciary duties to the former holders of</w:t>
      </w:r>
      <w:r>
        <w:rPr>
          <w:rFonts w:ascii="Times New Roman" w:eastAsia="宋体" w:hAnsi="Times New Roman"/>
          <w:color w:val="000000"/>
          <w:sz w:val="20"/>
          <w:szCs w:val="20"/>
        </w:rPr>
        <w:t xml:space="preserve"> Pivotal Class A Common Stock in connection with VMware, Inc.’s acquisition of Pivotal by allegedly causing Pivotal to enter into a transaction that favored the interests of Pivotal’s controlling stockholders at the expense of such former stockholders. The</w:t>
      </w:r>
      <w:r>
        <w:rPr>
          <w:rFonts w:ascii="Times New Roman" w:eastAsia="宋体" w:hAnsi="Times New Roman"/>
          <w:color w:val="000000"/>
          <w:sz w:val="20"/>
          <w:szCs w:val="20"/>
        </w:rPr>
        <w:t xml:space="preserve"> plaintiffs seek, among other remedies, a judicial declaration that the defendants breached their fiduciary duties and an award of damages, fees, and costs.</w:t>
      </w:r>
    </w:p>
    <w:p w14:paraId="7DD007F6" w14:textId="77777777" w:rsidR="00C1563E" w:rsidRDefault="00C1563E"/>
    <w:p w14:paraId="7DD007F7" w14:textId="77777777" w:rsidR="00C1563E" w:rsidRDefault="000B648B">
      <w:r>
        <w:rPr>
          <w:rFonts w:ascii="Times New Roman" w:eastAsia="宋体" w:hAnsi="Times New Roman"/>
          <w:i/>
          <w:iCs/>
          <w:color w:val="000000"/>
          <w:sz w:val="20"/>
          <w:szCs w:val="20"/>
        </w:rPr>
        <w:t>Other Litigation</w:t>
      </w:r>
      <w:r>
        <w:rPr>
          <w:rFonts w:ascii="Times New Roman" w:eastAsia="宋体" w:hAnsi="Times New Roman"/>
          <w:color w:val="000000"/>
          <w:sz w:val="20"/>
          <w:szCs w:val="20"/>
        </w:rPr>
        <w:t xml:space="preserve"> — Dell does not currently anticipate that any of the other various legal proceedi</w:t>
      </w:r>
      <w:r>
        <w:rPr>
          <w:rFonts w:ascii="Times New Roman" w:eastAsia="宋体" w:hAnsi="Times New Roman"/>
          <w:color w:val="000000"/>
          <w:sz w:val="20"/>
          <w:szCs w:val="20"/>
        </w:rPr>
        <w:t>ngs it is involved in will have a material adverse effect on its business, financial condition, results of operations, or cash flows.</w:t>
      </w:r>
    </w:p>
    <w:p w14:paraId="7DD007F8" w14:textId="77777777" w:rsidR="00C1563E" w:rsidRDefault="00C1563E"/>
    <w:p w14:paraId="7DD007F9" w14:textId="77777777" w:rsidR="00C1563E" w:rsidRDefault="00C1563E">
      <w:pPr>
        <w:jc w:val="center"/>
      </w:pPr>
    </w:p>
    <w:p w14:paraId="7DD007FA" w14:textId="77777777" w:rsidR="00C1563E" w:rsidRDefault="000B648B">
      <w:pPr>
        <w:jc w:val="center"/>
      </w:pPr>
      <w:r>
        <w:rPr>
          <w:rFonts w:ascii="Times New Roman" w:eastAsia="宋体" w:hAnsi="Times New Roman"/>
          <w:color w:val="000000"/>
          <w:sz w:val="20"/>
          <w:szCs w:val="20"/>
        </w:rPr>
        <w:t>127</w:t>
      </w:r>
    </w:p>
    <w:p w14:paraId="7DD007FB" w14:textId="77777777" w:rsidR="00C1563E" w:rsidRDefault="00C1563E">
      <w:pPr>
        <w:jc w:val="center"/>
      </w:pPr>
    </w:p>
    <w:p w14:paraId="7DD007FC" w14:textId="77777777" w:rsidR="00C1563E" w:rsidRDefault="000B648B">
      <w:r>
        <w:pict w14:anchorId="7DD025E9">
          <v:rect id="_x0000_i1151" style="width:415.3pt;height:1.5pt" o:hralign="center" o:hrstd="t" o:hr="t" fillcolor="#a0a0a0" stroked="f"/>
        </w:pict>
      </w:r>
    </w:p>
    <w:p w14:paraId="7DD007FD" w14:textId="77777777" w:rsidR="00C1563E" w:rsidRDefault="000B648B">
      <w:hyperlink r:id="rId310" w:anchor="i418e32e4a35149ffbf7d3a25d66881b8_10" w:history="1">
        <w:r>
          <w:rPr>
            <w:rStyle w:val="a5"/>
            <w:rFonts w:ascii="Times New Roman" w:eastAsia="宋体" w:hAnsi="Times New Roman"/>
            <w:sz w:val="20"/>
            <w:szCs w:val="20"/>
          </w:rPr>
          <w:t>Table of Contents</w:t>
        </w:r>
      </w:hyperlink>
    </w:p>
    <w:p w14:paraId="7DD007FE" w14:textId="77777777" w:rsidR="00C1563E" w:rsidRDefault="000B648B">
      <w:r>
        <w:rPr>
          <w:rFonts w:ascii="Times New Roman" w:eastAsia="宋体" w:hAnsi="Times New Roman"/>
          <w:color w:val="000000"/>
          <w:sz w:val="20"/>
          <w:szCs w:val="20"/>
        </w:rPr>
        <w:t xml:space="preserve">As of January 29, 2021, the Company does not believe there is a reasonable possibility that a material loss exceeding the amounts already accrued for these or other proceedings or matters has been </w:t>
      </w:r>
      <w:r>
        <w:rPr>
          <w:rFonts w:ascii="Times New Roman" w:eastAsia="宋体" w:hAnsi="Times New Roman"/>
          <w:color w:val="000000"/>
          <w:sz w:val="20"/>
          <w:szCs w:val="20"/>
        </w:rPr>
        <w:t>incurred. However, since the ultimate resolution of any such proceedings and matters is inherently unpredictable, the Company’s business, financial condition, results of operations, or cash flows could be materially affected in any particular period by unf</w:t>
      </w:r>
      <w:r>
        <w:rPr>
          <w:rFonts w:ascii="Times New Roman" w:eastAsia="宋体" w:hAnsi="Times New Roman"/>
          <w:color w:val="000000"/>
          <w:sz w:val="20"/>
          <w:szCs w:val="20"/>
        </w:rPr>
        <w:t>avorable outcomes in one or more of these proceedings or matters. Whether the outcome of any claim, suit, assessment, investigation, or legal proceeding, individually or collectively, could have a material adverse effect on the Company’s business, financia</w:t>
      </w:r>
      <w:r>
        <w:rPr>
          <w:rFonts w:ascii="Times New Roman" w:eastAsia="宋体" w:hAnsi="Times New Roman"/>
          <w:color w:val="000000"/>
          <w:sz w:val="20"/>
          <w:szCs w:val="20"/>
        </w:rPr>
        <w:t>l condition, results of operations, or cash flows will depend on a number of variables, including the nature, timing, and amount of any associated expenses, amounts paid in settlement, damages, or other remedies or consequences.</w:t>
      </w:r>
    </w:p>
    <w:p w14:paraId="7DD007FF" w14:textId="77777777" w:rsidR="00C1563E" w:rsidRDefault="00C1563E"/>
    <w:p w14:paraId="7DD00800" w14:textId="77777777" w:rsidR="00C1563E" w:rsidRDefault="000B648B">
      <w:r>
        <w:rPr>
          <w:rFonts w:ascii="Times New Roman" w:eastAsia="宋体" w:hAnsi="Times New Roman"/>
          <w:b/>
          <w:bCs/>
          <w:color w:val="000000"/>
          <w:sz w:val="20"/>
          <w:szCs w:val="20"/>
        </w:rPr>
        <w:t>Indemnifications</w:t>
      </w:r>
    </w:p>
    <w:p w14:paraId="7DD00801" w14:textId="77777777" w:rsidR="00C1563E" w:rsidRDefault="00C1563E"/>
    <w:p w14:paraId="7DD00802" w14:textId="77777777" w:rsidR="00C1563E" w:rsidRDefault="000B648B">
      <w:r>
        <w:rPr>
          <w:rFonts w:ascii="Times New Roman" w:eastAsia="宋体" w:hAnsi="Times New Roman"/>
          <w:color w:val="000000"/>
          <w:sz w:val="20"/>
          <w:szCs w:val="20"/>
        </w:rPr>
        <w:t xml:space="preserve">In the ordinary course of business, the Company enters into various contracts under which it may agree to indemnify other parties for losses incurred from certain events as defined in the relevant contract, such as litigation, regulatory </w:t>
      </w:r>
      <w:r>
        <w:rPr>
          <w:rFonts w:ascii="Times New Roman" w:eastAsia="宋体" w:hAnsi="Times New Roman"/>
          <w:color w:val="000000"/>
          <w:sz w:val="20"/>
          <w:szCs w:val="20"/>
        </w:rPr>
        <w:t>penalties, or claims relating to past performance. Such indemnification obligations may not be subject to maximum loss clauses. Historically, payments related to these indemnifications have not been material to the Company.</w:t>
      </w:r>
    </w:p>
    <w:p w14:paraId="7DD00803" w14:textId="77777777" w:rsidR="00C1563E" w:rsidRDefault="00C1563E"/>
    <w:p w14:paraId="7DD00804" w14:textId="77777777" w:rsidR="00C1563E" w:rsidRDefault="000B648B">
      <w:r>
        <w:rPr>
          <w:rFonts w:ascii="Times New Roman" w:eastAsia="宋体" w:hAnsi="Times New Roman"/>
          <w:b/>
          <w:bCs/>
          <w:color w:val="000000"/>
          <w:sz w:val="20"/>
          <w:szCs w:val="20"/>
        </w:rPr>
        <w:t>Certain Concentrations</w:t>
      </w:r>
    </w:p>
    <w:p w14:paraId="7DD00805" w14:textId="77777777" w:rsidR="00C1563E" w:rsidRDefault="00C1563E"/>
    <w:p w14:paraId="7DD00806" w14:textId="77777777" w:rsidR="00C1563E" w:rsidRDefault="000B648B">
      <w:r>
        <w:rPr>
          <w:rFonts w:ascii="Times New Roman" w:eastAsia="宋体" w:hAnsi="Times New Roman"/>
          <w:color w:val="000000"/>
          <w:sz w:val="20"/>
          <w:szCs w:val="20"/>
        </w:rPr>
        <w:t>The Com</w:t>
      </w:r>
      <w:r>
        <w:rPr>
          <w:rFonts w:ascii="Times New Roman" w:eastAsia="宋体" w:hAnsi="Times New Roman"/>
          <w:color w:val="000000"/>
          <w:sz w:val="20"/>
          <w:szCs w:val="20"/>
        </w:rPr>
        <w:t>pany maintains cash and cash equivalents, derivatives, and certain other financial instruments with various financial institutions that potentially subject it to concentration of credit risk. As part of its risk management processes, the Company performs p</w:t>
      </w:r>
      <w:r>
        <w:rPr>
          <w:rFonts w:ascii="Times New Roman" w:eastAsia="宋体" w:hAnsi="Times New Roman"/>
          <w:color w:val="000000"/>
          <w:sz w:val="20"/>
          <w:szCs w:val="20"/>
        </w:rPr>
        <w:t xml:space="preserve">eriodic evaluations of the relative credit standing of these financial institutions. The Company has not sustained material credit losses from instruments held at these financial institutions. Further, the Company does not anticipate nonperformance by any </w:t>
      </w:r>
      <w:r>
        <w:rPr>
          <w:rFonts w:ascii="Times New Roman" w:eastAsia="宋体" w:hAnsi="Times New Roman"/>
          <w:color w:val="000000"/>
          <w:sz w:val="20"/>
          <w:szCs w:val="20"/>
        </w:rPr>
        <w:t>of the counterparties.</w:t>
      </w:r>
    </w:p>
    <w:p w14:paraId="7DD00807" w14:textId="77777777" w:rsidR="00C1563E" w:rsidRDefault="00C1563E"/>
    <w:p w14:paraId="7DD00808" w14:textId="77777777" w:rsidR="00C1563E" w:rsidRDefault="000B648B">
      <w:r>
        <w:rPr>
          <w:rFonts w:ascii="Times New Roman" w:eastAsia="宋体" w:hAnsi="Times New Roman"/>
          <w:color w:val="000000"/>
          <w:sz w:val="20"/>
          <w:szCs w:val="20"/>
        </w:rPr>
        <w:t>The Company markets and sells its products and services to large corporate clients, governments, and health care and education accounts, as well as to small and medium-sized businesses and individuals. No single customer accounted f</w:t>
      </w:r>
      <w:r>
        <w:rPr>
          <w:rFonts w:ascii="Times New Roman" w:eastAsia="宋体" w:hAnsi="Times New Roman"/>
          <w:color w:val="000000"/>
          <w:sz w:val="20"/>
          <w:szCs w:val="20"/>
        </w:rPr>
        <w:t>or more than 10% of the Company’s consolidated net revenue during the fiscal year ended January 29, 2021, January 31, 2020, or February 1, 2019.</w:t>
      </w:r>
    </w:p>
    <w:p w14:paraId="7DD00809" w14:textId="77777777" w:rsidR="00C1563E" w:rsidRDefault="00C1563E"/>
    <w:p w14:paraId="7DD0080A" w14:textId="77777777" w:rsidR="00C1563E" w:rsidRDefault="000B648B">
      <w:r>
        <w:rPr>
          <w:rFonts w:ascii="Times New Roman" w:eastAsia="宋体" w:hAnsi="Times New Roman"/>
          <w:color w:val="000000"/>
          <w:sz w:val="20"/>
          <w:szCs w:val="20"/>
        </w:rPr>
        <w:t>The Company utilizes a limited number of contract manufacturers that assemble a portion of its products. The C</w:t>
      </w:r>
      <w:r>
        <w:rPr>
          <w:rFonts w:ascii="Times New Roman" w:eastAsia="宋体" w:hAnsi="Times New Roman"/>
          <w:color w:val="000000"/>
          <w:sz w:val="20"/>
          <w:szCs w:val="20"/>
        </w:rPr>
        <w:t>ompany may purchase components from suppliers and sell those components to such contract manufacturers, thereby creating receivables balances from the contract manufacturers. The agreements with the majority of the contract manufacturers permit the Company</w:t>
      </w:r>
      <w:r>
        <w:rPr>
          <w:rFonts w:ascii="Times New Roman" w:eastAsia="宋体" w:hAnsi="Times New Roman"/>
          <w:color w:val="000000"/>
          <w:sz w:val="20"/>
          <w:szCs w:val="20"/>
        </w:rPr>
        <w:t xml:space="preserve"> to offset its payables against these receivables, thus mitigating the credit risk wholly or in part. Receivables from the Company’s four largest contract manufacturers represented the majority of the Company’s gross non-trade receivables of $4.1 billion a</w:t>
      </w:r>
      <w:r>
        <w:rPr>
          <w:rFonts w:ascii="Times New Roman" w:eastAsia="宋体" w:hAnsi="Times New Roman"/>
          <w:color w:val="000000"/>
          <w:sz w:val="20"/>
          <w:szCs w:val="20"/>
        </w:rPr>
        <w:t>nd $3.2 billion as of January 29, 2021 and January 31, 2020, respectively, of which $3.1 billion and $2.6 billion as of January 29, 2021 and January 31, 2020, respectively, have been offset against the corresponding payables. The portion of receivables not</w:t>
      </w:r>
      <w:r>
        <w:rPr>
          <w:rFonts w:ascii="Times New Roman" w:eastAsia="宋体" w:hAnsi="Times New Roman"/>
          <w:color w:val="000000"/>
          <w:sz w:val="20"/>
          <w:szCs w:val="20"/>
        </w:rPr>
        <w:t xml:space="preserve"> offset against payables is included in other current assets in the Consolidated Statements of Financial Position. The Company does not reflect the sale of the components in revenue and does not recognize any profit on the component sales until the related</w:t>
      </w:r>
      <w:r>
        <w:rPr>
          <w:rFonts w:ascii="Times New Roman" w:eastAsia="宋体" w:hAnsi="Times New Roman"/>
          <w:color w:val="000000"/>
          <w:sz w:val="20"/>
          <w:szCs w:val="20"/>
        </w:rPr>
        <w:t xml:space="preserve"> products are sold.</w:t>
      </w:r>
    </w:p>
    <w:p w14:paraId="7DD0080B" w14:textId="77777777" w:rsidR="00C1563E" w:rsidRDefault="00C1563E"/>
    <w:p w14:paraId="7DD0080C" w14:textId="77777777" w:rsidR="00C1563E" w:rsidRDefault="00C1563E">
      <w:pPr>
        <w:jc w:val="center"/>
      </w:pPr>
    </w:p>
    <w:p w14:paraId="7DD0080D" w14:textId="77777777" w:rsidR="00C1563E" w:rsidRDefault="000B648B">
      <w:pPr>
        <w:jc w:val="center"/>
      </w:pPr>
      <w:r>
        <w:rPr>
          <w:rFonts w:ascii="Times New Roman" w:eastAsia="宋体" w:hAnsi="Times New Roman"/>
          <w:color w:val="000000"/>
          <w:sz w:val="20"/>
          <w:szCs w:val="20"/>
        </w:rPr>
        <w:t>128</w:t>
      </w:r>
    </w:p>
    <w:p w14:paraId="7DD0080E" w14:textId="77777777" w:rsidR="00C1563E" w:rsidRDefault="00C1563E">
      <w:pPr>
        <w:jc w:val="center"/>
      </w:pPr>
    </w:p>
    <w:p w14:paraId="7DD0080F" w14:textId="77777777" w:rsidR="00C1563E" w:rsidRDefault="000B648B">
      <w:r>
        <w:pict w14:anchorId="7DD025EA">
          <v:rect id="_x0000_i1152" style="width:415.3pt;height:1.5pt" o:hralign="center" o:hrstd="t" o:hr="t" fillcolor="#a0a0a0" stroked="f"/>
        </w:pict>
      </w:r>
    </w:p>
    <w:p w14:paraId="7DD00810" w14:textId="77777777" w:rsidR="00C1563E" w:rsidRDefault="000B648B">
      <w:hyperlink r:id="rId311" w:anchor="i418e32e4a35149ffbf7d3a25d66881b8_10" w:history="1">
        <w:r>
          <w:rPr>
            <w:rStyle w:val="a5"/>
            <w:rFonts w:ascii="Times New Roman" w:eastAsia="宋体" w:hAnsi="Times New Roman"/>
            <w:sz w:val="20"/>
            <w:szCs w:val="20"/>
          </w:rPr>
          <w:t>Table of Contents</w:t>
        </w:r>
      </w:hyperlink>
    </w:p>
    <w:p w14:paraId="7DD00811" w14:textId="77777777" w:rsidR="00C1563E" w:rsidRDefault="000B648B">
      <w:r>
        <w:rPr>
          <w:rFonts w:ascii="Times New Roman" w:eastAsia="宋体" w:hAnsi="Times New Roman"/>
          <w:b/>
          <w:bCs/>
          <w:color w:val="000000"/>
          <w:sz w:val="20"/>
          <w:szCs w:val="20"/>
        </w:rPr>
        <w:t>NOTE 11 — INCOME AND OTHER TAXES</w:t>
      </w:r>
    </w:p>
    <w:p w14:paraId="7DD00812" w14:textId="77777777" w:rsidR="00C1563E" w:rsidRDefault="00C1563E"/>
    <w:p w14:paraId="7DD00813" w14:textId="77777777" w:rsidR="00C1563E" w:rsidRDefault="000B648B">
      <w:pPr>
        <w:spacing w:after="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components of the income tax expense (benefit) recognized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49"/>
        <w:gridCol w:w="36"/>
        <w:gridCol w:w="121"/>
        <w:gridCol w:w="1387"/>
        <w:gridCol w:w="36"/>
        <w:gridCol w:w="36"/>
        <w:gridCol w:w="36"/>
        <w:gridCol w:w="36"/>
        <w:gridCol w:w="121"/>
        <w:gridCol w:w="1351"/>
        <w:gridCol w:w="36"/>
        <w:gridCol w:w="36"/>
        <w:gridCol w:w="36"/>
        <w:gridCol w:w="36"/>
        <w:gridCol w:w="121"/>
        <w:gridCol w:w="1387"/>
        <w:gridCol w:w="36"/>
      </w:tblGrid>
      <w:tr w:rsidR="00C1563E" w14:paraId="7DD00826" w14:textId="77777777">
        <w:trPr>
          <w:jc w:val="center"/>
        </w:trPr>
        <w:tc>
          <w:tcPr>
            <w:tcW w:w="50" w:type="pct"/>
            <w:shd w:val="clear" w:color="auto" w:fill="auto"/>
          </w:tcPr>
          <w:p w14:paraId="7DD00814" w14:textId="77777777" w:rsidR="00C1563E" w:rsidRDefault="00C1563E">
            <w:pPr>
              <w:rPr>
                <w:rFonts w:ascii="宋体"/>
              </w:rPr>
            </w:pPr>
          </w:p>
        </w:tc>
        <w:tc>
          <w:tcPr>
            <w:tcW w:w="2123" w:type="pct"/>
            <w:shd w:val="clear" w:color="auto" w:fill="auto"/>
          </w:tcPr>
          <w:p w14:paraId="7DD00815" w14:textId="77777777" w:rsidR="00C1563E" w:rsidRDefault="00C1563E">
            <w:pPr>
              <w:rPr>
                <w:rFonts w:ascii="宋体"/>
              </w:rPr>
            </w:pPr>
          </w:p>
        </w:tc>
        <w:tc>
          <w:tcPr>
            <w:tcW w:w="5" w:type="pct"/>
            <w:shd w:val="clear" w:color="auto" w:fill="auto"/>
          </w:tcPr>
          <w:p w14:paraId="7DD00816" w14:textId="77777777" w:rsidR="00C1563E" w:rsidRDefault="00C1563E">
            <w:pPr>
              <w:rPr>
                <w:rFonts w:ascii="宋体"/>
              </w:rPr>
            </w:pPr>
          </w:p>
        </w:tc>
        <w:tc>
          <w:tcPr>
            <w:tcW w:w="50" w:type="pct"/>
            <w:shd w:val="clear" w:color="auto" w:fill="auto"/>
          </w:tcPr>
          <w:p w14:paraId="7DD00817" w14:textId="77777777" w:rsidR="00C1563E" w:rsidRDefault="00C1563E">
            <w:pPr>
              <w:rPr>
                <w:rFonts w:ascii="宋体"/>
              </w:rPr>
            </w:pPr>
          </w:p>
        </w:tc>
        <w:tc>
          <w:tcPr>
            <w:tcW w:w="873" w:type="pct"/>
            <w:shd w:val="clear" w:color="auto" w:fill="auto"/>
          </w:tcPr>
          <w:p w14:paraId="7DD00818" w14:textId="77777777" w:rsidR="00C1563E" w:rsidRDefault="00C1563E">
            <w:pPr>
              <w:rPr>
                <w:rFonts w:ascii="宋体"/>
              </w:rPr>
            </w:pPr>
          </w:p>
        </w:tc>
        <w:tc>
          <w:tcPr>
            <w:tcW w:w="5" w:type="pct"/>
            <w:shd w:val="clear" w:color="auto" w:fill="auto"/>
          </w:tcPr>
          <w:p w14:paraId="7DD00819" w14:textId="77777777" w:rsidR="00C1563E" w:rsidRDefault="00C1563E">
            <w:pPr>
              <w:rPr>
                <w:rFonts w:ascii="宋体"/>
              </w:rPr>
            </w:pPr>
          </w:p>
        </w:tc>
        <w:tc>
          <w:tcPr>
            <w:tcW w:w="5" w:type="pct"/>
            <w:shd w:val="clear" w:color="auto" w:fill="auto"/>
          </w:tcPr>
          <w:p w14:paraId="7DD0081A" w14:textId="77777777" w:rsidR="00C1563E" w:rsidRDefault="00C1563E">
            <w:pPr>
              <w:rPr>
                <w:rFonts w:ascii="宋体"/>
              </w:rPr>
            </w:pPr>
          </w:p>
        </w:tc>
        <w:tc>
          <w:tcPr>
            <w:tcW w:w="19" w:type="pct"/>
            <w:shd w:val="clear" w:color="auto" w:fill="auto"/>
          </w:tcPr>
          <w:p w14:paraId="7DD0081B" w14:textId="77777777" w:rsidR="00C1563E" w:rsidRDefault="00C1563E">
            <w:pPr>
              <w:rPr>
                <w:rFonts w:ascii="宋体"/>
              </w:rPr>
            </w:pPr>
          </w:p>
        </w:tc>
        <w:tc>
          <w:tcPr>
            <w:tcW w:w="5" w:type="pct"/>
            <w:shd w:val="clear" w:color="auto" w:fill="auto"/>
          </w:tcPr>
          <w:p w14:paraId="7DD0081C" w14:textId="77777777" w:rsidR="00C1563E" w:rsidRDefault="00C1563E">
            <w:pPr>
              <w:rPr>
                <w:rFonts w:ascii="宋体"/>
              </w:rPr>
            </w:pPr>
          </w:p>
        </w:tc>
        <w:tc>
          <w:tcPr>
            <w:tcW w:w="50" w:type="pct"/>
            <w:shd w:val="clear" w:color="auto" w:fill="auto"/>
          </w:tcPr>
          <w:p w14:paraId="7DD0081D" w14:textId="77777777" w:rsidR="00C1563E" w:rsidRDefault="00C1563E">
            <w:pPr>
              <w:rPr>
                <w:rFonts w:ascii="宋体"/>
              </w:rPr>
            </w:pPr>
          </w:p>
        </w:tc>
        <w:tc>
          <w:tcPr>
            <w:tcW w:w="851" w:type="pct"/>
            <w:shd w:val="clear" w:color="auto" w:fill="auto"/>
          </w:tcPr>
          <w:p w14:paraId="7DD0081E" w14:textId="77777777" w:rsidR="00C1563E" w:rsidRDefault="00C1563E">
            <w:pPr>
              <w:rPr>
                <w:rFonts w:ascii="宋体"/>
              </w:rPr>
            </w:pPr>
          </w:p>
        </w:tc>
        <w:tc>
          <w:tcPr>
            <w:tcW w:w="5" w:type="pct"/>
            <w:shd w:val="clear" w:color="auto" w:fill="auto"/>
          </w:tcPr>
          <w:p w14:paraId="7DD0081F" w14:textId="77777777" w:rsidR="00C1563E" w:rsidRDefault="00C1563E">
            <w:pPr>
              <w:rPr>
                <w:rFonts w:ascii="宋体"/>
              </w:rPr>
            </w:pPr>
          </w:p>
        </w:tc>
        <w:tc>
          <w:tcPr>
            <w:tcW w:w="5" w:type="pct"/>
            <w:shd w:val="clear" w:color="auto" w:fill="auto"/>
          </w:tcPr>
          <w:p w14:paraId="7DD00820" w14:textId="77777777" w:rsidR="00C1563E" w:rsidRDefault="00C1563E">
            <w:pPr>
              <w:rPr>
                <w:rFonts w:ascii="宋体"/>
              </w:rPr>
            </w:pPr>
          </w:p>
        </w:tc>
        <w:tc>
          <w:tcPr>
            <w:tcW w:w="19" w:type="pct"/>
            <w:shd w:val="clear" w:color="auto" w:fill="auto"/>
          </w:tcPr>
          <w:p w14:paraId="7DD00821" w14:textId="77777777" w:rsidR="00C1563E" w:rsidRDefault="00C1563E">
            <w:pPr>
              <w:rPr>
                <w:rFonts w:ascii="宋体"/>
              </w:rPr>
            </w:pPr>
          </w:p>
        </w:tc>
        <w:tc>
          <w:tcPr>
            <w:tcW w:w="5" w:type="pct"/>
            <w:shd w:val="clear" w:color="auto" w:fill="auto"/>
          </w:tcPr>
          <w:p w14:paraId="7DD00822" w14:textId="77777777" w:rsidR="00C1563E" w:rsidRDefault="00C1563E">
            <w:pPr>
              <w:rPr>
                <w:rFonts w:ascii="宋体"/>
              </w:rPr>
            </w:pPr>
          </w:p>
        </w:tc>
        <w:tc>
          <w:tcPr>
            <w:tcW w:w="50" w:type="pct"/>
            <w:shd w:val="clear" w:color="auto" w:fill="auto"/>
          </w:tcPr>
          <w:p w14:paraId="7DD00823" w14:textId="77777777" w:rsidR="00C1563E" w:rsidRDefault="00C1563E">
            <w:pPr>
              <w:rPr>
                <w:rFonts w:ascii="宋体"/>
              </w:rPr>
            </w:pPr>
          </w:p>
        </w:tc>
        <w:tc>
          <w:tcPr>
            <w:tcW w:w="873" w:type="pct"/>
            <w:shd w:val="clear" w:color="auto" w:fill="auto"/>
          </w:tcPr>
          <w:p w14:paraId="7DD00824" w14:textId="77777777" w:rsidR="00C1563E" w:rsidRDefault="00C1563E">
            <w:pPr>
              <w:rPr>
                <w:rFonts w:ascii="宋体"/>
              </w:rPr>
            </w:pPr>
          </w:p>
        </w:tc>
        <w:tc>
          <w:tcPr>
            <w:tcW w:w="5" w:type="pct"/>
            <w:shd w:val="clear" w:color="auto" w:fill="auto"/>
          </w:tcPr>
          <w:p w14:paraId="7DD00825" w14:textId="77777777" w:rsidR="00C1563E" w:rsidRDefault="00C1563E">
            <w:pPr>
              <w:rPr>
                <w:rFonts w:ascii="宋体"/>
              </w:rPr>
            </w:pPr>
          </w:p>
        </w:tc>
      </w:tr>
      <w:tr w:rsidR="00C1563E" w14:paraId="7DD00829" w14:textId="77777777">
        <w:trPr>
          <w:jc w:val="center"/>
        </w:trPr>
        <w:tc>
          <w:tcPr>
            <w:tcW w:w="0" w:type="auto"/>
            <w:gridSpan w:val="3"/>
            <w:shd w:val="clear" w:color="auto" w:fill="auto"/>
            <w:tcMar>
              <w:top w:w="0" w:type="dxa"/>
              <w:left w:w="20" w:type="dxa"/>
              <w:bottom w:w="0" w:type="dxa"/>
              <w:right w:w="20" w:type="dxa"/>
            </w:tcMar>
          </w:tcPr>
          <w:p w14:paraId="7DD00827"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828"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830" w14:textId="77777777">
        <w:trPr>
          <w:jc w:val="center"/>
        </w:trPr>
        <w:tc>
          <w:tcPr>
            <w:tcW w:w="0" w:type="auto"/>
            <w:gridSpan w:val="3"/>
            <w:shd w:val="clear" w:color="auto" w:fill="auto"/>
            <w:tcMar>
              <w:top w:w="0" w:type="dxa"/>
              <w:left w:w="20" w:type="dxa"/>
              <w:bottom w:w="0" w:type="dxa"/>
              <w:right w:w="20" w:type="dxa"/>
            </w:tcMar>
          </w:tcPr>
          <w:p w14:paraId="7DD0082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82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82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82D"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82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82F"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833" w14:textId="77777777">
        <w:trPr>
          <w:jc w:val="center"/>
        </w:trPr>
        <w:tc>
          <w:tcPr>
            <w:tcW w:w="0" w:type="auto"/>
            <w:gridSpan w:val="3"/>
            <w:shd w:val="clear" w:color="auto" w:fill="auto"/>
            <w:tcMar>
              <w:top w:w="0" w:type="dxa"/>
              <w:left w:w="20" w:type="dxa"/>
              <w:bottom w:w="0" w:type="dxa"/>
              <w:right w:w="20" w:type="dxa"/>
            </w:tcMar>
          </w:tcPr>
          <w:p w14:paraId="7DD00831"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832"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83A" w14:textId="77777777">
        <w:trPr>
          <w:jc w:val="center"/>
        </w:trPr>
        <w:tc>
          <w:tcPr>
            <w:tcW w:w="0" w:type="auto"/>
            <w:gridSpan w:val="3"/>
            <w:shd w:val="clear" w:color="auto" w:fill="CCEEFF"/>
            <w:tcMar>
              <w:top w:w="40" w:type="dxa"/>
              <w:left w:w="20" w:type="dxa"/>
              <w:bottom w:w="40" w:type="dxa"/>
              <w:right w:w="20" w:type="dxa"/>
            </w:tcMar>
            <w:vAlign w:val="bottom"/>
          </w:tcPr>
          <w:p w14:paraId="7DD00834" w14:textId="77777777" w:rsidR="00C1563E" w:rsidRDefault="000B648B">
            <w:pPr>
              <w:textAlignment w:val="bottom"/>
            </w:pPr>
            <w:r>
              <w:rPr>
                <w:rFonts w:ascii="Times New Roman" w:eastAsia="宋体" w:hAnsi="Times New Roman"/>
                <w:i/>
                <w:iCs/>
                <w:color w:val="000000"/>
                <w:sz w:val="20"/>
                <w:szCs w:val="20"/>
              </w:rPr>
              <w:t>Current:</w:t>
            </w:r>
          </w:p>
        </w:tc>
        <w:tc>
          <w:tcPr>
            <w:tcW w:w="0" w:type="auto"/>
            <w:gridSpan w:val="3"/>
            <w:shd w:val="clear" w:color="auto" w:fill="CCEEFF"/>
            <w:tcMar>
              <w:top w:w="0" w:type="dxa"/>
              <w:left w:w="20" w:type="dxa"/>
              <w:bottom w:w="0" w:type="dxa"/>
              <w:right w:w="20" w:type="dxa"/>
            </w:tcMar>
          </w:tcPr>
          <w:p w14:paraId="7DD0083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83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83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83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839" w14:textId="77777777" w:rsidR="00C1563E" w:rsidRDefault="00C1563E">
            <w:pPr>
              <w:rPr>
                <w:rFonts w:ascii="宋体"/>
              </w:rPr>
            </w:pPr>
          </w:p>
        </w:tc>
      </w:tr>
      <w:tr w:rsidR="00C1563E" w14:paraId="7DD00847" w14:textId="77777777">
        <w:trPr>
          <w:jc w:val="center"/>
        </w:trPr>
        <w:tc>
          <w:tcPr>
            <w:tcW w:w="0" w:type="auto"/>
            <w:gridSpan w:val="3"/>
            <w:shd w:val="clear" w:color="auto" w:fill="FFFFFF"/>
            <w:tcMar>
              <w:top w:w="40" w:type="dxa"/>
              <w:left w:w="155" w:type="dxa"/>
              <w:bottom w:w="40" w:type="dxa"/>
              <w:right w:w="20" w:type="dxa"/>
            </w:tcMar>
            <w:vAlign w:val="bottom"/>
          </w:tcPr>
          <w:p w14:paraId="7DD0083B" w14:textId="77777777" w:rsidR="00C1563E" w:rsidRDefault="000B648B">
            <w:pPr>
              <w:textAlignment w:val="bottom"/>
            </w:pPr>
            <w:r>
              <w:rPr>
                <w:rFonts w:ascii="Times New Roman" w:eastAsia="宋体" w:hAnsi="Times New Roman"/>
                <w:color w:val="000000"/>
                <w:sz w:val="20"/>
                <w:szCs w:val="20"/>
              </w:rPr>
              <w:t>Federal</w:t>
            </w:r>
          </w:p>
        </w:tc>
        <w:tc>
          <w:tcPr>
            <w:tcW w:w="0" w:type="auto"/>
            <w:shd w:val="clear" w:color="auto" w:fill="FFFFFF"/>
            <w:tcMar>
              <w:top w:w="40" w:type="dxa"/>
              <w:left w:w="20" w:type="dxa"/>
              <w:bottom w:w="40" w:type="dxa"/>
              <w:right w:w="0" w:type="dxa"/>
            </w:tcMar>
            <w:vAlign w:val="bottom"/>
          </w:tcPr>
          <w:p w14:paraId="7DD0083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83D" w14:textId="77777777" w:rsidR="00C1563E" w:rsidRDefault="000B648B">
            <w:pPr>
              <w:jc w:val="right"/>
              <w:textAlignment w:val="bottom"/>
            </w:pPr>
            <w:r>
              <w:rPr>
                <w:rFonts w:ascii="Times New Roman" w:eastAsia="宋体" w:hAnsi="Times New Roman"/>
                <w:color w:val="000000"/>
                <w:sz w:val="20"/>
                <w:szCs w:val="20"/>
              </w:rPr>
              <w:t>(526)</w:t>
            </w:r>
          </w:p>
        </w:tc>
        <w:tc>
          <w:tcPr>
            <w:tcW w:w="0" w:type="auto"/>
            <w:shd w:val="clear" w:color="auto" w:fill="FFFFFF"/>
            <w:tcMar>
              <w:top w:w="40" w:type="dxa"/>
              <w:left w:w="0" w:type="dxa"/>
              <w:bottom w:w="40" w:type="dxa"/>
              <w:right w:w="20" w:type="dxa"/>
            </w:tcMar>
            <w:vAlign w:val="bottom"/>
          </w:tcPr>
          <w:p w14:paraId="7DD0083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3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84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841" w14:textId="77777777" w:rsidR="00C1563E" w:rsidRDefault="000B648B">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7DD0084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4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84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845" w14:textId="77777777" w:rsidR="00C1563E" w:rsidRDefault="000B648B">
            <w:pPr>
              <w:jc w:val="right"/>
              <w:textAlignment w:val="bottom"/>
            </w:pPr>
            <w:r>
              <w:rPr>
                <w:rFonts w:ascii="Times New Roman" w:eastAsia="宋体" w:hAnsi="Times New Roman"/>
                <w:color w:val="000000"/>
                <w:sz w:val="20"/>
                <w:szCs w:val="20"/>
              </w:rPr>
              <w:t>461 </w:t>
            </w:r>
          </w:p>
        </w:tc>
        <w:tc>
          <w:tcPr>
            <w:tcW w:w="0" w:type="auto"/>
            <w:shd w:val="clear" w:color="auto" w:fill="FFFFFF"/>
            <w:tcMar>
              <w:top w:w="40" w:type="dxa"/>
              <w:left w:w="0" w:type="dxa"/>
              <w:bottom w:w="40" w:type="dxa"/>
              <w:right w:w="20" w:type="dxa"/>
            </w:tcMar>
            <w:vAlign w:val="bottom"/>
          </w:tcPr>
          <w:p w14:paraId="7DD00846" w14:textId="77777777" w:rsidR="00C1563E" w:rsidRDefault="00C1563E">
            <w:pPr>
              <w:jc w:val="right"/>
              <w:rPr>
                <w:rFonts w:ascii="宋体"/>
              </w:rPr>
            </w:pPr>
          </w:p>
        </w:tc>
      </w:tr>
      <w:tr w:rsidR="00C1563E" w14:paraId="7DD00851" w14:textId="77777777">
        <w:trPr>
          <w:jc w:val="center"/>
        </w:trPr>
        <w:tc>
          <w:tcPr>
            <w:tcW w:w="0" w:type="auto"/>
            <w:gridSpan w:val="3"/>
            <w:shd w:val="clear" w:color="auto" w:fill="CCEEFF"/>
            <w:tcMar>
              <w:top w:w="40" w:type="dxa"/>
              <w:left w:w="155" w:type="dxa"/>
              <w:bottom w:w="40" w:type="dxa"/>
              <w:right w:w="20" w:type="dxa"/>
            </w:tcMar>
            <w:vAlign w:val="bottom"/>
          </w:tcPr>
          <w:p w14:paraId="7DD00848" w14:textId="77777777" w:rsidR="00C1563E" w:rsidRDefault="000B648B">
            <w:pPr>
              <w:textAlignment w:val="bottom"/>
            </w:pPr>
            <w:r>
              <w:rPr>
                <w:rFonts w:ascii="Times New Roman" w:eastAsia="宋体" w:hAnsi="Times New Roman"/>
                <w:color w:val="000000"/>
                <w:sz w:val="20"/>
                <w:szCs w:val="20"/>
              </w:rPr>
              <w:t>State/local</w:t>
            </w:r>
          </w:p>
        </w:tc>
        <w:tc>
          <w:tcPr>
            <w:tcW w:w="0" w:type="auto"/>
            <w:gridSpan w:val="2"/>
            <w:shd w:val="clear" w:color="auto" w:fill="CCEEFF"/>
            <w:tcMar>
              <w:top w:w="40" w:type="dxa"/>
              <w:left w:w="20" w:type="dxa"/>
              <w:bottom w:w="40" w:type="dxa"/>
              <w:right w:w="0" w:type="dxa"/>
            </w:tcMar>
            <w:vAlign w:val="bottom"/>
          </w:tcPr>
          <w:p w14:paraId="7DD00849" w14:textId="77777777" w:rsidR="00C1563E" w:rsidRDefault="000B648B">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7DD0084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4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4C" w14:textId="77777777" w:rsidR="00C1563E" w:rsidRDefault="000B648B">
            <w:pPr>
              <w:jc w:val="right"/>
              <w:textAlignment w:val="bottom"/>
            </w:pPr>
            <w:r>
              <w:rPr>
                <w:rFonts w:ascii="Times New Roman" w:eastAsia="宋体" w:hAnsi="Times New Roman"/>
                <w:color w:val="000000"/>
                <w:sz w:val="20"/>
                <w:szCs w:val="20"/>
              </w:rPr>
              <w:t>69 </w:t>
            </w:r>
          </w:p>
        </w:tc>
        <w:tc>
          <w:tcPr>
            <w:tcW w:w="0" w:type="auto"/>
            <w:shd w:val="clear" w:color="auto" w:fill="CCEEFF"/>
            <w:tcMar>
              <w:top w:w="40" w:type="dxa"/>
              <w:left w:w="0" w:type="dxa"/>
              <w:bottom w:w="40" w:type="dxa"/>
              <w:right w:w="20" w:type="dxa"/>
            </w:tcMar>
            <w:vAlign w:val="bottom"/>
          </w:tcPr>
          <w:p w14:paraId="7DD0084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4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4F" w14:textId="77777777" w:rsidR="00C1563E" w:rsidRDefault="000B648B">
            <w:pPr>
              <w:jc w:val="right"/>
              <w:textAlignment w:val="bottom"/>
            </w:pPr>
            <w:r>
              <w:rPr>
                <w:rFonts w:ascii="Times New Roman" w:eastAsia="宋体" w:hAnsi="Times New Roman"/>
                <w:color w:val="000000"/>
                <w:sz w:val="20"/>
                <w:szCs w:val="20"/>
              </w:rPr>
              <w:t>74 </w:t>
            </w:r>
          </w:p>
        </w:tc>
        <w:tc>
          <w:tcPr>
            <w:tcW w:w="0" w:type="auto"/>
            <w:shd w:val="clear" w:color="auto" w:fill="CCEEFF"/>
            <w:tcMar>
              <w:top w:w="40" w:type="dxa"/>
              <w:left w:w="0" w:type="dxa"/>
              <w:bottom w:w="40" w:type="dxa"/>
              <w:right w:w="20" w:type="dxa"/>
            </w:tcMar>
            <w:vAlign w:val="bottom"/>
          </w:tcPr>
          <w:p w14:paraId="7DD00850" w14:textId="77777777" w:rsidR="00C1563E" w:rsidRDefault="00C1563E">
            <w:pPr>
              <w:jc w:val="right"/>
              <w:rPr>
                <w:rFonts w:ascii="宋体"/>
              </w:rPr>
            </w:pPr>
          </w:p>
        </w:tc>
      </w:tr>
      <w:tr w:rsidR="00C1563E" w14:paraId="7DD0085B" w14:textId="77777777">
        <w:trPr>
          <w:jc w:val="center"/>
        </w:trPr>
        <w:tc>
          <w:tcPr>
            <w:tcW w:w="0" w:type="auto"/>
            <w:gridSpan w:val="3"/>
            <w:shd w:val="clear" w:color="auto" w:fill="FFFFFF"/>
            <w:tcMar>
              <w:top w:w="40" w:type="dxa"/>
              <w:left w:w="155" w:type="dxa"/>
              <w:bottom w:w="40" w:type="dxa"/>
              <w:right w:w="20" w:type="dxa"/>
            </w:tcMar>
            <w:vAlign w:val="bottom"/>
          </w:tcPr>
          <w:p w14:paraId="7DD00852" w14:textId="77777777" w:rsidR="00C1563E" w:rsidRDefault="000B648B">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7DD00853" w14:textId="77777777" w:rsidR="00C1563E" w:rsidRDefault="000B648B">
            <w:pPr>
              <w:jc w:val="right"/>
              <w:textAlignment w:val="bottom"/>
            </w:pPr>
            <w:r>
              <w:rPr>
                <w:rFonts w:ascii="Times New Roman" w:eastAsia="宋体" w:hAnsi="Times New Roman"/>
                <w:color w:val="000000"/>
                <w:sz w:val="20"/>
                <w:szCs w:val="20"/>
              </w:rPr>
              <w:t>1,061 </w:t>
            </w:r>
          </w:p>
        </w:tc>
        <w:tc>
          <w:tcPr>
            <w:tcW w:w="0" w:type="auto"/>
            <w:shd w:val="clear" w:color="auto" w:fill="FFFFFF"/>
            <w:tcMar>
              <w:top w:w="40" w:type="dxa"/>
              <w:left w:w="0" w:type="dxa"/>
              <w:bottom w:w="40" w:type="dxa"/>
              <w:right w:w="20" w:type="dxa"/>
            </w:tcMar>
            <w:vAlign w:val="bottom"/>
          </w:tcPr>
          <w:p w14:paraId="7DD008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56" w14:textId="77777777" w:rsidR="00C1563E" w:rsidRDefault="000B648B">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DD008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59" w14:textId="77777777" w:rsidR="00C1563E" w:rsidRDefault="000B648B">
            <w:pPr>
              <w:jc w:val="right"/>
              <w:textAlignment w:val="bottom"/>
            </w:pPr>
            <w:r>
              <w:rPr>
                <w:rFonts w:ascii="Times New Roman" w:eastAsia="宋体" w:hAnsi="Times New Roman"/>
                <w:color w:val="000000"/>
                <w:sz w:val="20"/>
                <w:szCs w:val="20"/>
              </w:rPr>
              <w:t>616 </w:t>
            </w:r>
          </w:p>
        </w:tc>
        <w:tc>
          <w:tcPr>
            <w:tcW w:w="0" w:type="auto"/>
            <w:shd w:val="clear" w:color="auto" w:fill="FFFFFF"/>
            <w:tcMar>
              <w:top w:w="40" w:type="dxa"/>
              <w:left w:w="0" w:type="dxa"/>
              <w:bottom w:w="40" w:type="dxa"/>
              <w:right w:w="20" w:type="dxa"/>
            </w:tcMar>
            <w:vAlign w:val="bottom"/>
          </w:tcPr>
          <w:p w14:paraId="7DD0085A" w14:textId="77777777" w:rsidR="00C1563E" w:rsidRDefault="00C1563E">
            <w:pPr>
              <w:jc w:val="right"/>
              <w:rPr>
                <w:rFonts w:ascii="宋体"/>
              </w:rPr>
            </w:pPr>
          </w:p>
        </w:tc>
      </w:tr>
      <w:tr w:rsidR="00C1563E" w14:paraId="7DD00865" w14:textId="77777777">
        <w:trPr>
          <w:jc w:val="center"/>
        </w:trPr>
        <w:tc>
          <w:tcPr>
            <w:tcW w:w="0" w:type="auto"/>
            <w:gridSpan w:val="3"/>
            <w:shd w:val="clear" w:color="auto" w:fill="CCEEFF"/>
            <w:tcMar>
              <w:top w:w="40" w:type="dxa"/>
              <w:left w:w="245" w:type="dxa"/>
              <w:bottom w:w="40" w:type="dxa"/>
              <w:right w:w="20" w:type="dxa"/>
            </w:tcMar>
            <w:vAlign w:val="bottom"/>
          </w:tcPr>
          <w:p w14:paraId="7DD0085C" w14:textId="77777777" w:rsidR="00C1563E" w:rsidRDefault="000B648B">
            <w:pPr>
              <w:textAlignment w:val="bottom"/>
            </w:pPr>
            <w:r>
              <w:rPr>
                <w:rFonts w:ascii="Times New Roman" w:eastAsia="宋体" w:hAnsi="Times New Roman"/>
                <w:color w:val="000000"/>
                <w:sz w:val="20"/>
                <w:szCs w:val="20"/>
              </w:rPr>
              <w:t>Current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85D" w14:textId="77777777" w:rsidR="00C1563E" w:rsidRDefault="000B648B">
            <w:pPr>
              <w:jc w:val="right"/>
              <w:textAlignment w:val="bottom"/>
            </w:pPr>
            <w:r>
              <w:rPr>
                <w:rFonts w:ascii="Times New Roman" w:eastAsia="宋体" w:hAnsi="Times New Roman"/>
                <w:color w:val="000000"/>
                <w:sz w:val="20"/>
                <w:szCs w:val="20"/>
              </w:rPr>
              <w:t>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85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5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860" w14:textId="77777777" w:rsidR="00C1563E" w:rsidRDefault="000B648B">
            <w:pPr>
              <w:jc w:val="right"/>
              <w:textAlignment w:val="bottom"/>
            </w:pPr>
            <w:r>
              <w:rPr>
                <w:rFonts w:ascii="Times New Roman" w:eastAsia="宋体" w:hAnsi="Times New Roman"/>
                <w:color w:val="000000"/>
                <w:sz w:val="20"/>
                <w:szCs w:val="20"/>
              </w:rPr>
              <w:t>806 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86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6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863" w14:textId="77777777" w:rsidR="00C1563E" w:rsidRDefault="000B648B">
            <w:pPr>
              <w:jc w:val="right"/>
              <w:textAlignment w:val="bottom"/>
            </w:pPr>
            <w:r>
              <w:rPr>
                <w:rFonts w:ascii="Times New Roman" w:eastAsia="宋体" w:hAnsi="Times New Roman"/>
                <w:color w:val="000000"/>
                <w:sz w:val="20"/>
                <w:szCs w:val="20"/>
              </w:rPr>
              <w:t>1,151 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864" w14:textId="77777777" w:rsidR="00C1563E" w:rsidRDefault="00C1563E">
            <w:pPr>
              <w:jc w:val="right"/>
              <w:rPr>
                <w:rFonts w:ascii="宋体"/>
              </w:rPr>
            </w:pPr>
          </w:p>
        </w:tc>
      </w:tr>
      <w:tr w:rsidR="00C1563E" w14:paraId="7DD0086C" w14:textId="77777777">
        <w:trPr>
          <w:jc w:val="center"/>
        </w:trPr>
        <w:tc>
          <w:tcPr>
            <w:tcW w:w="0" w:type="auto"/>
            <w:gridSpan w:val="3"/>
            <w:shd w:val="clear" w:color="auto" w:fill="FFFFFF"/>
            <w:tcMar>
              <w:top w:w="40" w:type="dxa"/>
              <w:left w:w="20" w:type="dxa"/>
              <w:bottom w:w="40" w:type="dxa"/>
              <w:right w:w="20" w:type="dxa"/>
            </w:tcMar>
            <w:vAlign w:val="bottom"/>
          </w:tcPr>
          <w:p w14:paraId="7DD00866" w14:textId="77777777" w:rsidR="00C1563E" w:rsidRDefault="000B648B">
            <w:pPr>
              <w:textAlignment w:val="bottom"/>
            </w:pPr>
            <w:r>
              <w:rPr>
                <w:rFonts w:ascii="Times New Roman" w:eastAsia="宋体" w:hAnsi="Times New Roman"/>
                <w:i/>
                <w:iCs/>
                <w:color w:val="000000"/>
                <w:sz w:val="20"/>
                <w:szCs w:val="20"/>
              </w:rPr>
              <w:t>Defer</w:t>
            </w:r>
            <w:r>
              <w:rPr>
                <w:rFonts w:ascii="Times New Roman" w:eastAsia="宋体" w:hAnsi="Times New Roman"/>
                <w:i/>
                <w:iCs/>
                <w:color w:val="000000"/>
                <w:sz w:val="20"/>
                <w:szCs w:val="20"/>
              </w:rPr>
              <w:t>red:</w:t>
            </w:r>
          </w:p>
        </w:tc>
        <w:tc>
          <w:tcPr>
            <w:tcW w:w="0" w:type="auto"/>
            <w:gridSpan w:val="3"/>
            <w:tcBorders>
              <w:top w:val="single" w:sz="8" w:space="0" w:color="000000"/>
            </w:tcBorders>
            <w:shd w:val="clear" w:color="auto" w:fill="FFFFFF"/>
            <w:tcMar>
              <w:top w:w="0" w:type="dxa"/>
              <w:left w:w="20" w:type="dxa"/>
              <w:bottom w:w="0" w:type="dxa"/>
              <w:right w:w="20" w:type="dxa"/>
            </w:tcMar>
          </w:tcPr>
          <w:p w14:paraId="7DD0086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868"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086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86A"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086B" w14:textId="77777777" w:rsidR="00C1563E" w:rsidRDefault="00C1563E">
            <w:pPr>
              <w:rPr>
                <w:rFonts w:ascii="宋体"/>
              </w:rPr>
            </w:pPr>
          </w:p>
        </w:tc>
      </w:tr>
      <w:tr w:rsidR="00C1563E" w14:paraId="7DD00876" w14:textId="77777777">
        <w:trPr>
          <w:jc w:val="center"/>
        </w:trPr>
        <w:tc>
          <w:tcPr>
            <w:tcW w:w="0" w:type="auto"/>
            <w:gridSpan w:val="3"/>
            <w:shd w:val="clear" w:color="auto" w:fill="CCEEFF"/>
            <w:tcMar>
              <w:top w:w="40" w:type="dxa"/>
              <w:left w:w="155" w:type="dxa"/>
              <w:bottom w:w="40" w:type="dxa"/>
              <w:right w:w="20" w:type="dxa"/>
            </w:tcMar>
            <w:vAlign w:val="bottom"/>
          </w:tcPr>
          <w:p w14:paraId="7DD0086D" w14:textId="77777777" w:rsidR="00C1563E" w:rsidRDefault="000B648B">
            <w:pPr>
              <w:textAlignment w:val="bottom"/>
            </w:pPr>
            <w:r>
              <w:rPr>
                <w:rFonts w:ascii="Times New Roman" w:eastAsia="宋体" w:hAnsi="Times New Roman"/>
                <w:color w:val="000000"/>
                <w:sz w:val="20"/>
                <w:szCs w:val="20"/>
              </w:rPr>
              <w:t>Federal</w:t>
            </w:r>
          </w:p>
        </w:tc>
        <w:tc>
          <w:tcPr>
            <w:tcW w:w="0" w:type="auto"/>
            <w:gridSpan w:val="2"/>
            <w:shd w:val="clear" w:color="auto" w:fill="CCEEFF"/>
            <w:tcMar>
              <w:top w:w="40" w:type="dxa"/>
              <w:left w:w="20" w:type="dxa"/>
              <w:bottom w:w="40" w:type="dxa"/>
              <w:right w:w="0" w:type="dxa"/>
            </w:tcMar>
            <w:vAlign w:val="bottom"/>
          </w:tcPr>
          <w:p w14:paraId="7DD0086E" w14:textId="77777777" w:rsidR="00C1563E" w:rsidRDefault="000B648B">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7DD0086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7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71" w14:textId="77777777" w:rsidR="00C1563E" w:rsidRDefault="000B648B">
            <w:pPr>
              <w:jc w:val="right"/>
              <w:textAlignment w:val="bottom"/>
            </w:pPr>
            <w:r>
              <w:rPr>
                <w:rFonts w:ascii="Times New Roman" w:eastAsia="宋体" w:hAnsi="Times New Roman"/>
                <w:color w:val="000000"/>
                <w:sz w:val="20"/>
                <w:szCs w:val="20"/>
              </w:rPr>
              <w:t>(862)</w:t>
            </w:r>
          </w:p>
        </w:tc>
        <w:tc>
          <w:tcPr>
            <w:tcW w:w="0" w:type="auto"/>
            <w:shd w:val="clear" w:color="auto" w:fill="CCEEFF"/>
            <w:tcMar>
              <w:top w:w="40" w:type="dxa"/>
              <w:left w:w="0" w:type="dxa"/>
              <w:bottom w:w="40" w:type="dxa"/>
              <w:right w:w="20" w:type="dxa"/>
            </w:tcMar>
            <w:vAlign w:val="bottom"/>
          </w:tcPr>
          <w:p w14:paraId="7DD0087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7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74" w14:textId="77777777" w:rsidR="00C1563E" w:rsidRDefault="000B648B">
            <w:pPr>
              <w:jc w:val="right"/>
              <w:textAlignment w:val="bottom"/>
            </w:pPr>
            <w:r>
              <w:rPr>
                <w:rFonts w:ascii="Times New Roman" w:eastAsia="宋体" w:hAnsi="Times New Roman"/>
                <w:color w:val="000000"/>
                <w:sz w:val="20"/>
                <w:szCs w:val="20"/>
              </w:rPr>
              <w:t>(1,150)</w:t>
            </w:r>
          </w:p>
        </w:tc>
        <w:tc>
          <w:tcPr>
            <w:tcW w:w="0" w:type="auto"/>
            <w:shd w:val="clear" w:color="auto" w:fill="CCEEFF"/>
            <w:tcMar>
              <w:top w:w="40" w:type="dxa"/>
              <w:left w:w="0" w:type="dxa"/>
              <w:bottom w:w="40" w:type="dxa"/>
              <w:right w:w="20" w:type="dxa"/>
            </w:tcMar>
            <w:vAlign w:val="bottom"/>
          </w:tcPr>
          <w:p w14:paraId="7DD00875" w14:textId="77777777" w:rsidR="00C1563E" w:rsidRDefault="00C1563E">
            <w:pPr>
              <w:jc w:val="right"/>
              <w:rPr>
                <w:rFonts w:ascii="宋体"/>
              </w:rPr>
            </w:pPr>
          </w:p>
        </w:tc>
      </w:tr>
      <w:tr w:rsidR="00C1563E" w14:paraId="7DD00880" w14:textId="77777777">
        <w:trPr>
          <w:jc w:val="center"/>
        </w:trPr>
        <w:tc>
          <w:tcPr>
            <w:tcW w:w="0" w:type="auto"/>
            <w:gridSpan w:val="3"/>
            <w:shd w:val="clear" w:color="auto" w:fill="FFFFFF"/>
            <w:tcMar>
              <w:top w:w="40" w:type="dxa"/>
              <w:left w:w="155" w:type="dxa"/>
              <w:bottom w:w="40" w:type="dxa"/>
              <w:right w:w="20" w:type="dxa"/>
            </w:tcMar>
            <w:vAlign w:val="bottom"/>
          </w:tcPr>
          <w:p w14:paraId="7DD00877" w14:textId="77777777" w:rsidR="00C1563E" w:rsidRDefault="000B648B">
            <w:pPr>
              <w:textAlignment w:val="bottom"/>
            </w:pPr>
            <w:r>
              <w:rPr>
                <w:rFonts w:ascii="Times New Roman" w:eastAsia="宋体" w:hAnsi="Times New Roman"/>
                <w:color w:val="000000"/>
                <w:sz w:val="20"/>
                <w:szCs w:val="20"/>
              </w:rPr>
              <w:t>State/local</w:t>
            </w:r>
          </w:p>
        </w:tc>
        <w:tc>
          <w:tcPr>
            <w:tcW w:w="0" w:type="auto"/>
            <w:gridSpan w:val="2"/>
            <w:shd w:val="clear" w:color="auto" w:fill="FFFFFF"/>
            <w:tcMar>
              <w:top w:w="40" w:type="dxa"/>
              <w:left w:w="20" w:type="dxa"/>
              <w:bottom w:w="40" w:type="dxa"/>
              <w:right w:w="0" w:type="dxa"/>
            </w:tcMar>
            <w:vAlign w:val="bottom"/>
          </w:tcPr>
          <w:p w14:paraId="7DD00878" w14:textId="77777777" w:rsidR="00C1563E" w:rsidRDefault="000B648B">
            <w:pPr>
              <w:jc w:val="right"/>
              <w:textAlignment w:val="bottom"/>
            </w:pPr>
            <w:r>
              <w:rPr>
                <w:rFonts w:ascii="Times New Roman" w:eastAsia="宋体" w:hAnsi="Times New Roman"/>
                <w:color w:val="000000"/>
                <w:sz w:val="20"/>
                <w:szCs w:val="20"/>
              </w:rPr>
              <w:t>(145)</w:t>
            </w:r>
          </w:p>
        </w:tc>
        <w:tc>
          <w:tcPr>
            <w:tcW w:w="0" w:type="auto"/>
            <w:shd w:val="clear" w:color="auto" w:fill="FFFFFF"/>
            <w:tcMar>
              <w:top w:w="40" w:type="dxa"/>
              <w:left w:w="0" w:type="dxa"/>
              <w:bottom w:w="40" w:type="dxa"/>
              <w:right w:w="20" w:type="dxa"/>
            </w:tcMar>
            <w:vAlign w:val="bottom"/>
          </w:tcPr>
          <w:p w14:paraId="7DD0087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7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7B" w14:textId="77777777" w:rsidR="00C1563E" w:rsidRDefault="000B648B">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7DD008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7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7E" w14:textId="77777777" w:rsidR="00C1563E" w:rsidRDefault="000B648B">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left w:w="0" w:type="dxa"/>
              <w:bottom w:w="40" w:type="dxa"/>
              <w:right w:w="20" w:type="dxa"/>
            </w:tcMar>
            <w:vAlign w:val="bottom"/>
          </w:tcPr>
          <w:p w14:paraId="7DD0087F" w14:textId="77777777" w:rsidR="00C1563E" w:rsidRDefault="00C1563E">
            <w:pPr>
              <w:jc w:val="right"/>
              <w:rPr>
                <w:rFonts w:ascii="宋体"/>
              </w:rPr>
            </w:pPr>
          </w:p>
        </w:tc>
      </w:tr>
      <w:tr w:rsidR="00C1563E" w14:paraId="7DD0088A" w14:textId="77777777">
        <w:trPr>
          <w:jc w:val="center"/>
        </w:trPr>
        <w:tc>
          <w:tcPr>
            <w:tcW w:w="0" w:type="auto"/>
            <w:gridSpan w:val="3"/>
            <w:shd w:val="clear" w:color="auto" w:fill="CCEEFF"/>
            <w:tcMar>
              <w:top w:w="40" w:type="dxa"/>
              <w:left w:w="155" w:type="dxa"/>
              <w:bottom w:w="40" w:type="dxa"/>
              <w:right w:w="20" w:type="dxa"/>
            </w:tcMar>
            <w:vAlign w:val="bottom"/>
          </w:tcPr>
          <w:p w14:paraId="7DD00881" w14:textId="77777777" w:rsidR="00C1563E" w:rsidRDefault="000B648B">
            <w:pPr>
              <w:textAlignment w:val="bottom"/>
            </w:pPr>
            <w:r>
              <w:rPr>
                <w:rFonts w:ascii="Times New Roman" w:eastAsia="宋体" w:hAnsi="Times New Roman"/>
                <w:color w:val="000000"/>
                <w:sz w:val="20"/>
                <w:szCs w:val="20"/>
              </w:rPr>
              <w:t>Foreign</w:t>
            </w:r>
          </w:p>
        </w:tc>
        <w:tc>
          <w:tcPr>
            <w:tcW w:w="0" w:type="auto"/>
            <w:gridSpan w:val="2"/>
            <w:shd w:val="clear" w:color="auto" w:fill="CCEEFF"/>
            <w:tcMar>
              <w:top w:w="40" w:type="dxa"/>
              <w:left w:w="20" w:type="dxa"/>
              <w:bottom w:w="40" w:type="dxa"/>
              <w:right w:w="0" w:type="dxa"/>
            </w:tcMar>
            <w:vAlign w:val="bottom"/>
          </w:tcPr>
          <w:p w14:paraId="7DD00882" w14:textId="77777777" w:rsidR="00C1563E" w:rsidRDefault="000B648B">
            <w:pPr>
              <w:jc w:val="right"/>
              <w:textAlignment w:val="bottom"/>
            </w:pPr>
            <w:r>
              <w:rPr>
                <w:rFonts w:ascii="Times New Roman" w:eastAsia="宋体" w:hAnsi="Times New Roman"/>
                <w:color w:val="000000"/>
                <w:sz w:val="20"/>
                <w:szCs w:val="20"/>
              </w:rPr>
              <w:t>(277)</w:t>
            </w:r>
          </w:p>
        </w:tc>
        <w:tc>
          <w:tcPr>
            <w:tcW w:w="0" w:type="auto"/>
            <w:shd w:val="clear" w:color="auto" w:fill="CCEEFF"/>
            <w:tcMar>
              <w:top w:w="40" w:type="dxa"/>
              <w:left w:w="0" w:type="dxa"/>
              <w:bottom w:w="40" w:type="dxa"/>
              <w:right w:w="20" w:type="dxa"/>
            </w:tcMar>
            <w:vAlign w:val="bottom"/>
          </w:tcPr>
          <w:p w14:paraId="7DD0088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8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85" w14:textId="77777777" w:rsidR="00C1563E" w:rsidRDefault="000B648B">
            <w:pPr>
              <w:jc w:val="right"/>
              <w:textAlignment w:val="bottom"/>
            </w:pPr>
            <w:r>
              <w:rPr>
                <w:rFonts w:ascii="Times New Roman" w:eastAsia="宋体" w:hAnsi="Times New Roman"/>
                <w:color w:val="000000"/>
                <w:sz w:val="20"/>
                <w:szCs w:val="20"/>
              </w:rPr>
              <w:t>(5,327)</w:t>
            </w:r>
          </w:p>
        </w:tc>
        <w:tc>
          <w:tcPr>
            <w:tcW w:w="0" w:type="auto"/>
            <w:shd w:val="clear" w:color="auto" w:fill="CCEEFF"/>
            <w:tcMar>
              <w:top w:w="40" w:type="dxa"/>
              <w:left w:w="0" w:type="dxa"/>
              <w:bottom w:w="40" w:type="dxa"/>
              <w:right w:w="20" w:type="dxa"/>
            </w:tcMar>
            <w:vAlign w:val="bottom"/>
          </w:tcPr>
          <w:p w14:paraId="7DD008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888" w14:textId="77777777" w:rsidR="00C1563E" w:rsidRDefault="000B648B">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7DD00889" w14:textId="77777777" w:rsidR="00C1563E" w:rsidRDefault="00C1563E">
            <w:pPr>
              <w:jc w:val="right"/>
              <w:rPr>
                <w:rFonts w:ascii="宋体"/>
              </w:rPr>
            </w:pPr>
          </w:p>
        </w:tc>
      </w:tr>
      <w:tr w:rsidR="00C1563E" w14:paraId="7DD00894" w14:textId="77777777">
        <w:trPr>
          <w:jc w:val="center"/>
        </w:trPr>
        <w:tc>
          <w:tcPr>
            <w:tcW w:w="0" w:type="auto"/>
            <w:gridSpan w:val="3"/>
            <w:shd w:val="clear" w:color="auto" w:fill="FFFFFF"/>
            <w:tcMar>
              <w:top w:w="40" w:type="dxa"/>
              <w:left w:w="245" w:type="dxa"/>
              <w:bottom w:w="40" w:type="dxa"/>
              <w:right w:w="20" w:type="dxa"/>
            </w:tcMar>
            <w:vAlign w:val="bottom"/>
          </w:tcPr>
          <w:p w14:paraId="7DD0088B" w14:textId="77777777" w:rsidR="00C1563E" w:rsidRDefault="000B648B">
            <w:pPr>
              <w:textAlignment w:val="bottom"/>
            </w:pPr>
            <w:r>
              <w:rPr>
                <w:rFonts w:ascii="Times New Roman" w:eastAsia="宋体" w:hAnsi="Times New Roman"/>
                <w:color w:val="000000"/>
                <w:sz w:val="20"/>
                <w:szCs w:val="20"/>
              </w:rPr>
              <w:t>Deferred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88C" w14:textId="77777777" w:rsidR="00C1563E" w:rsidRDefault="000B648B">
            <w:pPr>
              <w:jc w:val="right"/>
              <w:textAlignment w:val="bottom"/>
            </w:pPr>
            <w:r>
              <w:rPr>
                <w:rFonts w:ascii="Times New Roman" w:eastAsia="宋体" w:hAnsi="Times New Roman"/>
                <w:color w:val="000000"/>
                <w:sz w:val="20"/>
                <w:szCs w:val="20"/>
              </w:rPr>
              <w:t>(399)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88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8E"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88F" w14:textId="77777777" w:rsidR="00C1563E" w:rsidRDefault="000B648B">
            <w:pPr>
              <w:jc w:val="right"/>
              <w:textAlignment w:val="bottom"/>
            </w:pPr>
            <w:r>
              <w:rPr>
                <w:rFonts w:ascii="Times New Roman" w:eastAsia="宋体" w:hAnsi="Times New Roman"/>
                <w:color w:val="000000"/>
                <w:sz w:val="20"/>
                <w:szCs w:val="20"/>
              </w:rPr>
              <w:t>(6,339)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89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91"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892" w14:textId="77777777" w:rsidR="00C1563E" w:rsidRDefault="000B648B">
            <w:pPr>
              <w:jc w:val="right"/>
              <w:textAlignment w:val="bottom"/>
            </w:pPr>
            <w:r>
              <w:rPr>
                <w:rFonts w:ascii="Times New Roman" w:eastAsia="宋体" w:hAnsi="Times New Roman"/>
                <w:color w:val="000000"/>
                <w:sz w:val="20"/>
                <w:szCs w:val="20"/>
              </w:rPr>
              <w:t>(1,331)</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893" w14:textId="77777777" w:rsidR="00C1563E" w:rsidRDefault="00C1563E">
            <w:pPr>
              <w:jc w:val="right"/>
              <w:rPr>
                <w:rFonts w:ascii="宋体"/>
              </w:rPr>
            </w:pPr>
          </w:p>
        </w:tc>
      </w:tr>
      <w:tr w:rsidR="00C1563E" w14:paraId="7DD008A1" w14:textId="77777777">
        <w:trPr>
          <w:jc w:val="center"/>
        </w:trPr>
        <w:tc>
          <w:tcPr>
            <w:tcW w:w="0" w:type="auto"/>
            <w:gridSpan w:val="3"/>
            <w:shd w:val="clear" w:color="auto" w:fill="CCEEFF"/>
            <w:tcMar>
              <w:top w:w="40" w:type="dxa"/>
              <w:left w:w="380" w:type="dxa"/>
              <w:bottom w:w="40" w:type="dxa"/>
              <w:right w:w="20" w:type="dxa"/>
            </w:tcMar>
            <w:vAlign w:val="bottom"/>
          </w:tcPr>
          <w:p w14:paraId="7DD00895" w14:textId="77777777" w:rsidR="00C1563E" w:rsidRDefault="000B648B">
            <w:pPr>
              <w:textAlignment w:val="bottom"/>
            </w:pPr>
            <w:r>
              <w:rPr>
                <w:rFonts w:ascii="Times New Roman" w:eastAsia="宋体" w:hAnsi="Times New Roman"/>
                <w:color w:val="000000"/>
                <w:sz w:val="20"/>
                <w:szCs w:val="20"/>
              </w:rPr>
              <w:t>Incom</w:t>
            </w:r>
            <w:r>
              <w:rPr>
                <w:rFonts w:ascii="Times New Roman" w:eastAsia="宋体" w:hAnsi="Times New Roman"/>
                <w:color w:val="000000"/>
                <w:sz w:val="20"/>
                <w:szCs w:val="20"/>
              </w:rPr>
              <w:t>e tax expense (benefit)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9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97" w14:textId="77777777" w:rsidR="00C1563E" w:rsidRDefault="000B648B">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9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99"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9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9B" w14:textId="77777777" w:rsidR="00C1563E" w:rsidRDefault="000B648B">
            <w:pPr>
              <w:jc w:val="right"/>
              <w:textAlignment w:val="bottom"/>
            </w:pPr>
            <w:r>
              <w:rPr>
                <w:rFonts w:ascii="Times New Roman" w:eastAsia="宋体" w:hAnsi="Times New Roman"/>
                <w:color w:val="000000"/>
                <w:sz w:val="20"/>
                <w:szCs w:val="20"/>
              </w:rPr>
              <w:t>(5,533)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9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9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9F" w14:textId="77777777" w:rsidR="00C1563E" w:rsidRDefault="000B648B">
            <w:pPr>
              <w:jc w:val="right"/>
              <w:textAlignment w:val="bottom"/>
            </w:pPr>
            <w:r>
              <w:rPr>
                <w:rFonts w:ascii="Times New Roman" w:eastAsia="宋体" w:hAnsi="Times New Roman"/>
                <w:color w:val="000000"/>
                <w:sz w:val="20"/>
                <w:szCs w:val="20"/>
              </w:rPr>
              <w:t>(180)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A0" w14:textId="77777777" w:rsidR="00C1563E" w:rsidRDefault="00C1563E">
            <w:pPr>
              <w:jc w:val="right"/>
              <w:rPr>
                <w:rFonts w:ascii="宋体"/>
              </w:rPr>
            </w:pPr>
          </w:p>
        </w:tc>
      </w:tr>
    </w:tbl>
    <w:p w14:paraId="7DD008A2" w14:textId="77777777" w:rsidR="00C1563E" w:rsidRDefault="00C1563E"/>
    <w:p w14:paraId="7DD008A3" w14:textId="77777777" w:rsidR="00C1563E" w:rsidRDefault="000B648B">
      <w:r>
        <w:rPr>
          <w:rFonts w:ascii="Times New Roman" w:eastAsia="宋体" w:hAnsi="Times New Roman"/>
          <w:color w:val="000000"/>
          <w:sz w:val="20"/>
          <w:szCs w:val="20"/>
        </w:rPr>
        <w:t>The Company’s provision for income taxes for the fiscal periods reflected in the Consolidated Financial Statements are not directly comparable primarily due to the intra-entity asset transfers of certain of its intellectual property (“IP”) completed in the</w:t>
      </w:r>
      <w:r>
        <w:rPr>
          <w:rFonts w:ascii="Times New Roman" w:eastAsia="宋体" w:hAnsi="Times New Roman"/>
          <w:color w:val="000000"/>
          <w:sz w:val="20"/>
          <w:szCs w:val="20"/>
        </w:rPr>
        <w:t xml:space="preserve"> fiscal year ended January 31, 2020. During the fiscal years ended January 29, 2021 and January 31, 2020, the Company completed intra-entity asset transfers of certain of its IP to Irish subsidiaries, resulting in discrete tax benefits of $59 million and $</w:t>
      </w:r>
      <w:r>
        <w:rPr>
          <w:rFonts w:ascii="Times New Roman" w:eastAsia="宋体" w:hAnsi="Times New Roman"/>
          <w:color w:val="000000"/>
          <w:sz w:val="20"/>
          <w:szCs w:val="20"/>
        </w:rPr>
        <w:t xml:space="preserve">4.9 billion, respectively. The tax benefit for each intra-entity asset transfer was recorded as a deferred tax asset in the period of transaction and represents the book and tax basis difference on the transferred assets measured based on the IP’s current </w:t>
      </w:r>
      <w:r>
        <w:rPr>
          <w:rFonts w:ascii="Times New Roman" w:eastAsia="宋体" w:hAnsi="Times New Roman"/>
          <w:color w:val="000000"/>
          <w:sz w:val="20"/>
          <w:szCs w:val="20"/>
        </w:rPr>
        <w:t xml:space="preserve">fair value and applicable Irish statutory tax rate. The Company expects to be able to realize the deferred tax assets resulting from these intra-entity asset transfers. </w:t>
      </w:r>
    </w:p>
    <w:p w14:paraId="7DD008A4" w14:textId="77777777" w:rsidR="00C1563E" w:rsidRDefault="00C1563E">
      <w:pPr>
        <w:spacing w:after="60"/>
      </w:pPr>
    </w:p>
    <w:p w14:paraId="7DD008A5" w14:textId="77777777" w:rsidR="00C1563E" w:rsidRDefault="000B648B">
      <w:r>
        <w:rPr>
          <w:rFonts w:ascii="Times New Roman" w:eastAsia="宋体" w:hAnsi="Times New Roman"/>
          <w:color w:val="000000"/>
          <w:sz w:val="20"/>
          <w:szCs w:val="20"/>
        </w:rPr>
        <w:t xml:space="preserve">The following table presents components of income (loss) before income taxes for 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414"/>
        <w:gridCol w:w="36"/>
        <w:gridCol w:w="121"/>
        <w:gridCol w:w="1387"/>
        <w:gridCol w:w="36"/>
        <w:gridCol w:w="36"/>
        <w:gridCol w:w="36"/>
        <w:gridCol w:w="36"/>
        <w:gridCol w:w="121"/>
        <w:gridCol w:w="1387"/>
        <w:gridCol w:w="36"/>
        <w:gridCol w:w="36"/>
        <w:gridCol w:w="36"/>
        <w:gridCol w:w="36"/>
        <w:gridCol w:w="121"/>
        <w:gridCol w:w="1388"/>
        <w:gridCol w:w="36"/>
      </w:tblGrid>
      <w:tr w:rsidR="00C1563E" w14:paraId="7DD008B8" w14:textId="77777777">
        <w:trPr>
          <w:jc w:val="center"/>
        </w:trPr>
        <w:tc>
          <w:tcPr>
            <w:tcW w:w="50" w:type="pct"/>
            <w:shd w:val="clear" w:color="auto" w:fill="auto"/>
          </w:tcPr>
          <w:p w14:paraId="7DD008A6" w14:textId="77777777" w:rsidR="00C1563E" w:rsidRDefault="00C1563E">
            <w:pPr>
              <w:rPr>
                <w:rFonts w:ascii="宋体"/>
              </w:rPr>
            </w:pPr>
          </w:p>
        </w:tc>
        <w:tc>
          <w:tcPr>
            <w:tcW w:w="2101" w:type="pct"/>
            <w:shd w:val="clear" w:color="auto" w:fill="auto"/>
          </w:tcPr>
          <w:p w14:paraId="7DD008A7" w14:textId="77777777" w:rsidR="00C1563E" w:rsidRDefault="00C1563E">
            <w:pPr>
              <w:rPr>
                <w:rFonts w:ascii="宋体"/>
              </w:rPr>
            </w:pPr>
          </w:p>
        </w:tc>
        <w:tc>
          <w:tcPr>
            <w:tcW w:w="5" w:type="pct"/>
            <w:shd w:val="clear" w:color="auto" w:fill="auto"/>
          </w:tcPr>
          <w:p w14:paraId="7DD008A8" w14:textId="77777777" w:rsidR="00C1563E" w:rsidRDefault="00C1563E">
            <w:pPr>
              <w:rPr>
                <w:rFonts w:ascii="宋体"/>
              </w:rPr>
            </w:pPr>
          </w:p>
        </w:tc>
        <w:tc>
          <w:tcPr>
            <w:tcW w:w="50" w:type="pct"/>
            <w:shd w:val="clear" w:color="auto" w:fill="auto"/>
          </w:tcPr>
          <w:p w14:paraId="7DD008A9" w14:textId="77777777" w:rsidR="00C1563E" w:rsidRDefault="00C1563E">
            <w:pPr>
              <w:rPr>
                <w:rFonts w:ascii="宋体"/>
              </w:rPr>
            </w:pPr>
          </w:p>
        </w:tc>
        <w:tc>
          <w:tcPr>
            <w:tcW w:w="873" w:type="pct"/>
            <w:shd w:val="clear" w:color="auto" w:fill="auto"/>
          </w:tcPr>
          <w:p w14:paraId="7DD008AA" w14:textId="77777777" w:rsidR="00C1563E" w:rsidRDefault="00C1563E">
            <w:pPr>
              <w:rPr>
                <w:rFonts w:ascii="宋体"/>
              </w:rPr>
            </w:pPr>
          </w:p>
        </w:tc>
        <w:tc>
          <w:tcPr>
            <w:tcW w:w="5" w:type="pct"/>
            <w:shd w:val="clear" w:color="auto" w:fill="auto"/>
          </w:tcPr>
          <w:p w14:paraId="7DD008AB" w14:textId="77777777" w:rsidR="00C1563E" w:rsidRDefault="00C1563E">
            <w:pPr>
              <w:rPr>
                <w:rFonts w:ascii="宋体"/>
              </w:rPr>
            </w:pPr>
          </w:p>
        </w:tc>
        <w:tc>
          <w:tcPr>
            <w:tcW w:w="5" w:type="pct"/>
            <w:shd w:val="clear" w:color="auto" w:fill="auto"/>
          </w:tcPr>
          <w:p w14:paraId="7DD008AC" w14:textId="77777777" w:rsidR="00C1563E" w:rsidRDefault="00C1563E">
            <w:pPr>
              <w:rPr>
                <w:rFonts w:ascii="宋体"/>
              </w:rPr>
            </w:pPr>
          </w:p>
        </w:tc>
        <w:tc>
          <w:tcPr>
            <w:tcW w:w="19" w:type="pct"/>
            <w:shd w:val="clear" w:color="auto" w:fill="auto"/>
          </w:tcPr>
          <w:p w14:paraId="7DD008AD" w14:textId="77777777" w:rsidR="00C1563E" w:rsidRDefault="00C1563E">
            <w:pPr>
              <w:rPr>
                <w:rFonts w:ascii="宋体"/>
              </w:rPr>
            </w:pPr>
          </w:p>
        </w:tc>
        <w:tc>
          <w:tcPr>
            <w:tcW w:w="5" w:type="pct"/>
            <w:shd w:val="clear" w:color="auto" w:fill="auto"/>
          </w:tcPr>
          <w:p w14:paraId="7DD008AE" w14:textId="77777777" w:rsidR="00C1563E" w:rsidRDefault="00C1563E">
            <w:pPr>
              <w:rPr>
                <w:rFonts w:ascii="宋体"/>
              </w:rPr>
            </w:pPr>
          </w:p>
        </w:tc>
        <w:tc>
          <w:tcPr>
            <w:tcW w:w="50" w:type="pct"/>
            <w:shd w:val="clear" w:color="auto" w:fill="auto"/>
          </w:tcPr>
          <w:p w14:paraId="7DD008AF" w14:textId="77777777" w:rsidR="00C1563E" w:rsidRDefault="00C1563E">
            <w:pPr>
              <w:rPr>
                <w:rFonts w:ascii="宋体"/>
              </w:rPr>
            </w:pPr>
          </w:p>
        </w:tc>
        <w:tc>
          <w:tcPr>
            <w:tcW w:w="873" w:type="pct"/>
            <w:shd w:val="clear" w:color="auto" w:fill="auto"/>
          </w:tcPr>
          <w:p w14:paraId="7DD008B0" w14:textId="77777777" w:rsidR="00C1563E" w:rsidRDefault="00C1563E">
            <w:pPr>
              <w:rPr>
                <w:rFonts w:ascii="宋体"/>
              </w:rPr>
            </w:pPr>
          </w:p>
        </w:tc>
        <w:tc>
          <w:tcPr>
            <w:tcW w:w="5" w:type="pct"/>
            <w:shd w:val="clear" w:color="auto" w:fill="auto"/>
          </w:tcPr>
          <w:p w14:paraId="7DD008B1" w14:textId="77777777" w:rsidR="00C1563E" w:rsidRDefault="00C1563E">
            <w:pPr>
              <w:rPr>
                <w:rFonts w:ascii="宋体"/>
              </w:rPr>
            </w:pPr>
          </w:p>
        </w:tc>
        <w:tc>
          <w:tcPr>
            <w:tcW w:w="5" w:type="pct"/>
            <w:shd w:val="clear" w:color="auto" w:fill="auto"/>
          </w:tcPr>
          <w:p w14:paraId="7DD008B2" w14:textId="77777777" w:rsidR="00C1563E" w:rsidRDefault="00C1563E">
            <w:pPr>
              <w:rPr>
                <w:rFonts w:ascii="宋体"/>
              </w:rPr>
            </w:pPr>
          </w:p>
        </w:tc>
        <w:tc>
          <w:tcPr>
            <w:tcW w:w="19" w:type="pct"/>
            <w:shd w:val="clear" w:color="auto" w:fill="auto"/>
          </w:tcPr>
          <w:p w14:paraId="7DD008B3" w14:textId="77777777" w:rsidR="00C1563E" w:rsidRDefault="00C1563E">
            <w:pPr>
              <w:rPr>
                <w:rFonts w:ascii="宋体"/>
              </w:rPr>
            </w:pPr>
          </w:p>
        </w:tc>
        <w:tc>
          <w:tcPr>
            <w:tcW w:w="5" w:type="pct"/>
            <w:shd w:val="clear" w:color="auto" w:fill="auto"/>
          </w:tcPr>
          <w:p w14:paraId="7DD008B4" w14:textId="77777777" w:rsidR="00C1563E" w:rsidRDefault="00C1563E">
            <w:pPr>
              <w:rPr>
                <w:rFonts w:ascii="宋体"/>
              </w:rPr>
            </w:pPr>
          </w:p>
        </w:tc>
        <w:tc>
          <w:tcPr>
            <w:tcW w:w="50" w:type="pct"/>
            <w:shd w:val="clear" w:color="auto" w:fill="auto"/>
          </w:tcPr>
          <w:p w14:paraId="7DD008B5" w14:textId="77777777" w:rsidR="00C1563E" w:rsidRDefault="00C1563E">
            <w:pPr>
              <w:rPr>
                <w:rFonts w:ascii="宋体"/>
              </w:rPr>
            </w:pPr>
          </w:p>
        </w:tc>
        <w:tc>
          <w:tcPr>
            <w:tcW w:w="873" w:type="pct"/>
            <w:shd w:val="clear" w:color="auto" w:fill="auto"/>
          </w:tcPr>
          <w:p w14:paraId="7DD008B6" w14:textId="77777777" w:rsidR="00C1563E" w:rsidRDefault="00C1563E">
            <w:pPr>
              <w:rPr>
                <w:rFonts w:ascii="宋体"/>
              </w:rPr>
            </w:pPr>
          </w:p>
        </w:tc>
        <w:tc>
          <w:tcPr>
            <w:tcW w:w="5" w:type="pct"/>
            <w:shd w:val="clear" w:color="auto" w:fill="auto"/>
          </w:tcPr>
          <w:p w14:paraId="7DD008B7" w14:textId="77777777" w:rsidR="00C1563E" w:rsidRDefault="00C1563E">
            <w:pPr>
              <w:rPr>
                <w:rFonts w:ascii="宋体"/>
              </w:rPr>
            </w:pPr>
          </w:p>
        </w:tc>
      </w:tr>
      <w:tr w:rsidR="00C1563E" w14:paraId="7DD008BB" w14:textId="77777777">
        <w:trPr>
          <w:jc w:val="center"/>
        </w:trPr>
        <w:tc>
          <w:tcPr>
            <w:tcW w:w="0" w:type="auto"/>
            <w:gridSpan w:val="3"/>
            <w:shd w:val="clear" w:color="auto" w:fill="auto"/>
            <w:tcMar>
              <w:top w:w="0" w:type="dxa"/>
              <w:left w:w="20" w:type="dxa"/>
              <w:bottom w:w="0" w:type="dxa"/>
              <w:right w:w="20" w:type="dxa"/>
            </w:tcMar>
          </w:tcPr>
          <w:p w14:paraId="7DD008B9"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8BA"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8C2" w14:textId="77777777">
        <w:trPr>
          <w:jc w:val="center"/>
        </w:trPr>
        <w:tc>
          <w:tcPr>
            <w:tcW w:w="0" w:type="auto"/>
            <w:gridSpan w:val="3"/>
            <w:shd w:val="clear" w:color="auto" w:fill="auto"/>
            <w:tcMar>
              <w:top w:w="0" w:type="dxa"/>
              <w:left w:w="20" w:type="dxa"/>
              <w:bottom w:w="0" w:type="dxa"/>
              <w:right w:w="20" w:type="dxa"/>
            </w:tcMar>
          </w:tcPr>
          <w:p w14:paraId="7DD008BC"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8BD"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8B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8BF"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8C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8C1"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8C5" w14:textId="77777777">
        <w:trPr>
          <w:jc w:val="center"/>
        </w:trPr>
        <w:tc>
          <w:tcPr>
            <w:tcW w:w="0" w:type="auto"/>
            <w:gridSpan w:val="3"/>
            <w:shd w:val="clear" w:color="auto" w:fill="auto"/>
            <w:tcMar>
              <w:top w:w="0" w:type="dxa"/>
              <w:left w:w="20" w:type="dxa"/>
              <w:bottom w:w="0" w:type="dxa"/>
              <w:right w:w="20" w:type="dxa"/>
            </w:tcMar>
          </w:tcPr>
          <w:p w14:paraId="7DD008C3"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8C4"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8D2" w14:textId="77777777">
        <w:trPr>
          <w:jc w:val="center"/>
        </w:trPr>
        <w:tc>
          <w:tcPr>
            <w:tcW w:w="0" w:type="auto"/>
            <w:gridSpan w:val="3"/>
            <w:shd w:val="clear" w:color="auto" w:fill="CCEEFF"/>
            <w:tcMar>
              <w:top w:w="40" w:type="dxa"/>
              <w:left w:w="20" w:type="dxa"/>
              <w:bottom w:w="40" w:type="dxa"/>
              <w:right w:w="20" w:type="dxa"/>
            </w:tcMar>
            <w:vAlign w:val="bottom"/>
          </w:tcPr>
          <w:p w14:paraId="7DD008C6" w14:textId="77777777" w:rsidR="00C1563E" w:rsidRDefault="000B648B">
            <w:pPr>
              <w:textAlignment w:val="bottom"/>
            </w:pPr>
            <w:r>
              <w:rPr>
                <w:rFonts w:ascii="Times New Roman" w:eastAsia="宋体" w:hAnsi="Times New Roman"/>
                <w:color w:val="000000"/>
                <w:sz w:val="20"/>
                <w:szCs w:val="20"/>
              </w:rPr>
              <w:t>Domestic</w:t>
            </w:r>
          </w:p>
        </w:tc>
        <w:tc>
          <w:tcPr>
            <w:tcW w:w="0" w:type="auto"/>
            <w:shd w:val="clear" w:color="auto" w:fill="CCEEFF"/>
            <w:tcMar>
              <w:top w:w="40" w:type="dxa"/>
              <w:left w:w="20" w:type="dxa"/>
              <w:bottom w:w="40" w:type="dxa"/>
              <w:right w:w="0" w:type="dxa"/>
            </w:tcMar>
            <w:vAlign w:val="bottom"/>
          </w:tcPr>
          <w:p w14:paraId="7DD008C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8C8" w14:textId="77777777" w:rsidR="00C1563E" w:rsidRDefault="000B648B">
            <w:pPr>
              <w:jc w:val="right"/>
              <w:textAlignment w:val="bottom"/>
            </w:pPr>
            <w:r>
              <w:rPr>
                <w:rFonts w:ascii="Times New Roman" w:eastAsia="宋体" w:hAnsi="Times New Roman"/>
                <w:color w:val="000000"/>
                <w:sz w:val="20"/>
                <w:szCs w:val="20"/>
              </w:rPr>
              <w:t>(1,066)</w:t>
            </w:r>
          </w:p>
        </w:tc>
        <w:tc>
          <w:tcPr>
            <w:tcW w:w="0" w:type="auto"/>
            <w:shd w:val="clear" w:color="auto" w:fill="CCEEFF"/>
            <w:tcMar>
              <w:top w:w="40" w:type="dxa"/>
              <w:left w:w="0" w:type="dxa"/>
              <w:bottom w:w="40" w:type="dxa"/>
              <w:right w:w="20" w:type="dxa"/>
            </w:tcMar>
            <w:vAlign w:val="bottom"/>
          </w:tcPr>
          <w:p w14:paraId="7DD008C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C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8C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8CC" w14:textId="77777777" w:rsidR="00C1563E" w:rsidRDefault="000B648B">
            <w:pPr>
              <w:jc w:val="right"/>
              <w:textAlignment w:val="bottom"/>
            </w:pPr>
            <w:r>
              <w:rPr>
                <w:rFonts w:ascii="Times New Roman" w:eastAsia="宋体" w:hAnsi="Times New Roman"/>
                <w:color w:val="000000"/>
                <w:sz w:val="20"/>
                <w:szCs w:val="20"/>
              </w:rPr>
              <w:t>(3,067)</w:t>
            </w:r>
          </w:p>
        </w:tc>
        <w:tc>
          <w:tcPr>
            <w:tcW w:w="0" w:type="auto"/>
            <w:shd w:val="clear" w:color="auto" w:fill="CCEEFF"/>
            <w:tcMar>
              <w:top w:w="40" w:type="dxa"/>
              <w:left w:w="0" w:type="dxa"/>
              <w:bottom w:w="40" w:type="dxa"/>
              <w:right w:w="20" w:type="dxa"/>
            </w:tcMar>
            <w:vAlign w:val="bottom"/>
          </w:tcPr>
          <w:p w14:paraId="7DD008C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C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8C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8D0" w14:textId="77777777" w:rsidR="00C1563E" w:rsidRDefault="000B648B">
            <w:pPr>
              <w:jc w:val="right"/>
              <w:textAlignment w:val="bottom"/>
            </w:pPr>
            <w:r>
              <w:rPr>
                <w:rFonts w:ascii="Times New Roman" w:eastAsia="宋体" w:hAnsi="Times New Roman"/>
                <w:color w:val="000000"/>
                <w:sz w:val="20"/>
                <w:szCs w:val="20"/>
              </w:rPr>
              <w:t>(4,645)</w:t>
            </w:r>
          </w:p>
        </w:tc>
        <w:tc>
          <w:tcPr>
            <w:tcW w:w="0" w:type="auto"/>
            <w:shd w:val="clear" w:color="auto" w:fill="CCEEFF"/>
            <w:tcMar>
              <w:top w:w="40" w:type="dxa"/>
              <w:left w:w="0" w:type="dxa"/>
              <w:bottom w:w="40" w:type="dxa"/>
              <w:right w:w="20" w:type="dxa"/>
            </w:tcMar>
            <w:vAlign w:val="bottom"/>
          </w:tcPr>
          <w:p w14:paraId="7DD008D1" w14:textId="77777777" w:rsidR="00C1563E" w:rsidRDefault="00C1563E">
            <w:pPr>
              <w:jc w:val="right"/>
              <w:rPr>
                <w:rFonts w:ascii="宋体"/>
              </w:rPr>
            </w:pPr>
          </w:p>
        </w:tc>
      </w:tr>
      <w:tr w:rsidR="00C1563E" w14:paraId="7DD008DC" w14:textId="77777777">
        <w:trPr>
          <w:jc w:val="center"/>
        </w:trPr>
        <w:tc>
          <w:tcPr>
            <w:tcW w:w="0" w:type="auto"/>
            <w:gridSpan w:val="3"/>
            <w:shd w:val="clear" w:color="auto" w:fill="FFFFFF"/>
            <w:tcMar>
              <w:top w:w="40" w:type="dxa"/>
              <w:left w:w="20" w:type="dxa"/>
              <w:bottom w:w="40" w:type="dxa"/>
              <w:right w:w="20" w:type="dxa"/>
            </w:tcMar>
            <w:vAlign w:val="bottom"/>
          </w:tcPr>
          <w:p w14:paraId="7DD008D3" w14:textId="77777777" w:rsidR="00C1563E" w:rsidRDefault="000B648B">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7DD008D4" w14:textId="77777777" w:rsidR="00C1563E" w:rsidRDefault="000B648B">
            <w:pPr>
              <w:jc w:val="right"/>
              <w:textAlignment w:val="bottom"/>
            </w:pPr>
            <w:r>
              <w:rPr>
                <w:rFonts w:ascii="Times New Roman" w:eastAsia="宋体" w:hAnsi="Times New Roman"/>
                <w:color w:val="000000"/>
                <w:sz w:val="20"/>
                <w:szCs w:val="20"/>
              </w:rPr>
              <w:t>4,736 </w:t>
            </w:r>
          </w:p>
        </w:tc>
        <w:tc>
          <w:tcPr>
            <w:tcW w:w="0" w:type="auto"/>
            <w:shd w:val="clear" w:color="auto" w:fill="FFFFFF"/>
            <w:tcMar>
              <w:top w:w="40" w:type="dxa"/>
              <w:left w:w="0" w:type="dxa"/>
              <w:bottom w:w="40" w:type="dxa"/>
              <w:right w:w="20" w:type="dxa"/>
            </w:tcMar>
            <w:vAlign w:val="bottom"/>
          </w:tcPr>
          <w:p w14:paraId="7DD008D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D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D7" w14:textId="77777777" w:rsidR="00C1563E" w:rsidRDefault="000B648B">
            <w:pPr>
              <w:jc w:val="right"/>
              <w:textAlignment w:val="bottom"/>
            </w:pPr>
            <w:r>
              <w:rPr>
                <w:rFonts w:ascii="Times New Roman" w:eastAsia="宋体" w:hAnsi="Times New Roman"/>
                <w:color w:val="000000"/>
                <w:sz w:val="20"/>
                <w:szCs w:val="20"/>
              </w:rPr>
              <w:t>3,063 </w:t>
            </w:r>
          </w:p>
        </w:tc>
        <w:tc>
          <w:tcPr>
            <w:tcW w:w="0" w:type="auto"/>
            <w:shd w:val="clear" w:color="auto" w:fill="FFFFFF"/>
            <w:tcMar>
              <w:top w:w="40" w:type="dxa"/>
              <w:left w:w="0" w:type="dxa"/>
              <w:bottom w:w="40" w:type="dxa"/>
              <w:right w:w="20" w:type="dxa"/>
            </w:tcMar>
            <w:vAlign w:val="bottom"/>
          </w:tcPr>
          <w:p w14:paraId="7DD008D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8D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8DA" w14:textId="77777777" w:rsidR="00C1563E" w:rsidRDefault="000B648B">
            <w:pPr>
              <w:jc w:val="right"/>
              <w:textAlignment w:val="bottom"/>
            </w:pPr>
            <w:r>
              <w:rPr>
                <w:rFonts w:ascii="Times New Roman" w:eastAsia="宋体" w:hAnsi="Times New Roman"/>
                <w:color w:val="000000"/>
                <w:sz w:val="20"/>
                <w:szCs w:val="20"/>
              </w:rPr>
              <w:t>2,284 </w:t>
            </w:r>
          </w:p>
        </w:tc>
        <w:tc>
          <w:tcPr>
            <w:tcW w:w="0" w:type="auto"/>
            <w:shd w:val="clear" w:color="auto" w:fill="FFFFFF"/>
            <w:tcMar>
              <w:top w:w="40" w:type="dxa"/>
              <w:left w:w="0" w:type="dxa"/>
              <w:bottom w:w="40" w:type="dxa"/>
              <w:right w:w="20" w:type="dxa"/>
            </w:tcMar>
            <w:vAlign w:val="bottom"/>
          </w:tcPr>
          <w:p w14:paraId="7DD008DB" w14:textId="77777777" w:rsidR="00C1563E" w:rsidRDefault="00C1563E">
            <w:pPr>
              <w:jc w:val="right"/>
              <w:rPr>
                <w:rFonts w:ascii="宋体"/>
              </w:rPr>
            </w:pPr>
          </w:p>
        </w:tc>
      </w:tr>
      <w:tr w:rsidR="00C1563E" w14:paraId="7DD008E9" w14:textId="77777777">
        <w:trPr>
          <w:jc w:val="center"/>
        </w:trPr>
        <w:tc>
          <w:tcPr>
            <w:tcW w:w="0" w:type="auto"/>
            <w:gridSpan w:val="3"/>
            <w:shd w:val="clear" w:color="auto" w:fill="CCEEFF"/>
            <w:tcMar>
              <w:top w:w="40" w:type="dxa"/>
              <w:left w:w="155" w:type="dxa"/>
              <w:bottom w:w="40" w:type="dxa"/>
              <w:right w:w="20" w:type="dxa"/>
            </w:tcMar>
            <w:vAlign w:val="bottom"/>
          </w:tcPr>
          <w:p w14:paraId="7DD008DD" w14:textId="77777777" w:rsidR="00C1563E" w:rsidRDefault="000B648B">
            <w:pPr>
              <w:textAlignment w:val="bottom"/>
            </w:pPr>
            <w:r>
              <w:rPr>
                <w:rFonts w:ascii="Times New Roman" w:eastAsia="宋体" w:hAnsi="Times New Roman"/>
                <w:color w:val="000000"/>
                <w:sz w:val="20"/>
                <w:szCs w:val="20"/>
              </w:rPr>
              <w:t>Income (loss) before income taxes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D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DF" w14:textId="77777777" w:rsidR="00C1563E" w:rsidRDefault="000B648B">
            <w:pPr>
              <w:jc w:val="right"/>
              <w:textAlignment w:val="bottom"/>
            </w:pPr>
            <w:r>
              <w:rPr>
                <w:rFonts w:ascii="Times New Roman" w:eastAsia="宋体" w:hAnsi="Times New Roman"/>
                <w:color w:val="000000"/>
                <w:sz w:val="20"/>
                <w:szCs w:val="20"/>
              </w:rPr>
              <w:t>3,670 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E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E1"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E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E3" w14:textId="77777777" w:rsidR="00C1563E" w:rsidRDefault="000B648B">
            <w:pPr>
              <w:jc w:val="right"/>
              <w:textAlignment w:val="bottom"/>
            </w:pPr>
            <w:r>
              <w:rPr>
                <w:rFonts w:ascii="Times New Roman" w:eastAsia="宋体" w:hAnsi="Times New Roman"/>
                <w:color w:val="000000"/>
                <w:sz w:val="20"/>
                <w:szCs w:val="20"/>
              </w:rPr>
              <w:t>(4)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8E5"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8E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8E7" w14:textId="77777777" w:rsidR="00C1563E" w:rsidRDefault="000B648B">
            <w:pPr>
              <w:jc w:val="right"/>
              <w:textAlignment w:val="bottom"/>
            </w:pPr>
            <w:r>
              <w:rPr>
                <w:rFonts w:ascii="Times New Roman" w:eastAsia="宋体" w:hAnsi="Times New Roman"/>
                <w:color w:val="000000"/>
                <w:sz w:val="20"/>
                <w:szCs w:val="20"/>
              </w:rPr>
              <w:t>(2,361)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8E8" w14:textId="77777777" w:rsidR="00C1563E" w:rsidRDefault="00C1563E">
            <w:pPr>
              <w:jc w:val="right"/>
              <w:rPr>
                <w:rFonts w:ascii="宋体"/>
              </w:rPr>
            </w:pPr>
          </w:p>
        </w:tc>
      </w:tr>
    </w:tbl>
    <w:p w14:paraId="7DD008EA" w14:textId="77777777" w:rsidR="00C1563E" w:rsidRDefault="00C1563E"/>
    <w:p w14:paraId="7DD008EB" w14:textId="77777777" w:rsidR="00C1563E" w:rsidRDefault="00C1563E">
      <w:pPr>
        <w:jc w:val="center"/>
      </w:pPr>
    </w:p>
    <w:p w14:paraId="7DD008EC" w14:textId="77777777" w:rsidR="00C1563E" w:rsidRDefault="000B648B">
      <w:pPr>
        <w:jc w:val="center"/>
      </w:pPr>
      <w:r>
        <w:rPr>
          <w:rFonts w:ascii="Times New Roman" w:eastAsia="宋体" w:hAnsi="Times New Roman"/>
          <w:color w:val="000000"/>
          <w:sz w:val="20"/>
          <w:szCs w:val="20"/>
        </w:rPr>
        <w:t>129</w:t>
      </w:r>
    </w:p>
    <w:p w14:paraId="7DD008ED" w14:textId="77777777" w:rsidR="00C1563E" w:rsidRDefault="00C1563E">
      <w:pPr>
        <w:jc w:val="center"/>
      </w:pPr>
    </w:p>
    <w:p w14:paraId="7DD008EE" w14:textId="77777777" w:rsidR="00C1563E" w:rsidRDefault="000B648B">
      <w:r>
        <w:pict w14:anchorId="7DD025EB">
          <v:rect id="_x0000_i1153" style="width:415.3pt;height:1.5pt" o:hralign="center" o:hrstd="t" o:hr="t" fillcolor="#a0a0a0" stroked="f"/>
        </w:pict>
      </w:r>
    </w:p>
    <w:p w14:paraId="7DD008EF" w14:textId="77777777" w:rsidR="00C1563E" w:rsidRDefault="000B648B">
      <w:hyperlink r:id="rId312" w:anchor="i418e32e4a35149ffbf7d3a25d66881b8_10" w:history="1">
        <w:r>
          <w:rPr>
            <w:rStyle w:val="a5"/>
            <w:rFonts w:ascii="Times New Roman" w:eastAsia="宋体" w:hAnsi="Times New Roman"/>
            <w:sz w:val="20"/>
            <w:szCs w:val="20"/>
          </w:rPr>
          <w:t>Table of Contents</w:t>
        </w:r>
      </w:hyperlink>
    </w:p>
    <w:p w14:paraId="7DD008F0" w14:textId="77777777" w:rsidR="00C1563E" w:rsidRDefault="000B648B">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a reconciliation of the Company’s effective tax rate to the statutory U.S. federal tax rate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78"/>
        <w:gridCol w:w="38"/>
        <w:gridCol w:w="41"/>
        <w:gridCol w:w="1327"/>
        <w:gridCol w:w="187"/>
        <w:gridCol w:w="36"/>
        <w:gridCol w:w="36"/>
        <w:gridCol w:w="36"/>
        <w:gridCol w:w="45"/>
        <w:gridCol w:w="1323"/>
        <w:gridCol w:w="187"/>
        <w:gridCol w:w="36"/>
        <w:gridCol w:w="36"/>
        <w:gridCol w:w="36"/>
        <w:gridCol w:w="46"/>
        <w:gridCol w:w="1322"/>
        <w:gridCol w:w="187"/>
      </w:tblGrid>
      <w:tr w:rsidR="00C1563E" w14:paraId="7DD00903" w14:textId="77777777">
        <w:trPr>
          <w:jc w:val="center"/>
        </w:trPr>
        <w:tc>
          <w:tcPr>
            <w:tcW w:w="50" w:type="pct"/>
            <w:shd w:val="clear" w:color="auto" w:fill="auto"/>
          </w:tcPr>
          <w:p w14:paraId="7DD008F1" w14:textId="77777777" w:rsidR="00C1563E" w:rsidRDefault="00C1563E">
            <w:pPr>
              <w:rPr>
                <w:rFonts w:ascii="宋体"/>
              </w:rPr>
            </w:pPr>
          </w:p>
        </w:tc>
        <w:tc>
          <w:tcPr>
            <w:tcW w:w="2101" w:type="pct"/>
            <w:shd w:val="clear" w:color="auto" w:fill="auto"/>
          </w:tcPr>
          <w:p w14:paraId="7DD008F2" w14:textId="77777777" w:rsidR="00C1563E" w:rsidRDefault="00C1563E">
            <w:pPr>
              <w:rPr>
                <w:rFonts w:ascii="宋体"/>
              </w:rPr>
            </w:pPr>
          </w:p>
        </w:tc>
        <w:tc>
          <w:tcPr>
            <w:tcW w:w="5" w:type="pct"/>
            <w:shd w:val="clear" w:color="auto" w:fill="auto"/>
          </w:tcPr>
          <w:p w14:paraId="7DD008F3" w14:textId="77777777" w:rsidR="00C1563E" w:rsidRDefault="00C1563E">
            <w:pPr>
              <w:rPr>
                <w:rFonts w:ascii="宋体"/>
              </w:rPr>
            </w:pPr>
          </w:p>
        </w:tc>
        <w:tc>
          <w:tcPr>
            <w:tcW w:w="50" w:type="pct"/>
            <w:shd w:val="clear" w:color="auto" w:fill="auto"/>
          </w:tcPr>
          <w:p w14:paraId="7DD008F4" w14:textId="77777777" w:rsidR="00C1563E" w:rsidRDefault="00C1563E">
            <w:pPr>
              <w:rPr>
                <w:rFonts w:ascii="宋体"/>
              </w:rPr>
            </w:pPr>
          </w:p>
        </w:tc>
        <w:tc>
          <w:tcPr>
            <w:tcW w:w="873" w:type="pct"/>
            <w:shd w:val="clear" w:color="auto" w:fill="auto"/>
          </w:tcPr>
          <w:p w14:paraId="7DD008F5" w14:textId="77777777" w:rsidR="00C1563E" w:rsidRDefault="00C1563E">
            <w:pPr>
              <w:rPr>
                <w:rFonts w:ascii="宋体"/>
              </w:rPr>
            </w:pPr>
          </w:p>
        </w:tc>
        <w:tc>
          <w:tcPr>
            <w:tcW w:w="5" w:type="pct"/>
            <w:shd w:val="clear" w:color="auto" w:fill="auto"/>
          </w:tcPr>
          <w:p w14:paraId="7DD008F6" w14:textId="77777777" w:rsidR="00C1563E" w:rsidRDefault="00C1563E">
            <w:pPr>
              <w:rPr>
                <w:rFonts w:ascii="宋体"/>
              </w:rPr>
            </w:pPr>
          </w:p>
        </w:tc>
        <w:tc>
          <w:tcPr>
            <w:tcW w:w="5" w:type="pct"/>
            <w:shd w:val="clear" w:color="auto" w:fill="auto"/>
          </w:tcPr>
          <w:p w14:paraId="7DD008F7" w14:textId="77777777" w:rsidR="00C1563E" w:rsidRDefault="00C1563E">
            <w:pPr>
              <w:rPr>
                <w:rFonts w:ascii="宋体"/>
              </w:rPr>
            </w:pPr>
          </w:p>
        </w:tc>
        <w:tc>
          <w:tcPr>
            <w:tcW w:w="19" w:type="pct"/>
            <w:shd w:val="clear" w:color="auto" w:fill="auto"/>
          </w:tcPr>
          <w:p w14:paraId="7DD008F8" w14:textId="77777777" w:rsidR="00C1563E" w:rsidRDefault="00C1563E">
            <w:pPr>
              <w:rPr>
                <w:rFonts w:ascii="宋体"/>
              </w:rPr>
            </w:pPr>
          </w:p>
        </w:tc>
        <w:tc>
          <w:tcPr>
            <w:tcW w:w="5" w:type="pct"/>
            <w:shd w:val="clear" w:color="auto" w:fill="auto"/>
          </w:tcPr>
          <w:p w14:paraId="7DD008F9" w14:textId="77777777" w:rsidR="00C1563E" w:rsidRDefault="00C1563E">
            <w:pPr>
              <w:rPr>
                <w:rFonts w:ascii="宋体"/>
              </w:rPr>
            </w:pPr>
          </w:p>
        </w:tc>
        <w:tc>
          <w:tcPr>
            <w:tcW w:w="50" w:type="pct"/>
            <w:shd w:val="clear" w:color="auto" w:fill="auto"/>
          </w:tcPr>
          <w:p w14:paraId="7DD008FA" w14:textId="77777777" w:rsidR="00C1563E" w:rsidRDefault="00C1563E">
            <w:pPr>
              <w:rPr>
                <w:rFonts w:ascii="宋体"/>
              </w:rPr>
            </w:pPr>
          </w:p>
        </w:tc>
        <w:tc>
          <w:tcPr>
            <w:tcW w:w="873" w:type="pct"/>
            <w:shd w:val="clear" w:color="auto" w:fill="auto"/>
          </w:tcPr>
          <w:p w14:paraId="7DD008FB" w14:textId="77777777" w:rsidR="00C1563E" w:rsidRDefault="00C1563E">
            <w:pPr>
              <w:rPr>
                <w:rFonts w:ascii="宋体"/>
              </w:rPr>
            </w:pPr>
          </w:p>
        </w:tc>
        <w:tc>
          <w:tcPr>
            <w:tcW w:w="5" w:type="pct"/>
            <w:shd w:val="clear" w:color="auto" w:fill="auto"/>
          </w:tcPr>
          <w:p w14:paraId="7DD008FC" w14:textId="77777777" w:rsidR="00C1563E" w:rsidRDefault="00C1563E">
            <w:pPr>
              <w:rPr>
                <w:rFonts w:ascii="宋体"/>
              </w:rPr>
            </w:pPr>
          </w:p>
        </w:tc>
        <w:tc>
          <w:tcPr>
            <w:tcW w:w="5" w:type="pct"/>
            <w:shd w:val="clear" w:color="auto" w:fill="auto"/>
          </w:tcPr>
          <w:p w14:paraId="7DD008FD" w14:textId="77777777" w:rsidR="00C1563E" w:rsidRDefault="00C1563E">
            <w:pPr>
              <w:rPr>
                <w:rFonts w:ascii="宋体"/>
              </w:rPr>
            </w:pPr>
          </w:p>
        </w:tc>
        <w:tc>
          <w:tcPr>
            <w:tcW w:w="19" w:type="pct"/>
            <w:shd w:val="clear" w:color="auto" w:fill="auto"/>
          </w:tcPr>
          <w:p w14:paraId="7DD008FE" w14:textId="77777777" w:rsidR="00C1563E" w:rsidRDefault="00C1563E">
            <w:pPr>
              <w:rPr>
                <w:rFonts w:ascii="宋体"/>
              </w:rPr>
            </w:pPr>
          </w:p>
        </w:tc>
        <w:tc>
          <w:tcPr>
            <w:tcW w:w="5" w:type="pct"/>
            <w:shd w:val="clear" w:color="auto" w:fill="auto"/>
          </w:tcPr>
          <w:p w14:paraId="7DD008FF" w14:textId="77777777" w:rsidR="00C1563E" w:rsidRDefault="00C1563E">
            <w:pPr>
              <w:rPr>
                <w:rFonts w:ascii="宋体"/>
              </w:rPr>
            </w:pPr>
          </w:p>
        </w:tc>
        <w:tc>
          <w:tcPr>
            <w:tcW w:w="50" w:type="pct"/>
            <w:shd w:val="clear" w:color="auto" w:fill="auto"/>
          </w:tcPr>
          <w:p w14:paraId="7DD00900" w14:textId="77777777" w:rsidR="00C1563E" w:rsidRDefault="00C1563E">
            <w:pPr>
              <w:rPr>
                <w:rFonts w:ascii="宋体"/>
              </w:rPr>
            </w:pPr>
          </w:p>
        </w:tc>
        <w:tc>
          <w:tcPr>
            <w:tcW w:w="873" w:type="pct"/>
            <w:shd w:val="clear" w:color="auto" w:fill="auto"/>
          </w:tcPr>
          <w:p w14:paraId="7DD00901" w14:textId="77777777" w:rsidR="00C1563E" w:rsidRDefault="00C1563E">
            <w:pPr>
              <w:rPr>
                <w:rFonts w:ascii="宋体"/>
              </w:rPr>
            </w:pPr>
          </w:p>
        </w:tc>
        <w:tc>
          <w:tcPr>
            <w:tcW w:w="5" w:type="pct"/>
            <w:shd w:val="clear" w:color="auto" w:fill="auto"/>
          </w:tcPr>
          <w:p w14:paraId="7DD00902" w14:textId="77777777" w:rsidR="00C1563E" w:rsidRDefault="00C1563E">
            <w:pPr>
              <w:rPr>
                <w:rFonts w:ascii="宋体"/>
              </w:rPr>
            </w:pPr>
          </w:p>
        </w:tc>
      </w:tr>
      <w:tr w:rsidR="00C1563E" w14:paraId="7DD00906" w14:textId="77777777">
        <w:trPr>
          <w:jc w:val="center"/>
        </w:trPr>
        <w:tc>
          <w:tcPr>
            <w:tcW w:w="0" w:type="auto"/>
            <w:gridSpan w:val="3"/>
            <w:shd w:val="clear" w:color="auto" w:fill="auto"/>
            <w:tcMar>
              <w:top w:w="0" w:type="dxa"/>
              <w:left w:w="20" w:type="dxa"/>
              <w:bottom w:w="0" w:type="dxa"/>
              <w:right w:w="20" w:type="dxa"/>
            </w:tcMar>
          </w:tcPr>
          <w:p w14:paraId="7DD00904"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905"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90D" w14:textId="77777777">
        <w:trPr>
          <w:jc w:val="center"/>
        </w:trPr>
        <w:tc>
          <w:tcPr>
            <w:tcW w:w="0" w:type="auto"/>
            <w:gridSpan w:val="3"/>
            <w:shd w:val="clear" w:color="auto" w:fill="auto"/>
            <w:tcMar>
              <w:top w:w="0" w:type="dxa"/>
              <w:left w:w="20" w:type="dxa"/>
              <w:bottom w:w="0" w:type="dxa"/>
              <w:right w:w="20" w:type="dxa"/>
            </w:tcMar>
          </w:tcPr>
          <w:p w14:paraId="7DD0090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908"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909"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90A"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90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90C"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917" w14:textId="77777777">
        <w:trPr>
          <w:jc w:val="center"/>
        </w:trPr>
        <w:tc>
          <w:tcPr>
            <w:tcW w:w="0" w:type="auto"/>
            <w:gridSpan w:val="3"/>
            <w:shd w:val="clear" w:color="auto" w:fill="CCEEFF"/>
            <w:tcMar>
              <w:top w:w="40" w:type="dxa"/>
              <w:left w:w="20" w:type="dxa"/>
              <w:bottom w:w="40" w:type="dxa"/>
              <w:right w:w="20" w:type="dxa"/>
            </w:tcMar>
            <w:vAlign w:val="bottom"/>
          </w:tcPr>
          <w:p w14:paraId="7DD0090E" w14:textId="77777777" w:rsidR="00C1563E" w:rsidRDefault="000B648B">
            <w:pPr>
              <w:textAlignment w:val="bottom"/>
            </w:pPr>
            <w:r>
              <w:rPr>
                <w:rFonts w:ascii="Times New Roman" w:eastAsia="宋体" w:hAnsi="Times New Roman"/>
                <w:color w:val="000000"/>
                <w:sz w:val="20"/>
                <w:szCs w:val="20"/>
              </w:rPr>
              <w:t xml:space="preserve">U.S. </w:t>
            </w:r>
            <w:r>
              <w:rPr>
                <w:rFonts w:ascii="Times New Roman" w:eastAsia="宋体" w:hAnsi="Times New Roman"/>
                <w:color w:val="000000"/>
                <w:sz w:val="20"/>
                <w:szCs w:val="20"/>
              </w:rPr>
              <w:t>federal statutory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90F" w14:textId="77777777" w:rsidR="00C1563E" w:rsidRDefault="000B648B">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91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0911"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912" w14:textId="77777777" w:rsidR="00C1563E" w:rsidRDefault="000B648B">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913"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091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915" w14:textId="77777777" w:rsidR="00C1563E" w:rsidRDefault="000B648B">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916"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0921" w14:textId="77777777">
        <w:trPr>
          <w:jc w:val="center"/>
        </w:trPr>
        <w:tc>
          <w:tcPr>
            <w:tcW w:w="0" w:type="auto"/>
            <w:gridSpan w:val="3"/>
            <w:shd w:val="clear" w:color="auto" w:fill="FFFFFF"/>
            <w:tcMar>
              <w:top w:w="40" w:type="dxa"/>
              <w:left w:w="20" w:type="dxa"/>
              <w:bottom w:w="40" w:type="dxa"/>
              <w:right w:w="20" w:type="dxa"/>
            </w:tcMar>
            <w:vAlign w:val="bottom"/>
          </w:tcPr>
          <w:p w14:paraId="7DD00918" w14:textId="77777777" w:rsidR="00C1563E" w:rsidRDefault="000B648B">
            <w:pPr>
              <w:textAlignment w:val="bottom"/>
            </w:pPr>
            <w:r>
              <w:rPr>
                <w:rFonts w:ascii="Times New Roman" w:eastAsia="宋体" w:hAnsi="Times New Roman"/>
                <w:color w:val="000000"/>
                <w:sz w:val="20"/>
                <w:szCs w:val="20"/>
              </w:rPr>
              <w:t>State inco</w:t>
            </w:r>
            <w:r>
              <w:rPr>
                <w:rFonts w:ascii="Times New Roman" w:eastAsia="宋体" w:hAnsi="Times New Roman"/>
                <w:color w:val="000000"/>
                <w:sz w:val="20"/>
                <w:szCs w:val="20"/>
              </w:rPr>
              <w:t>me taxes, net of federal tax benefit</w:t>
            </w:r>
          </w:p>
        </w:tc>
        <w:tc>
          <w:tcPr>
            <w:tcW w:w="0" w:type="auto"/>
            <w:gridSpan w:val="2"/>
            <w:shd w:val="clear" w:color="auto" w:fill="FFFFFF"/>
            <w:tcMar>
              <w:top w:w="40" w:type="dxa"/>
              <w:left w:w="20" w:type="dxa"/>
              <w:bottom w:w="40" w:type="dxa"/>
              <w:right w:w="0" w:type="dxa"/>
            </w:tcMar>
            <w:vAlign w:val="bottom"/>
          </w:tcPr>
          <w:p w14:paraId="7DD00919" w14:textId="77777777" w:rsidR="00C1563E" w:rsidRDefault="000B648B">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7DD0091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1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1C" w14:textId="77777777" w:rsidR="00C1563E" w:rsidRDefault="000B648B">
            <w:pPr>
              <w:jc w:val="right"/>
              <w:textAlignment w:val="bottom"/>
            </w:pPr>
            <w:r>
              <w:rPr>
                <w:rFonts w:ascii="Times New Roman" w:eastAsia="宋体" w:hAnsi="Times New Roman"/>
                <w:color w:val="000000"/>
                <w:sz w:val="20"/>
                <w:szCs w:val="20"/>
              </w:rPr>
              <w:t>1194.6 </w:t>
            </w:r>
          </w:p>
        </w:tc>
        <w:tc>
          <w:tcPr>
            <w:tcW w:w="0" w:type="auto"/>
            <w:shd w:val="clear" w:color="auto" w:fill="FFFFFF"/>
            <w:tcMar>
              <w:top w:w="40" w:type="dxa"/>
              <w:left w:w="0" w:type="dxa"/>
              <w:bottom w:w="40" w:type="dxa"/>
              <w:right w:w="20" w:type="dxa"/>
            </w:tcMar>
            <w:vAlign w:val="bottom"/>
          </w:tcPr>
          <w:p w14:paraId="7DD0091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1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1F" w14:textId="77777777" w:rsidR="00C1563E" w:rsidRDefault="000B648B">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7DD00920" w14:textId="77777777" w:rsidR="00C1563E" w:rsidRDefault="00C1563E">
            <w:pPr>
              <w:jc w:val="right"/>
              <w:rPr>
                <w:rFonts w:ascii="宋体"/>
              </w:rPr>
            </w:pPr>
          </w:p>
        </w:tc>
      </w:tr>
      <w:tr w:rsidR="00C1563E" w14:paraId="7DD0092B" w14:textId="77777777">
        <w:trPr>
          <w:jc w:val="center"/>
        </w:trPr>
        <w:tc>
          <w:tcPr>
            <w:tcW w:w="0" w:type="auto"/>
            <w:gridSpan w:val="3"/>
            <w:shd w:val="clear" w:color="auto" w:fill="CCEEFF"/>
            <w:tcMar>
              <w:top w:w="40" w:type="dxa"/>
              <w:left w:w="20" w:type="dxa"/>
              <w:bottom w:w="40" w:type="dxa"/>
              <w:right w:w="20" w:type="dxa"/>
            </w:tcMar>
            <w:vAlign w:val="bottom"/>
          </w:tcPr>
          <w:p w14:paraId="7DD00922" w14:textId="77777777" w:rsidR="00C1563E" w:rsidRDefault="000B648B">
            <w:pPr>
              <w:textAlignment w:val="bottom"/>
            </w:pPr>
            <w:r>
              <w:rPr>
                <w:rFonts w:ascii="Times New Roman" w:eastAsia="宋体" w:hAnsi="Times New Roman"/>
                <w:color w:val="000000"/>
                <w:sz w:val="20"/>
                <w:szCs w:val="20"/>
              </w:rPr>
              <w:t>Tax impact of foreign operations</w:t>
            </w:r>
          </w:p>
        </w:tc>
        <w:tc>
          <w:tcPr>
            <w:tcW w:w="0" w:type="auto"/>
            <w:gridSpan w:val="2"/>
            <w:shd w:val="clear" w:color="auto" w:fill="CCEEFF"/>
            <w:tcMar>
              <w:top w:w="40" w:type="dxa"/>
              <w:left w:w="20" w:type="dxa"/>
              <w:bottom w:w="40" w:type="dxa"/>
              <w:right w:w="0" w:type="dxa"/>
            </w:tcMar>
            <w:vAlign w:val="bottom"/>
          </w:tcPr>
          <w:p w14:paraId="7DD00923" w14:textId="77777777" w:rsidR="00C1563E" w:rsidRDefault="000B648B">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7DD0092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2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26" w14:textId="77777777" w:rsidR="00C1563E" w:rsidRDefault="000B648B">
            <w:pPr>
              <w:jc w:val="right"/>
              <w:textAlignment w:val="bottom"/>
            </w:pPr>
            <w:r>
              <w:rPr>
                <w:rFonts w:ascii="Times New Roman" w:eastAsia="宋体" w:hAnsi="Times New Roman"/>
                <w:color w:val="000000"/>
                <w:sz w:val="20"/>
                <w:szCs w:val="20"/>
              </w:rPr>
              <w:t>(2741.3)</w:t>
            </w:r>
          </w:p>
        </w:tc>
        <w:tc>
          <w:tcPr>
            <w:tcW w:w="0" w:type="auto"/>
            <w:shd w:val="clear" w:color="auto" w:fill="CCEEFF"/>
            <w:tcMar>
              <w:top w:w="40" w:type="dxa"/>
              <w:left w:w="0" w:type="dxa"/>
              <w:bottom w:w="40" w:type="dxa"/>
              <w:right w:w="20" w:type="dxa"/>
            </w:tcMar>
            <w:vAlign w:val="bottom"/>
          </w:tcPr>
          <w:p w14:paraId="7DD0092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2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29" w14:textId="77777777" w:rsidR="00C1563E" w:rsidRDefault="000B648B">
            <w:pPr>
              <w:jc w:val="right"/>
              <w:textAlignment w:val="bottom"/>
            </w:pPr>
            <w:r>
              <w:rPr>
                <w:rFonts w:ascii="Times New Roman" w:eastAsia="宋体" w:hAnsi="Times New Roman"/>
                <w:color w:val="000000"/>
                <w:sz w:val="20"/>
                <w:szCs w:val="20"/>
              </w:rPr>
              <w:t>(19.5)</w:t>
            </w:r>
          </w:p>
        </w:tc>
        <w:tc>
          <w:tcPr>
            <w:tcW w:w="0" w:type="auto"/>
            <w:shd w:val="clear" w:color="auto" w:fill="CCEEFF"/>
            <w:tcMar>
              <w:top w:w="40" w:type="dxa"/>
              <w:left w:w="0" w:type="dxa"/>
              <w:bottom w:w="40" w:type="dxa"/>
              <w:right w:w="20" w:type="dxa"/>
            </w:tcMar>
            <w:vAlign w:val="bottom"/>
          </w:tcPr>
          <w:p w14:paraId="7DD0092A" w14:textId="77777777" w:rsidR="00C1563E" w:rsidRDefault="00C1563E">
            <w:pPr>
              <w:jc w:val="right"/>
              <w:rPr>
                <w:rFonts w:ascii="宋体"/>
              </w:rPr>
            </w:pPr>
          </w:p>
        </w:tc>
      </w:tr>
      <w:tr w:rsidR="00C1563E" w14:paraId="7DD00935" w14:textId="77777777">
        <w:trPr>
          <w:jc w:val="center"/>
        </w:trPr>
        <w:tc>
          <w:tcPr>
            <w:tcW w:w="0" w:type="auto"/>
            <w:gridSpan w:val="3"/>
            <w:shd w:val="clear" w:color="auto" w:fill="FFFFFF"/>
            <w:tcMar>
              <w:top w:w="40" w:type="dxa"/>
              <w:left w:w="20" w:type="dxa"/>
              <w:bottom w:w="40" w:type="dxa"/>
              <w:right w:w="20" w:type="dxa"/>
            </w:tcMar>
            <w:vAlign w:val="bottom"/>
          </w:tcPr>
          <w:p w14:paraId="7DD0092C" w14:textId="77777777" w:rsidR="00C1563E" w:rsidRDefault="000B648B">
            <w:pPr>
              <w:textAlignment w:val="bottom"/>
            </w:pPr>
            <w:r>
              <w:rPr>
                <w:rFonts w:ascii="Times New Roman" w:eastAsia="宋体" w:hAnsi="Times New Roman"/>
                <w:color w:val="000000"/>
                <w:sz w:val="20"/>
                <w:szCs w:val="20"/>
              </w:rPr>
              <w:t>Impact of intangible property transfers</w:t>
            </w:r>
          </w:p>
        </w:tc>
        <w:tc>
          <w:tcPr>
            <w:tcW w:w="0" w:type="auto"/>
            <w:gridSpan w:val="2"/>
            <w:shd w:val="clear" w:color="auto" w:fill="FFFFFF"/>
            <w:tcMar>
              <w:top w:w="40" w:type="dxa"/>
              <w:left w:w="20" w:type="dxa"/>
              <w:bottom w:w="40" w:type="dxa"/>
              <w:right w:w="0" w:type="dxa"/>
            </w:tcMar>
            <w:vAlign w:val="bottom"/>
          </w:tcPr>
          <w:p w14:paraId="7DD0092D" w14:textId="77777777" w:rsidR="00C1563E" w:rsidRDefault="000B648B">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7DD0092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2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30" w14:textId="77777777" w:rsidR="00C1563E" w:rsidRDefault="000B648B">
            <w:pPr>
              <w:jc w:val="right"/>
              <w:textAlignment w:val="bottom"/>
            </w:pPr>
            <w:r>
              <w:rPr>
                <w:rFonts w:ascii="Times New Roman" w:eastAsia="宋体" w:hAnsi="Times New Roman"/>
                <w:color w:val="000000"/>
                <w:sz w:val="20"/>
                <w:szCs w:val="20"/>
              </w:rPr>
              <w:t>123367.9 </w:t>
            </w:r>
          </w:p>
        </w:tc>
        <w:tc>
          <w:tcPr>
            <w:tcW w:w="0" w:type="auto"/>
            <w:shd w:val="clear" w:color="auto" w:fill="FFFFFF"/>
            <w:tcMar>
              <w:top w:w="40" w:type="dxa"/>
              <w:left w:w="0" w:type="dxa"/>
              <w:bottom w:w="40" w:type="dxa"/>
              <w:right w:w="20" w:type="dxa"/>
            </w:tcMar>
            <w:vAlign w:val="bottom"/>
          </w:tcPr>
          <w:p w14:paraId="7DD009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3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34" w14:textId="77777777" w:rsidR="00C1563E" w:rsidRDefault="00C1563E">
            <w:pPr>
              <w:jc w:val="right"/>
              <w:rPr>
                <w:rFonts w:ascii="宋体"/>
              </w:rPr>
            </w:pPr>
          </w:p>
        </w:tc>
      </w:tr>
      <w:tr w:rsidR="00C1563E" w14:paraId="7DD0093F" w14:textId="77777777">
        <w:trPr>
          <w:jc w:val="center"/>
        </w:trPr>
        <w:tc>
          <w:tcPr>
            <w:tcW w:w="0" w:type="auto"/>
            <w:gridSpan w:val="3"/>
            <w:shd w:val="clear" w:color="auto" w:fill="CCEEFF"/>
            <w:tcMar>
              <w:top w:w="40" w:type="dxa"/>
              <w:left w:w="20" w:type="dxa"/>
              <w:bottom w:w="40" w:type="dxa"/>
              <w:right w:w="20" w:type="dxa"/>
            </w:tcMar>
            <w:vAlign w:val="bottom"/>
          </w:tcPr>
          <w:p w14:paraId="7DD00936" w14:textId="77777777" w:rsidR="00C1563E" w:rsidRDefault="000B648B">
            <w:pPr>
              <w:textAlignment w:val="bottom"/>
            </w:pPr>
            <w:r>
              <w:rPr>
                <w:rFonts w:ascii="Times New Roman" w:eastAsia="宋体" w:hAnsi="Times New Roman"/>
                <w:color w:val="000000"/>
                <w:sz w:val="20"/>
                <w:szCs w:val="20"/>
              </w:rPr>
              <w:t>Change in valuation allowance</w:t>
            </w:r>
          </w:p>
        </w:tc>
        <w:tc>
          <w:tcPr>
            <w:tcW w:w="0" w:type="auto"/>
            <w:gridSpan w:val="2"/>
            <w:shd w:val="clear" w:color="auto" w:fill="CCEEFF"/>
            <w:tcMar>
              <w:top w:w="40" w:type="dxa"/>
              <w:left w:w="20" w:type="dxa"/>
              <w:bottom w:w="40" w:type="dxa"/>
              <w:right w:w="0" w:type="dxa"/>
            </w:tcMar>
            <w:vAlign w:val="bottom"/>
          </w:tcPr>
          <w:p w14:paraId="7DD00937" w14:textId="77777777" w:rsidR="00C1563E" w:rsidRDefault="000B648B">
            <w:pPr>
              <w:jc w:val="right"/>
              <w:textAlignment w:val="bottom"/>
            </w:pPr>
            <w:r>
              <w:rPr>
                <w:rFonts w:ascii="Times New Roman" w:eastAsia="宋体" w:hAnsi="Times New Roman"/>
                <w:color w:val="000000"/>
                <w:sz w:val="20"/>
                <w:szCs w:val="20"/>
              </w:rPr>
              <w:t>0.5 </w:t>
            </w:r>
          </w:p>
        </w:tc>
        <w:tc>
          <w:tcPr>
            <w:tcW w:w="0" w:type="auto"/>
            <w:shd w:val="clear" w:color="auto" w:fill="CCEEFF"/>
            <w:tcMar>
              <w:top w:w="40" w:type="dxa"/>
              <w:left w:w="0" w:type="dxa"/>
              <w:bottom w:w="40" w:type="dxa"/>
              <w:right w:w="20" w:type="dxa"/>
            </w:tcMar>
            <w:vAlign w:val="bottom"/>
          </w:tcPr>
          <w:p w14:paraId="7DD009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3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3A" w14:textId="77777777" w:rsidR="00C1563E" w:rsidRDefault="000B648B">
            <w:pPr>
              <w:jc w:val="right"/>
              <w:textAlignment w:val="bottom"/>
            </w:pPr>
            <w:r>
              <w:rPr>
                <w:rFonts w:ascii="Times New Roman" w:eastAsia="宋体" w:hAnsi="Times New Roman"/>
                <w:color w:val="000000"/>
                <w:sz w:val="20"/>
                <w:szCs w:val="20"/>
              </w:rPr>
              <w:t>1030.6 </w:t>
            </w:r>
          </w:p>
        </w:tc>
        <w:tc>
          <w:tcPr>
            <w:tcW w:w="0" w:type="auto"/>
            <w:shd w:val="clear" w:color="auto" w:fill="CCEEFF"/>
            <w:tcMar>
              <w:top w:w="40" w:type="dxa"/>
              <w:left w:w="0" w:type="dxa"/>
              <w:bottom w:w="40" w:type="dxa"/>
              <w:right w:w="20" w:type="dxa"/>
            </w:tcMar>
            <w:vAlign w:val="bottom"/>
          </w:tcPr>
          <w:p w14:paraId="7DD009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3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3D" w14:textId="77777777" w:rsidR="00C1563E" w:rsidRDefault="000B648B">
            <w:pPr>
              <w:jc w:val="right"/>
              <w:textAlignment w:val="bottom"/>
            </w:pPr>
            <w:r>
              <w:rPr>
                <w:rFonts w:ascii="Times New Roman" w:eastAsia="宋体" w:hAnsi="Times New Roman"/>
                <w:color w:val="000000"/>
                <w:sz w:val="20"/>
                <w:szCs w:val="20"/>
              </w:rPr>
              <w:t>(6.6)</w:t>
            </w:r>
          </w:p>
        </w:tc>
        <w:tc>
          <w:tcPr>
            <w:tcW w:w="0" w:type="auto"/>
            <w:shd w:val="clear" w:color="auto" w:fill="CCEEFF"/>
            <w:tcMar>
              <w:top w:w="40" w:type="dxa"/>
              <w:left w:w="0" w:type="dxa"/>
              <w:bottom w:w="40" w:type="dxa"/>
              <w:right w:w="20" w:type="dxa"/>
            </w:tcMar>
            <w:vAlign w:val="bottom"/>
          </w:tcPr>
          <w:p w14:paraId="7DD0093E" w14:textId="77777777" w:rsidR="00C1563E" w:rsidRDefault="00C1563E">
            <w:pPr>
              <w:jc w:val="right"/>
              <w:rPr>
                <w:rFonts w:ascii="宋体"/>
              </w:rPr>
            </w:pPr>
          </w:p>
        </w:tc>
      </w:tr>
      <w:tr w:rsidR="00C1563E" w14:paraId="7DD00949" w14:textId="77777777">
        <w:trPr>
          <w:jc w:val="center"/>
        </w:trPr>
        <w:tc>
          <w:tcPr>
            <w:tcW w:w="0" w:type="auto"/>
            <w:gridSpan w:val="3"/>
            <w:shd w:val="clear" w:color="auto" w:fill="FFFFFF"/>
            <w:tcMar>
              <w:top w:w="40" w:type="dxa"/>
              <w:left w:w="20" w:type="dxa"/>
              <w:bottom w:w="40" w:type="dxa"/>
              <w:right w:w="20" w:type="dxa"/>
            </w:tcMar>
            <w:vAlign w:val="bottom"/>
          </w:tcPr>
          <w:p w14:paraId="7DD00940" w14:textId="77777777" w:rsidR="00C1563E" w:rsidRDefault="000B648B">
            <w:pPr>
              <w:textAlignment w:val="bottom"/>
            </w:pPr>
            <w:r>
              <w:rPr>
                <w:rFonts w:ascii="Times New Roman" w:eastAsia="宋体" w:hAnsi="Times New Roman"/>
                <w:color w:val="000000"/>
                <w:sz w:val="20"/>
                <w:szCs w:val="20"/>
              </w:rPr>
              <w:t>Indirect tax effects of adoption of new revenue standard</w:t>
            </w:r>
          </w:p>
        </w:tc>
        <w:tc>
          <w:tcPr>
            <w:tcW w:w="0" w:type="auto"/>
            <w:gridSpan w:val="2"/>
            <w:shd w:val="clear" w:color="auto" w:fill="FFFFFF"/>
            <w:tcMar>
              <w:top w:w="40" w:type="dxa"/>
              <w:left w:w="20" w:type="dxa"/>
              <w:bottom w:w="40" w:type="dxa"/>
              <w:right w:w="0" w:type="dxa"/>
            </w:tcMar>
            <w:vAlign w:val="bottom"/>
          </w:tcPr>
          <w:p w14:paraId="7DD0094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4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4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4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4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4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47" w14:textId="77777777" w:rsidR="00C1563E" w:rsidRDefault="000B648B">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7DD00948" w14:textId="77777777" w:rsidR="00C1563E" w:rsidRDefault="00C1563E">
            <w:pPr>
              <w:jc w:val="right"/>
              <w:rPr>
                <w:rFonts w:ascii="宋体"/>
              </w:rPr>
            </w:pPr>
          </w:p>
        </w:tc>
      </w:tr>
      <w:tr w:rsidR="00C1563E" w14:paraId="7DD00953" w14:textId="77777777">
        <w:trPr>
          <w:jc w:val="center"/>
        </w:trPr>
        <w:tc>
          <w:tcPr>
            <w:tcW w:w="0" w:type="auto"/>
            <w:gridSpan w:val="3"/>
            <w:shd w:val="clear" w:color="auto" w:fill="CCEEFF"/>
            <w:tcMar>
              <w:top w:w="40" w:type="dxa"/>
              <w:left w:w="20" w:type="dxa"/>
              <w:bottom w:w="40" w:type="dxa"/>
              <w:right w:w="20" w:type="dxa"/>
            </w:tcMar>
            <w:vAlign w:val="bottom"/>
          </w:tcPr>
          <w:p w14:paraId="7DD0094A" w14:textId="77777777" w:rsidR="00C1563E" w:rsidRDefault="000B648B">
            <w:pPr>
              <w:textAlignment w:val="bottom"/>
            </w:pPr>
            <w:r>
              <w:rPr>
                <w:rFonts w:ascii="Times New Roman" w:eastAsia="宋体" w:hAnsi="Times New Roman"/>
                <w:color w:val="000000"/>
                <w:sz w:val="20"/>
                <w:szCs w:val="20"/>
              </w:rPr>
              <w:t>U.S. Tax Reform (a)</w:t>
            </w:r>
          </w:p>
        </w:tc>
        <w:tc>
          <w:tcPr>
            <w:tcW w:w="0" w:type="auto"/>
            <w:gridSpan w:val="2"/>
            <w:shd w:val="clear" w:color="auto" w:fill="CCEEFF"/>
            <w:tcMar>
              <w:top w:w="40" w:type="dxa"/>
              <w:left w:w="20" w:type="dxa"/>
              <w:bottom w:w="40" w:type="dxa"/>
              <w:right w:w="0" w:type="dxa"/>
            </w:tcMar>
            <w:vAlign w:val="bottom"/>
          </w:tcPr>
          <w:p w14:paraId="7DD0094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94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4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4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94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5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51"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D00952" w14:textId="77777777" w:rsidR="00C1563E" w:rsidRDefault="00C1563E">
            <w:pPr>
              <w:jc w:val="right"/>
              <w:rPr>
                <w:rFonts w:ascii="宋体"/>
              </w:rPr>
            </w:pPr>
          </w:p>
        </w:tc>
      </w:tr>
      <w:tr w:rsidR="00C1563E" w14:paraId="7DD0095D" w14:textId="77777777">
        <w:trPr>
          <w:jc w:val="center"/>
        </w:trPr>
        <w:tc>
          <w:tcPr>
            <w:tcW w:w="0" w:type="auto"/>
            <w:gridSpan w:val="3"/>
            <w:shd w:val="clear" w:color="auto" w:fill="FFFFFF"/>
            <w:tcMar>
              <w:top w:w="40" w:type="dxa"/>
              <w:left w:w="20" w:type="dxa"/>
              <w:bottom w:w="40" w:type="dxa"/>
              <w:right w:w="20" w:type="dxa"/>
            </w:tcMar>
            <w:vAlign w:val="bottom"/>
          </w:tcPr>
          <w:p w14:paraId="7DD00954" w14:textId="77777777" w:rsidR="00C1563E" w:rsidRDefault="000B648B">
            <w:pPr>
              <w:textAlignment w:val="bottom"/>
            </w:pPr>
            <w:r>
              <w:rPr>
                <w:rFonts w:ascii="Times New Roman" w:eastAsia="宋体" w:hAnsi="Times New Roman"/>
                <w:color w:val="000000"/>
                <w:sz w:val="20"/>
                <w:szCs w:val="20"/>
              </w:rPr>
              <w:t>U.S. tax audit settlement</w:t>
            </w:r>
          </w:p>
        </w:tc>
        <w:tc>
          <w:tcPr>
            <w:tcW w:w="0" w:type="auto"/>
            <w:gridSpan w:val="2"/>
            <w:shd w:val="clear" w:color="auto" w:fill="FFFFFF"/>
            <w:tcMar>
              <w:top w:w="40" w:type="dxa"/>
              <w:left w:w="20" w:type="dxa"/>
              <w:bottom w:w="40" w:type="dxa"/>
              <w:right w:w="0" w:type="dxa"/>
            </w:tcMar>
            <w:vAlign w:val="bottom"/>
          </w:tcPr>
          <w:p w14:paraId="7DD00955" w14:textId="77777777" w:rsidR="00C1563E" w:rsidRDefault="000B648B">
            <w:pPr>
              <w:jc w:val="right"/>
              <w:textAlignment w:val="bottom"/>
            </w:pPr>
            <w:r>
              <w:rPr>
                <w:rFonts w:ascii="Times New Roman" w:eastAsia="宋体" w:hAnsi="Times New Roman"/>
                <w:color w:val="000000"/>
                <w:sz w:val="20"/>
                <w:szCs w:val="20"/>
              </w:rPr>
              <w:t>(20.3)</w:t>
            </w:r>
          </w:p>
        </w:tc>
        <w:tc>
          <w:tcPr>
            <w:tcW w:w="0" w:type="auto"/>
            <w:shd w:val="clear" w:color="auto" w:fill="FFFFFF"/>
            <w:tcMar>
              <w:top w:w="40" w:type="dxa"/>
              <w:left w:w="0" w:type="dxa"/>
              <w:bottom w:w="40" w:type="dxa"/>
              <w:right w:w="20" w:type="dxa"/>
            </w:tcMar>
            <w:vAlign w:val="bottom"/>
          </w:tcPr>
          <w:p w14:paraId="7DD0095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5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58" w14:textId="77777777" w:rsidR="00C1563E" w:rsidRDefault="000B648B">
            <w:pPr>
              <w:jc w:val="right"/>
              <w:textAlignment w:val="bottom"/>
            </w:pPr>
            <w:r>
              <w:rPr>
                <w:rFonts w:ascii="Times New Roman" w:eastAsia="宋体" w:hAnsi="Times New Roman"/>
                <w:color w:val="000000"/>
                <w:sz w:val="20"/>
                <w:szCs w:val="20"/>
              </w:rPr>
              <w:t>7615.7 </w:t>
            </w:r>
          </w:p>
        </w:tc>
        <w:tc>
          <w:tcPr>
            <w:tcW w:w="0" w:type="auto"/>
            <w:shd w:val="clear" w:color="auto" w:fill="FFFFFF"/>
            <w:tcMar>
              <w:top w:w="40" w:type="dxa"/>
              <w:left w:w="0" w:type="dxa"/>
              <w:bottom w:w="40" w:type="dxa"/>
              <w:right w:w="20" w:type="dxa"/>
            </w:tcMar>
            <w:vAlign w:val="bottom"/>
          </w:tcPr>
          <w:p w14:paraId="7DD0095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5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5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5C" w14:textId="77777777" w:rsidR="00C1563E" w:rsidRDefault="00C1563E">
            <w:pPr>
              <w:jc w:val="right"/>
              <w:rPr>
                <w:rFonts w:ascii="宋体"/>
              </w:rPr>
            </w:pPr>
          </w:p>
        </w:tc>
      </w:tr>
      <w:tr w:rsidR="00C1563E" w14:paraId="7DD00967" w14:textId="77777777">
        <w:trPr>
          <w:jc w:val="center"/>
        </w:trPr>
        <w:tc>
          <w:tcPr>
            <w:tcW w:w="0" w:type="auto"/>
            <w:gridSpan w:val="3"/>
            <w:shd w:val="clear" w:color="auto" w:fill="CCEEFF"/>
            <w:tcMar>
              <w:top w:w="40" w:type="dxa"/>
              <w:left w:w="20" w:type="dxa"/>
              <w:bottom w:w="40" w:type="dxa"/>
              <w:right w:w="20" w:type="dxa"/>
            </w:tcMar>
            <w:vAlign w:val="bottom"/>
          </w:tcPr>
          <w:p w14:paraId="7DD0095E" w14:textId="77777777" w:rsidR="00C1563E" w:rsidRDefault="000B648B">
            <w:pPr>
              <w:textAlignment w:val="bottom"/>
            </w:pPr>
            <w:r>
              <w:rPr>
                <w:rFonts w:ascii="Times New Roman" w:eastAsia="宋体" w:hAnsi="Times New Roman"/>
                <w:color w:val="000000"/>
                <w:sz w:val="20"/>
                <w:szCs w:val="20"/>
              </w:rPr>
              <w:t>Non-deductible transaction-related costs</w:t>
            </w:r>
          </w:p>
        </w:tc>
        <w:tc>
          <w:tcPr>
            <w:tcW w:w="0" w:type="auto"/>
            <w:gridSpan w:val="2"/>
            <w:shd w:val="clear" w:color="auto" w:fill="CCEEFF"/>
            <w:tcMar>
              <w:top w:w="40" w:type="dxa"/>
              <w:left w:w="20" w:type="dxa"/>
              <w:bottom w:w="40" w:type="dxa"/>
              <w:right w:w="0" w:type="dxa"/>
            </w:tcMar>
            <w:vAlign w:val="bottom"/>
          </w:tcPr>
          <w:p w14:paraId="7DD0095F" w14:textId="77777777" w:rsidR="00C1563E" w:rsidRDefault="000B648B">
            <w:pPr>
              <w:jc w:val="right"/>
              <w:textAlignment w:val="bottom"/>
            </w:pPr>
            <w:r>
              <w:rPr>
                <w:rFonts w:ascii="Times New Roman" w:eastAsia="宋体" w:hAnsi="Times New Roman"/>
                <w:color w:val="000000"/>
                <w:sz w:val="20"/>
                <w:szCs w:val="20"/>
              </w:rPr>
              <w:t>0.7 </w:t>
            </w:r>
          </w:p>
        </w:tc>
        <w:tc>
          <w:tcPr>
            <w:tcW w:w="0" w:type="auto"/>
            <w:shd w:val="clear" w:color="auto" w:fill="CCEEFF"/>
            <w:tcMar>
              <w:top w:w="40" w:type="dxa"/>
              <w:left w:w="0" w:type="dxa"/>
              <w:bottom w:w="40" w:type="dxa"/>
              <w:right w:w="20" w:type="dxa"/>
            </w:tcMar>
            <w:vAlign w:val="bottom"/>
          </w:tcPr>
          <w:p w14:paraId="7DD0096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6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62" w14:textId="77777777" w:rsidR="00C1563E" w:rsidRDefault="000B648B">
            <w:pPr>
              <w:jc w:val="right"/>
              <w:textAlignment w:val="bottom"/>
            </w:pPr>
            <w:r>
              <w:rPr>
                <w:rFonts w:ascii="Times New Roman" w:eastAsia="宋体" w:hAnsi="Times New Roman"/>
                <w:color w:val="000000"/>
                <w:sz w:val="20"/>
                <w:szCs w:val="20"/>
              </w:rPr>
              <w:t>(700.0)</w:t>
            </w:r>
          </w:p>
        </w:tc>
        <w:tc>
          <w:tcPr>
            <w:tcW w:w="0" w:type="auto"/>
            <w:shd w:val="clear" w:color="auto" w:fill="CCEEFF"/>
            <w:tcMar>
              <w:top w:w="40" w:type="dxa"/>
              <w:left w:w="0" w:type="dxa"/>
              <w:bottom w:w="40" w:type="dxa"/>
              <w:right w:w="20" w:type="dxa"/>
            </w:tcMar>
            <w:vAlign w:val="bottom"/>
          </w:tcPr>
          <w:p w14:paraId="7DD0096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6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65" w14:textId="77777777" w:rsidR="00C1563E" w:rsidRDefault="000B648B">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7DD00966" w14:textId="77777777" w:rsidR="00C1563E" w:rsidRDefault="00C1563E">
            <w:pPr>
              <w:jc w:val="right"/>
              <w:rPr>
                <w:rFonts w:ascii="宋体"/>
              </w:rPr>
            </w:pPr>
          </w:p>
        </w:tc>
      </w:tr>
      <w:tr w:rsidR="00C1563E" w14:paraId="7DD00971" w14:textId="77777777">
        <w:trPr>
          <w:jc w:val="center"/>
        </w:trPr>
        <w:tc>
          <w:tcPr>
            <w:tcW w:w="0" w:type="auto"/>
            <w:gridSpan w:val="3"/>
            <w:shd w:val="clear" w:color="auto" w:fill="FFFFFF"/>
            <w:tcMar>
              <w:top w:w="40" w:type="dxa"/>
              <w:left w:w="20" w:type="dxa"/>
              <w:bottom w:w="40" w:type="dxa"/>
              <w:right w:w="20" w:type="dxa"/>
            </w:tcMar>
            <w:vAlign w:val="bottom"/>
          </w:tcPr>
          <w:p w14:paraId="7DD00968" w14:textId="77777777" w:rsidR="00C1563E" w:rsidRDefault="000B648B">
            <w:pPr>
              <w:textAlignment w:val="bottom"/>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w:t>
            </w:r>
          </w:p>
        </w:tc>
        <w:tc>
          <w:tcPr>
            <w:tcW w:w="0" w:type="auto"/>
            <w:gridSpan w:val="2"/>
            <w:shd w:val="clear" w:color="auto" w:fill="FFFFFF"/>
            <w:tcMar>
              <w:top w:w="40" w:type="dxa"/>
              <w:left w:w="20" w:type="dxa"/>
              <w:bottom w:w="40" w:type="dxa"/>
              <w:right w:w="0" w:type="dxa"/>
            </w:tcMar>
            <w:vAlign w:val="bottom"/>
          </w:tcPr>
          <w:p w14:paraId="7DD00969" w14:textId="77777777" w:rsidR="00C1563E" w:rsidRDefault="000B648B">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7DD0096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6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6C" w14:textId="77777777" w:rsidR="00C1563E" w:rsidRDefault="000B648B">
            <w:pPr>
              <w:jc w:val="right"/>
              <w:textAlignment w:val="bottom"/>
            </w:pPr>
            <w:r>
              <w:rPr>
                <w:rFonts w:ascii="Times New Roman" w:eastAsia="宋体" w:hAnsi="Times New Roman"/>
                <w:color w:val="000000"/>
                <w:sz w:val="20"/>
                <w:szCs w:val="20"/>
              </w:rPr>
              <w:t>5873.2 </w:t>
            </w:r>
          </w:p>
        </w:tc>
        <w:tc>
          <w:tcPr>
            <w:tcW w:w="0" w:type="auto"/>
            <w:shd w:val="clear" w:color="auto" w:fill="FFFFFF"/>
            <w:tcMar>
              <w:top w:w="40" w:type="dxa"/>
              <w:left w:w="0" w:type="dxa"/>
              <w:bottom w:w="40" w:type="dxa"/>
              <w:right w:w="20" w:type="dxa"/>
            </w:tcMar>
            <w:vAlign w:val="bottom"/>
          </w:tcPr>
          <w:p w14:paraId="7DD009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6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6F" w14:textId="77777777" w:rsidR="00C1563E" w:rsidRDefault="000B648B">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7DD00970" w14:textId="77777777" w:rsidR="00C1563E" w:rsidRDefault="00C1563E">
            <w:pPr>
              <w:jc w:val="right"/>
              <w:rPr>
                <w:rFonts w:ascii="宋体"/>
              </w:rPr>
            </w:pPr>
          </w:p>
        </w:tc>
      </w:tr>
      <w:tr w:rsidR="00C1563E" w14:paraId="7DD0097B" w14:textId="77777777">
        <w:trPr>
          <w:jc w:val="center"/>
        </w:trPr>
        <w:tc>
          <w:tcPr>
            <w:tcW w:w="0" w:type="auto"/>
            <w:gridSpan w:val="3"/>
            <w:shd w:val="clear" w:color="auto" w:fill="CCEEFF"/>
            <w:tcMar>
              <w:top w:w="40" w:type="dxa"/>
              <w:left w:w="20" w:type="dxa"/>
              <w:bottom w:w="40" w:type="dxa"/>
              <w:right w:w="20" w:type="dxa"/>
            </w:tcMar>
            <w:vAlign w:val="bottom"/>
          </w:tcPr>
          <w:p w14:paraId="7DD00972" w14:textId="77777777" w:rsidR="00C1563E" w:rsidRDefault="000B648B">
            <w:pPr>
              <w:textAlignment w:val="bottom"/>
            </w:pPr>
            <w:r>
              <w:rPr>
                <w:rFonts w:ascii="Times New Roman" w:eastAsia="宋体" w:hAnsi="Times New Roman"/>
                <w:color w:val="000000"/>
                <w:sz w:val="20"/>
                <w:szCs w:val="20"/>
              </w:rPr>
              <w:t>U.S. R&amp;D tax credits</w:t>
            </w:r>
          </w:p>
        </w:tc>
        <w:tc>
          <w:tcPr>
            <w:tcW w:w="0" w:type="auto"/>
            <w:gridSpan w:val="2"/>
            <w:shd w:val="clear" w:color="auto" w:fill="CCEEFF"/>
            <w:tcMar>
              <w:top w:w="40" w:type="dxa"/>
              <w:left w:w="20" w:type="dxa"/>
              <w:bottom w:w="40" w:type="dxa"/>
              <w:right w:w="0" w:type="dxa"/>
            </w:tcMar>
            <w:vAlign w:val="bottom"/>
          </w:tcPr>
          <w:p w14:paraId="7DD00973" w14:textId="77777777" w:rsidR="00C1563E" w:rsidRDefault="000B648B">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left w:w="0" w:type="dxa"/>
              <w:bottom w:w="40" w:type="dxa"/>
              <w:right w:w="20" w:type="dxa"/>
            </w:tcMar>
            <w:vAlign w:val="bottom"/>
          </w:tcPr>
          <w:p w14:paraId="7DD0097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7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76" w14:textId="77777777" w:rsidR="00C1563E" w:rsidRDefault="000B648B">
            <w:pPr>
              <w:jc w:val="right"/>
              <w:textAlignment w:val="bottom"/>
            </w:pPr>
            <w:r>
              <w:rPr>
                <w:rFonts w:ascii="Times New Roman" w:eastAsia="宋体" w:hAnsi="Times New Roman"/>
                <w:color w:val="000000"/>
                <w:sz w:val="20"/>
                <w:szCs w:val="20"/>
              </w:rPr>
              <w:t>4424.9 </w:t>
            </w:r>
          </w:p>
        </w:tc>
        <w:tc>
          <w:tcPr>
            <w:tcW w:w="0" w:type="auto"/>
            <w:shd w:val="clear" w:color="auto" w:fill="CCEEFF"/>
            <w:tcMar>
              <w:top w:w="40" w:type="dxa"/>
              <w:left w:w="0" w:type="dxa"/>
              <w:bottom w:w="40" w:type="dxa"/>
              <w:right w:w="20" w:type="dxa"/>
            </w:tcMar>
            <w:vAlign w:val="bottom"/>
          </w:tcPr>
          <w:p w14:paraId="7DD009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7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79" w14:textId="77777777" w:rsidR="00C1563E" w:rsidRDefault="000B648B">
            <w:pPr>
              <w:jc w:val="right"/>
              <w:textAlignment w:val="bottom"/>
            </w:pPr>
            <w:r>
              <w:rPr>
                <w:rFonts w:ascii="Times New Roman" w:eastAsia="宋体" w:hAnsi="Times New Roman"/>
                <w:color w:val="000000"/>
                <w:sz w:val="20"/>
                <w:szCs w:val="20"/>
              </w:rPr>
              <w:t>6.9 </w:t>
            </w:r>
          </w:p>
        </w:tc>
        <w:tc>
          <w:tcPr>
            <w:tcW w:w="0" w:type="auto"/>
            <w:shd w:val="clear" w:color="auto" w:fill="CCEEFF"/>
            <w:tcMar>
              <w:top w:w="40" w:type="dxa"/>
              <w:left w:w="0" w:type="dxa"/>
              <w:bottom w:w="40" w:type="dxa"/>
              <w:right w:w="20" w:type="dxa"/>
            </w:tcMar>
            <w:vAlign w:val="bottom"/>
          </w:tcPr>
          <w:p w14:paraId="7DD0097A" w14:textId="77777777" w:rsidR="00C1563E" w:rsidRDefault="00C1563E">
            <w:pPr>
              <w:jc w:val="right"/>
              <w:rPr>
                <w:rFonts w:ascii="宋体"/>
              </w:rPr>
            </w:pPr>
          </w:p>
        </w:tc>
      </w:tr>
      <w:tr w:rsidR="00C1563E" w14:paraId="7DD00985" w14:textId="77777777">
        <w:trPr>
          <w:jc w:val="center"/>
        </w:trPr>
        <w:tc>
          <w:tcPr>
            <w:tcW w:w="0" w:type="auto"/>
            <w:gridSpan w:val="3"/>
            <w:shd w:val="clear" w:color="auto" w:fill="FFFFFF"/>
            <w:tcMar>
              <w:top w:w="40" w:type="dxa"/>
              <w:left w:w="20" w:type="dxa"/>
              <w:bottom w:w="40" w:type="dxa"/>
              <w:right w:w="20" w:type="dxa"/>
            </w:tcMar>
            <w:vAlign w:val="bottom"/>
          </w:tcPr>
          <w:p w14:paraId="7DD0097C" w14:textId="77777777" w:rsidR="00C1563E" w:rsidRDefault="000B648B">
            <w:pPr>
              <w:textAlignment w:val="bottom"/>
            </w:pPr>
            <w:r>
              <w:rPr>
                <w:rFonts w:ascii="Times New Roman" w:eastAsia="宋体" w:hAnsi="Times New Roman"/>
                <w:color w:val="000000"/>
                <w:sz w:val="20"/>
                <w:szCs w:val="20"/>
              </w:rPr>
              <w:t>RSA Security divestiture</w:t>
            </w:r>
          </w:p>
        </w:tc>
        <w:tc>
          <w:tcPr>
            <w:tcW w:w="0" w:type="auto"/>
            <w:gridSpan w:val="2"/>
            <w:shd w:val="clear" w:color="auto" w:fill="FFFFFF"/>
            <w:tcMar>
              <w:top w:w="40" w:type="dxa"/>
              <w:left w:w="20" w:type="dxa"/>
              <w:bottom w:w="40" w:type="dxa"/>
              <w:right w:w="0" w:type="dxa"/>
            </w:tcMar>
            <w:vAlign w:val="bottom"/>
          </w:tcPr>
          <w:p w14:paraId="7DD0097D" w14:textId="77777777" w:rsidR="00C1563E" w:rsidRDefault="000B648B">
            <w:pPr>
              <w:jc w:val="right"/>
              <w:textAlignment w:val="bottom"/>
            </w:pPr>
            <w:r>
              <w:rPr>
                <w:rFonts w:ascii="Times New Roman" w:eastAsia="宋体" w:hAnsi="Times New Roman"/>
                <w:color w:val="000000"/>
                <w:sz w:val="20"/>
                <w:szCs w:val="20"/>
              </w:rPr>
              <w:t>7.8 </w:t>
            </w:r>
          </w:p>
        </w:tc>
        <w:tc>
          <w:tcPr>
            <w:tcW w:w="0" w:type="auto"/>
            <w:shd w:val="clear" w:color="auto" w:fill="FFFFFF"/>
            <w:tcMar>
              <w:top w:w="40" w:type="dxa"/>
              <w:left w:w="0" w:type="dxa"/>
              <w:bottom w:w="40" w:type="dxa"/>
              <w:right w:w="20" w:type="dxa"/>
            </w:tcMar>
            <w:vAlign w:val="bottom"/>
          </w:tcPr>
          <w:p w14:paraId="7DD0097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7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8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8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8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8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984" w14:textId="77777777" w:rsidR="00C1563E" w:rsidRDefault="00C1563E">
            <w:pPr>
              <w:jc w:val="right"/>
              <w:rPr>
                <w:rFonts w:ascii="宋体"/>
              </w:rPr>
            </w:pPr>
          </w:p>
        </w:tc>
      </w:tr>
      <w:tr w:rsidR="00C1563E" w14:paraId="7DD0098F" w14:textId="77777777">
        <w:trPr>
          <w:jc w:val="center"/>
        </w:trPr>
        <w:tc>
          <w:tcPr>
            <w:tcW w:w="0" w:type="auto"/>
            <w:gridSpan w:val="3"/>
            <w:shd w:val="clear" w:color="auto" w:fill="CCEEFF"/>
            <w:tcMar>
              <w:top w:w="40" w:type="dxa"/>
              <w:left w:w="20" w:type="dxa"/>
              <w:bottom w:w="40" w:type="dxa"/>
              <w:right w:w="20" w:type="dxa"/>
            </w:tcMar>
            <w:vAlign w:val="bottom"/>
          </w:tcPr>
          <w:p w14:paraId="7DD00986"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0987"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D0098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8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8A" w14:textId="77777777" w:rsidR="00C1563E" w:rsidRDefault="000B648B">
            <w:pPr>
              <w:jc w:val="right"/>
              <w:textAlignment w:val="bottom"/>
            </w:pPr>
            <w:r>
              <w:rPr>
                <w:rFonts w:ascii="Times New Roman" w:eastAsia="宋体" w:hAnsi="Times New Roman"/>
                <w:color w:val="000000"/>
                <w:sz w:val="20"/>
                <w:szCs w:val="20"/>
              </w:rPr>
              <w:t>(1761.6)</w:t>
            </w:r>
          </w:p>
        </w:tc>
        <w:tc>
          <w:tcPr>
            <w:tcW w:w="0" w:type="auto"/>
            <w:shd w:val="clear" w:color="auto" w:fill="CCEEFF"/>
            <w:tcMar>
              <w:top w:w="40" w:type="dxa"/>
              <w:left w:w="0" w:type="dxa"/>
              <w:bottom w:w="40" w:type="dxa"/>
              <w:right w:w="20" w:type="dxa"/>
            </w:tcMar>
            <w:vAlign w:val="bottom"/>
          </w:tcPr>
          <w:p w14:paraId="7DD0098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8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8D" w14:textId="77777777" w:rsidR="00C1563E" w:rsidRDefault="000B648B">
            <w:pPr>
              <w:jc w:val="right"/>
              <w:textAlignment w:val="bottom"/>
            </w:pPr>
            <w:r>
              <w:rPr>
                <w:rFonts w:ascii="Times New Roman" w:eastAsia="宋体" w:hAnsi="Times New Roman"/>
                <w:color w:val="000000"/>
                <w:sz w:val="20"/>
                <w:szCs w:val="20"/>
              </w:rPr>
              <w:t>(4.9)</w:t>
            </w:r>
          </w:p>
        </w:tc>
        <w:tc>
          <w:tcPr>
            <w:tcW w:w="0" w:type="auto"/>
            <w:shd w:val="clear" w:color="auto" w:fill="CCEEFF"/>
            <w:tcMar>
              <w:top w:w="40" w:type="dxa"/>
              <w:left w:w="0" w:type="dxa"/>
              <w:bottom w:w="40" w:type="dxa"/>
              <w:right w:w="20" w:type="dxa"/>
            </w:tcMar>
            <w:vAlign w:val="bottom"/>
          </w:tcPr>
          <w:p w14:paraId="7DD0098E" w14:textId="77777777" w:rsidR="00C1563E" w:rsidRDefault="00C1563E">
            <w:pPr>
              <w:jc w:val="right"/>
              <w:rPr>
                <w:rFonts w:ascii="宋体"/>
              </w:rPr>
            </w:pPr>
          </w:p>
        </w:tc>
      </w:tr>
      <w:tr w:rsidR="00C1563E" w14:paraId="7DD00999" w14:textId="77777777">
        <w:trPr>
          <w:jc w:val="center"/>
        </w:trPr>
        <w:tc>
          <w:tcPr>
            <w:tcW w:w="0" w:type="auto"/>
            <w:gridSpan w:val="3"/>
            <w:shd w:val="clear" w:color="auto" w:fill="FFFFFF"/>
            <w:tcMar>
              <w:top w:w="40" w:type="dxa"/>
              <w:left w:w="245" w:type="dxa"/>
              <w:bottom w:w="40" w:type="dxa"/>
              <w:right w:w="20" w:type="dxa"/>
            </w:tcMar>
            <w:vAlign w:val="bottom"/>
          </w:tcPr>
          <w:p w14:paraId="7DD00990" w14:textId="77777777" w:rsidR="00C1563E" w:rsidRDefault="000B648B">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991" w14:textId="77777777" w:rsidR="00C1563E" w:rsidRDefault="000B648B">
            <w:pPr>
              <w:jc w:val="right"/>
              <w:textAlignment w:val="bottom"/>
            </w:pPr>
            <w:r>
              <w:rPr>
                <w:rFonts w:ascii="Times New Roman" w:eastAsia="宋体" w:hAnsi="Times New Roman"/>
                <w:color w:val="000000"/>
                <w:sz w:val="20"/>
                <w:szCs w:val="20"/>
              </w:rPr>
              <w:t>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992"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0993"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994" w14:textId="77777777" w:rsidR="00C1563E" w:rsidRDefault="000B648B">
            <w:pPr>
              <w:jc w:val="right"/>
              <w:textAlignment w:val="bottom"/>
            </w:pPr>
            <w:r>
              <w:rPr>
                <w:rFonts w:ascii="Times New Roman" w:eastAsia="宋体" w:hAnsi="Times New Roman"/>
                <w:color w:val="000000"/>
                <w:sz w:val="20"/>
                <w:szCs w:val="20"/>
              </w:rPr>
              <w:t>138325.0 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995"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0996"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997" w14:textId="77777777" w:rsidR="00C1563E" w:rsidRDefault="000B648B">
            <w:pPr>
              <w:jc w:val="right"/>
              <w:textAlignment w:val="bottom"/>
            </w:pPr>
            <w:r>
              <w:rPr>
                <w:rFonts w:ascii="Times New Roman" w:eastAsia="宋体" w:hAnsi="Times New Roman"/>
                <w:color w:val="000000"/>
                <w:sz w:val="20"/>
                <w:szCs w:val="20"/>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998" w14:textId="77777777" w:rsidR="00C1563E" w:rsidRDefault="000B648B">
            <w:pPr>
              <w:jc w:val="right"/>
              <w:textAlignment w:val="bottom"/>
            </w:pPr>
            <w:r>
              <w:rPr>
                <w:rFonts w:ascii="Times New Roman" w:eastAsia="宋体" w:hAnsi="Times New Roman"/>
                <w:color w:val="000000"/>
                <w:sz w:val="20"/>
                <w:szCs w:val="20"/>
              </w:rPr>
              <w:t>%</w:t>
            </w:r>
          </w:p>
        </w:tc>
      </w:tr>
    </w:tbl>
    <w:p w14:paraId="7DD0099A" w14:textId="77777777" w:rsidR="00C1563E" w:rsidRDefault="000B648B">
      <w:r>
        <w:rPr>
          <w:rFonts w:ascii="Times New Roman" w:eastAsia="宋体" w:hAnsi="Times New Roman"/>
          <w:color w:val="000000"/>
          <w:sz w:val="20"/>
          <w:szCs w:val="20"/>
        </w:rPr>
        <w:t>____________________</w:t>
      </w:r>
    </w:p>
    <w:p w14:paraId="7DD0099B" w14:textId="77777777" w:rsidR="00C1563E" w:rsidRDefault="000B648B">
      <w:pPr>
        <w:ind w:hanging="360"/>
      </w:pPr>
      <w:r>
        <w:rPr>
          <w:rFonts w:ascii="Times New Roman" w:eastAsia="宋体" w:hAnsi="Times New Roman"/>
          <w:color w:val="000000"/>
          <w:sz w:val="20"/>
          <w:szCs w:val="20"/>
        </w:rPr>
        <w:t>(a)    Impact of the Tax Cuts and Jobs Act (“U.S. Tax Reform”), which was enacted by the U.S. federal government in December 2017. The Company completed its accounting for the income tax effects of U.S. Tax Reform durin</w:t>
      </w:r>
      <w:r>
        <w:rPr>
          <w:rFonts w:ascii="Times New Roman" w:eastAsia="宋体" w:hAnsi="Times New Roman"/>
          <w:color w:val="000000"/>
          <w:sz w:val="20"/>
          <w:szCs w:val="20"/>
        </w:rPr>
        <w:t>g the fourth quarter of the fiscal year ended February 1, 2019.</w:t>
      </w:r>
    </w:p>
    <w:p w14:paraId="7DD0099C" w14:textId="77777777" w:rsidR="00C1563E" w:rsidRDefault="00C1563E"/>
    <w:p w14:paraId="7DD0099D" w14:textId="77777777" w:rsidR="00C1563E" w:rsidRDefault="000B648B">
      <w:r>
        <w:rPr>
          <w:rFonts w:ascii="Times New Roman" w:eastAsia="宋体" w:hAnsi="Times New Roman"/>
          <w:color w:val="000000"/>
          <w:sz w:val="20"/>
          <w:szCs w:val="20"/>
        </w:rPr>
        <w:t>The changes in the Company’s effective tax rates for the fiscal year ended January 29, 2021 as compared to the fiscal year ended January 31, 2020 and for the fiscal year ended January 31, 202</w:t>
      </w:r>
      <w:r>
        <w:rPr>
          <w:rFonts w:ascii="Times New Roman" w:eastAsia="宋体" w:hAnsi="Times New Roman"/>
          <w:color w:val="000000"/>
          <w:sz w:val="20"/>
          <w:szCs w:val="20"/>
        </w:rPr>
        <w:t>0 as compared to the fiscal year ended February 1, 2019 were primarily driven by discrete tax items and a change in the Company’s jurisdictional mix of income.</w:t>
      </w:r>
    </w:p>
    <w:p w14:paraId="7DD0099E" w14:textId="77777777" w:rsidR="00C1563E" w:rsidRDefault="00C1563E"/>
    <w:p w14:paraId="7DD0099F" w14:textId="77777777" w:rsidR="00C1563E" w:rsidRDefault="000B648B">
      <w:r>
        <w:rPr>
          <w:rFonts w:ascii="Times New Roman" w:eastAsia="宋体" w:hAnsi="Times New Roman"/>
          <w:color w:val="000000"/>
          <w:sz w:val="20"/>
          <w:szCs w:val="20"/>
        </w:rPr>
        <w:t>The Company’s effective tax rate for the fiscal year ended January 29, 2021 includes discrete t</w:t>
      </w:r>
      <w:r>
        <w:rPr>
          <w:rFonts w:ascii="Times New Roman" w:eastAsia="宋体" w:hAnsi="Times New Roman"/>
          <w:color w:val="000000"/>
          <w:sz w:val="20"/>
          <w:szCs w:val="20"/>
        </w:rPr>
        <w:t>ax benefits of $746 million related to an audit settlement, $159 million related to stock-based compensation, and $59 million from an intra-entity asset transfer as described above. For the fiscal year ended January 29, 2021, the Company’s effective income</w:t>
      </w:r>
      <w:r>
        <w:rPr>
          <w:rFonts w:ascii="Times New Roman" w:eastAsia="宋体" w:hAnsi="Times New Roman"/>
          <w:color w:val="000000"/>
          <w:sz w:val="20"/>
          <w:szCs w:val="20"/>
        </w:rPr>
        <w:t xml:space="preserve"> tax rate also includes a discrete tax expense of $359 million relating to the divestiture of RSA Security during the period due to the relatively low tax basis for the assets sold, particularly goodwill, as discussed in Note 1 of the Notes to the Consolid</w:t>
      </w:r>
      <w:r>
        <w:rPr>
          <w:rFonts w:ascii="Times New Roman" w:eastAsia="宋体" w:hAnsi="Times New Roman"/>
          <w:color w:val="000000"/>
          <w:sz w:val="20"/>
          <w:szCs w:val="20"/>
        </w:rPr>
        <w:t>ated Financial Statements. The Company’s effective tax rate for the fiscal year ended January 31, 2020 includes discrete tax benefits of $4.9 billion related to similar intra-entity asset transfers as described above, $351 million related to stock-based co</w:t>
      </w:r>
      <w:r>
        <w:rPr>
          <w:rFonts w:ascii="Times New Roman" w:eastAsia="宋体" w:hAnsi="Times New Roman"/>
          <w:color w:val="000000"/>
          <w:sz w:val="20"/>
          <w:szCs w:val="20"/>
        </w:rPr>
        <w:t>mpensation, $305 million related to an audit settlement, and $95 million related to Virtustream impairment charges discussed in Note 8 of the Notes to the Consolidated Financial Statements and included in Other in the table above. For the fiscal year ended</w:t>
      </w:r>
      <w:r>
        <w:rPr>
          <w:rFonts w:ascii="Times New Roman" w:eastAsia="宋体" w:hAnsi="Times New Roman"/>
          <w:color w:val="000000"/>
          <w:sz w:val="20"/>
          <w:szCs w:val="20"/>
        </w:rPr>
        <w:t xml:space="preserve"> February 1, 2019, the Company’s effective tax rate included $154 million of discrete tax benefits resulting from the impact of its adoption of the new revenue recognition standard. </w:t>
      </w:r>
    </w:p>
    <w:p w14:paraId="7DD009A0" w14:textId="77777777" w:rsidR="00C1563E" w:rsidRDefault="00C1563E"/>
    <w:p w14:paraId="7DD009A1" w14:textId="77777777" w:rsidR="00C1563E" w:rsidRDefault="00C1563E"/>
    <w:p w14:paraId="7DD009A2" w14:textId="77777777" w:rsidR="00C1563E" w:rsidRDefault="00C1563E">
      <w:pPr>
        <w:jc w:val="center"/>
      </w:pPr>
    </w:p>
    <w:p w14:paraId="7DD009A3" w14:textId="77777777" w:rsidR="00C1563E" w:rsidRDefault="000B648B">
      <w:pPr>
        <w:jc w:val="center"/>
      </w:pPr>
      <w:r>
        <w:rPr>
          <w:rFonts w:ascii="Times New Roman" w:eastAsia="宋体" w:hAnsi="Times New Roman"/>
          <w:color w:val="000000"/>
          <w:sz w:val="20"/>
          <w:szCs w:val="20"/>
        </w:rPr>
        <w:t>130</w:t>
      </w:r>
    </w:p>
    <w:p w14:paraId="7DD009A4" w14:textId="77777777" w:rsidR="00C1563E" w:rsidRDefault="00C1563E">
      <w:pPr>
        <w:jc w:val="center"/>
      </w:pPr>
    </w:p>
    <w:p w14:paraId="7DD009A5" w14:textId="77777777" w:rsidR="00C1563E" w:rsidRDefault="000B648B">
      <w:r>
        <w:pict w14:anchorId="7DD025EC">
          <v:rect id="_x0000_i1154" style="width:415.3pt;height:1.5pt" o:hralign="center" o:hrstd="t" o:hr="t" fillcolor="#a0a0a0" stroked="f"/>
        </w:pict>
      </w:r>
    </w:p>
    <w:p w14:paraId="7DD009A6" w14:textId="77777777" w:rsidR="00C1563E" w:rsidRDefault="000B648B">
      <w:hyperlink r:id="rId313" w:anchor="i418e32e4a35149ffbf7d3a25d66881b8_10" w:history="1">
        <w:r>
          <w:rPr>
            <w:rStyle w:val="a5"/>
            <w:rFonts w:ascii="Times New Roman" w:eastAsia="宋体" w:hAnsi="Times New Roman"/>
            <w:sz w:val="20"/>
            <w:szCs w:val="20"/>
          </w:rPr>
          <w:t>Table of Contents</w:t>
        </w:r>
      </w:hyperlink>
    </w:p>
    <w:p w14:paraId="7DD009A7" w14:textId="77777777" w:rsidR="00C1563E" w:rsidRDefault="000B648B">
      <w:r>
        <w:rPr>
          <w:rFonts w:ascii="Times New Roman" w:eastAsia="宋体" w:hAnsi="Times New Roman"/>
          <w:color w:val="000000"/>
          <w:sz w:val="20"/>
          <w:szCs w:val="20"/>
        </w:rPr>
        <w:t>The differences between the Company’s effective income tax rates and the U.S. federa</w:t>
      </w:r>
      <w:r>
        <w:rPr>
          <w:rFonts w:ascii="Times New Roman" w:eastAsia="宋体" w:hAnsi="Times New Roman"/>
          <w:color w:val="000000"/>
          <w:sz w:val="20"/>
          <w:szCs w:val="20"/>
        </w:rPr>
        <w:t>l statutory rate of 21% principally result from the geographical distribution of income, differences between the book and tax treatment of certain items, and the discrete tax items discussed above. In certain jurisdictions, the Company’s tax rate is signif</w:t>
      </w:r>
      <w:r>
        <w:rPr>
          <w:rFonts w:ascii="Times New Roman" w:eastAsia="宋体" w:hAnsi="Times New Roman"/>
          <w:color w:val="000000"/>
          <w:sz w:val="20"/>
          <w:szCs w:val="20"/>
        </w:rPr>
        <w:t xml:space="preserve">icantly less than the applicable statutory rate as a result of tax holidays. The majority of the Company’s foreign income that is subject to these tax holidays and lower tax rates is attributable to Singapore, China, and Malaysia. A significant portion of </w:t>
      </w:r>
      <w:r>
        <w:rPr>
          <w:rFonts w:ascii="Times New Roman" w:eastAsia="宋体" w:hAnsi="Times New Roman"/>
          <w:color w:val="000000"/>
          <w:sz w:val="20"/>
          <w:szCs w:val="20"/>
        </w:rPr>
        <w:t>these income tax benefits relate to a tax holiday that will be effective until January 31, 2029.  The Company’s other tax holidays will expire in whole or in part during fiscal years 2022 through 2030. Many of these tax holidays and reduced tax rates may b</w:t>
      </w:r>
      <w:r>
        <w:rPr>
          <w:rFonts w:ascii="Times New Roman" w:eastAsia="宋体" w:hAnsi="Times New Roman"/>
          <w:color w:val="000000"/>
          <w:sz w:val="20"/>
          <w:szCs w:val="20"/>
        </w:rPr>
        <w:t>e extended when certain conditions are met or may be terminated early if certain conditions are not met. As of January 29, 2021, the Company was not aware of any matters of noncompliance related to these tax holidays. For the fiscal years ended January 29,</w:t>
      </w:r>
      <w:r>
        <w:rPr>
          <w:rFonts w:ascii="Times New Roman" w:eastAsia="宋体" w:hAnsi="Times New Roman"/>
          <w:color w:val="000000"/>
          <w:sz w:val="20"/>
          <w:szCs w:val="20"/>
        </w:rPr>
        <w:t xml:space="preserve"> 2021, January 31, 2020, and February 1, 2019, the income tax benefits attributable to the tax status of the affected subsidiaries were estimated to be approximately $359 million ($0.47 per share of Dell Technologies Common Stock), $444 million ($0.59 per </w:t>
      </w:r>
      <w:r>
        <w:rPr>
          <w:rFonts w:ascii="Times New Roman" w:eastAsia="宋体" w:hAnsi="Times New Roman"/>
          <w:color w:val="000000"/>
          <w:sz w:val="20"/>
          <w:szCs w:val="20"/>
        </w:rPr>
        <w:t>share of Dell Technologies Common Stock), and $313 million ($0.54 per share of DHI Group Common Stock), respectively. These income tax benefits are included in tax impact of foreign operations in the table above.  </w:t>
      </w:r>
    </w:p>
    <w:p w14:paraId="7DD009A8" w14:textId="77777777" w:rsidR="00C1563E" w:rsidRDefault="00C1563E"/>
    <w:p w14:paraId="7DD009A9" w14:textId="77777777" w:rsidR="00C1563E" w:rsidRDefault="000B648B">
      <w:r>
        <w:rPr>
          <w:rFonts w:ascii="Times New Roman" w:eastAsia="宋体" w:hAnsi="Times New Roman"/>
          <w:color w:val="000000"/>
          <w:sz w:val="20"/>
          <w:szCs w:val="20"/>
        </w:rPr>
        <w:t>The Company believes a significant porti</w:t>
      </w:r>
      <w:r>
        <w:rPr>
          <w:rFonts w:ascii="Times New Roman" w:eastAsia="宋体" w:hAnsi="Times New Roman"/>
          <w:color w:val="000000"/>
          <w:sz w:val="20"/>
          <w:szCs w:val="20"/>
        </w:rPr>
        <w:t>on of the Company’s undistributed earnings as of January 29, 2021 will not be subject to further U.S. federal taxation.  As of January 29, 2021, the Company has undistributed earnings of certain foreign subsidiaries of approximately $36.5 billion that rema</w:t>
      </w:r>
      <w:r>
        <w:rPr>
          <w:rFonts w:ascii="Times New Roman" w:eastAsia="宋体" w:hAnsi="Times New Roman"/>
          <w:color w:val="000000"/>
          <w:sz w:val="20"/>
          <w:szCs w:val="20"/>
        </w:rPr>
        <w:t>in indefinitely reinvested, and as such has not recognized a deferred tax liability. Determination of the amount of unrecognized deferred income tax liability related to these undistributed earnings is not practicable.</w:t>
      </w:r>
    </w:p>
    <w:p w14:paraId="7DD009AA" w14:textId="77777777" w:rsidR="00C1563E" w:rsidRDefault="00C1563E"/>
    <w:p w14:paraId="7DD009AB" w14:textId="77777777" w:rsidR="00C1563E" w:rsidRDefault="000B648B">
      <w:pPr>
        <w:spacing w:after="120"/>
      </w:pPr>
      <w:r>
        <w:rPr>
          <w:rFonts w:ascii="Times New Roman" w:eastAsia="宋体" w:hAnsi="Times New Roman"/>
          <w:color w:val="000000"/>
          <w:sz w:val="20"/>
          <w:szCs w:val="20"/>
        </w:rPr>
        <w:t>The following table presents the com</w:t>
      </w:r>
      <w:r>
        <w:rPr>
          <w:rFonts w:ascii="Times New Roman" w:eastAsia="宋体" w:hAnsi="Times New Roman"/>
          <w:color w:val="000000"/>
          <w:sz w:val="20"/>
          <w:szCs w:val="20"/>
        </w:rPr>
        <w:t>ponents of the Company’s net deferred tax assets (liabilities)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534"/>
        <w:gridCol w:w="38"/>
        <w:gridCol w:w="121"/>
        <w:gridCol w:w="1169"/>
        <w:gridCol w:w="36"/>
        <w:gridCol w:w="36"/>
        <w:gridCol w:w="36"/>
        <w:gridCol w:w="36"/>
        <w:gridCol w:w="121"/>
        <w:gridCol w:w="1133"/>
        <w:gridCol w:w="36"/>
      </w:tblGrid>
      <w:tr w:rsidR="00C1563E" w14:paraId="7DD009B8" w14:textId="77777777">
        <w:tc>
          <w:tcPr>
            <w:tcW w:w="50" w:type="pct"/>
            <w:shd w:val="clear" w:color="auto" w:fill="auto"/>
          </w:tcPr>
          <w:p w14:paraId="7DD009AC" w14:textId="77777777" w:rsidR="00C1563E" w:rsidRDefault="00C1563E">
            <w:pPr>
              <w:rPr>
                <w:rFonts w:ascii="宋体"/>
              </w:rPr>
            </w:pPr>
          </w:p>
        </w:tc>
        <w:tc>
          <w:tcPr>
            <w:tcW w:w="3344" w:type="pct"/>
            <w:shd w:val="clear" w:color="auto" w:fill="auto"/>
          </w:tcPr>
          <w:p w14:paraId="7DD009AD" w14:textId="77777777" w:rsidR="00C1563E" w:rsidRDefault="00C1563E">
            <w:pPr>
              <w:rPr>
                <w:rFonts w:ascii="宋体"/>
              </w:rPr>
            </w:pPr>
          </w:p>
        </w:tc>
        <w:tc>
          <w:tcPr>
            <w:tcW w:w="5" w:type="pct"/>
            <w:shd w:val="clear" w:color="auto" w:fill="auto"/>
          </w:tcPr>
          <w:p w14:paraId="7DD009AE" w14:textId="77777777" w:rsidR="00C1563E" w:rsidRDefault="00C1563E">
            <w:pPr>
              <w:rPr>
                <w:rFonts w:ascii="宋体"/>
              </w:rPr>
            </w:pPr>
          </w:p>
        </w:tc>
        <w:tc>
          <w:tcPr>
            <w:tcW w:w="50" w:type="pct"/>
            <w:shd w:val="clear" w:color="auto" w:fill="auto"/>
          </w:tcPr>
          <w:p w14:paraId="7DD009AF" w14:textId="77777777" w:rsidR="00C1563E" w:rsidRDefault="00C1563E">
            <w:pPr>
              <w:rPr>
                <w:rFonts w:ascii="宋体"/>
              </w:rPr>
            </w:pPr>
          </w:p>
        </w:tc>
        <w:tc>
          <w:tcPr>
            <w:tcW w:w="727" w:type="pct"/>
            <w:shd w:val="clear" w:color="auto" w:fill="auto"/>
          </w:tcPr>
          <w:p w14:paraId="7DD009B0" w14:textId="77777777" w:rsidR="00C1563E" w:rsidRDefault="00C1563E">
            <w:pPr>
              <w:rPr>
                <w:rFonts w:ascii="宋体"/>
              </w:rPr>
            </w:pPr>
          </w:p>
        </w:tc>
        <w:tc>
          <w:tcPr>
            <w:tcW w:w="5" w:type="pct"/>
            <w:shd w:val="clear" w:color="auto" w:fill="auto"/>
          </w:tcPr>
          <w:p w14:paraId="7DD009B1" w14:textId="77777777" w:rsidR="00C1563E" w:rsidRDefault="00C1563E">
            <w:pPr>
              <w:rPr>
                <w:rFonts w:ascii="宋体"/>
              </w:rPr>
            </w:pPr>
          </w:p>
        </w:tc>
        <w:tc>
          <w:tcPr>
            <w:tcW w:w="5" w:type="pct"/>
            <w:shd w:val="clear" w:color="auto" w:fill="auto"/>
          </w:tcPr>
          <w:p w14:paraId="7DD009B2" w14:textId="77777777" w:rsidR="00C1563E" w:rsidRDefault="00C1563E">
            <w:pPr>
              <w:rPr>
                <w:rFonts w:ascii="宋体"/>
              </w:rPr>
            </w:pPr>
          </w:p>
        </w:tc>
        <w:tc>
          <w:tcPr>
            <w:tcW w:w="26" w:type="pct"/>
            <w:shd w:val="clear" w:color="auto" w:fill="auto"/>
          </w:tcPr>
          <w:p w14:paraId="7DD009B3" w14:textId="77777777" w:rsidR="00C1563E" w:rsidRDefault="00C1563E">
            <w:pPr>
              <w:rPr>
                <w:rFonts w:ascii="宋体"/>
              </w:rPr>
            </w:pPr>
          </w:p>
        </w:tc>
        <w:tc>
          <w:tcPr>
            <w:tcW w:w="5" w:type="pct"/>
            <w:shd w:val="clear" w:color="auto" w:fill="auto"/>
          </w:tcPr>
          <w:p w14:paraId="7DD009B4" w14:textId="77777777" w:rsidR="00C1563E" w:rsidRDefault="00C1563E">
            <w:pPr>
              <w:rPr>
                <w:rFonts w:ascii="宋体"/>
              </w:rPr>
            </w:pPr>
          </w:p>
        </w:tc>
        <w:tc>
          <w:tcPr>
            <w:tcW w:w="50" w:type="pct"/>
            <w:shd w:val="clear" w:color="auto" w:fill="auto"/>
          </w:tcPr>
          <w:p w14:paraId="7DD009B5" w14:textId="77777777" w:rsidR="00C1563E" w:rsidRDefault="00C1563E">
            <w:pPr>
              <w:rPr>
                <w:rFonts w:ascii="宋体"/>
              </w:rPr>
            </w:pPr>
          </w:p>
        </w:tc>
        <w:tc>
          <w:tcPr>
            <w:tcW w:w="727" w:type="pct"/>
            <w:shd w:val="clear" w:color="auto" w:fill="auto"/>
          </w:tcPr>
          <w:p w14:paraId="7DD009B6" w14:textId="77777777" w:rsidR="00C1563E" w:rsidRDefault="00C1563E">
            <w:pPr>
              <w:rPr>
                <w:rFonts w:ascii="宋体"/>
              </w:rPr>
            </w:pPr>
          </w:p>
        </w:tc>
        <w:tc>
          <w:tcPr>
            <w:tcW w:w="5" w:type="pct"/>
            <w:shd w:val="clear" w:color="auto" w:fill="auto"/>
          </w:tcPr>
          <w:p w14:paraId="7DD009B7" w14:textId="77777777" w:rsidR="00C1563E" w:rsidRDefault="00C1563E">
            <w:pPr>
              <w:rPr>
                <w:rFonts w:ascii="宋体"/>
              </w:rPr>
            </w:pPr>
          </w:p>
        </w:tc>
      </w:tr>
      <w:tr w:rsidR="00C1563E" w14:paraId="7DD009BD" w14:textId="77777777">
        <w:tc>
          <w:tcPr>
            <w:tcW w:w="0" w:type="auto"/>
            <w:gridSpan w:val="3"/>
            <w:shd w:val="clear" w:color="auto" w:fill="auto"/>
            <w:tcMar>
              <w:top w:w="0" w:type="dxa"/>
              <w:left w:w="20" w:type="dxa"/>
              <w:bottom w:w="0" w:type="dxa"/>
              <w:right w:w="20" w:type="dxa"/>
            </w:tcMar>
          </w:tcPr>
          <w:p w14:paraId="7DD009B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9BA"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09BB"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9BC"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9C0" w14:textId="77777777">
        <w:tc>
          <w:tcPr>
            <w:tcW w:w="0" w:type="auto"/>
            <w:gridSpan w:val="3"/>
            <w:shd w:val="clear" w:color="auto" w:fill="auto"/>
            <w:tcMar>
              <w:top w:w="0" w:type="dxa"/>
              <w:left w:w="20" w:type="dxa"/>
              <w:bottom w:w="0" w:type="dxa"/>
              <w:right w:w="20" w:type="dxa"/>
            </w:tcMar>
          </w:tcPr>
          <w:p w14:paraId="7DD009BE"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DD009BF" w14:textId="77777777" w:rsidR="00C1563E" w:rsidRDefault="000B648B">
            <w:pPr>
              <w:jc w:val="center"/>
              <w:textAlignment w:val="center"/>
            </w:pPr>
            <w:r>
              <w:rPr>
                <w:rFonts w:ascii="Times New Roman" w:eastAsia="宋体" w:hAnsi="Times New Roman"/>
                <w:color w:val="000000"/>
                <w:sz w:val="20"/>
                <w:szCs w:val="20"/>
              </w:rPr>
              <w:t>(in millions)</w:t>
            </w:r>
          </w:p>
        </w:tc>
      </w:tr>
      <w:tr w:rsidR="00C1563E" w14:paraId="7DD009C5" w14:textId="77777777">
        <w:tc>
          <w:tcPr>
            <w:tcW w:w="0" w:type="auto"/>
            <w:gridSpan w:val="3"/>
            <w:shd w:val="clear" w:color="auto" w:fill="CCEEFF"/>
            <w:tcMar>
              <w:top w:w="40" w:type="dxa"/>
              <w:left w:w="20" w:type="dxa"/>
              <w:bottom w:w="40" w:type="dxa"/>
              <w:right w:w="20" w:type="dxa"/>
            </w:tcMar>
            <w:vAlign w:val="bottom"/>
          </w:tcPr>
          <w:p w14:paraId="7DD009C1" w14:textId="77777777" w:rsidR="00C1563E" w:rsidRDefault="000B648B">
            <w:pPr>
              <w:textAlignment w:val="bottom"/>
            </w:pPr>
            <w:r>
              <w:rPr>
                <w:rFonts w:ascii="Times New Roman" w:eastAsia="宋体" w:hAnsi="Times New Roman"/>
                <w:i/>
                <w:iCs/>
                <w:color w:val="000000"/>
                <w:sz w:val="20"/>
                <w:szCs w:val="20"/>
              </w:rPr>
              <w:t>Deferred tax assets:</w:t>
            </w:r>
          </w:p>
        </w:tc>
        <w:tc>
          <w:tcPr>
            <w:tcW w:w="0" w:type="auto"/>
            <w:gridSpan w:val="3"/>
            <w:shd w:val="clear" w:color="auto" w:fill="CCEEFF"/>
            <w:tcMar>
              <w:top w:w="0" w:type="dxa"/>
              <w:left w:w="20" w:type="dxa"/>
              <w:bottom w:w="0" w:type="dxa"/>
              <w:right w:w="20" w:type="dxa"/>
            </w:tcMar>
          </w:tcPr>
          <w:p w14:paraId="7DD009C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9C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9C4" w14:textId="77777777" w:rsidR="00C1563E" w:rsidRDefault="00C1563E">
            <w:pPr>
              <w:rPr>
                <w:rFonts w:ascii="宋体"/>
              </w:rPr>
            </w:pPr>
          </w:p>
        </w:tc>
      </w:tr>
      <w:tr w:rsidR="00C1563E" w14:paraId="7DD009CE" w14:textId="77777777">
        <w:tc>
          <w:tcPr>
            <w:tcW w:w="0" w:type="auto"/>
            <w:gridSpan w:val="3"/>
            <w:shd w:val="clear" w:color="auto" w:fill="FFFFFF"/>
            <w:tcMar>
              <w:top w:w="40" w:type="dxa"/>
              <w:left w:w="245" w:type="dxa"/>
              <w:bottom w:w="40" w:type="dxa"/>
              <w:right w:w="20" w:type="dxa"/>
            </w:tcMar>
            <w:vAlign w:val="bottom"/>
          </w:tcPr>
          <w:p w14:paraId="7DD009C6" w14:textId="77777777" w:rsidR="00C1563E" w:rsidRDefault="000B648B">
            <w:pPr>
              <w:textAlignment w:val="bottom"/>
            </w:pPr>
            <w:r>
              <w:rPr>
                <w:rFonts w:ascii="Times New Roman" w:eastAsia="宋体" w:hAnsi="Times New Roman"/>
                <w:color w:val="000000"/>
                <w:sz w:val="20"/>
                <w:szCs w:val="20"/>
              </w:rPr>
              <w:t>Deferred revenue and warranty provisions</w:t>
            </w:r>
          </w:p>
        </w:tc>
        <w:tc>
          <w:tcPr>
            <w:tcW w:w="0" w:type="auto"/>
            <w:shd w:val="clear" w:color="auto" w:fill="FFFFFF"/>
            <w:tcMar>
              <w:top w:w="40" w:type="dxa"/>
              <w:left w:w="20" w:type="dxa"/>
              <w:bottom w:w="40" w:type="dxa"/>
              <w:right w:w="0" w:type="dxa"/>
            </w:tcMar>
            <w:vAlign w:val="bottom"/>
          </w:tcPr>
          <w:p w14:paraId="7DD009C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9C8" w14:textId="77777777" w:rsidR="00C1563E" w:rsidRDefault="000B648B">
            <w:pPr>
              <w:jc w:val="right"/>
              <w:textAlignment w:val="bottom"/>
            </w:pPr>
            <w:r>
              <w:rPr>
                <w:rFonts w:ascii="Times New Roman" w:eastAsia="宋体" w:hAnsi="Times New Roman"/>
                <w:color w:val="000000"/>
                <w:sz w:val="20"/>
                <w:szCs w:val="20"/>
              </w:rPr>
              <w:t>1,851 </w:t>
            </w:r>
          </w:p>
        </w:tc>
        <w:tc>
          <w:tcPr>
            <w:tcW w:w="0" w:type="auto"/>
            <w:shd w:val="clear" w:color="auto" w:fill="FFFFFF"/>
            <w:tcMar>
              <w:top w:w="40" w:type="dxa"/>
              <w:left w:w="0" w:type="dxa"/>
              <w:bottom w:w="40" w:type="dxa"/>
              <w:right w:w="20" w:type="dxa"/>
            </w:tcMar>
            <w:vAlign w:val="bottom"/>
          </w:tcPr>
          <w:p w14:paraId="7DD009C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C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9C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9CC" w14:textId="77777777" w:rsidR="00C1563E" w:rsidRDefault="000B648B">
            <w:pPr>
              <w:jc w:val="right"/>
              <w:textAlignment w:val="bottom"/>
            </w:pPr>
            <w:r>
              <w:rPr>
                <w:rFonts w:ascii="Times New Roman" w:eastAsia="宋体" w:hAnsi="Times New Roman"/>
                <w:color w:val="000000"/>
                <w:sz w:val="20"/>
                <w:szCs w:val="20"/>
              </w:rPr>
              <w:t>1,672 </w:t>
            </w:r>
          </w:p>
        </w:tc>
        <w:tc>
          <w:tcPr>
            <w:tcW w:w="0" w:type="auto"/>
            <w:shd w:val="clear" w:color="auto" w:fill="FFFFFF"/>
            <w:tcMar>
              <w:top w:w="40" w:type="dxa"/>
              <w:left w:w="0" w:type="dxa"/>
              <w:bottom w:w="40" w:type="dxa"/>
              <w:right w:w="20" w:type="dxa"/>
            </w:tcMar>
            <w:vAlign w:val="bottom"/>
          </w:tcPr>
          <w:p w14:paraId="7DD009CD" w14:textId="77777777" w:rsidR="00C1563E" w:rsidRDefault="00C1563E">
            <w:pPr>
              <w:jc w:val="right"/>
              <w:rPr>
                <w:rFonts w:ascii="宋体"/>
              </w:rPr>
            </w:pPr>
          </w:p>
        </w:tc>
      </w:tr>
      <w:tr w:rsidR="00C1563E" w14:paraId="7DD009D5" w14:textId="77777777">
        <w:tc>
          <w:tcPr>
            <w:tcW w:w="0" w:type="auto"/>
            <w:gridSpan w:val="3"/>
            <w:shd w:val="clear" w:color="auto" w:fill="CCEEFF"/>
            <w:tcMar>
              <w:top w:w="40" w:type="dxa"/>
              <w:left w:w="245" w:type="dxa"/>
              <w:bottom w:w="40" w:type="dxa"/>
              <w:right w:w="20" w:type="dxa"/>
            </w:tcMar>
            <w:vAlign w:val="bottom"/>
          </w:tcPr>
          <w:p w14:paraId="7DD009CF" w14:textId="77777777" w:rsidR="00C1563E" w:rsidRDefault="000B648B">
            <w:pPr>
              <w:textAlignment w:val="bottom"/>
            </w:pPr>
            <w:r>
              <w:rPr>
                <w:rFonts w:ascii="Times New Roman" w:eastAsia="宋体" w:hAnsi="Times New Roman"/>
                <w:color w:val="000000"/>
                <w:sz w:val="20"/>
                <w:szCs w:val="20"/>
              </w:rPr>
              <w:t>Provisions for product returns and doubtful accounts</w:t>
            </w:r>
          </w:p>
        </w:tc>
        <w:tc>
          <w:tcPr>
            <w:tcW w:w="0" w:type="auto"/>
            <w:gridSpan w:val="2"/>
            <w:shd w:val="clear" w:color="auto" w:fill="CCEEFF"/>
            <w:tcMar>
              <w:top w:w="40" w:type="dxa"/>
              <w:left w:w="20" w:type="dxa"/>
              <w:bottom w:w="40" w:type="dxa"/>
              <w:right w:w="0" w:type="dxa"/>
            </w:tcMar>
            <w:vAlign w:val="bottom"/>
          </w:tcPr>
          <w:p w14:paraId="7DD009D0" w14:textId="77777777" w:rsidR="00C1563E" w:rsidRDefault="000B648B">
            <w:pPr>
              <w:jc w:val="right"/>
              <w:textAlignment w:val="bottom"/>
            </w:pPr>
            <w:r>
              <w:rPr>
                <w:rFonts w:ascii="Times New Roman" w:eastAsia="宋体" w:hAnsi="Times New Roman"/>
                <w:color w:val="000000"/>
                <w:sz w:val="20"/>
                <w:szCs w:val="20"/>
              </w:rPr>
              <w:t>133 </w:t>
            </w:r>
          </w:p>
        </w:tc>
        <w:tc>
          <w:tcPr>
            <w:tcW w:w="0" w:type="auto"/>
            <w:shd w:val="clear" w:color="auto" w:fill="CCEEFF"/>
            <w:tcMar>
              <w:top w:w="40" w:type="dxa"/>
              <w:left w:w="0" w:type="dxa"/>
              <w:bottom w:w="40" w:type="dxa"/>
              <w:right w:w="20" w:type="dxa"/>
            </w:tcMar>
            <w:vAlign w:val="bottom"/>
          </w:tcPr>
          <w:p w14:paraId="7DD009D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D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D3" w14:textId="77777777" w:rsidR="00C1563E" w:rsidRDefault="000B648B">
            <w:pPr>
              <w:jc w:val="right"/>
              <w:textAlignment w:val="bottom"/>
            </w:pPr>
            <w:r>
              <w:rPr>
                <w:rFonts w:ascii="Times New Roman" w:eastAsia="宋体" w:hAnsi="Times New Roman"/>
                <w:color w:val="000000"/>
                <w:sz w:val="20"/>
                <w:szCs w:val="20"/>
              </w:rPr>
              <w:t>107 </w:t>
            </w:r>
          </w:p>
        </w:tc>
        <w:tc>
          <w:tcPr>
            <w:tcW w:w="0" w:type="auto"/>
            <w:shd w:val="clear" w:color="auto" w:fill="CCEEFF"/>
            <w:tcMar>
              <w:top w:w="40" w:type="dxa"/>
              <w:left w:w="0" w:type="dxa"/>
              <w:bottom w:w="40" w:type="dxa"/>
              <w:right w:w="20" w:type="dxa"/>
            </w:tcMar>
            <w:vAlign w:val="bottom"/>
          </w:tcPr>
          <w:p w14:paraId="7DD009D4" w14:textId="77777777" w:rsidR="00C1563E" w:rsidRDefault="00C1563E">
            <w:pPr>
              <w:jc w:val="right"/>
              <w:rPr>
                <w:rFonts w:ascii="宋体"/>
              </w:rPr>
            </w:pPr>
          </w:p>
        </w:tc>
      </w:tr>
      <w:tr w:rsidR="00C1563E" w14:paraId="7DD009DC" w14:textId="77777777">
        <w:tc>
          <w:tcPr>
            <w:tcW w:w="0" w:type="auto"/>
            <w:gridSpan w:val="3"/>
            <w:shd w:val="clear" w:color="auto" w:fill="FFFFFF"/>
            <w:tcMar>
              <w:top w:w="40" w:type="dxa"/>
              <w:left w:w="245" w:type="dxa"/>
              <w:bottom w:w="40" w:type="dxa"/>
              <w:right w:w="20" w:type="dxa"/>
            </w:tcMar>
            <w:vAlign w:val="bottom"/>
          </w:tcPr>
          <w:p w14:paraId="7DD009D6" w14:textId="77777777" w:rsidR="00C1563E" w:rsidRDefault="000B648B">
            <w:pPr>
              <w:textAlignment w:val="bottom"/>
            </w:pPr>
            <w:r>
              <w:rPr>
                <w:rFonts w:ascii="Times New Roman" w:eastAsia="宋体" w:hAnsi="Times New Roman"/>
                <w:color w:val="000000"/>
                <w:sz w:val="20"/>
                <w:szCs w:val="20"/>
              </w:rPr>
              <w:t>Credit carryforwards</w:t>
            </w:r>
          </w:p>
        </w:tc>
        <w:tc>
          <w:tcPr>
            <w:tcW w:w="0" w:type="auto"/>
            <w:gridSpan w:val="2"/>
            <w:shd w:val="clear" w:color="auto" w:fill="FFFFFF"/>
            <w:tcMar>
              <w:top w:w="40" w:type="dxa"/>
              <w:left w:w="20" w:type="dxa"/>
              <w:bottom w:w="40" w:type="dxa"/>
              <w:right w:w="0" w:type="dxa"/>
            </w:tcMar>
            <w:vAlign w:val="bottom"/>
          </w:tcPr>
          <w:p w14:paraId="7DD009D7" w14:textId="77777777" w:rsidR="00C1563E" w:rsidRDefault="000B648B">
            <w:pPr>
              <w:jc w:val="right"/>
              <w:textAlignment w:val="bottom"/>
            </w:pPr>
            <w:r>
              <w:rPr>
                <w:rFonts w:ascii="Times New Roman" w:eastAsia="宋体" w:hAnsi="Times New Roman"/>
                <w:color w:val="000000"/>
                <w:sz w:val="20"/>
                <w:szCs w:val="20"/>
              </w:rPr>
              <w:t>1,531 </w:t>
            </w:r>
          </w:p>
        </w:tc>
        <w:tc>
          <w:tcPr>
            <w:tcW w:w="0" w:type="auto"/>
            <w:shd w:val="clear" w:color="auto" w:fill="FFFFFF"/>
            <w:tcMar>
              <w:top w:w="40" w:type="dxa"/>
              <w:left w:w="0" w:type="dxa"/>
              <w:bottom w:w="40" w:type="dxa"/>
              <w:right w:w="20" w:type="dxa"/>
            </w:tcMar>
            <w:vAlign w:val="bottom"/>
          </w:tcPr>
          <w:p w14:paraId="7DD009D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D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DA" w14:textId="77777777" w:rsidR="00C1563E" w:rsidRDefault="000B648B">
            <w:pPr>
              <w:jc w:val="right"/>
              <w:textAlignment w:val="bottom"/>
            </w:pPr>
            <w:r>
              <w:rPr>
                <w:rFonts w:ascii="Times New Roman" w:eastAsia="宋体" w:hAnsi="Times New Roman"/>
                <w:color w:val="000000"/>
                <w:sz w:val="20"/>
                <w:szCs w:val="20"/>
              </w:rPr>
              <w:t>1,951 </w:t>
            </w:r>
          </w:p>
        </w:tc>
        <w:tc>
          <w:tcPr>
            <w:tcW w:w="0" w:type="auto"/>
            <w:shd w:val="clear" w:color="auto" w:fill="FFFFFF"/>
            <w:tcMar>
              <w:top w:w="40" w:type="dxa"/>
              <w:left w:w="0" w:type="dxa"/>
              <w:bottom w:w="40" w:type="dxa"/>
              <w:right w:w="20" w:type="dxa"/>
            </w:tcMar>
            <w:vAlign w:val="bottom"/>
          </w:tcPr>
          <w:p w14:paraId="7DD009DB" w14:textId="77777777" w:rsidR="00C1563E" w:rsidRDefault="00C1563E">
            <w:pPr>
              <w:jc w:val="right"/>
              <w:rPr>
                <w:rFonts w:ascii="宋体"/>
              </w:rPr>
            </w:pPr>
          </w:p>
        </w:tc>
      </w:tr>
      <w:tr w:rsidR="00C1563E" w14:paraId="7DD009E3" w14:textId="77777777">
        <w:tc>
          <w:tcPr>
            <w:tcW w:w="0" w:type="auto"/>
            <w:gridSpan w:val="3"/>
            <w:shd w:val="clear" w:color="auto" w:fill="CCEEFF"/>
            <w:tcMar>
              <w:top w:w="40" w:type="dxa"/>
              <w:left w:w="245" w:type="dxa"/>
              <w:bottom w:w="40" w:type="dxa"/>
              <w:right w:w="20" w:type="dxa"/>
            </w:tcMar>
            <w:vAlign w:val="bottom"/>
          </w:tcPr>
          <w:p w14:paraId="7DD009DD" w14:textId="77777777" w:rsidR="00C1563E" w:rsidRDefault="000B648B">
            <w:pPr>
              <w:textAlignment w:val="bottom"/>
            </w:pPr>
            <w:r>
              <w:rPr>
                <w:rFonts w:ascii="Times New Roman" w:eastAsia="宋体" w:hAnsi="Times New Roman"/>
                <w:color w:val="000000"/>
                <w:sz w:val="20"/>
                <w:szCs w:val="20"/>
              </w:rPr>
              <w:t>Loss carryforwards</w:t>
            </w:r>
          </w:p>
        </w:tc>
        <w:tc>
          <w:tcPr>
            <w:tcW w:w="0" w:type="auto"/>
            <w:gridSpan w:val="2"/>
            <w:shd w:val="clear" w:color="auto" w:fill="CCEEFF"/>
            <w:tcMar>
              <w:top w:w="40" w:type="dxa"/>
              <w:left w:w="20" w:type="dxa"/>
              <w:bottom w:w="40" w:type="dxa"/>
              <w:right w:w="0" w:type="dxa"/>
            </w:tcMar>
            <w:vAlign w:val="bottom"/>
          </w:tcPr>
          <w:p w14:paraId="7DD009DE" w14:textId="77777777" w:rsidR="00C1563E" w:rsidRDefault="000B648B">
            <w:pPr>
              <w:jc w:val="right"/>
              <w:textAlignment w:val="bottom"/>
            </w:pPr>
            <w:r>
              <w:rPr>
                <w:rFonts w:ascii="Times New Roman" w:eastAsia="宋体" w:hAnsi="Times New Roman"/>
                <w:color w:val="000000"/>
                <w:sz w:val="20"/>
                <w:szCs w:val="20"/>
              </w:rPr>
              <w:t>614 </w:t>
            </w:r>
          </w:p>
        </w:tc>
        <w:tc>
          <w:tcPr>
            <w:tcW w:w="0" w:type="auto"/>
            <w:shd w:val="clear" w:color="auto" w:fill="CCEEFF"/>
            <w:tcMar>
              <w:top w:w="40" w:type="dxa"/>
              <w:left w:w="0" w:type="dxa"/>
              <w:bottom w:w="40" w:type="dxa"/>
              <w:right w:w="20" w:type="dxa"/>
            </w:tcMar>
            <w:vAlign w:val="bottom"/>
          </w:tcPr>
          <w:p w14:paraId="7DD009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E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E1" w14:textId="77777777" w:rsidR="00C1563E" w:rsidRDefault="000B648B">
            <w:pPr>
              <w:jc w:val="right"/>
              <w:textAlignment w:val="bottom"/>
            </w:pPr>
            <w:r>
              <w:rPr>
                <w:rFonts w:ascii="Times New Roman" w:eastAsia="宋体" w:hAnsi="Times New Roman"/>
                <w:color w:val="000000"/>
                <w:sz w:val="20"/>
                <w:szCs w:val="20"/>
              </w:rPr>
              <w:t>580 </w:t>
            </w:r>
          </w:p>
        </w:tc>
        <w:tc>
          <w:tcPr>
            <w:tcW w:w="0" w:type="auto"/>
            <w:shd w:val="clear" w:color="auto" w:fill="CCEEFF"/>
            <w:tcMar>
              <w:top w:w="40" w:type="dxa"/>
              <w:left w:w="0" w:type="dxa"/>
              <w:bottom w:w="40" w:type="dxa"/>
              <w:right w:w="20" w:type="dxa"/>
            </w:tcMar>
            <w:vAlign w:val="bottom"/>
          </w:tcPr>
          <w:p w14:paraId="7DD009E2" w14:textId="77777777" w:rsidR="00C1563E" w:rsidRDefault="00C1563E">
            <w:pPr>
              <w:jc w:val="right"/>
              <w:rPr>
                <w:rFonts w:ascii="宋体"/>
              </w:rPr>
            </w:pPr>
          </w:p>
        </w:tc>
      </w:tr>
      <w:tr w:rsidR="00C1563E" w14:paraId="7DD009EA" w14:textId="77777777">
        <w:tc>
          <w:tcPr>
            <w:tcW w:w="0" w:type="auto"/>
            <w:gridSpan w:val="3"/>
            <w:shd w:val="clear" w:color="auto" w:fill="FFFFFF"/>
            <w:tcMar>
              <w:top w:w="40" w:type="dxa"/>
              <w:left w:w="245" w:type="dxa"/>
              <w:bottom w:w="40" w:type="dxa"/>
              <w:right w:w="20" w:type="dxa"/>
            </w:tcMar>
            <w:vAlign w:val="bottom"/>
          </w:tcPr>
          <w:p w14:paraId="7DD009E4" w14:textId="77777777" w:rsidR="00C1563E" w:rsidRDefault="000B648B">
            <w:pPr>
              <w:textAlignment w:val="bottom"/>
            </w:pPr>
            <w:r>
              <w:rPr>
                <w:rFonts w:ascii="Times New Roman" w:eastAsia="宋体" w:hAnsi="Times New Roman"/>
                <w:color w:val="000000"/>
                <w:sz w:val="20"/>
                <w:szCs w:val="20"/>
              </w:rPr>
              <w:t>Operating and compensation related accruals</w:t>
            </w:r>
          </w:p>
        </w:tc>
        <w:tc>
          <w:tcPr>
            <w:tcW w:w="0" w:type="auto"/>
            <w:gridSpan w:val="2"/>
            <w:shd w:val="clear" w:color="auto" w:fill="FFFFFF"/>
            <w:tcMar>
              <w:top w:w="40" w:type="dxa"/>
              <w:left w:w="20" w:type="dxa"/>
              <w:bottom w:w="40" w:type="dxa"/>
              <w:right w:w="0" w:type="dxa"/>
            </w:tcMar>
            <w:vAlign w:val="bottom"/>
          </w:tcPr>
          <w:p w14:paraId="7DD009E5" w14:textId="77777777" w:rsidR="00C1563E" w:rsidRDefault="000B648B">
            <w:pPr>
              <w:jc w:val="right"/>
              <w:textAlignment w:val="bottom"/>
            </w:pPr>
            <w:r>
              <w:rPr>
                <w:rFonts w:ascii="Times New Roman" w:eastAsia="宋体" w:hAnsi="Times New Roman"/>
                <w:color w:val="000000"/>
                <w:sz w:val="20"/>
                <w:szCs w:val="20"/>
              </w:rPr>
              <w:t>774 </w:t>
            </w:r>
          </w:p>
        </w:tc>
        <w:tc>
          <w:tcPr>
            <w:tcW w:w="0" w:type="auto"/>
            <w:shd w:val="clear" w:color="auto" w:fill="FFFFFF"/>
            <w:tcMar>
              <w:top w:w="40" w:type="dxa"/>
              <w:left w:w="0" w:type="dxa"/>
              <w:bottom w:w="40" w:type="dxa"/>
              <w:right w:w="20" w:type="dxa"/>
            </w:tcMar>
            <w:vAlign w:val="bottom"/>
          </w:tcPr>
          <w:p w14:paraId="7DD009E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E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E8" w14:textId="77777777" w:rsidR="00C1563E" w:rsidRDefault="000B648B">
            <w:pPr>
              <w:jc w:val="right"/>
              <w:textAlignment w:val="bottom"/>
            </w:pPr>
            <w:r>
              <w:rPr>
                <w:rFonts w:ascii="Times New Roman" w:eastAsia="宋体" w:hAnsi="Times New Roman"/>
                <w:color w:val="000000"/>
                <w:sz w:val="20"/>
                <w:szCs w:val="20"/>
              </w:rPr>
              <w:t>744 </w:t>
            </w:r>
          </w:p>
        </w:tc>
        <w:tc>
          <w:tcPr>
            <w:tcW w:w="0" w:type="auto"/>
            <w:shd w:val="clear" w:color="auto" w:fill="FFFFFF"/>
            <w:tcMar>
              <w:top w:w="40" w:type="dxa"/>
              <w:left w:w="0" w:type="dxa"/>
              <w:bottom w:w="40" w:type="dxa"/>
              <w:right w:w="20" w:type="dxa"/>
            </w:tcMar>
            <w:vAlign w:val="bottom"/>
          </w:tcPr>
          <w:p w14:paraId="7DD009E9" w14:textId="77777777" w:rsidR="00C1563E" w:rsidRDefault="00C1563E">
            <w:pPr>
              <w:jc w:val="right"/>
              <w:rPr>
                <w:rFonts w:ascii="宋体"/>
              </w:rPr>
            </w:pPr>
          </w:p>
        </w:tc>
      </w:tr>
      <w:tr w:rsidR="00C1563E" w14:paraId="7DD009F1" w14:textId="77777777">
        <w:tc>
          <w:tcPr>
            <w:tcW w:w="0" w:type="auto"/>
            <w:gridSpan w:val="3"/>
            <w:shd w:val="clear" w:color="auto" w:fill="CCEEFF"/>
            <w:tcMar>
              <w:top w:w="40" w:type="dxa"/>
              <w:left w:w="245" w:type="dxa"/>
              <w:bottom w:w="40" w:type="dxa"/>
              <w:right w:w="20" w:type="dxa"/>
            </w:tcMar>
            <w:vAlign w:val="bottom"/>
          </w:tcPr>
          <w:p w14:paraId="7DD009EB" w14:textId="77777777" w:rsidR="00C1563E" w:rsidRDefault="000B648B">
            <w:pPr>
              <w:textAlignment w:val="bottom"/>
            </w:pPr>
            <w:r>
              <w:rPr>
                <w:rFonts w:ascii="Times New Roman" w:eastAsia="宋体" w:hAnsi="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14:paraId="7DD009EC" w14:textId="77777777" w:rsidR="00C1563E" w:rsidRDefault="000B648B">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bottom"/>
          </w:tcPr>
          <w:p w14:paraId="7DD009E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E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EF" w14:textId="77777777" w:rsidR="00C1563E" w:rsidRDefault="000B648B">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left w:w="0" w:type="dxa"/>
              <w:bottom w:w="40" w:type="dxa"/>
              <w:right w:w="20" w:type="dxa"/>
            </w:tcMar>
            <w:vAlign w:val="bottom"/>
          </w:tcPr>
          <w:p w14:paraId="7DD009F0" w14:textId="77777777" w:rsidR="00C1563E" w:rsidRDefault="00C1563E">
            <w:pPr>
              <w:jc w:val="right"/>
              <w:rPr>
                <w:rFonts w:ascii="宋体"/>
              </w:rPr>
            </w:pPr>
          </w:p>
        </w:tc>
      </w:tr>
      <w:tr w:rsidR="00C1563E" w14:paraId="7DD009F8" w14:textId="77777777">
        <w:tc>
          <w:tcPr>
            <w:tcW w:w="0" w:type="auto"/>
            <w:gridSpan w:val="3"/>
            <w:shd w:val="clear" w:color="auto" w:fill="FFFFFF"/>
            <w:tcMar>
              <w:top w:w="40" w:type="dxa"/>
              <w:left w:w="245" w:type="dxa"/>
              <w:bottom w:w="40" w:type="dxa"/>
              <w:right w:w="20" w:type="dxa"/>
            </w:tcMar>
            <w:vAlign w:val="bottom"/>
          </w:tcPr>
          <w:p w14:paraId="7DD009F2" w14:textId="77777777" w:rsidR="00C1563E" w:rsidRDefault="000B648B">
            <w:pPr>
              <w:textAlignment w:val="bottom"/>
            </w:pPr>
            <w:r>
              <w:rPr>
                <w:rFonts w:ascii="Times New Roman" w:eastAsia="宋体" w:hAnsi="Times New Roman"/>
                <w:color w:val="000000"/>
                <w:sz w:val="20"/>
                <w:szCs w:val="20"/>
              </w:rPr>
              <w:t>Intangible assets</w:t>
            </w:r>
          </w:p>
        </w:tc>
        <w:tc>
          <w:tcPr>
            <w:tcW w:w="0" w:type="auto"/>
            <w:gridSpan w:val="2"/>
            <w:shd w:val="clear" w:color="auto" w:fill="FFFFFF"/>
            <w:tcMar>
              <w:top w:w="40" w:type="dxa"/>
              <w:left w:w="20" w:type="dxa"/>
              <w:bottom w:w="40" w:type="dxa"/>
              <w:right w:w="0" w:type="dxa"/>
            </w:tcMar>
            <w:vAlign w:val="bottom"/>
          </w:tcPr>
          <w:p w14:paraId="7DD009F3" w14:textId="77777777" w:rsidR="00C1563E" w:rsidRDefault="000B648B">
            <w:pPr>
              <w:jc w:val="right"/>
              <w:textAlignment w:val="bottom"/>
            </w:pPr>
            <w:r>
              <w:rPr>
                <w:rFonts w:ascii="Times New Roman" w:eastAsia="宋体" w:hAnsi="Times New Roman"/>
                <w:color w:val="000000"/>
                <w:sz w:val="20"/>
                <w:szCs w:val="20"/>
              </w:rPr>
              <w:t>3,060 </w:t>
            </w:r>
          </w:p>
        </w:tc>
        <w:tc>
          <w:tcPr>
            <w:tcW w:w="0" w:type="auto"/>
            <w:shd w:val="clear" w:color="auto" w:fill="FFFFFF"/>
            <w:tcMar>
              <w:top w:w="40" w:type="dxa"/>
              <w:left w:w="0" w:type="dxa"/>
              <w:bottom w:w="40" w:type="dxa"/>
              <w:right w:w="20" w:type="dxa"/>
            </w:tcMar>
            <w:vAlign w:val="bottom"/>
          </w:tcPr>
          <w:p w14:paraId="7DD009F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9F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9F6" w14:textId="77777777" w:rsidR="00C1563E" w:rsidRDefault="000B648B">
            <w:pPr>
              <w:jc w:val="right"/>
              <w:textAlignment w:val="bottom"/>
            </w:pPr>
            <w:r>
              <w:rPr>
                <w:rFonts w:ascii="Times New Roman" w:eastAsia="宋体" w:hAnsi="Times New Roman"/>
                <w:color w:val="000000"/>
                <w:sz w:val="20"/>
                <w:szCs w:val="20"/>
              </w:rPr>
              <w:t>2,420 </w:t>
            </w:r>
          </w:p>
        </w:tc>
        <w:tc>
          <w:tcPr>
            <w:tcW w:w="0" w:type="auto"/>
            <w:shd w:val="clear" w:color="auto" w:fill="FFFFFF"/>
            <w:tcMar>
              <w:top w:w="40" w:type="dxa"/>
              <w:left w:w="0" w:type="dxa"/>
              <w:bottom w:w="40" w:type="dxa"/>
              <w:right w:w="20" w:type="dxa"/>
            </w:tcMar>
            <w:vAlign w:val="bottom"/>
          </w:tcPr>
          <w:p w14:paraId="7DD009F7" w14:textId="77777777" w:rsidR="00C1563E" w:rsidRDefault="00C1563E">
            <w:pPr>
              <w:jc w:val="right"/>
              <w:rPr>
                <w:rFonts w:ascii="宋体"/>
              </w:rPr>
            </w:pPr>
          </w:p>
        </w:tc>
      </w:tr>
      <w:tr w:rsidR="00C1563E" w14:paraId="7DD009FF" w14:textId="77777777">
        <w:tc>
          <w:tcPr>
            <w:tcW w:w="0" w:type="auto"/>
            <w:gridSpan w:val="3"/>
            <w:shd w:val="clear" w:color="auto" w:fill="CCEEFF"/>
            <w:tcMar>
              <w:top w:w="40" w:type="dxa"/>
              <w:left w:w="245" w:type="dxa"/>
              <w:bottom w:w="40" w:type="dxa"/>
              <w:right w:w="20" w:type="dxa"/>
            </w:tcMar>
            <w:vAlign w:val="bottom"/>
          </w:tcPr>
          <w:p w14:paraId="7DD009F9"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09FA" w14:textId="77777777" w:rsidR="00C1563E" w:rsidRDefault="000B648B">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7DD009F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9F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9FD" w14:textId="77777777" w:rsidR="00C1563E" w:rsidRDefault="000B648B">
            <w:pPr>
              <w:jc w:val="right"/>
              <w:textAlignment w:val="bottom"/>
            </w:pPr>
            <w:r>
              <w:rPr>
                <w:rFonts w:ascii="Times New Roman" w:eastAsia="宋体" w:hAnsi="Times New Roman"/>
                <w:color w:val="000000"/>
                <w:sz w:val="20"/>
                <w:szCs w:val="20"/>
              </w:rPr>
              <w:t>205 </w:t>
            </w:r>
          </w:p>
        </w:tc>
        <w:tc>
          <w:tcPr>
            <w:tcW w:w="0" w:type="auto"/>
            <w:shd w:val="clear" w:color="auto" w:fill="CCEEFF"/>
            <w:tcMar>
              <w:top w:w="40" w:type="dxa"/>
              <w:left w:w="0" w:type="dxa"/>
              <w:bottom w:w="40" w:type="dxa"/>
              <w:right w:w="20" w:type="dxa"/>
            </w:tcMar>
            <w:vAlign w:val="bottom"/>
          </w:tcPr>
          <w:p w14:paraId="7DD009FE" w14:textId="77777777" w:rsidR="00C1563E" w:rsidRDefault="00C1563E">
            <w:pPr>
              <w:jc w:val="right"/>
              <w:rPr>
                <w:rFonts w:ascii="宋体"/>
              </w:rPr>
            </w:pPr>
          </w:p>
        </w:tc>
      </w:tr>
      <w:tr w:rsidR="00C1563E" w14:paraId="7DD00A06" w14:textId="77777777">
        <w:tc>
          <w:tcPr>
            <w:tcW w:w="0" w:type="auto"/>
            <w:gridSpan w:val="3"/>
            <w:shd w:val="clear" w:color="auto" w:fill="FFFFFF"/>
            <w:tcMar>
              <w:top w:w="40" w:type="dxa"/>
              <w:left w:w="515" w:type="dxa"/>
              <w:bottom w:w="40" w:type="dxa"/>
              <w:right w:w="20" w:type="dxa"/>
            </w:tcMar>
            <w:vAlign w:val="bottom"/>
          </w:tcPr>
          <w:p w14:paraId="7DD00A00" w14:textId="77777777" w:rsidR="00C1563E" w:rsidRDefault="000B648B">
            <w:pPr>
              <w:textAlignment w:val="bottom"/>
            </w:pPr>
            <w:r>
              <w:rPr>
                <w:rFonts w:ascii="Times New Roman" w:eastAsia="宋体" w:hAnsi="Times New Roman"/>
                <w:color w:val="000000"/>
                <w:sz w:val="20"/>
                <w:szCs w:val="20"/>
              </w:rPr>
              <w:t>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01" w14:textId="77777777" w:rsidR="00C1563E" w:rsidRDefault="000B648B">
            <w:pPr>
              <w:jc w:val="right"/>
              <w:textAlignment w:val="bottom"/>
            </w:pPr>
            <w:r>
              <w:rPr>
                <w:rFonts w:ascii="Times New Roman" w:eastAsia="宋体" w:hAnsi="Times New Roman"/>
                <w:color w:val="000000"/>
                <w:sz w:val="20"/>
                <w:szCs w:val="20"/>
              </w:rPr>
              <w:t>8,562 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0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04" w14:textId="77777777" w:rsidR="00C1563E" w:rsidRDefault="000B648B">
            <w:pPr>
              <w:jc w:val="right"/>
              <w:textAlignment w:val="bottom"/>
            </w:pPr>
            <w:r>
              <w:rPr>
                <w:rFonts w:ascii="Times New Roman" w:eastAsia="宋体" w:hAnsi="Times New Roman"/>
                <w:color w:val="000000"/>
                <w:sz w:val="20"/>
                <w:szCs w:val="20"/>
              </w:rPr>
              <w:t>7,918 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05" w14:textId="77777777" w:rsidR="00C1563E" w:rsidRDefault="00C1563E">
            <w:pPr>
              <w:jc w:val="right"/>
              <w:rPr>
                <w:rFonts w:ascii="宋体"/>
              </w:rPr>
            </w:pPr>
          </w:p>
        </w:tc>
      </w:tr>
      <w:tr w:rsidR="00C1563E" w14:paraId="7DD00A0D" w14:textId="77777777">
        <w:tc>
          <w:tcPr>
            <w:tcW w:w="0" w:type="auto"/>
            <w:gridSpan w:val="3"/>
            <w:shd w:val="clear" w:color="auto" w:fill="CCEEFF"/>
            <w:tcMar>
              <w:top w:w="40" w:type="dxa"/>
              <w:left w:w="245" w:type="dxa"/>
              <w:bottom w:w="40" w:type="dxa"/>
              <w:right w:w="20" w:type="dxa"/>
            </w:tcMar>
            <w:vAlign w:val="bottom"/>
          </w:tcPr>
          <w:p w14:paraId="7DD00A07" w14:textId="77777777" w:rsidR="00C1563E" w:rsidRDefault="000B648B">
            <w:pPr>
              <w:textAlignment w:val="bottom"/>
            </w:pPr>
            <w:r>
              <w:rPr>
                <w:rFonts w:ascii="Times New Roman" w:eastAsia="宋体" w:hAnsi="Times New Roman"/>
                <w:color w:val="000000"/>
                <w:sz w:val="20"/>
                <w:szCs w:val="20"/>
              </w:rPr>
              <w:t>Valuation allowance</w:t>
            </w:r>
          </w:p>
        </w:tc>
        <w:tc>
          <w:tcPr>
            <w:tcW w:w="0" w:type="auto"/>
            <w:gridSpan w:val="2"/>
            <w:shd w:val="clear" w:color="auto" w:fill="CCEEFF"/>
            <w:tcMar>
              <w:top w:w="40" w:type="dxa"/>
              <w:left w:w="20" w:type="dxa"/>
              <w:bottom w:w="40" w:type="dxa"/>
              <w:right w:w="0" w:type="dxa"/>
            </w:tcMar>
            <w:vAlign w:val="bottom"/>
          </w:tcPr>
          <w:p w14:paraId="7DD00A08" w14:textId="77777777" w:rsidR="00C1563E" w:rsidRDefault="000B648B">
            <w:pPr>
              <w:jc w:val="right"/>
              <w:textAlignment w:val="bottom"/>
            </w:pPr>
            <w:r>
              <w:rPr>
                <w:rFonts w:ascii="Times New Roman" w:eastAsia="宋体" w:hAnsi="Times New Roman"/>
                <w:color w:val="000000"/>
                <w:sz w:val="20"/>
                <w:szCs w:val="20"/>
              </w:rPr>
              <w:t>(1,709)</w:t>
            </w:r>
          </w:p>
        </w:tc>
        <w:tc>
          <w:tcPr>
            <w:tcW w:w="0" w:type="auto"/>
            <w:shd w:val="clear" w:color="auto" w:fill="CCEEFF"/>
            <w:tcMar>
              <w:top w:w="40" w:type="dxa"/>
              <w:left w:w="0" w:type="dxa"/>
              <w:bottom w:w="40" w:type="dxa"/>
              <w:right w:w="20" w:type="dxa"/>
            </w:tcMar>
            <w:vAlign w:val="bottom"/>
          </w:tcPr>
          <w:p w14:paraId="7DD00A0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0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0B" w14:textId="77777777" w:rsidR="00C1563E" w:rsidRDefault="000B648B">
            <w:pPr>
              <w:jc w:val="right"/>
              <w:textAlignment w:val="bottom"/>
            </w:pPr>
            <w:r>
              <w:rPr>
                <w:rFonts w:ascii="Times New Roman" w:eastAsia="宋体" w:hAnsi="Times New Roman"/>
                <w:color w:val="000000"/>
                <w:sz w:val="20"/>
                <w:szCs w:val="20"/>
              </w:rPr>
              <w:t>(1,687)</w:t>
            </w:r>
          </w:p>
        </w:tc>
        <w:tc>
          <w:tcPr>
            <w:tcW w:w="0" w:type="auto"/>
            <w:shd w:val="clear" w:color="auto" w:fill="CCEEFF"/>
            <w:tcMar>
              <w:top w:w="40" w:type="dxa"/>
              <w:left w:w="0" w:type="dxa"/>
              <w:bottom w:w="40" w:type="dxa"/>
              <w:right w:w="20" w:type="dxa"/>
            </w:tcMar>
            <w:vAlign w:val="bottom"/>
          </w:tcPr>
          <w:p w14:paraId="7DD00A0C" w14:textId="77777777" w:rsidR="00C1563E" w:rsidRDefault="00C1563E">
            <w:pPr>
              <w:jc w:val="right"/>
              <w:rPr>
                <w:rFonts w:ascii="宋体"/>
              </w:rPr>
            </w:pPr>
          </w:p>
        </w:tc>
      </w:tr>
      <w:tr w:rsidR="00C1563E" w14:paraId="7DD00A14" w14:textId="77777777">
        <w:tc>
          <w:tcPr>
            <w:tcW w:w="0" w:type="auto"/>
            <w:gridSpan w:val="3"/>
            <w:shd w:val="clear" w:color="auto" w:fill="FFFFFF"/>
            <w:tcMar>
              <w:top w:w="40" w:type="dxa"/>
              <w:left w:w="515" w:type="dxa"/>
              <w:bottom w:w="40" w:type="dxa"/>
              <w:right w:w="20" w:type="dxa"/>
            </w:tcMar>
            <w:vAlign w:val="bottom"/>
          </w:tcPr>
          <w:p w14:paraId="7DD00A0E" w14:textId="77777777" w:rsidR="00C1563E" w:rsidRDefault="000B648B">
            <w:pPr>
              <w:textAlignment w:val="bottom"/>
            </w:pPr>
            <w:r>
              <w:rPr>
                <w:rFonts w:ascii="Times New Roman" w:eastAsia="宋体" w:hAnsi="Times New Roman"/>
                <w:color w:val="000000"/>
                <w:sz w:val="20"/>
                <w:szCs w:val="20"/>
              </w:rPr>
              <w:t>Deferred tax assets, net of valuation allowance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0F" w14:textId="77777777" w:rsidR="00C1563E" w:rsidRDefault="000B648B">
            <w:pPr>
              <w:jc w:val="right"/>
              <w:textAlignment w:val="bottom"/>
            </w:pPr>
            <w:r>
              <w:rPr>
                <w:rFonts w:ascii="Times New Roman" w:eastAsia="宋体" w:hAnsi="Times New Roman"/>
                <w:color w:val="000000"/>
                <w:sz w:val="20"/>
                <w:szCs w:val="20"/>
              </w:rPr>
              <w:t>6,853 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1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11"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12" w14:textId="77777777" w:rsidR="00C1563E" w:rsidRDefault="000B648B">
            <w:pPr>
              <w:jc w:val="right"/>
              <w:textAlignment w:val="bottom"/>
            </w:pPr>
            <w:r>
              <w:rPr>
                <w:rFonts w:ascii="Times New Roman" w:eastAsia="宋体" w:hAnsi="Times New Roman"/>
                <w:color w:val="000000"/>
                <w:sz w:val="20"/>
                <w:szCs w:val="20"/>
              </w:rPr>
              <w:t>6,231 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13" w14:textId="77777777" w:rsidR="00C1563E" w:rsidRDefault="00C1563E">
            <w:pPr>
              <w:jc w:val="right"/>
              <w:rPr>
                <w:rFonts w:ascii="宋体"/>
              </w:rPr>
            </w:pPr>
          </w:p>
        </w:tc>
      </w:tr>
      <w:tr w:rsidR="00C1563E" w14:paraId="7DD00A19" w14:textId="77777777">
        <w:tc>
          <w:tcPr>
            <w:tcW w:w="0" w:type="auto"/>
            <w:gridSpan w:val="3"/>
            <w:shd w:val="clear" w:color="auto" w:fill="CCEEFF"/>
            <w:tcMar>
              <w:top w:w="40" w:type="dxa"/>
              <w:left w:w="20" w:type="dxa"/>
              <w:bottom w:w="40" w:type="dxa"/>
              <w:right w:w="20" w:type="dxa"/>
            </w:tcMar>
            <w:vAlign w:val="bottom"/>
          </w:tcPr>
          <w:p w14:paraId="7DD00A15" w14:textId="77777777" w:rsidR="00C1563E" w:rsidRDefault="000B648B">
            <w:pPr>
              <w:textAlignment w:val="bottom"/>
            </w:pPr>
            <w:r>
              <w:rPr>
                <w:rFonts w:ascii="Times New Roman" w:eastAsia="宋体" w:hAnsi="Times New Roman"/>
                <w:i/>
                <w:iCs/>
                <w:color w:val="000000"/>
                <w:sz w:val="20"/>
                <w:szCs w:val="20"/>
              </w:rPr>
              <w:t>Deferred tax liabilities:</w:t>
            </w:r>
          </w:p>
        </w:tc>
        <w:tc>
          <w:tcPr>
            <w:tcW w:w="0" w:type="auto"/>
            <w:gridSpan w:val="3"/>
            <w:tcBorders>
              <w:top w:val="single" w:sz="8" w:space="0" w:color="000000"/>
            </w:tcBorders>
            <w:shd w:val="clear" w:color="auto" w:fill="CCEEFF"/>
            <w:tcMar>
              <w:top w:w="0" w:type="dxa"/>
              <w:left w:w="20" w:type="dxa"/>
              <w:bottom w:w="0" w:type="dxa"/>
              <w:right w:w="20" w:type="dxa"/>
            </w:tcMar>
          </w:tcPr>
          <w:p w14:paraId="7DD00A1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A17"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0A18" w14:textId="77777777" w:rsidR="00C1563E" w:rsidRDefault="00C1563E">
            <w:pPr>
              <w:rPr>
                <w:rFonts w:ascii="宋体"/>
              </w:rPr>
            </w:pPr>
          </w:p>
        </w:tc>
      </w:tr>
      <w:tr w:rsidR="00C1563E" w14:paraId="7DD00A20" w14:textId="77777777">
        <w:tc>
          <w:tcPr>
            <w:tcW w:w="0" w:type="auto"/>
            <w:gridSpan w:val="3"/>
            <w:shd w:val="clear" w:color="auto" w:fill="FFFFFF"/>
            <w:tcMar>
              <w:top w:w="40" w:type="dxa"/>
              <w:left w:w="245" w:type="dxa"/>
              <w:bottom w:w="40" w:type="dxa"/>
              <w:right w:w="20" w:type="dxa"/>
            </w:tcMar>
            <w:vAlign w:val="bottom"/>
          </w:tcPr>
          <w:p w14:paraId="7DD00A1A" w14:textId="77777777" w:rsidR="00C1563E" w:rsidRDefault="000B648B">
            <w:pPr>
              <w:textAlignment w:val="bottom"/>
            </w:pPr>
            <w:r>
              <w:rPr>
                <w:rFonts w:ascii="Times New Roman" w:eastAsia="宋体" w:hAnsi="Times New Roman"/>
                <w:color w:val="000000"/>
                <w:sz w:val="20"/>
                <w:szCs w:val="20"/>
              </w:rPr>
              <w:t>Leasing and financing</w:t>
            </w:r>
          </w:p>
        </w:tc>
        <w:tc>
          <w:tcPr>
            <w:tcW w:w="0" w:type="auto"/>
            <w:gridSpan w:val="2"/>
            <w:shd w:val="clear" w:color="auto" w:fill="FFFFFF"/>
            <w:tcMar>
              <w:top w:w="40" w:type="dxa"/>
              <w:left w:w="20" w:type="dxa"/>
              <w:bottom w:w="40" w:type="dxa"/>
              <w:right w:w="0" w:type="dxa"/>
            </w:tcMar>
            <w:vAlign w:val="bottom"/>
          </w:tcPr>
          <w:p w14:paraId="7DD00A1B" w14:textId="77777777" w:rsidR="00C1563E" w:rsidRDefault="000B648B">
            <w:pPr>
              <w:jc w:val="right"/>
              <w:textAlignment w:val="bottom"/>
            </w:pPr>
            <w:r>
              <w:rPr>
                <w:rFonts w:ascii="Times New Roman" w:eastAsia="宋体" w:hAnsi="Times New Roman"/>
                <w:color w:val="000000"/>
                <w:sz w:val="20"/>
                <w:szCs w:val="20"/>
              </w:rPr>
              <w:t>(375)</w:t>
            </w:r>
          </w:p>
        </w:tc>
        <w:tc>
          <w:tcPr>
            <w:tcW w:w="0" w:type="auto"/>
            <w:shd w:val="clear" w:color="auto" w:fill="FFFFFF"/>
            <w:tcMar>
              <w:top w:w="40" w:type="dxa"/>
              <w:left w:w="0" w:type="dxa"/>
              <w:bottom w:w="40" w:type="dxa"/>
              <w:right w:w="20" w:type="dxa"/>
            </w:tcMar>
            <w:vAlign w:val="bottom"/>
          </w:tcPr>
          <w:p w14:paraId="7DD00A1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1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1E" w14:textId="77777777" w:rsidR="00C1563E" w:rsidRDefault="000B648B">
            <w:pPr>
              <w:jc w:val="right"/>
              <w:textAlignment w:val="bottom"/>
            </w:pPr>
            <w:r>
              <w:rPr>
                <w:rFonts w:ascii="Times New Roman" w:eastAsia="宋体" w:hAnsi="Times New Roman"/>
                <w:color w:val="000000"/>
                <w:sz w:val="20"/>
                <w:szCs w:val="20"/>
              </w:rPr>
              <w:t>(369)</w:t>
            </w:r>
          </w:p>
        </w:tc>
        <w:tc>
          <w:tcPr>
            <w:tcW w:w="0" w:type="auto"/>
            <w:shd w:val="clear" w:color="auto" w:fill="FFFFFF"/>
            <w:tcMar>
              <w:top w:w="40" w:type="dxa"/>
              <w:left w:w="0" w:type="dxa"/>
              <w:bottom w:w="40" w:type="dxa"/>
              <w:right w:w="20" w:type="dxa"/>
            </w:tcMar>
            <w:vAlign w:val="bottom"/>
          </w:tcPr>
          <w:p w14:paraId="7DD00A1F" w14:textId="77777777" w:rsidR="00C1563E" w:rsidRDefault="00C1563E">
            <w:pPr>
              <w:jc w:val="right"/>
              <w:rPr>
                <w:rFonts w:ascii="宋体"/>
              </w:rPr>
            </w:pPr>
          </w:p>
        </w:tc>
      </w:tr>
      <w:tr w:rsidR="00C1563E" w14:paraId="7DD00A27" w14:textId="77777777">
        <w:tc>
          <w:tcPr>
            <w:tcW w:w="0" w:type="auto"/>
            <w:gridSpan w:val="3"/>
            <w:shd w:val="clear" w:color="auto" w:fill="CCEEFF"/>
            <w:tcMar>
              <w:top w:w="40" w:type="dxa"/>
              <w:left w:w="245" w:type="dxa"/>
              <w:bottom w:w="40" w:type="dxa"/>
              <w:right w:w="20" w:type="dxa"/>
            </w:tcMar>
            <w:vAlign w:val="bottom"/>
          </w:tcPr>
          <w:p w14:paraId="7DD00A21" w14:textId="77777777" w:rsidR="00C1563E" w:rsidRDefault="000B648B">
            <w:pPr>
              <w:textAlignment w:val="bottom"/>
            </w:pPr>
            <w:r>
              <w:rPr>
                <w:rFonts w:ascii="Times New Roman" w:eastAsia="宋体" w:hAnsi="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14:paraId="7DD00A22" w14:textId="77777777" w:rsidR="00C1563E" w:rsidRDefault="000B648B">
            <w:pPr>
              <w:jc w:val="right"/>
              <w:textAlignment w:val="bottom"/>
            </w:pPr>
            <w:r>
              <w:rPr>
                <w:rFonts w:ascii="Times New Roman" w:eastAsia="宋体" w:hAnsi="Times New Roman"/>
                <w:color w:val="000000"/>
                <w:sz w:val="20"/>
                <w:szCs w:val="20"/>
              </w:rPr>
              <w:t>(208)</w:t>
            </w:r>
          </w:p>
        </w:tc>
        <w:tc>
          <w:tcPr>
            <w:tcW w:w="0" w:type="auto"/>
            <w:shd w:val="clear" w:color="auto" w:fill="CCEEFF"/>
            <w:tcMar>
              <w:top w:w="40" w:type="dxa"/>
              <w:left w:w="0" w:type="dxa"/>
              <w:bottom w:w="40" w:type="dxa"/>
              <w:right w:w="20" w:type="dxa"/>
            </w:tcMar>
            <w:vAlign w:val="bottom"/>
          </w:tcPr>
          <w:p w14:paraId="7DD00A2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2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25" w14:textId="77777777" w:rsidR="00C1563E" w:rsidRDefault="000B648B">
            <w:pPr>
              <w:jc w:val="right"/>
              <w:textAlignment w:val="bottom"/>
            </w:pPr>
            <w:r>
              <w:rPr>
                <w:rFonts w:ascii="Times New Roman" w:eastAsia="宋体" w:hAnsi="Times New Roman"/>
                <w:color w:val="000000"/>
                <w:sz w:val="20"/>
                <w:szCs w:val="20"/>
              </w:rPr>
              <w:t>(210)</w:t>
            </w:r>
          </w:p>
        </w:tc>
        <w:tc>
          <w:tcPr>
            <w:tcW w:w="0" w:type="auto"/>
            <w:shd w:val="clear" w:color="auto" w:fill="CCEEFF"/>
            <w:tcMar>
              <w:top w:w="40" w:type="dxa"/>
              <w:left w:w="0" w:type="dxa"/>
              <w:bottom w:w="40" w:type="dxa"/>
              <w:right w:w="20" w:type="dxa"/>
            </w:tcMar>
            <w:vAlign w:val="bottom"/>
          </w:tcPr>
          <w:p w14:paraId="7DD00A26" w14:textId="77777777" w:rsidR="00C1563E" w:rsidRDefault="00C1563E">
            <w:pPr>
              <w:jc w:val="right"/>
              <w:rPr>
                <w:rFonts w:ascii="宋体"/>
              </w:rPr>
            </w:pPr>
          </w:p>
        </w:tc>
      </w:tr>
      <w:tr w:rsidR="00C1563E" w14:paraId="7DD00A2E" w14:textId="77777777">
        <w:tc>
          <w:tcPr>
            <w:tcW w:w="0" w:type="auto"/>
            <w:gridSpan w:val="3"/>
            <w:shd w:val="clear" w:color="auto" w:fill="FFFFFF"/>
            <w:tcMar>
              <w:top w:w="40" w:type="dxa"/>
              <w:left w:w="245" w:type="dxa"/>
              <w:bottom w:w="40" w:type="dxa"/>
              <w:right w:w="20" w:type="dxa"/>
            </w:tcMar>
            <w:vAlign w:val="bottom"/>
          </w:tcPr>
          <w:p w14:paraId="7DD00A28" w14:textId="77777777" w:rsidR="00C1563E" w:rsidRDefault="000B648B">
            <w:pPr>
              <w:textAlignment w:val="bottom"/>
            </w:pPr>
            <w:r>
              <w:rPr>
                <w:rFonts w:ascii="Times New Roman" w:eastAsia="宋体" w:hAnsi="Times New Roman"/>
                <w:color w:val="000000"/>
                <w:sz w:val="20"/>
                <w:szCs w:val="20"/>
              </w:rPr>
              <w:t>Property and equipment</w:t>
            </w:r>
          </w:p>
        </w:tc>
        <w:tc>
          <w:tcPr>
            <w:tcW w:w="0" w:type="auto"/>
            <w:gridSpan w:val="2"/>
            <w:shd w:val="clear" w:color="auto" w:fill="FFFFFF"/>
            <w:tcMar>
              <w:top w:w="40" w:type="dxa"/>
              <w:left w:w="20" w:type="dxa"/>
              <w:bottom w:w="40" w:type="dxa"/>
              <w:right w:w="0" w:type="dxa"/>
            </w:tcMar>
            <w:vAlign w:val="bottom"/>
          </w:tcPr>
          <w:p w14:paraId="7DD00A29" w14:textId="77777777" w:rsidR="00C1563E" w:rsidRDefault="000B648B">
            <w:pPr>
              <w:jc w:val="right"/>
              <w:textAlignment w:val="bottom"/>
            </w:pPr>
            <w:r>
              <w:rPr>
                <w:rFonts w:ascii="Times New Roman" w:eastAsia="宋体" w:hAnsi="Times New Roman"/>
                <w:color w:val="000000"/>
                <w:sz w:val="20"/>
                <w:szCs w:val="20"/>
              </w:rPr>
              <w:t>(539)</w:t>
            </w:r>
          </w:p>
        </w:tc>
        <w:tc>
          <w:tcPr>
            <w:tcW w:w="0" w:type="auto"/>
            <w:shd w:val="clear" w:color="auto" w:fill="FFFFFF"/>
            <w:tcMar>
              <w:top w:w="40" w:type="dxa"/>
              <w:left w:w="0" w:type="dxa"/>
              <w:bottom w:w="40" w:type="dxa"/>
              <w:right w:w="20" w:type="dxa"/>
            </w:tcMar>
            <w:vAlign w:val="bottom"/>
          </w:tcPr>
          <w:p w14:paraId="7DD00A2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2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2C" w14:textId="77777777" w:rsidR="00C1563E" w:rsidRDefault="000B648B">
            <w:pPr>
              <w:jc w:val="right"/>
              <w:textAlignment w:val="bottom"/>
            </w:pPr>
            <w:r>
              <w:rPr>
                <w:rFonts w:ascii="Times New Roman" w:eastAsia="宋体" w:hAnsi="Times New Roman"/>
                <w:color w:val="000000"/>
                <w:sz w:val="20"/>
                <w:szCs w:val="20"/>
              </w:rPr>
              <w:t>(509)</w:t>
            </w:r>
          </w:p>
        </w:tc>
        <w:tc>
          <w:tcPr>
            <w:tcW w:w="0" w:type="auto"/>
            <w:shd w:val="clear" w:color="auto" w:fill="FFFFFF"/>
            <w:tcMar>
              <w:top w:w="40" w:type="dxa"/>
              <w:left w:w="0" w:type="dxa"/>
              <w:bottom w:w="40" w:type="dxa"/>
              <w:right w:w="20" w:type="dxa"/>
            </w:tcMar>
            <w:vAlign w:val="bottom"/>
          </w:tcPr>
          <w:p w14:paraId="7DD00A2D" w14:textId="77777777" w:rsidR="00C1563E" w:rsidRDefault="00C1563E">
            <w:pPr>
              <w:jc w:val="right"/>
              <w:rPr>
                <w:rFonts w:ascii="宋体"/>
              </w:rPr>
            </w:pPr>
          </w:p>
        </w:tc>
      </w:tr>
      <w:tr w:rsidR="00C1563E" w14:paraId="7DD00A33" w14:textId="77777777">
        <w:trPr>
          <w:hidden/>
        </w:trPr>
        <w:tc>
          <w:tcPr>
            <w:tcW w:w="0" w:type="auto"/>
            <w:gridSpan w:val="3"/>
            <w:shd w:val="clear" w:color="auto" w:fill="auto"/>
          </w:tcPr>
          <w:p w14:paraId="7DD00A2F" w14:textId="77777777" w:rsidR="00C1563E" w:rsidRDefault="00C1563E">
            <w:pPr>
              <w:rPr>
                <w:rFonts w:ascii="宋体"/>
                <w:vanish/>
              </w:rPr>
            </w:pPr>
          </w:p>
        </w:tc>
        <w:tc>
          <w:tcPr>
            <w:tcW w:w="0" w:type="auto"/>
            <w:gridSpan w:val="3"/>
            <w:shd w:val="clear" w:color="auto" w:fill="auto"/>
          </w:tcPr>
          <w:p w14:paraId="7DD00A30" w14:textId="77777777" w:rsidR="00C1563E" w:rsidRDefault="00C1563E">
            <w:pPr>
              <w:rPr>
                <w:rFonts w:ascii="宋体"/>
                <w:vanish/>
              </w:rPr>
            </w:pPr>
          </w:p>
        </w:tc>
        <w:tc>
          <w:tcPr>
            <w:tcW w:w="0" w:type="auto"/>
            <w:gridSpan w:val="3"/>
            <w:shd w:val="clear" w:color="auto" w:fill="auto"/>
          </w:tcPr>
          <w:p w14:paraId="7DD00A31" w14:textId="77777777" w:rsidR="00C1563E" w:rsidRDefault="00C1563E">
            <w:pPr>
              <w:rPr>
                <w:rFonts w:ascii="宋体"/>
                <w:vanish/>
              </w:rPr>
            </w:pPr>
          </w:p>
        </w:tc>
        <w:tc>
          <w:tcPr>
            <w:tcW w:w="0" w:type="auto"/>
            <w:gridSpan w:val="3"/>
            <w:shd w:val="clear" w:color="auto" w:fill="auto"/>
          </w:tcPr>
          <w:p w14:paraId="7DD00A32" w14:textId="77777777" w:rsidR="00C1563E" w:rsidRDefault="00C1563E">
            <w:pPr>
              <w:rPr>
                <w:rFonts w:ascii="宋体"/>
                <w:vanish/>
              </w:rPr>
            </w:pPr>
          </w:p>
        </w:tc>
      </w:tr>
      <w:tr w:rsidR="00C1563E" w14:paraId="7DD00A3A" w14:textId="77777777">
        <w:tc>
          <w:tcPr>
            <w:tcW w:w="0" w:type="auto"/>
            <w:gridSpan w:val="3"/>
            <w:shd w:val="clear" w:color="auto" w:fill="CCEEFF"/>
            <w:tcMar>
              <w:top w:w="40" w:type="dxa"/>
              <w:left w:w="245" w:type="dxa"/>
              <w:bottom w:w="40" w:type="dxa"/>
              <w:right w:w="20" w:type="dxa"/>
            </w:tcMar>
            <w:vAlign w:val="bottom"/>
          </w:tcPr>
          <w:p w14:paraId="7DD00A34"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0A35" w14:textId="77777777" w:rsidR="00C1563E" w:rsidRDefault="000B648B">
            <w:pPr>
              <w:jc w:val="right"/>
              <w:textAlignment w:val="bottom"/>
            </w:pPr>
            <w:r>
              <w:rPr>
                <w:rFonts w:ascii="Times New Roman" w:eastAsia="宋体" w:hAnsi="Times New Roman"/>
                <w:color w:val="000000"/>
                <w:sz w:val="20"/>
                <w:szCs w:val="20"/>
              </w:rPr>
              <w:t>(303)</w:t>
            </w:r>
          </w:p>
        </w:tc>
        <w:tc>
          <w:tcPr>
            <w:tcW w:w="0" w:type="auto"/>
            <w:shd w:val="clear" w:color="auto" w:fill="CCEEFF"/>
            <w:tcMar>
              <w:top w:w="40" w:type="dxa"/>
              <w:left w:w="0" w:type="dxa"/>
              <w:bottom w:w="40" w:type="dxa"/>
              <w:right w:w="20" w:type="dxa"/>
            </w:tcMar>
            <w:vAlign w:val="bottom"/>
          </w:tcPr>
          <w:p w14:paraId="7DD00A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3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38" w14:textId="77777777" w:rsidR="00C1563E" w:rsidRDefault="000B648B">
            <w:pPr>
              <w:jc w:val="right"/>
              <w:textAlignment w:val="bottom"/>
            </w:pPr>
            <w:r>
              <w:rPr>
                <w:rFonts w:ascii="Times New Roman" w:eastAsia="宋体" w:hAnsi="Times New Roman"/>
                <w:color w:val="000000"/>
                <w:sz w:val="20"/>
                <w:szCs w:val="20"/>
              </w:rPr>
              <w:t>(205)</w:t>
            </w:r>
          </w:p>
        </w:tc>
        <w:tc>
          <w:tcPr>
            <w:tcW w:w="0" w:type="auto"/>
            <w:shd w:val="clear" w:color="auto" w:fill="CCEEFF"/>
            <w:tcMar>
              <w:top w:w="40" w:type="dxa"/>
              <w:left w:w="0" w:type="dxa"/>
              <w:bottom w:w="40" w:type="dxa"/>
              <w:right w:w="20" w:type="dxa"/>
            </w:tcMar>
            <w:vAlign w:val="bottom"/>
          </w:tcPr>
          <w:p w14:paraId="7DD00A39" w14:textId="77777777" w:rsidR="00C1563E" w:rsidRDefault="00C1563E">
            <w:pPr>
              <w:jc w:val="right"/>
              <w:rPr>
                <w:rFonts w:ascii="宋体"/>
              </w:rPr>
            </w:pPr>
          </w:p>
        </w:tc>
      </w:tr>
      <w:tr w:rsidR="00C1563E" w14:paraId="7DD00A41" w14:textId="77777777">
        <w:tc>
          <w:tcPr>
            <w:tcW w:w="0" w:type="auto"/>
            <w:gridSpan w:val="3"/>
            <w:shd w:val="clear" w:color="auto" w:fill="FFFFFF"/>
            <w:tcMar>
              <w:top w:w="40" w:type="dxa"/>
              <w:left w:w="515" w:type="dxa"/>
              <w:bottom w:w="40" w:type="dxa"/>
              <w:right w:w="20" w:type="dxa"/>
            </w:tcMar>
            <w:vAlign w:val="bottom"/>
          </w:tcPr>
          <w:p w14:paraId="7DD00A3B" w14:textId="77777777" w:rsidR="00C1563E" w:rsidRDefault="000B648B">
            <w:pPr>
              <w:textAlignment w:val="bottom"/>
            </w:pPr>
            <w:r>
              <w:rPr>
                <w:rFonts w:ascii="Times New Roman" w:eastAsia="宋体" w:hAnsi="Times New Roman"/>
                <w:color w:val="000000"/>
                <w:sz w:val="20"/>
                <w:szCs w:val="20"/>
              </w:rPr>
              <w:t>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3C" w14:textId="77777777" w:rsidR="00C1563E" w:rsidRDefault="000B648B">
            <w:pPr>
              <w:jc w:val="right"/>
              <w:textAlignment w:val="bottom"/>
            </w:pPr>
            <w:r>
              <w:rPr>
                <w:rFonts w:ascii="Times New Roman" w:eastAsia="宋体" w:hAnsi="Times New Roman"/>
                <w:color w:val="000000"/>
                <w:sz w:val="20"/>
                <w:szCs w:val="20"/>
              </w:rPr>
              <w:t>(1,425)</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3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3E"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A3F" w14:textId="77777777" w:rsidR="00C1563E" w:rsidRDefault="000B648B">
            <w:pPr>
              <w:jc w:val="right"/>
              <w:textAlignment w:val="bottom"/>
            </w:pPr>
            <w:r>
              <w:rPr>
                <w:rFonts w:ascii="Times New Roman" w:eastAsia="宋体" w:hAnsi="Times New Roman"/>
                <w:color w:val="000000"/>
                <w:sz w:val="20"/>
                <w:szCs w:val="20"/>
              </w:rPr>
              <w:t>(1,293)</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40" w14:textId="77777777" w:rsidR="00C1563E" w:rsidRDefault="00C1563E">
            <w:pPr>
              <w:jc w:val="right"/>
              <w:rPr>
                <w:rFonts w:ascii="宋体"/>
              </w:rPr>
            </w:pPr>
          </w:p>
        </w:tc>
      </w:tr>
      <w:tr w:rsidR="00C1563E" w14:paraId="7DD00A4A" w14:textId="77777777">
        <w:tc>
          <w:tcPr>
            <w:tcW w:w="0" w:type="auto"/>
            <w:gridSpan w:val="3"/>
            <w:shd w:val="clear" w:color="auto" w:fill="CCEEFF"/>
            <w:tcMar>
              <w:top w:w="40" w:type="dxa"/>
              <w:left w:w="515" w:type="dxa"/>
              <w:bottom w:w="40" w:type="dxa"/>
              <w:right w:w="20" w:type="dxa"/>
            </w:tcMar>
            <w:vAlign w:val="bottom"/>
          </w:tcPr>
          <w:p w14:paraId="7DD00A42" w14:textId="77777777" w:rsidR="00C1563E" w:rsidRDefault="000B648B">
            <w:pPr>
              <w:textAlignment w:val="bottom"/>
            </w:pPr>
            <w:r>
              <w:rPr>
                <w:rFonts w:ascii="Times New Roman" w:eastAsia="宋体" w:hAnsi="Times New Roman"/>
                <w:color w:val="000000"/>
                <w:sz w:val="20"/>
                <w:szCs w:val="20"/>
              </w:rPr>
              <w:t>Net deferred tax assets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A4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A44" w14:textId="77777777" w:rsidR="00C1563E" w:rsidRDefault="000B648B">
            <w:pPr>
              <w:jc w:val="right"/>
              <w:textAlignment w:val="bottom"/>
            </w:pPr>
            <w:r>
              <w:rPr>
                <w:rFonts w:ascii="Times New Roman" w:eastAsia="宋体" w:hAnsi="Times New Roman"/>
                <w:color w:val="000000"/>
                <w:sz w:val="20"/>
                <w:szCs w:val="20"/>
              </w:rPr>
              <w:t>5,428 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A4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46"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A4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A48" w14:textId="77777777" w:rsidR="00C1563E" w:rsidRDefault="000B648B">
            <w:pPr>
              <w:jc w:val="right"/>
              <w:textAlignment w:val="bottom"/>
            </w:pPr>
            <w:r>
              <w:rPr>
                <w:rFonts w:ascii="Times New Roman" w:eastAsia="宋体" w:hAnsi="Times New Roman"/>
                <w:color w:val="000000"/>
                <w:sz w:val="20"/>
                <w:szCs w:val="20"/>
              </w:rPr>
              <w:t>4,938 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A49" w14:textId="77777777" w:rsidR="00C1563E" w:rsidRDefault="00C1563E">
            <w:pPr>
              <w:jc w:val="right"/>
              <w:rPr>
                <w:rFonts w:ascii="宋体"/>
              </w:rPr>
            </w:pPr>
          </w:p>
        </w:tc>
      </w:tr>
    </w:tbl>
    <w:p w14:paraId="7DD00A4B" w14:textId="77777777" w:rsidR="00C1563E" w:rsidRDefault="00C1563E"/>
    <w:p w14:paraId="7DD00A4C" w14:textId="77777777" w:rsidR="00C1563E" w:rsidRDefault="00C1563E">
      <w:pPr>
        <w:jc w:val="center"/>
      </w:pPr>
    </w:p>
    <w:p w14:paraId="7DD00A4D" w14:textId="77777777" w:rsidR="00C1563E" w:rsidRDefault="000B648B">
      <w:pPr>
        <w:jc w:val="center"/>
      </w:pPr>
      <w:r>
        <w:rPr>
          <w:rFonts w:ascii="Times New Roman" w:eastAsia="宋体" w:hAnsi="Times New Roman"/>
          <w:color w:val="000000"/>
          <w:sz w:val="20"/>
          <w:szCs w:val="20"/>
        </w:rPr>
        <w:t>131</w:t>
      </w:r>
    </w:p>
    <w:p w14:paraId="7DD00A4E" w14:textId="77777777" w:rsidR="00C1563E" w:rsidRDefault="00C1563E">
      <w:pPr>
        <w:jc w:val="center"/>
      </w:pPr>
    </w:p>
    <w:p w14:paraId="7DD00A4F" w14:textId="77777777" w:rsidR="00C1563E" w:rsidRDefault="000B648B">
      <w:r>
        <w:pict w14:anchorId="7DD025ED">
          <v:rect id="_x0000_i1155" style="width:415.3pt;height:1.5pt" o:hralign="center" o:hrstd="t" o:hr="t" fillcolor="#a0a0a0" stroked="f"/>
        </w:pict>
      </w:r>
    </w:p>
    <w:p w14:paraId="7DD00A50" w14:textId="77777777" w:rsidR="00C1563E" w:rsidRDefault="000B648B">
      <w:hyperlink r:id="rId314" w:anchor="i418e32e4a35149ffbf7d3a25d66881b8_10" w:history="1">
        <w:r>
          <w:rPr>
            <w:rStyle w:val="a5"/>
            <w:rFonts w:ascii="Times New Roman" w:eastAsia="宋体" w:hAnsi="Times New Roman"/>
            <w:sz w:val="20"/>
            <w:szCs w:val="20"/>
          </w:rPr>
          <w:t>Table of Contents</w:t>
        </w:r>
      </w:hyperlink>
    </w:p>
    <w:p w14:paraId="7DD00A51" w14:textId="77777777" w:rsidR="00C1563E" w:rsidRDefault="000B648B">
      <w:pPr>
        <w:spacing w:after="120"/>
      </w:pPr>
      <w:r>
        <w:rPr>
          <w:rFonts w:ascii="Times New Roman" w:eastAsia="宋体" w:hAnsi="Times New Roman"/>
          <w:color w:val="000000"/>
          <w:sz w:val="20"/>
          <w:szCs w:val="20"/>
        </w:rPr>
        <w:t>The following tables present the net operating loss carryforwards, tax credit carryf</w:t>
      </w:r>
      <w:r>
        <w:rPr>
          <w:rFonts w:ascii="Times New Roman" w:eastAsia="宋体" w:hAnsi="Times New Roman"/>
          <w:color w:val="000000"/>
          <w:sz w:val="20"/>
          <w:szCs w:val="20"/>
        </w:rPr>
        <w:t>orwards, and other deferred tax assets with related valuation allowances recognized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806"/>
        <w:gridCol w:w="36"/>
        <w:gridCol w:w="121"/>
        <w:gridCol w:w="1151"/>
        <w:gridCol w:w="36"/>
        <w:gridCol w:w="36"/>
        <w:gridCol w:w="36"/>
        <w:gridCol w:w="36"/>
        <w:gridCol w:w="121"/>
        <w:gridCol w:w="1151"/>
        <w:gridCol w:w="36"/>
        <w:gridCol w:w="36"/>
        <w:gridCol w:w="36"/>
        <w:gridCol w:w="36"/>
        <w:gridCol w:w="121"/>
        <w:gridCol w:w="1151"/>
        <w:gridCol w:w="36"/>
        <w:gridCol w:w="36"/>
        <w:gridCol w:w="36"/>
        <w:gridCol w:w="36"/>
        <w:gridCol w:w="51"/>
        <w:gridCol w:w="1122"/>
        <w:gridCol w:w="36"/>
      </w:tblGrid>
      <w:tr w:rsidR="00C1563E" w14:paraId="7DD00A6A" w14:textId="77777777">
        <w:trPr>
          <w:jc w:val="center"/>
        </w:trPr>
        <w:tc>
          <w:tcPr>
            <w:tcW w:w="50" w:type="pct"/>
            <w:shd w:val="clear" w:color="auto" w:fill="auto"/>
          </w:tcPr>
          <w:p w14:paraId="7DD00A52" w14:textId="77777777" w:rsidR="00C1563E" w:rsidRDefault="00C1563E">
            <w:pPr>
              <w:rPr>
                <w:rFonts w:ascii="宋体"/>
              </w:rPr>
            </w:pPr>
          </w:p>
        </w:tc>
        <w:tc>
          <w:tcPr>
            <w:tcW w:w="1728" w:type="pct"/>
            <w:shd w:val="clear" w:color="auto" w:fill="auto"/>
          </w:tcPr>
          <w:p w14:paraId="7DD00A53" w14:textId="77777777" w:rsidR="00C1563E" w:rsidRDefault="00C1563E">
            <w:pPr>
              <w:rPr>
                <w:rFonts w:ascii="宋体"/>
              </w:rPr>
            </w:pPr>
          </w:p>
        </w:tc>
        <w:tc>
          <w:tcPr>
            <w:tcW w:w="5" w:type="pct"/>
            <w:shd w:val="clear" w:color="auto" w:fill="auto"/>
          </w:tcPr>
          <w:p w14:paraId="7DD00A54" w14:textId="77777777" w:rsidR="00C1563E" w:rsidRDefault="00C1563E">
            <w:pPr>
              <w:rPr>
                <w:rFonts w:ascii="宋体"/>
              </w:rPr>
            </w:pPr>
          </w:p>
        </w:tc>
        <w:tc>
          <w:tcPr>
            <w:tcW w:w="50" w:type="pct"/>
            <w:shd w:val="clear" w:color="auto" w:fill="auto"/>
          </w:tcPr>
          <w:p w14:paraId="7DD00A55" w14:textId="77777777" w:rsidR="00C1563E" w:rsidRDefault="00C1563E">
            <w:pPr>
              <w:rPr>
                <w:rFonts w:ascii="宋体"/>
              </w:rPr>
            </w:pPr>
          </w:p>
        </w:tc>
        <w:tc>
          <w:tcPr>
            <w:tcW w:w="727" w:type="pct"/>
            <w:shd w:val="clear" w:color="auto" w:fill="auto"/>
          </w:tcPr>
          <w:p w14:paraId="7DD00A56" w14:textId="77777777" w:rsidR="00C1563E" w:rsidRDefault="00C1563E">
            <w:pPr>
              <w:rPr>
                <w:rFonts w:ascii="宋体"/>
              </w:rPr>
            </w:pPr>
          </w:p>
        </w:tc>
        <w:tc>
          <w:tcPr>
            <w:tcW w:w="5" w:type="pct"/>
            <w:shd w:val="clear" w:color="auto" w:fill="auto"/>
          </w:tcPr>
          <w:p w14:paraId="7DD00A57" w14:textId="77777777" w:rsidR="00C1563E" w:rsidRDefault="00C1563E">
            <w:pPr>
              <w:rPr>
                <w:rFonts w:ascii="宋体"/>
              </w:rPr>
            </w:pPr>
          </w:p>
        </w:tc>
        <w:tc>
          <w:tcPr>
            <w:tcW w:w="5" w:type="pct"/>
            <w:shd w:val="clear" w:color="auto" w:fill="auto"/>
          </w:tcPr>
          <w:p w14:paraId="7DD00A58" w14:textId="77777777" w:rsidR="00C1563E" w:rsidRDefault="00C1563E">
            <w:pPr>
              <w:rPr>
                <w:rFonts w:ascii="宋体"/>
              </w:rPr>
            </w:pPr>
          </w:p>
        </w:tc>
        <w:tc>
          <w:tcPr>
            <w:tcW w:w="19" w:type="pct"/>
            <w:shd w:val="clear" w:color="auto" w:fill="auto"/>
          </w:tcPr>
          <w:p w14:paraId="7DD00A59" w14:textId="77777777" w:rsidR="00C1563E" w:rsidRDefault="00C1563E">
            <w:pPr>
              <w:rPr>
                <w:rFonts w:ascii="宋体"/>
              </w:rPr>
            </w:pPr>
          </w:p>
        </w:tc>
        <w:tc>
          <w:tcPr>
            <w:tcW w:w="5" w:type="pct"/>
            <w:shd w:val="clear" w:color="auto" w:fill="auto"/>
          </w:tcPr>
          <w:p w14:paraId="7DD00A5A" w14:textId="77777777" w:rsidR="00C1563E" w:rsidRDefault="00C1563E">
            <w:pPr>
              <w:rPr>
                <w:rFonts w:ascii="宋体"/>
              </w:rPr>
            </w:pPr>
          </w:p>
        </w:tc>
        <w:tc>
          <w:tcPr>
            <w:tcW w:w="50" w:type="pct"/>
            <w:shd w:val="clear" w:color="auto" w:fill="auto"/>
          </w:tcPr>
          <w:p w14:paraId="7DD00A5B" w14:textId="77777777" w:rsidR="00C1563E" w:rsidRDefault="00C1563E">
            <w:pPr>
              <w:rPr>
                <w:rFonts w:ascii="宋体"/>
              </w:rPr>
            </w:pPr>
          </w:p>
        </w:tc>
        <w:tc>
          <w:tcPr>
            <w:tcW w:w="727" w:type="pct"/>
            <w:shd w:val="clear" w:color="auto" w:fill="auto"/>
          </w:tcPr>
          <w:p w14:paraId="7DD00A5C" w14:textId="77777777" w:rsidR="00C1563E" w:rsidRDefault="00C1563E">
            <w:pPr>
              <w:rPr>
                <w:rFonts w:ascii="宋体"/>
              </w:rPr>
            </w:pPr>
          </w:p>
        </w:tc>
        <w:tc>
          <w:tcPr>
            <w:tcW w:w="5" w:type="pct"/>
            <w:shd w:val="clear" w:color="auto" w:fill="auto"/>
          </w:tcPr>
          <w:p w14:paraId="7DD00A5D" w14:textId="77777777" w:rsidR="00C1563E" w:rsidRDefault="00C1563E">
            <w:pPr>
              <w:rPr>
                <w:rFonts w:ascii="宋体"/>
              </w:rPr>
            </w:pPr>
          </w:p>
        </w:tc>
        <w:tc>
          <w:tcPr>
            <w:tcW w:w="5" w:type="pct"/>
            <w:shd w:val="clear" w:color="auto" w:fill="auto"/>
          </w:tcPr>
          <w:p w14:paraId="7DD00A5E" w14:textId="77777777" w:rsidR="00C1563E" w:rsidRDefault="00C1563E">
            <w:pPr>
              <w:rPr>
                <w:rFonts w:ascii="宋体"/>
              </w:rPr>
            </w:pPr>
          </w:p>
        </w:tc>
        <w:tc>
          <w:tcPr>
            <w:tcW w:w="19" w:type="pct"/>
            <w:shd w:val="clear" w:color="auto" w:fill="auto"/>
          </w:tcPr>
          <w:p w14:paraId="7DD00A5F" w14:textId="77777777" w:rsidR="00C1563E" w:rsidRDefault="00C1563E">
            <w:pPr>
              <w:rPr>
                <w:rFonts w:ascii="宋体"/>
              </w:rPr>
            </w:pPr>
          </w:p>
        </w:tc>
        <w:tc>
          <w:tcPr>
            <w:tcW w:w="5" w:type="pct"/>
            <w:shd w:val="clear" w:color="auto" w:fill="auto"/>
          </w:tcPr>
          <w:p w14:paraId="7DD00A60" w14:textId="77777777" w:rsidR="00C1563E" w:rsidRDefault="00C1563E">
            <w:pPr>
              <w:rPr>
                <w:rFonts w:ascii="宋体"/>
              </w:rPr>
            </w:pPr>
          </w:p>
        </w:tc>
        <w:tc>
          <w:tcPr>
            <w:tcW w:w="50" w:type="pct"/>
            <w:shd w:val="clear" w:color="auto" w:fill="auto"/>
          </w:tcPr>
          <w:p w14:paraId="7DD00A61" w14:textId="77777777" w:rsidR="00C1563E" w:rsidRDefault="00C1563E">
            <w:pPr>
              <w:rPr>
                <w:rFonts w:ascii="宋体"/>
              </w:rPr>
            </w:pPr>
          </w:p>
        </w:tc>
        <w:tc>
          <w:tcPr>
            <w:tcW w:w="727" w:type="pct"/>
            <w:shd w:val="clear" w:color="auto" w:fill="auto"/>
          </w:tcPr>
          <w:p w14:paraId="7DD00A62" w14:textId="77777777" w:rsidR="00C1563E" w:rsidRDefault="00C1563E">
            <w:pPr>
              <w:rPr>
                <w:rFonts w:ascii="宋体"/>
              </w:rPr>
            </w:pPr>
          </w:p>
        </w:tc>
        <w:tc>
          <w:tcPr>
            <w:tcW w:w="5" w:type="pct"/>
            <w:shd w:val="clear" w:color="auto" w:fill="auto"/>
          </w:tcPr>
          <w:p w14:paraId="7DD00A63" w14:textId="77777777" w:rsidR="00C1563E" w:rsidRDefault="00C1563E">
            <w:pPr>
              <w:rPr>
                <w:rFonts w:ascii="宋体"/>
              </w:rPr>
            </w:pPr>
          </w:p>
        </w:tc>
        <w:tc>
          <w:tcPr>
            <w:tcW w:w="5" w:type="pct"/>
            <w:shd w:val="clear" w:color="auto" w:fill="auto"/>
          </w:tcPr>
          <w:p w14:paraId="7DD00A64" w14:textId="77777777" w:rsidR="00C1563E" w:rsidRDefault="00C1563E">
            <w:pPr>
              <w:rPr>
                <w:rFonts w:ascii="宋体"/>
              </w:rPr>
            </w:pPr>
          </w:p>
        </w:tc>
        <w:tc>
          <w:tcPr>
            <w:tcW w:w="19" w:type="pct"/>
            <w:shd w:val="clear" w:color="auto" w:fill="auto"/>
          </w:tcPr>
          <w:p w14:paraId="7DD00A65" w14:textId="77777777" w:rsidR="00C1563E" w:rsidRDefault="00C1563E">
            <w:pPr>
              <w:rPr>
                <w:rFonts w:ascii="宋体"/>
              </w:rPr>
            </w:pPr>
          </w:p>
        </w:tc>
        <w:tc>
          <w:tcPr>
            <w:tcW w:w="5" w:type="pct"/>
            <w:shd w:val="clear" w:color="auto" w:fill="auto"/>
          </w:tcPr>
          <w:p w14:paraId="7DD00A66" w14:textId="77777777" w:rsidR="00C1563E" w:rsidRDefault="00C1563E">
            <w:pPr>
              <w:rPr>
                <w:rFonts w:ascii="宋体"/>
              </w:rPr>
            </w:pPr>
          </w:p>
        </w:tc>
        <w:tc>
          <w:tcPr>
            <w:tcW w:w="50" w:type="pct"/>
            <w:shd w:val="clear" w:color="auto" w:fill="auto"/>
          </w:tcPr>
          <w:p w14:paraId="7DD00A67" w14:textId="77777777" w:rsidR="00C1563E" w:rsidRDefault="00C1563E">
            <w:pPr>
              <w:rPr>
                <w:rFonts w:ascii="宋体"/>
              </w:rPr>
            </w:pPr>
          </w:p>
        </w:tc>
        <w:tc>
          <w:tcPr>
            <w:tcW w:w="727" w:type="pct"/>
            <w:shd w:val="clear" w:color="auto" w:fill="auto"/>
          </w:tcPr>
          <w:p w14:paraId="7DD00A68" w14:textId="77777777" w:rsidR="00C1563E" w:rsidRDefault="00C1563E">
            <w:pPr>
              <w:rPr>
                <w:rFonts w:ascii="宋体"/>
              </w:rPr>
            </w:pPr>
          </w:p>
        </w:tc>
        <w:tc>
          <w:tcPr>
            <w:tcW w:w="5" w:type="pct"/>
            <w:shd w:val="clear" w:color="auto" w:fill="auto"/>
          </w:tcPr>
          <w:p w14:paraId="7DD00A69" w14:textId="77777777" w:rsidR="00C1563E" w:rsidRDefault="00C1563E">
            <w:pPr>
              <w:rPr>
                <w:rFonts w:ascii="宋体"/>
              </w:rPr>
            </w:pPr>
          </w:p>
        </w:tc>
      </w:tr>
      <w:tr w:rsidR="00C1563E" w14:paraId="7DD00A6F" w14:textId="77777777">
        <w:trPr>
          <w:jc w:val="center"/>
        </w:trPr>
        <w:tc>
          <w:tcPr>
            <w:tcW w:w="0" w:type="auto"/>
            <w:gridSpan w:val="3"/>
            <w:shd w:val="clear" w:color="auto" w:fill="auto"/>
            <w:tcMar>
              <w:top w:w="0" w:type="dxa"/>
              <w:left w:w="20" w:type="dxa"/>
              <w:bottom w:w="0" w:type="dxa"/>
              <w:right w:w="20" w:type="dxa"/>
            </w:tcMar>
          </w:tcPr>
          <w:p w14:paraId="7DD00A6B"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center"/>
          </w:tcPr>
          <w:p w14:paraId="7DD00A6C" w14:textId="77777777" w:rsidR="00C1563E" w:rsidRDefault="000B648B">
            <w:pPr>
              <w:jc w:val="center"/>
              <w:textAlignment w:val="center"/>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0A6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6E" w14:textId="77777777" w:rsidR="00C1563E" w:rsidRDefault="00C1563E">
            <w:pPr>
              <w:rPr>
                <w:rFonts w:ascii="宋体"/>
              </w:rPr>
            </w:pPr>
          </w:p>
        </w:tc>
      </w:tr>
      <w:tr w:rsidR="00C1563E" w14:paraId="7DD00A78" w14:textId="77777777">
        <w:trPr>
          <w:jc w:val="center"/>
        </w:trPr>
        <w:tc>
          <w:tcPr>
            <w:tcW w:w="0" w:type="auto"/>
            <w:gridSpan w:val="3"/>
            <w:shd w:val="clear" w:color="auto" w:fill="auto"/>
            <w:tcMar>
              <w:top w:w="0" w:type="dxa"/>
              <w:left w:w="20" w:type="dxa"/>
              <w:bottom w:w="0" w:type="dxa"/>
              <w:right w:w="20" w:type="dxa"/>
            </w:tcMar>
          </w:tcPr>
          <w:p w14:paraId="7DD00A7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A71" w14:textId="77777777" w:rsidR="00C1563E" w:rsidRDefault="000B648B">
            <w:pPr>
              <w:jc w:val="center"/>
              <w:textAlignment w:val="bottom"/>
            </w:pPr>
            <w:r>
              <w:rPr>
                <w:rFonts w:ascii="Times New Roman" w:eastAsia="宋体" w:hAnsi="Times New Roman"/>
                <w:b/>
                <w:bCs/>
                <w:color w:val="000000"/>
                <w:sz w:val="20"/>
                <w:szCs w:val="20"/>
              </w:rPr>
              <w:t>Deferred Tax 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A7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A73" w14:textId="77777777" w:rsidR="00C1563E" w:rsidRDefault="000B648B">
            <w:pPr>
              <w:jc w:val="center"/>
              <w:textAlignment w:val="bottom"/>
            </w:pPr>
            <w:r>
              <w:rPr>
                <w:rFonts w:ascii="Times New Roman" w:eastAsia="宋体" w:hAnsi="Times New Roman"/>
                <w:b/>
                <w:bCs/>
                <w:color w:val="000000"/>
                <w:sz w:val="20"/>
                <w:szCs w:val="20"/>
              </w:rPr>
              <w:t>Valuation Allowance</w:t>
            </w:r>
          </w:p>
        </w:tc>
        <w:tc>
          <w:tcPr>
            <w:tcW w:w="0" w:type="auto"/>
            <w:gridSpan w:val="3"/>
            <w:tcBorders>
              <w:top w:val="single" w:sz="8" w:space="0" w:color="000000"/>
            </w:tcBorders>
            <w:shd w:val="clear" w:color="auto" w:fill="auto"/>
            <w:tcMar>
              <w:top w:w="0" w:type="dxa"/>
              <w:left w:w="20" w:type="dxa"/>
              <w:bottom w:w="0" w:type="dxa"/>
              <w:right w:w="20" w:type="dxa"/>
            </w:tcMar>
          </w:tcPr>
          <w:p w14:paraId="7DD00A7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A75" w14:textId="77777777" w:rsidR="00C1563E" w:rsidRDefault="000B648B">
            <w:pPr>
              <w:jc w:val="center"/>
              <w:textAlignment w:val="bottom"/>
            </w:pPr>
            <w:r>
              <w:rPr>
                <w:rFonts w:ascii="Times New Roman" w:eastAsia="宋体" w:hAnsi="Times New Roman"/>
                <w:b/>
                <w:bCs/>
                <w:color w:val="000000"/>
                <w:sz w:val="20"/>
                <w:szCs w:val="20"/>
              </w:rPr>
              <w:t>Net Deferred Tax Assets</w:t>
            </w:r>
          </w:p>
        </w:tc>
        <w:tc>
          <w:tcPr>
            <w:tcW w:w="0" w:type="auto"/>
            <w:gridSpan w:val="3"/>
            <w:shd w:val="clear" w:color="auto" w:fill="auto"/>
            <w:tcMar>
              <w:top w:w="0" w:type="dxa"/>
              <w:left w:w="20" w:type="dxa"/>
              <w:bottom w:w="0" w:type="dxa"/>
              <w:right w:w="20" w:type="dxa"/>
            </w:tcMar>
          </w:tcPr>
          <w:p w14:paraId="7DD00A7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A77" w14:textId="77777777" w:rsidR="00C1563E" w:rsidRDefault="000B648B">
            <w:pPr>
              <w:jc w:val="center"/>
              <w:textAlignment w:val="bottom"/>
            </w:pPr>
            <w:r>
              <w:rPr>
                <w:rFonts w:ascii="Times New Roman" w:eastAsia="宋体" w:hAnsi="Times New Roman"/>
                <w:b/>
                <w:bCs/>
                <w:color w:val="000000"/>
                <w:sz w:val="20"/>
                <w:szCs w:val="20"/>
              </w:rPr>
              <w:t>First Year Expiring</w:t>
            </w:r>
          </w:p>
        </w:tc>
      </w:tr>
      <w:tr w:rsidR="00C1563E" w14:paraId="7DD00A7D" w14:textId="77777777">
        <w:trPr>
          <w:jc w:val="center"/>
        </w:trPr>
        <w:tc>
          <w:tcPr>
            <w:tcW w:w="0" w:type="auto"/>
            <w:gridSpan w:val="3"/>
            <w:shd w:val="clear" w:color="auto" w:fill="auto"/>
            <w:tcMar>
              <w:top w:w="0" w:type="dxa"/>
              <w:left w:w="20" w:type="dxa"/>
              <w:bottom w:w="0" w:type="dxa"/>
              <w:right w:w="20" w:type="dxa"/>
            </w:tcMar>
          </w:tcPr>
          <w:p w14:paraId="7DD00A79"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A7A"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0A7B"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0A7C" w14:textId="77777777" w:rsidR="00C1563E" w:rsidRDefault="00C1563E">
            <w:pPr>
              <w:rPr>
                <w:rFonts w:ascii="宋体"/>
              </w:rPr>
            </w:pPr>
          </w:p>
        </w:tc>
      </w:tr>
      <w:tr w:rsidR="00C1563E" w14:paraId="7DD00A8C" w14:textId="77777777">
        <w:trPr>
          <w:jc w:val="center"/>
        </w:trPr>
        <w:tc>
          <w:tcPr>
            <w:tcW w:w="0" w:type="auto"/>
            <w:gridSpan w:val="3"/>
            <w:shd w:val="clear" w:color="auto" w:fill="CCEEFF"/>
            <w:tcMar>
              <w:top w:w="40" w:type="dxa"/>
              <w:left w:w="20" w:type="dxa"/>
              <w:bottom w:w="40" w:type="dxa"/>
              <w:right w:w="20" w:type="dxa"/>
            </w:tcMar>
            <w:vAlign w:val="bottom"/>
          </w:tcPr>
          <w:p w14:paraId="7DD00A7E" w14:textId="77777777" w:rsidR="00C1563E" w:rsidRDefault="000B648B">
            <w:pPr>
              <w:textAlignment w:val="bottom"/>
            </w:pPr>
            <w:r>
              <w:rPr>
                <w:rFonts w:ascii="Times New Roman" w:eastAsia="宋体" w:hAnsi="Times New Roman"/>
                <w:color w:val="000000"/>
                <w:sz w:val="20"/>
                <w:szCs w:val="20"/>
              </w:rPr>
              <w:t>Credit carryforwards</w:t>
            </w:r>
          </w:p>
        </w:tc>
        <w:tc>
          <w:tcPr>
            <w:tcW w:w="0" w:type="auto"/>
            <w:shd w:val="clear" w:color="auto" w:fill="CCEEFF"/>
            <w:tcMar>
              <w:top w:w="40" w:type="dxa"/>
              <w:left w:w="20" w:type="dxa"/>
              <w:bottom w:w="40" w:type="dxa"/>
              <w:right w:w="0" w:type="dxa"/>
            </w:tcMar>
            <w:vAlign w:val="bottom"/>
          </w:tcPr>
          <w:p w14:paraId="7DD00A7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80" w14:textId="77777777" w:rsidR="00C1563E" w:rsidRDefault="000B648B">
            <w:pPr>
              <w:jc w:val="right"/>
              <w:textAlignment w:val="bottom"/>
            </w:pPr>
            <w:r>
              <w:rPr>
                <w:rFonts w:ascii="Times New Roman" w:eastAsia="宋体" w:hAnsi="Times New Roman"/>
                <w:color w:val="000000"/>
                <w:sz w:val="20"/>
                <w:szCs w:val="20"/>
              </w:rPr>
              <w:t>1,531 </w:t>
            </w:r>
          </w:p>
        </w:tc>
        <w:tc>
          <w:tcPr>
            <w:tcW w:w="0" w:type="auto"/>
            <w:shd w:val="clear" w:color="auto" w:fill="CCEEFF"/>
            <w:tcMar>
              <w:top w:w="40" w:type="dxa"/>
              <w:left w:w="0" w:type="dxa"/>
              <w:bottom w:w="40" w:type="dxa"/>
              <w:right w:w="20" w:type="dxa"/>
            </w:tcMar>
            <w:vAlign w:val="bottom"/>
          </w:tcPr>
          <w:p w14:paraId="7DD00A8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8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A8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84" w14:textId="77777777" w:rsidR="00C1563E" w:rsidRDefault="000B648B">
            <w:pPr>
              <w:jc w:val="right"/>
              <w:textAlignment w:val="bottom"/>
            </w:pPr>
            <w:r>
              <w:rPr>
                <w:rFonts w:ascii="Times New Roman" w:eastAsia="宋体" w:hAnsi="Times New Roman"/>
                <w:color w:val="000000"/>
                <w:sz w:val="20"/>
                <w:szCs w:val="20"/>
              </w:rPr>
              <w:t>(1,219)</w:t>
            </w:r>
          </w:p>
        </w:tc>
        <w:tc>
          <w:tcPr>
            <w:tcW w:w="0" w:type="auto"/>
            <w:shd w:val="clear" w:color="auto" w:fill="CCEEFF"/>
            <w:tcMar>
              <w:top w:w="40" w:type="dxa"/>
              <w:left w:w="0" w:type="dxa"/>
              <w:bottom w:w="40" w:type="dxa"/>
              <w:right w:w="20" w:type="dxa"/>
            </w:tcMar>
            <w:vAlign w:val="bottom"/>
          </w:tcPr>
          <w:p w14:paraId="7DD00A8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8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A8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88" w14:textId="77777777" w:rsidR="00C1563E" w:rsidRDefault="000B648B">
            <w:pPr>
              <w:jc w:val="right"/>
              <w:textAlignment w:val="bottom"/>
            </w:pPr>
            <w:r>
              <w:rPr>
                <w:rFonts w:ascii="Times New Roman" w:eastAsia="宋体" w:hAnsi="Times New Roman"/>
                <w:color w:val="000000"/>
                <w:sz w:val="20"/>
                <w:szCs w:val="20"/>
              </w:rPr>
              <w:t>312 </w:t>
            </w:r>
          </w:p>
        </w:tc>
        <w:tc>
          <w:tcPr>
            <w:tcW w:w="0" w:type="auto"/>
            <w:shd w:val="clear" w:color="auto" w:fill="CCEEFF"/>
            <w:tcMar>
              <w:top w:w="40" w:type="dxa"/>
              <w:left w:w="0" w:type="dxa"/>
              <w:bottom w:w="40" w:type="dxa"/>
              <w:right w:w="20" w:type="dxa"/>
            </w:tcMar>
            <w:vAlign w:val="bottom"/>
          </w:tcPr>
          <w:p w14:paraId="7DD00A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8A"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A8B" w14:textId="77777777" w:rsidR="00C1563E" w:rsidRDefault="000B648B">
            <w:pPr>
              <w:jc w:val="right"/>
              <w:textAlignment w:val="bottom"/>
            </w:pPr>
            <w:r>
              <w:rPr>
                <w:rFonts w:ascii="Times New Roman" w:eastAsia="宋体" w:hAnsi="Times New Roman"/>
                <w:color w:val="000000"/>
                <w:sz w:val="20"/>
                <w:szCs w:val="20"/>
              </w:rPr>
              <w:t>Fiscal 2022</w:t>
            </w:r>
          </w:p>
        </w:tc>
      </w:tr>
      <w:tr w:rsidR="00C1563E" w14:paraId="7DD00A98" w14:textId="77777777">
        <w:trPr>
          <w:jc w:val="center"/>
        </w:trPr>
        <w:tc>
          <w:tcPr>
            <w:tcW w:w="0" w:type="auto"/>
            <w:gridSpan w:val="3"/>
            <w:shd w:val="clear" w:color="auto" w:fill="FFFFFF"/>
            <w:tcMar>
              <w:top w:w="40" w:type="dxa"/>
              <w:left w:w="20" w:type="dxa"/>
              <w:bottom w:w="40" w:type="dxa"/>
              <w:right w:w="20" w:type="dxa"/>
            </w:tcMar>
            <w:vAlign w:val="bottom"/>
          </w:tcPr>
          <w:p w14:paraId="7DD00A8D" w14:textId="77777777" w:rsidR="00C1563E" w:rsidRDefault="000B648B">
            <w:pPr>
              <w:textAlignment w:val="bottom"/>
            </w:pPr>
            <w:r>
              <w:rPr>
                <w:rFonts w:ascii="Times New Roman" w:eastAsia="宋体" w:hAnsi="Times New Roman"/>
                <w:color w:val="000000"/>
                <w:sz w:val="20"/>
                <w:szCs w:val="20"/>
              </w:rPr>
              <w:t>Loss carryforwards</w:t>
            </w:r>
          </w:p>
        </w:tc>
        <w:tc>
          <w:tcPr>
            <w:tcW w:w="0" w:type="auto"/>
            <w:gridSpan w:val="2"/>
            <w:shd w:val="clear" w:color="auto" w:fill="FFFFFF"/>
            <w:tcMar>
              <w:top w:w="40" w:type="dxa"/>
              <w:left w:w="20" w:type="dxa"/>
              <w:bottom w:w="40" w:type="dxa"/>
              <w:right w:w="0" w:type="dxa"/>
            </w:tcMar>
            <w:vAlign w:val="bottom"/>
          </w:tcPr>
          <w:p w14:paraId="7DD00A8E" w14:textId="77777777" w:rsidR="00C1563E" w:rsidRDefault="000B648B">
            <w:pPr>
              <w:jc w:val="right"/>
              <w:textAlignment w:val="bottom"/>
            </w:pPr>
            <w:r>
              <w:rPr>
                <w:rFonts w:ascii="Times New Roman" w:eastAsia="宋体" w:hAnsi="Times New Roman"/>
                <w:color w:val="000000"/>
                <w:sz w:val="20"/>
                <w:szCs w:val="20"/>
              </w:rPr>
              <w:t>614 </w:t>
            </w:r>
          </w:p>
        </w:tc>
        <w:tc>
          <w:tcPr>
            <w:tcW w:w="0" w:type="auto"/>
            <w:shd w:val="clear" w:color="auto" w:fill="FFFFFF"/>
            <w:tcMar>
              <w:top w:w="40" w:type="dxa"/>
              <w:left w:w="0" w:type="dxa"/>
              <w:bottom w:w="40" w:type="dxa"/>
              <w:right w:w="20" w:type="dxa"/>
            </w:tcMar>
            <w:vAlign w:val="bottom"/>
          </w:tcPr>
          <w:p w14:paraId="7DD00A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9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91" w14:textId="77777777" w:rsidR="00C1563E" w:rsidRDefault="000B648B">
            <w:pPr>
              <w:jc w:val="right"/>
              <w:textAlignment w:val="bottom"/>
            </w:pPr>
            <w:r>
              <w:rPr>
                <w:rFonts w:ascii="Times New Roman" w:eastAsia="宋体" w:hAnsi="Times New Roman"/>
                <w:color w:val="000000"/>
                <w:sz w:val="20"/>
                <w:szCs w:val="20"/>
              </w:rPr>
              <w:t>(265)</w:t>
            </w:r>
          </w:p>
        </w:tc>
        <w:tc>
          <w:tcPr>
            <w:tcW w:w="0" w:type="auto"/>
            <w:shd w:val="clear" w:color="auto" w:fill="FFFFFF"/>
            <w:tcMar>
              <w:top w:w="40" w:type="dxa"/>
              <w:left w:w="0" w:type="dxa"/>
              <w:bottom w:w="40" w:type="dxa"/>
              <w:right w:w="20" w:type="dxa"/>
            </w:tcMar>
            <w:vAlign w:val="bottom"/>
          </w:tcPr>
          <w:p w14:paraId="7DD00A9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9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94" w14:textId="77777777" w:rsidR="00C1563E" w:rsidRDefault="000B648B">
            <w:pPr>
              <w:jc w:val="right"/>
              <w:textAlignment w:val="bottom"/>
            </w:pPr>
            <w:r>
              <w:rPr>
                <w:rFonts w:ascii="Times New Roman" w:eastAsia="宋体" w:hAnsi="Times New Roman"/>
                <w:color w:val="000000"/>
                <w:sz w:val="20"/>
                <w:szCs w:val="20"/>
              </w:rPr>
              <w:t>349 </w:t>
            </w:r>
          </w:p>
        </w:tc>
        <w:tc>
          <w:tcPr>
            <w:tcW w:w="0" w:type="auto"/>
            <w:shd w:val="clear" w:color="auto" w:fill="FFFFFF"/>
            <w:tcMar>
              <w:top w:w="40" w:type="dxa"/>
              <w:left w:w="0" w:type="dxa"/>
              <w:bottom w:w="40" w:type="dxa"/>
              <w:right w:w="20" w:type="dxa"/>
            </w:tcMar>
            <w:vAlign w:val="bottom"/>
          </w:tcPr>
          <w:p w14:paraId="7DD00A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96"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A97" w14:textId="77777777" w:rsidR="00C1563E" w:rsidRDefault="000B648B">
            <w:pPr>
              <w:jc w:val="right"/>
              <w:textAlignment w:val="bottom"/>
            </w:pPr>
            <w:r>
              <w:rPr>
                <w:rFonts w:ascii="Times New Roman" w:eastAsia="宋体" w:hAnsi="Times New Roman"/>
                <w:color w:val="000000"/>
                <w:sz w:val="20"/>
                <w:szCs w:val="20"/>
              </w:rPr>
              <w:t>Fiscal 2022</w:t>
            </w:r>
          </w:p>
        </w:tc>
      </w:tr>
      <w:tr w:rsidR="00C1563E" w14:paraId="7DD00AA4" w14:textId="77777777">
        <w:trPr>
          <w:jc w:val="center"/>
        </w:trPr>
        <w:tc>
          <w:tcPr>
            <w:tcW w:w="0" w:type="auto"/>
            <w:gridSpan w:val="3"/>
            <w:shd w:val="clear" w:color="auto" w:fill="CCEEFF"/>
            <w:tcMar>
              <w:top w:w="40" w:type="dxa"/>
              <w:left w:w="20" w:type="dxa"/>
              <w:bottom w:w="40" w:type="dxa"/>
              <w:right w:w="20" w:type="dxa"/>
            </w:tcMar>
            <w:vAlign w:val="bottom"/>
          </w:tcPr>
          <w:p w14:paraId="7DD00A99" w14:textId="77777777" w:rsidR="00C1563E" w:rsidRDefault="000B648B">
            <w:pPr>
              <w:textAlignment w:val="bottom"/>
            </w:pPr>
            <w:r>
              <w:rPr>
                <w:rFonts w:ascii="Times New Roman" w:eastAsia="宋体" w:hAnsi="Times New Roman"/>
                <w:color w:val="000000"/>
                <w:sz w:val="20"/>
                <w:szCs w:val="20"/>
              </w:rPr>
              <w:t>Other deferred tax assets</w:t>
            </w:r>
          </w:p>
        </w:tc>
        <w:tc>
          <w:tcPr>
            <w:tcW w:w="0" w:type="auto"/>
            <w:gridSpan w:val="2"/>
            <w:shd w:val="clear" w:color="auto" w:fill="CCEEFF"/>
            <w:tcMar>
              <w:top w:w="40" w:type="dxa"/>
              <w:left w:w="20" w:type="dxa"/>
              <w:bottom w:w="40" w:type="dxa"/>
              <w:right w:w="0" w:type="dxa"/>
            </w:tcMar>
            <w:vAlign w:val="bottom"/>
          </w:tcPr>
          <w:p w14:paraId="7DD00A9A" w14:textId="77777777" w:rsidR="00C1563E" w:rsidRDefault="000B648B">
            <w:pPr>
              <w:jc w:val="right"/>
              <w:textAlignment w:val="bottom"/>
            </w:pPr>
            <w:r>
              <w:rPr>
                <w:rFonts w:ascii="Times New Roman" w:eastAsia="宋体" w:hAnsi="Times New Roman"/>
                <w:color w:val="000000"/>
                <w:sz w:val="20"/>
                <w:szCs w:val="20"/>
              </w:rPr>
              <w:t>6,417 </w:t>
            </w:r>
          </w:p>
        </w:tc>
        <w:tc>
          <w:tcPr>
            <w:tcW w:w="0" w:type="auto"/>
            <w:shd w:val="clear" w:color="auto" w:fill="CCEEFF"/>
            <w:tcMar>
              <w:top w:w="40" w:type="dxa"/>
              <w:left w:w="0" w:type="dxa"/>
              <w:bottom w:w="40" w:type="dxa"/>
              <w:right w:w="20" w:type="dxa"/>
            </w:tcMar>
            <w:vAlign w:val="bottom"/>
          </w:tcPr>
          <w:p w14:paraId="7DD00A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9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9D" w14:textId="77777777" w:rsidR="00C1563E" w:rsidRDefault="000B648B">
            <w:pPr>
              <w:jc w:val="right"/>
              <w:textAlignment w:val="bottom"/>
            </w:pPr>
            <w:r>
              <w:rPr>
                <w:rFonts w:ascii="Times New Roman" w:eastAsia="宋体" w:hAnsi="Times New Roman"/>
                <w:color w:val="000000"/>
                <w:sz w:val="20"/>
                <w:szCs w:val="20"/>
              </w:rPr>
              <w:t>(225)</w:t>
            </w:r>
          </w:p>
        </w:tc>
        <w:tc>
          <w:tcPr>
            <w:tcW w:w="0" w:type="auto"/>
            <w:shd w:val="clear" w:color="auto" w:fill="CCEEFF"/>
            <w:tcMar>
              <w:top w:w="40" w:type="dxa"/>
              <w:left w:w="0" w:type="dxa"/>
              <w:bottom w:w="40" w:type="dxa"/>
              <w:right w:w="20" w:type="dxa"/>
            </w:tcMar>
            <w:vAlign w:val="bottom"/>
          </w:tcPr>
          <w:p w14:paraId="7DD00A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9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A0" w14:textId="77777777" w:rsidR="00C1563E" w:rsidRDefault="000B648B">
            <w:pPr>
              <w:jc w:val="right"/>
              <w:textAlignment w:val="bottom"/>
            </w:pPr>
            <w:r>
              <w:rPr>
                <w:rFonts w:ascii="Times New Roman" w:eastAsia="宋体" w:hAnsi="Times New Roman"/>
                <w:color w:val="000000"/>
                <w:sz w:val="20"/>
                <w:szCs w:val="20"/>
              </w:rPr>
              <w:t>6,192 </w:t>
            </w:r>
          </w:p>
        </w:tc>
        <w:tc>
          <w:tcPr>
            <w:tcW w:w="0" w:type="auto"/>
            <w:shd w:val="clear" w:color="auto" w:fill="CCEEFF"/>
            <w:tcMar>
              <w:top w:w="40" w:type="dxa"/>
              <w:left w:w="0" w:type="dxa"/>
              <w:bottom w:w="40" w:type="dxa"/>
              <w:right w:w="20" w:type="dxa"/>
            </w:tcMar>
            <w:vAlign w:val="bottom"/>
          </w:tcPr>
          <w:p w14:paraId="7DD00AA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A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AA3" w14:textId="77777777" w:rsidR="00C1563E" w:rsidRDefault="000B648B">
            <w:pPr>
              <w:jc w:val="right"/>
              <w:textAlignment w:val="bottom"/>
            </w:pPr>
            <w:r>
              <w:rPr>
                <w:rFonts w:ascii="Times New Roman" w:eastAsia="宋体" w:hAnsi="Times New Roman"/>
                <w:color w:val="000000"/>
                <w:sz w:val="20"/>
                <w:szCs w:val="20"/>
              </w:rPr>
              <w:t>NA</w:t>
            </w:r>
          </w:p>
        </w:tc>
      </w:tr>
      <w:tr w:rsidR="00C1563E" w14:paraId="7DD00AB3" w14:textId="77777777">
        <w:trPr>
          <w:jc w:val="center"/>
        </w:trPr>
        <w:tc>
          <w:tcPr>
            <w:tcW w:w="0" w:type="auto"/>
            <w:gridSpan w:val="3"/>
            <w:shd w:val="clear" w:color="auto" w:fill="FFFFFF"/>
            <w:tcMar>
              <w:top w:w="40" w:type="dxa"/>
              <w:left w:w="155" w:type="dxa"/>
              <w:bottom w:w="40" w:type="dxa"/>
              <w:right w:w="20" w:type="dxa"/>
            </w:tcMar>
            <w:vAlign w:val="bottom"/>
          </w:tcPr>
          <w:p w14:paraId="7DD00AA5" w14:textId="77777777" w:rsidR="00C1563E" w:rsidRDefault="000B648B">
            <w:pPr>
              <w:textAlignment w:val="bottom"/>
            </w:pPr>
            <w:r>
              <w:rPr>
                <w:rFonts w:ascii="Times New Roman" w:eastAsia="宋体" w:hAnsi="Times New Roman"/>
                <w:color w:val="000000"/>
                <w:sz w:val="20"/>
                <w:szCs w:val="20"/>
              </w:rPr>
              <w:t xml:space="preserve">Total </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0AA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AA7" w14:textId="77777777" w:rsidR="00C1563E" w:rsidRDefault="000B648B">
            <w:pPr>
              <w:jc w:val="right"/>
              <w:textAlignment w:val="bottom"/>
            </w:pPr>
            <w:r>
              <w:rPr>
                <w:rFonts w:ascii="Times New Roman" w:eastAsia="宋体" w:hAnsi="Times New Roman"/>
                <w:color w:val="000000"/>
                <w:sz w:val="20"/>
                <w:szCs w:val="20"/>
              </w:rPr>
              <w:t>8,562 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A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A9"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AA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AAB" w14:textId="77777777" w:rsidR="00C1563E" w:rsidRDefault="000B648B">
            <w:pPr>
              <w:jc w:val="right"/>
              <w:textAlignment w:val="bottom"/>
            </w:pPr>
            <w:r>
              <w:rPr>
                <w:rFonts w:ascii="Times New Roman" w:eastAsia="宋体" w:hAnsi="Times New Roman"/>
                <w:color w:val="000000"/>
                <w:sz w:val="20"/>
                <w:szCs w:val="20"/>
              </w:rPr>
              <w:t>(1,709)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A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AD"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0AA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0AAF" w14:textId="77777777" w:rsidR="00C1563E" w:rsidRDefault="000B648B">
            <w:pPr>
              <w:jc w:val="right"/>
              <w:textAlignment w:val="bottom"/>
            </w:pPr>
            <w:r>
              <w:rPr>
                <w:rFonts w:ascii="Times New Roman" w:eastAsia="宋体" w:hAnsi="Times New Roman"/>
                <w:color w:val="000000"/>
                <w:sz w:val="20"/>
                <w:szCs w:val="20"/>
              </w:rPr>
              <w:t>6,853 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AB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AB2" w14:textId="77777777" w:rsidR="00C1563E" w:rsidRDefault="00C1563E">
            <w:pPr>
              <w:rPr>
                <w:rFonts w:ascii="宋体"/>
              </w:rPr>
            </w:pPr>
          </w:p>
        </w:tc>
      </w:tr>
      <w:tr w:rsidR="00C1563E" w14:paraId="7DD00ABC" w14:textId="77777777">
        <w:trPr>
          <w:trHeight w:val="300"/>
          <w:jc w:val="center"/>
        </w:trPr>
        <w:tc>
          <w:tcPr>
            <w:tcW w:w="0" w:type="auto"/>
            <w:gridSpan w:val="3"/>
            <w:shd w:val="clear" w:color="auto" w:fill="auto"/>
            <w:tcMar>
              <w:top w:w="0" w:type="dxa"/>
              <w:left w:w="20" w:type="dxa"/>
              <w:bottom w:w="0" w:type="dxa"/>
              <w:right w:w="20" w:type="dxa"/>
            </w:tcMar>
          </w:tcPr>
          <w:p w14:paraId="7DD00AB4"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AB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B6"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AB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B8" w14:textId="77777777" w:rsidR="00C1563E" w:rsidRDefault="00C1563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DD00AB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B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BB" w14:textId="77777777" w:rsidR="00C1563E" w:rsidRDefault="00C1563E">
            <w:pPr>
              <w:rPr>
                <w:rFonts w:ascii="宋体"/>
              </w:rPr>
            </w:pPr>
          </w:p>
        </w:tc>
      </w:tr>
      <w:tr w:rsidR="00C1563E" w14:paraId="7DD00AC1" w14:textId="77777777">
        <w:trPr>
          <w:jc w:val="center"/>
        </w:trPr>
        <w:tc>
          <w:tcPr>
            <w:tcW w:w="0" w:type="auto"/>
            <w:gridSpan w:val="3"/>
            <w:shd w:val="clear" w:color="auto" w:fill="auto"/>
            <w:tcMar>
              <w:top w:w="0" w:type="dxa"/>
              <w:left w:w="20" w:type="dxa"/>
              <w:bottom w:w="0" w:type="dxa"/>
              <w:right w:w="20" w:type="dxa"/>
            </w:tcMar>
          </w:tcPr>
          <w:p w14:paraId="7DD00ABD"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ABE"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shd w:val="clear" w:color="auto" w:fill="auto"/>
            <w:tcMar>
              <w:top w:w="0" w:type="dxa"/>
              <w:left w:w="20" w:type="dxa"/>
              <w:bottom w:w="0" w:type="dxa"/>
              <w:right w:w="20" w:type="dxa"/>
            </w:tcMar>
          </w:tcPr>
          <w:p w14:paraId="7DD00ABF"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AC0" w14:textId="77777777" w:rsidR="00C1563E" w:rsidRDefault="00C1563E">
            <w:pPr>
              <w:rPr>
                <w:rFonts w:ascii="宋体"/>
              </w:rPr>
            </w:pPr>
          </w:p>
        </w:tc>
      </w:tr>
      <w:tr w:rsidR="00C1563E" w14:paraId="7DD00ACA" w14:textId="77777777">
        <w:trPr>
          <w:jc w:val="center"/>
        </w:trPr>
        <w:tc>
          <w:tcPr>
            <w:tcW w:w="0" w:type="auto"/>
            <w:gridSpan w:val="3"/>
            <w:shd w:val="clear" w:color="auto" w:fill="auto"/>
            <w:tcMar>
              <w:top w:w="0" w:type="dxa"/>
              <w:left w:w="20" w:type="dxa"/>
              <w:bottom w:w="0" w:type="dxa"/>
              <w:right w:w="20" w:type="dxa"/>
            </w:tcMar>
          </w:tcPr>
          <w:p w14:paraId="7DD00AC2"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AC3" w14:textId="77777777" w:rsidR="00C1563E" w:rsidRDefault="000B648B">
            <w:pPr>
              <w:jc w:val="center"/>
              <w:textAlignment w:val="bottom"/>
            </w:pPr>
            <w:r>
              <w:rPr>
                <w:rFonts w:ascii="Times New Roman" w:eastAsia="宋体" w:hAnsi="Times New Roman"/>
                <w:b/>
                <w:bCs/>
                <w:color w:val="000000"/>
                <w:sz w:val="20"/>
                <w:szCs w:val="20"/>
              </w:rPr>
              <w:t>Deferred Tax Assets</w:t>
            </w:r>
          </w:p>
        </w:tc>
        <w:tc>
          <w:tcPr>
            <w:tcW w:w="0" w:type="auto"/>
            <w:gridSpan w:val="3"/>
            <w:tcBorders>
              <w:top w:val="single" w:sz="8" w:space="0" w:color="000000"/>
            </w:tcBorders>
            <w:shd w:val="clear" w:color="auto" w:fill="auto"/>
            <w:tcMar>
              <w:top w:w="0" w:type="dxa"/>
              <w:left w:w="20" w:type="dxa"/>
              <w:bottom w:w="0" w:type="dxa"/>
              <w:right w:w="20" w:type="dxa"/>
            </w:tcMar>
          </w:tcPr>
          <w:p w14:paraId="7DD00AC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AC5" w14:textId="77777777" w:rsidR="00C1563E" w:rsidRDefault="000B648B">
            <w:pPr>
              <w:jc w:val="center"/>
              <w:textAlignment w:val="bottom"/>
            </w:pPr>
            <w:r>
              <w:rPr>
                <w:rFonts w:ascii="Times New Roman" w:eastAsia="宋体" w:hAnsi="Times New Roman"/>
                <w:b/>
                <w:bCs/>
                <w:color w:val="000000"/>
                <w:sz w:val="20"/>
                <w:szCs w:val="20"/>
              </w:rPr>
              <w:t>Valuation Allowance</w:t>
            </w:r>
          </w:p>
        </w:tc>
        <w:tc>
          <w:tcPr>
            <w:tcW w:w="0" w:type="auto"/>
            <w:gridSpan w:val="3"/>
            <w:tcBorders>
              <w:top w:val="single" w:sz="8" w:space="0" w:color="000000"/>
            </w:tcBorders>
            <w:shd w:val="clear" w:color="auto" w:fill="auto"/>
            <w:tcMar>
              <w:top w:w="0" w:type="dxa"/>
              <w:left w:w="20" w:type="dxa"/>
              <w:bottom w:w="0" w:type="dxa"/>
              <w:right w:w="20" w:type="dxa"/>
            </w:tcMar>
          </w:tcPr>
          <w:p w14:paraId="7DD00AC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AC7" w14:textId="77777777" w:rsidR="00C1563E" w:rsidRDefault="000B648B">
            <w:pPr>
              <w:jc w:val="center"/>
              <w:textAlignment w:val="bottom"/>
            </w:pPr>
            <w:r>
              <w:rPr>
                <w:rFonts w:ascii="Times New Roman" w:eastAsia="宋体" w:hAnsi="Times New Roman"/>
                <w:b/>
                <w:bCs/>
                <w:color w:val="000000"/>
                <w:sz w:val="20"/>
                <w:szCs w:val="20"/>
              </w:rPr>
              <w:t>Net Deferred Tax Assets</w:t>
            </w:r>
          </w:p>
        </w:tc>
        <w:tc>
          <w:tcPr>
            <w:tcW w:w="0" w:type="auto"/>
            <w:gridSpan w:val="3"/>
            <w:shd w:val="clear" w:color="auto" w:fill="auto"/>
            <w:tcMar>
              <w:top w:w="0" w:type="dxa"/>
              <w:left w:w="20" w:type="dxa"/>
              <w:bottom w:w="0" w:type="dxa"/>
              <w:right w:w="20" w:type="dxa"/>
            </w:tcMar>
          </w:tcPr>
          <w:p w14:paraId="7DD00AC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AC9" w14:textId="77777777" w:rsidR="00C1563E" w:rsidRDefault="000B648B">
            <w:pPr>
              <w:jc w:val="center"/>
              <w:textAlignment w:val="bottom"/>
            </w:pPr>
            <w:r>
              <w:rPr>
                <w:rFonts w:ascii="Times New Roman" w:eastAsia="宋体" w:hAnsi="Times New Roman"/>
                <w:b/>
                <w:bCs/>
                <w:color w:val="000000"/>
                <w:sz w:val="20"/>
                <w:szCs w:val="20"/>
              </w:rPr>
              <w:t>First Year Expiring</w:t>
            </w:r>
          </w:p>
        </w:tc>
      </w:tr>
      <w:tr w:rsidR="00C1563E" w14:paraId="7DD00ACF" w14:textId="77777777">
        <w:trPr>
          <w:jc w:val="center"/>
        </w:trPr>
        <w:tc>
          <w:tcPr>
            <w:tcW w:w="0" w:type="auto"/>
            <w:gridSpan w:val="3"/>
            <w:shd w:val="clear" w:color="auto" w:fill="auto"/>
            <w:tcMar>
              <w:top w:w="0" w:type="dxa"/>
              <w:left w:w="20" w:type="dxa"/>
              <w:bottom w:w="0" w:type="dxa"/>
              <w:right w:w="20" w:type="dxa"/>
            </w:tcMar>
          </w:tcPr>
          <w:p w14:paraId="7DD00ACB"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ACC"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0ACD"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0ACE" w14:textId="77777777" w:rsidR="00C1563E" w:rsidRDefault="00C1563E">
            <w:pPr>
              <w:rPr>
                <w:rFonts w:ascii="宋体"/>
              </w:rPr>
            </w:pPr>
          </w:p>
        </w:tc>
      </w:tr>
      <w:tr w:rsidR="00C1563E" w14:paraId="7DD00ADE" w14:textId="77777777">
        <w:trPr>
          <w:jc w:val="center"/>
        </w:trPr>
        <w:tc>
          <w:tcPr>
            <w:tcW w:w="0" w:type="auto"/>
            <w:gridSpan w:val="3"/>
            <w:shd w:val="clear" w:color="auto" w:fill="CCEEFF"/>
            <w:tcMar>
              <w:top w:w="40" w:type="dxa"/>
              <w:left w:w="20" w:type="dxa"/>
              <w:bottom w:w="40" w:type="dxa"/>
              <w:right w:w="20" w:type="dxa"/>
            </w:tcMar>
            <w:vAlign w:val="bottom"/>
          </w:tcPr>
          <w:p w14:paraId="7DD00AD0" w14:textId="77777777" w:rsidR="00C1563E" w:rsidRDefault="000B648B">
            <w:pPr>
              <w:textAlignment w:val="bottom"/>
            </w:pPr>
            <w:r>
              <w:rPr>
                <w:rFonts w:ascii="Times New Roman" w:eastAsia="宋体" w:hAnsi="Times New Roman"/>
                <w:color w:val="000000"/>
                <w:sz w:val="20"/>
                <w:szCs w:val="20"/>
              </w:rPr>
              <w:t>Credit carryforwards</w:t>
            </w:r>
          </w:p>
        </w:tc>
        <w:tc>
          <w:tcPr>
            <w:tcW w:w="0" w:type="auto"/>
            <w:shd w:val="clear" w:color="auto" w:fill="CCEEFF"/>
            <w:tcMar>
              <w:top w:w="40" w:type="dxa"/>
              <w:left w:w="20" w:type="dxa"/>
              <w:bottom w:w="40" w:type="dxa"/>
              <w:right w:w="0" w:type="dxa"/>
            </w:tcMar>
            <w:vAlign w:val="bottom"/>
          </w:tcPr>
          <w:p w14:paraId="7DD00AD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D2" w14:textId="77777777" w:rsidR="00C1563E" w:rsidRDefault="000B648B">
            <w:pPr>
              <w:jc w:val="right"/>
              <w:textAlignment w:val="bottom"/>
            </w:pPr>
            <w:r>
              <w:rPr>
                <w:rFonts w:ascii="Times New Roman" w:eastAsia="宋体" w:hAnsi="Times New Roman"/>
                <w:color w:val="000000"/>
                <w:sz w:val="20"/>
                <w:szCs w:val="20"/>
              </w:rPr>
              <w:t>1,951 </w:t>
            </w:r>
          </w:p>
        </w:tc>
        <w:tc>
          <w:tcPr>
            <w:tcW w:w="0" w:type="auto"/>
            <w:shd w:val="clear" w:color="auto" w:fill="CCEEFF"/>
            <w:tcMar>
              <w:top w:w="40" w:type="dxa"/>
              <w:left w:w="0" w:type="dxa"/>
              <w:bottom w:w="40" w:type="dxa"/>
              <w:right w:w="20" w:type="dxa"/>
            </w:tcMar>
            <w:vAlign w:val="bottom"/>
          </w:tcPr>
          <w:p w14:paraId="7DD00A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D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AD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D6" w14:textId="77777777" w:rsidR="00C1563E" w:rsidRDefault="000B648B">
            <w:pPr>
              <w:jc w:val="right"/>
              <w:textAlignment w:val="bottom"/>
            </w:pPr>
            <w:r>
              <w:rPr>
                <w:rFonts w:ascii="Times New Roman" w:eastAsia="宋体" w:hAnsi="Times New Roman"/>
                <w:color w:val="000000"/>
                <w:sz w:val="20"/>
                <w:szCs w:val="20"/>
              </w:rPr>
              <w:t>(1,257)</w:t>
            </w:r>
          </w:p>
        </w:tc>
        <w:tc>
          <w:tcPr>
            <w:tcW w:w="0" w:type="auto"/>
            <w:shd w:val="clear" w:color="auto" w:fill="CCEEFF"/>
            <w:tcMar>
              <w:top w:w="40" w:type="dxa"/>
              <w:left w:w="0" w:type="dxa"/>
              <w:bottom w:w="40" w:type="dxa"/>
              <w:right w:w="20" w:type="dxa"/>
            </w:tcMar>
            <w:vAlign w:val="bottom"/>
          </w:tcPr>
          <w:p w14:paraId="7DD00A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D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AD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ADA" w14:textId="77777777" w:rsidR="00C1563E" w:rsidRDefault="000B648B">
            <w:pPr>
              <w:jc w:val="right"/>
              <w:textAlignment w:val="bottom"/>
            </w:pPr>
            <w:r>
              <w:rPr>
                <w:rFonts w:ascii="Times New Roman" w:eastAsia="宋体" w:hAnsi="Times New Roman"/>
                <w:color w:val="000000"/>
                <w:sz w:val="20"/>
                <w:szCs w:val="20"/>
              </w:rPr>
              <w:t>694 </w:t>
            </w:r>
          </w:p>
        </w:tc>
        <w:tc>
          <w:tcPr>
            <w:tcW w:w="0" w:type="auto"/>
            <w:shd w:val="clear" w:color="auto" w:fill="CCEEFF"/>
            <w:tcMar>
              <w:top w:w="40" w:type="dxa"/>
              <w:left w:w="0" w:type="dxa"/>
              <w:bottom w:w="40" w:type="dxa"/>
              <w:right w:w="20" w:type="dxa"/>
            </w:tcMar>
            <w:vAlign w:val="bottom"/>
          </w:tcPr>
          <w:p w14:paraId="7DD00A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DC"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ADD" w14:textId="77777777" w:rsidR="00C1563E" w:rsidRDefault="000B648B">
            <w:pPr>
              <w:jc w:val="right"/>
              <w:textAlignment w:val="bottom"/>
            </w:pPr>
            <w:r>
              <w:rPr>
                <w:rFonts w:ascii="Times New Roman" w:eastAsia="宋体" w:hAnsi="Times New Roman"/>
                <w:color w:val="000000"/>
                <w:sz w:val="20"/>
                <w:szCs w:val="20"/>
              </w:rPr>
              <w:t>Fiscal 2021</w:t>
            </w:r>
          </w:p>
        </w:tc>
      </w:tr>
      <w:tr w:rsidR="00C1563E" w14:paraId="7DD00AEA" w14:textId="77777777">
        <w:trPr>
          <w:jc w:val="center"/>
        </w:trPr>
        <w:tc>
          <w:tcPr>
            <w:tcW w:w="0" w:type="auto"/>
            <w:gridSpan w:val="3"/>
            <w:shd w:val="clear" w:color="auto" w:fill="FFFFFF"/>
            <w:tcMar>
              <w:top w:w="40" w:type="dxa"/>
              <w:left w:w="20" w:type="dxa"/>
              <w:bottom w:w="40" w:type="dxa"/>
              <w:right w:w="20" w:type="dxa"/>
            </w:tcMar>
            <w:vAlign w:val="bottom"/>
          </w:tcPr>
          <w:p w14:paraId="7DD00ADF" w14:textId="77777777" w:rsidR="00C1563E" w:rsidRDefault="000B648B">
            <w:pPr>
              <w:textAlignment w:val="bottom"/>
            </w:pPr>
            <w:r>
              <w:rPr>
                <w:rFonts w:ascii="Times New Roman" w:eastAsia="宋体" w:hAnsi="Times New Roman"/>
                <w:color w:val="000000"/>
                <w:sz w:val="20"/>
                <w:szCs w:val="20"/>
              </w:rPr>
              <w:t>Loss carryforwards</w:t>
            </w:r>
          </w:p>
        </w:tc>
        <w:tc>
          <w:tcPr>
            <w:tcW w:w="0" w:type="auto"/>
            <w:gridSpan w:val="2"/>
            <w:shd w:val="clear" w:color="auto" w:fill="FFFFFF"/>
            <w:tcMar>
              <w:top w:w="40" w:type="dxa"/>
              <w:left w:w="20" w:type="dxa"/>
              <w:bottom w:w="40" w:type="dxa"/>
              <w:right w:w="0" w:type="dxa"/>
            </w:tcMar>
            <w:vAlign w:val="bottom"/>
          </w:tcPr>
          <w:p w14:paraId="7DD00AE0" w14:textId="77777777" w:rsidR="00C1563E" w:rsidRDefault="000B648B">
            <w:pPr>
              <w:jc w:val="right"/>
              <w:textAlignment w:val="bottom"/>
            </w:pPr>
            <w:r>
              <w:rPr>
                <w:rFonts w:ascii="Times New Roman" w:eastAsia="宋体" w:hAnsi="Times New Roman"/>
                <w:color w:val="000000"/>
                <w:sz w:val="20"/>
                <w:szCs w:val="20"/>
              </w:rPr>
              <w:t>580 </w:t>
            </w:r>
          </w:p>
        </w:tc>
        <w:tc>
          <w:tcPr>
            <w:tcW w:w="0" w:type="auto"/>
            <w:shd w:val="clear" w:color="auto" w:fill="FFFFFF"/>
            <w:tcMar>
              <w:top w:w="40" w:type="dxa"/>
              <w:left w:w="0" w:type="dxa"/>
              <w:bottom w:w="40" w:type="dxa"/>
              <w:right w:w="20" w:type="dxa"/>
            </w:tcMar>
            <w:vAlign w:val="bottom"/>
          </w:tcPr>
          <w:p w14:paraId="7DD00AE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E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E3" w14:textId="77777777" w:rsidR="00C1563E" w:rsidRDefault="000B648B">
            <w:pPr>
              <w:jc w:val="right"/>
              <w:textAlignment w:val="bottom"/>
            </w:pPr>
            <w:r>
              <w:rPr>
                <w:rFonts w:ascii="Times New Roman" w:eastAsia="宋体" w:hAnsi="Times New Roman"/>
                <w:color w:val="000000"/>
                <w:sz w:val="20"/>
                <w:szCs w:val="20"/>
              </w:rPr>
              <w:t>(348)</w:t>
            </w:r>
          </w:p>
        </w:tc>
        <w:tc>
          <w:tcPr>
            <w:tcW w:w="0" w:type="auto"/>
            <w:shd w:val="clear" w:color="auto" w:fill="FFFFFF"/>
            <w:tcMar>
              <w:top w:w="40" w:type="dxa"/>
              <w:left w:w="0" w:type="dxa"/>
              <w:bottom w:w="40" w:type="dxa"/>
              <w:right w:w="20" w:type="dxa"/>
            </w:tcMar>
            <w:vAlign w:val="bottom"/>
          </w:tcPr>
          <w:p w14:paraId="7DD00AE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E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AE6" w14:textId="77777777" w:rsidR="00C1563E" w:rsidRDefault="000B648B">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7DD00AE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E8"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0AE9" w14:textId="77777777" w:rsidR="00C1563E" w:rsidRDefault="000B648B">
            <w:pPr>
              <w:jc w:val="right"/>
              <w:textAlignment w:val="bottom"/>
            </w:pPr>
            <w:r>
              <w:rPr>
                <w:rFonts w:ascii="Times New Roman" w:eastAsia="宋体" w:hAnsi="Times New Roman"/>
                <w:color w:val="000000"/>
                <w:sz w:val="20"/>
                <w:szCs w:val="20"/>
              </w:rPr>
              <w:t>Fiscal 2021</w:t>
            </w:r>
          </w:p>
        </w:tc>
      </w:tr>
      <w:tr w:rsidR="00C1563E" w14:paraId="7DD00AF6" w14:textId="77777777">
        <w:trPr>
          <w:jc w:val="center"/>
        </w:trPr>
        <w:tc>
          <w:tcPr>
            <w:tcW w:w="0" w:type="auto"/>
            <w:gridSpan w:val="3"/>
            <w:shd w:val="clear" w:color="auto" w:fill="CCEEFF"/>
            <w:tcMar>
              <w:top w:w="40" w:type="dxa"/>
              <w:left w:w="20" w:type="dxa"/>
              <w:bottom w:w="40" w:type="dxa"/>
              <w:right w:w="20" w:type="dxa"/>
            </w:tcMar>
            <w:vAlign w:val="bottom"/>
          </w:tcPr>
          <w:p w14:paraId="7DD00AEB" w14:textId="77777777" w:rsidR="00C1563E" w:rsidRDefault="000B648B">
            <w:pPr>
              <w:textAlignment w:val="bottom"/>
            </w:pPr>
            <w:r>
              <w:rPr>
                <w:rFonts w:ascii="Times New Roman" w:eastAsia="宋体" w:hAnsi="Times New Roman"/>
                <w:color w:val="000000"/>
                <w:sz w:val="20"/>
                <w:szCs w:val="20"/>
              </w:rPr>
              <w:t>Other deferred tax assets</w:t>
            </w:r>
          </w:p>
        </w:tc>
        <w:tc>
          <w:tcPr>
            <w:tcW w:w="0" w:type="auto"/>
            <w:gridSpan w:val="2"/>
            <w:shd w:val="clear" w:color="auto" w:fill="CCEEFF"/>
            <w:tcMar>
              <w:top w:w="40" w:type="dxa"/>
              <w:left w:w="20" w:type="dxa"/>
              <w:bottom w:w="40" w:type="dxa"/>
              <w:right w:w="0" w:type="dxa"/>
            </w:tcMar>
            <w:vAlign w:val="bottom"/>
          </w:tcPr>
          <w:p w14:paraId="7DD00AEC" w14:textId="77777777" w:rsidR="00C1563E" w:rsidRDefault="000B648B">
            <w:pPr>
              <w:jc w:val="right"/>
              <w:textAlignment w:val="bottom"/>
            </w:pPr>
            <w:r>
              <w:rPr>
                <w:rFonts w:ascii="Times New Roman" w:eastAsia="宋体" w:hAnsi="Times New Roman"/>
                <w:color w:val="000000"/>
                <w:sz w:val="20"/>
                <w:szCs w:val="20"/>
              </w:rPr>
              <w:t>5,387 </w:t>
            </w:r>
          </w:p>
        </w:tc>
        <w:tc>
          <w:tcPr>
            <w:tcW w:w="0" w:type="auto"/>
            <w:shd w:val="clear" w:color="auto" w:fill="CCEEFF"/>
            <w:tcMar>
              <w:top w:w="40" w:type="dxa"/>
              <w:left w:w="0" w:type="dxa"/>
              <w:bottom w:w="40" w:type="dxa"/>
              <w:right w:w="20" w:type="dxa"/>
            </w:tcMar>
            <w:vAlign w:val="bottom"/>
          </w:tcPr>
          <w:p w14:paraId="7DD00AE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E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EF" w14:textId="77777777" w:rsidR="00C1563E" w:rsidRDefault="000B648B">
            <w:pPr>
              <w:jc w:val="right"/>
              <w:textAlignment w:val="bottom"/>
            </w:pPr>
            <w:r>
              <w:rPr>
                <w:rFonts w:ascii="Times New Roman" w:eastAsia="宋体" w:hAnsi="Times New Roman"/>
                <w:color w:val="000000"/>
                <w:sz w:val="20"/>
                <w:szCs w:val="20"/>
              </w:rPr>
              <w:t>(82)</w:t>
            </w:r>
          </w:p>
        </w:tc>
        <w:tc>
          <w:tcPr>
            <w:tcW w:w="0" w:type="auto"/>
            <w:shd w:val="clear" w:color="auto" w:fill="CCEEFF"/>
            <w:tcMar>
              <w:top w:w="40" w:type="dxa"/>
              <w:left w:w="0" w:type="dxa"/>
              <w:bottom w:w="40" w:type="dxa"/>
              <w:right w:w="20" w:type="dxa"/>
            </w:tcMar>
            <w:vAlign w:val="bottom"/>
          </w:tcPr>
          <w:p w14:paraId="7DD00A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F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AF2" w14:textId="77777777" w:rsidR="00C1563E" w:rsidRDefault="000B648B">
            <w:pPr>
              <w:jc w:val="right"/>
              <w:textAlignment w:val="bottom"/>
            </w:pPr>
            <w:r>
              <w:rPr>
                <w:rFonts w:ascii="Times New Roman" w:eastAsia="宋体" w:hAnsi="Times New Roman"/>
                <w:color w:val="000000"/>
                <w:sz w:val="20"/>
                <w:szCs w:val="20"/>
              </w:rPr>
              <w:t>5,305 </w:t>
            </w:r>
          </w:p>
        </w:tc>
        <w:tc>
          <w:tcPr>
            <w:tcW w:w="0" w:type="auto"/>
            <w:shd w:val="clear" w:color="auto" w:fill="CCEEFF"/>
            <w:tcMar>
              <w:top w:w="40" w:type="dxa"/>
              <w:left w:w="0" w:type="dxa"/>
              <w:bottom w:w="40" w:type="dxa"/>
              <w:right w:w="20" w:type="dxa"/>
            </w:tcMar>
            <w:vAlign w:val="bottom"/>
          </w:tcPr>
          <w:p w14:paraId="7DD00A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AF4"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0AF5" w14:textId="77777777" w:rsidR="00C1563E" w:rsidRDefault="000B648B">
            <w:pPr>
              <w:jc w:val="right"/>
              <w:textAlignment w:val="bottom"/>
            </w:pPr>
            <w:r>
              <w:rPr>
                <w:rFonts w:ascii="Times New Roman" w:eastAsia="宋体" w:hAnsi="Times New Roman"/>
                <w:color w:val="000000"/>
                <w:sz w:val="20"/>
                <w:szCs w:val="20"/>
              </w:rPr>
              <w:t>NA</w:t>
            </w:r>
          </w:p>
        </w:tc>
      </w:tr>
      <w:tr w:rsidR="00C1563E" w14:paraId="7DD00B05" w14:textId="77777777">
        <w:trPr>
          <w:jc w:val="center"/>
        </w:trPr>
        <w:tc>
          <w:tcPr>
            <w:tcW w:w="0" w:type="auto"/>
            <w:gridSpan w:val="3"/>
            <w:shd w:val="clear" w:color="auto" w:fill="FFFFFF"/>
            <w:tcMar>
              <w:top w:w="40" w:type="dxa"/>
              <w:left w:w="155" w:type="dxa"/>
              <w:bottom w:w="40" w:type="dxa"/>
              <w:right w:w="20" w:type="dxa"/>
            </w:tcMar>
            <w:vAlign w:val="bottom"/>
          </w:tcPr>
          <w:p w14:paraId="7DD00AF7" w14:textId="77777777" w:rsidR="00C1563E" w:rsidRDefault="000B648B">
            <w:pPr>
              <w:textAlignment w:val="bottom"/>
            </w:pPr>
            <w:r>
              <w:rPr>
                <w:rFonts w:ascii="Times New Roman" w:eastAsia="宋体" w:hAnsi="Times New Roman"/>
                <w:color w:val="000000"/>
                <w:sz w:val="20"/>
                <w:szCs w:val="20"/>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AF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AF9" w14:textId="77777777" w:rsidR="00C1563E" w:rsidRDefault="000B648B">
            <w:pPr>
              <w:jc w:val="right"/>
              <w:textAlignment w:val="bottom"/>
            </w:pPr>
            <w:r>
              <w:rPr>
                <w:rFonts w:ascii="Times New Roman" w:eastAsia="宋体" w:hAnsi="Times New Roman"/>
                <w:color w:val="000000"/>
                <w:sz w:val="20"/>
                <w:szCs w:val="20"/>
              </w:rPr>
              <w:t>7,918 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AF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F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AF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AFD" w14:textId="77777777" w:rsidR="00C1563E" w:rsidRDefault="000B648B">
            <w:pPr>
              <w:jc w:val="right"/>
              <w:textAlignment w:val="bottom"/>
            </w:pPr>
            <w:r>
              <w:rPr>
                <w:rFonts w:ascii="Times New Roman" w:eastAsia="宋体" w:hAnsi="Times New Roman"/>
                <w:color w:val="000000"/>
                <w:sz w:val="20"/>
                <w:szCs w:val="20"/>
              </w:rPr>
              <w:t>(1,687)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AF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AFF"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0B0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0B01" w14:textId="77777777" w:rsidR="00C1563E" w:rsidRDefault="000B648B">
            <w:pPr>
              <w:jc w:val="right"/>
              <w:textAlignment w:val="bottom"/>
            </w:pPr>
            <w:r>
              <w:rPr>
                <w:rFonts w:ascii="Times New Roman" w:eastAsia="宋体" w:hAnsi="Times New Roman"/>
                <w:color w:val="000000"/>
                <w:sz w:val="20"/>
                <w:szCs w:val="20"/>
              </w:rPr>
              <w:t>6,231 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0B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0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B04" w14:textId="77777777" w:rsidR="00C1563E" w:rsidRDefault="00C1563E">
            <w:pPr>
              <w:rPr>
                <w:rFonts w:ascii="宋体"/>
              </w:rPr>
            </w:pPr>
          </w:p>
        </w:tc>
      </w:tr>
    </w:tbl>
    <w:p w14:paraId="7DD00B06" w14:textId="77777777" w:rsidR="00C1563E" w:rsidRDefault="00C1563E"/>
    <w:p w14:paraId="7DD00B07" w14:textId="77777777" w:rsidR="00C1563E" w:rsidRDefault="000B648B">
      <w:r>
        <w:rPr>
          <w:rFonts w:ascii="Times New Roman" w:eastAsia="宋体" w:hAnsi="Times New Roman"/>
          <w:color w:val="000000"/>
          <w:sz w:val="20"/>
          <w:szCs w:val="20"/>
        </w:rPr>
        <w:t>The Company’s credit carryforwards as of January 29, 2021 and January 31, 2020 relate primarily to U.S. tax credits and include state and federal tax credits assoc</w:t>
      </w:r>
      <w:r>
        <w:rPr>
          <w:rFonts w:ascii="Times New Roman" w:eastAsia="宋体" w:hAnsi="Times New Roman"/>
          <w:color w:val="000000"/>
          <w:sz w:val="20"/>
          <w:szCs w:val="20"/>
        </w:rPr>
        <w:t>iated with research and development, as well as foreign tax credits associated with U.S. Tax Reform. The more significant amounts of the Company’s carryforwards begin expiring in Fiscal 2028. The Company assessed the realizability of these U.S. tax credits</w:t>
      </w:r>
      <w:r>
        <w:rPr>
          <w:rFonts w:ascii="Times New Roman" w:eastAsia="宋体" w:hAnsi="Times New Roman"/>
          <w:color w:val="000000"/>
          <w:sz w:val="20"/>
          <w:szCs w:val="20"/>
        </w:rPr>
        <w:t xml:space="preserve"> and has recorded a valuation allowance against the credits it does not expect to utilize. The change in the valuation allowance against these credits is included in Change in valuation allowance in the Company’s effective tax reconciliations for the fisca</w:t>
      </w:r>
      <w:r>
        <w:rPr>
          <w:rFonts w:ascii="Times New Roman" w:eastAsia="宋体" w:hAnsi="Times New Roman"/>
          <w:color w:val="000000"/>
          <w:sz w:val="20"/>
          <w:szCs w:val="20"/>
        </w:rPr>
        <w:t>l years ended January 29, 2021 and January 31, 2020. The Company’s loss carryforwards as of January 29, 2021 and January 31, 2020 include net operating loss carryforwards from federal, state, and foreign jurisdictions. The valuation allowances for other de</w:t>
      </w:r>
      <w:r>
        <w:rPr>
          <w:rFonts w:ascii="Times New Roman" w:eastAsia="宋体" w:hAnsi="Times New Roman"/>
          <w:color w:val="000000"/>
          <w:sz w:val="20"/>
          <w:szCs w:val="20"/>
        </w:rPr>
        <w:t>ferred tax assets as of January 29, 2021 and January 31, 2020 primarily relate to foreign jurisdictions, the changes in which are included in Tax impact of foreign operations in the Company’s effective tax reconciliation. The Company has determined that it</w:t>
      </w:r>
      <w:r>
        <w:rPr>
          <w:rFonts w:ascii="Times New Roman" w:eastAsia="宋体" w:hAnsi="Times New Roman"/>
          <w:color w:val="000000"/>
          <w:sz w:val="20"/>
          <w:szCs w:val="20"/>
        </w:rPr>
        <w:t xml:space="preserve"> will be able to realize the remainder of its deferred tax assets, based on the future reversal of deferred tax liabilities.</w:t>
      </w:r>
    </w:p>
    <w:p w14:paraId="7DD00B08" w14:textId="77777777" w:rsidR="00C1563E" w:rsidRDefault="00C1563E"/>
    <w:p w14:paraId="7DD00B09" w14:textId="77777777" w:rsidR="00C1563E" w:rsidRDefault="000B648B">
      <w:pPr>
        <w:spacing w:after="120"/>
      </w:pPr>
      <w:r>
        <w:rPr>
          <w:rFonts w:ascii="Times New Roman" w:eastAsia="宋体" w:hAnsi="Times New Roman"/>
          <w:color w:val="000000"/>
          <w:sz w:val="20"/>
          <w:szCs w:val="20"/>
        </w:rPr>
        <w:t xml:space="preserve">The following table presents a reconciliation of the Company’s beginning and ending balances of unrecognized tax benefits for 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21"/>
        <w:gridCol w:w="38"/>
        <w:gridCol w:w="121"/>
        <w:gridCol w:w="1217"/>
        <w:gridCol w:w="36"/>
        <w:gridCol w:w="36"/>
        <w:gridCol w:w="36"/>
        <w:gridCol w:w="36"/>
        <w:gridCol w:w="121"/>
        <w:gridCol w:w="1217"/>
        <w:gridCol w:w="36"/>
        <w:gridCol w:w="36"/>
        <w:gridCol w:w="36"/>
        <w:gridCol w:w="36"/>
        <w:gridCol w:w="121"/>
        <w:gridCol w:w="1217"/>
        <w:gridCol w:w="36"/>
      </w:tblGrid>
      <w:tr w:rsidR="00C1563E" w14:paraId="7DD00B1C" w14:textId="77777777">
        <w:trPr>
          <w:jc w:val="center"/>
        </w:trPr>
        <w:tc>
          <w:tcPr>
            <w:tcW w:w="50" w:type="pct"/>
            <w:shd w:val="clear" w:color="auto" w:fill="auto"/>
          </w:tcPr>
          <w:p w14:paraId="7DD00B0A" w14:textId="77777777" w:rsidR="00C1563E" w:rsidRDefault="00C1563E">
            <w:pPr>
              <w:rPr>
                <w:rFonts w:ascii="宋体"/>
              </w:rPr>
            </w:pPr>
          </w:p>
        </w:tc>
        <w:tc>
          <w:tcPr>
            <w:tcW w:w="2408" w:type="pct"/>
            <w:shd w:val="clear" w:color="auto" w:fill="auto"/>
          </w:tcPr>
          <w:p w14:paraId="7DD00B0B" w14:textId="77777777" w:rsidR="00C1563E" w:rsidRDefault="00C1563E">
            <w:pPr>
              <w:rPr>
                <w:rFonts w:ascii="宋体"/>
              </w:rPr>
            </w:pPr>
          </w:p>
        </w:tc>
        <w:tc>
          <w:tcPr>
            <w:tcW w:w="5" w:type="pct"/>
            <w:shd w:val="clear" w:color="auto" w:fill="auto"/>
          </w:tcPr>
          <w:p w14:paraId="7DD00B0C" w14:textId="77777777" w:rsidR="00C1563E" w:rsidRDefault="00C1563E">
            <w:pPr>
              <w:rPr>
                <w:rFonts w:ascii="宋体"/>
              </w:rPr>
            </w:pPr>
          </w:p>
        </w:tc>
        <w:tc>
          <w:tcPr>
            <w:tcW w:w="50" w:type="pct"/>
            <w:shd w:val="clear" w:color="auto" w:fill="auto"/>
          </w:tcPr>
          <w:p w14:paraId="7DD00B0D" w14:textId="77777777" w:rsidR="00C1563E" w:rsidRDefault="00C1563E">
            <w:pPr>
              <w:rPr>
                <w:rFonts w:ascii="宋体"/>
              </w:rPr>
            </w:pPr>
          </w:p>
        </w:tc>
        <w:tc>
          <w:tcPr>
            <w:tcW w:w="771" w:type="pct"/>
            <w:shd w:val="clear" w:color="auto" w:fill="auto"/>
          </w:tcPr>
          <w:p w14:paraId="7DD00B0E" w14:textId="77777777" w:rsidR="00C1563E" w:rsidRDefault="00C1563E">
            <w:pPr>
              <w:rPr>
                <w:rFonts w:ascii="宋体"/>
              </w:rPr>
            </w:pPr>
          </w:p>
        </w:tc>
        <w:tc>
          <w:tcPr>
            <w:tcW w:w="5" w:type="pct"/>
            <w:shd w:val="clear" w:color="auto" w:fill="auto"/>
          </w:tcPr>
          <w:p w14:paraId="7DD00B0F" w14:textId="77777777" w:rsidR="00C1563E" w:rsidRDefault="00C1563E">
            <w:pPr>
              <w:rPr>
                <w:rFonts w:ascii="宋体"/>
              </w:rPr>
            </w:pPr>
          </w:p>
        </w:tc>
        <w:tc>
          <w:tcPr>
            <w:tcW w:w="5" w:type="pct"/>
            <w:shd w:val="clear" w:color="auto" w:fill="auto"/>
          </w:tcPr>
          <w:p w14:paraId="7DD00B10" w14:textId="77777777" w:rsidR="00C1563E" w:rsidRDefault="00C1563E">
            <w:pPr>
              <w:rPr>
                <w:rFonts w:ascii="宋体"/>
              </w:rPr>
            </w:pPr>
          </w:p>
        </w:tc>
        <w:tc>
          <w:tcPr>
            <w:tcW w:w="19" w:type="pct"/>
            <w:shd w:val="clear" w:color="auto" w:fill="auto"/>
          </w:tcPr>
          <w:p w14:paraId="7DD00B11" w14:textId="77777777" w:rsidR="00C1563E" w:rsidRDefault="00C1563E">
            <w:pPr>
              <w:rPr>
                <w:rFonts w:ascii="宋体"/>
              </w:rPr>
            </w:pPr>
          </w:p>
        </w:tc>
        <w:tc>
          <w:tcPr>
            <w:tcW w:w="5" w:type="pct"/>
            <w:shd w:val="clear" w:color="auto" w:fill="auto"/>
          </w:tcPr>
          <w:p w14:paraId="7DD00B12" w14:textId="77777777" w:rsidR="00C1563E" w:rsidRDefault="00C1563E">
            <w:pPr>
              <w:rPr>
                <w:rFonts w:ascii="宋体"/>
              </w:rPr>
            </w:pPr>
          </w:p>
        </w:tc>
        <w:tc>
          <w:tcPr>
            <w:tcW w:w="50" w:type="pct"/>
            <w:shd w:val="clear" w:color="auto" w:fill="auto"/>
          </w:tcPr>
          <w:p w14:paraId="7DD00B13" w14:textId="77777777" w:rsidR="00C1563E" w:rsidRDefault="00C1563E">
            <w:pPr>
              <w:rPr>
                <w:rFonts w:ascii="宋体"/>
              </w:rPr>
            </w:pPr>
          </w:p>
        </w:tc>
        <w:tc>
          <w:tcPr>
            <w:tcW w:w="771" w:type="pct"/>
            <w:shd w:val="clear" w:color="auto" w:fill="auto"/>
          </w:tcPr>
          <w:p w14:paraId="7DD00B14" w14:textId="77777777" w:rsidR="00C1563E" w:rsidRDefault="00C1563E">
            <w:pPr>
              <w:rPr>
                <w:rFonts w:ascii="宋体"/>
              </w:rPr>
            </w:pPr>
          </w:p>
        </w:tc>
        <w:tc>
          <w:tcPr>
            <w:tcW w:w="5" w:type="pct"/>
            <w:shd w:val="clear" w:color="auto" w:fill="auto"/>
          </w:tcPr>
          <w:p w14:paraId="7DD00B15" w14:textId="77777777" w:rsidR="00C1563E" w:rsidRDefault="00C1563E">
            <w:pPr>
              <w:rPr>
                <w:rFonts w:ascii="宋体"/>
              </w:rPr>
            </w:pPr>
          </w:p>
        </w:tc>
        <w:tc>
          <w:tcPr>
            <w:tcW w:w="5" w:type="pct"/>
            <w:shd w:val="clear" w:color="auto" w:fill="auto"/>
          </w:tcPr>
          <w:p w14:paraId="7DD00B16" w14:textId="77777777" w:rsidR="00C1563E" w:rsidRDefault="00C1563E">
            <w:pPr>
              <w:rPr>
                <w:rFonts w:ascii="宋体"/>
              </w:rPr>
            </w:pPr>
          </w:p>
        </w:tc>
        <w:tc>
          <w:tcPr>
            <w:tcW w:w="19" w:type="pct"/>
            <w:shd w:val="clear" w:color="auto" w:fill="auto"/>
          </w:tcPr>
          <w:p w14:paraId="7DD00B17" w14:textId="77777777" w:rsidR="00C1563E" w:rsidRDefault="00C1563E">
            <w:pPr>
              <w:rPr>
                <w:rFonts w:ascii="宋体"/>
              </w:rPr>
            </w:pPr>
          </w:p>
        </w:tc>
        <w:tc>
          <w:tcPr>
            <w:tcW w:w="5" w:type="pct"/>
            <w:shd w:val="clear" w:color="auto" w:fill="auto"/>
          </w:tcPr>
          <w:p w14:paraId="7DD00B18" w14:textId="77777777" w:rsidR="00C1563E" w:rsidRDefault="00C1563E">
            <w:pPr>
              <w:rPr>
                <w:rFonts w:ascii="宋体"/>
              </w:rPr>
            </w:pPr>
          </w:p>
        </w:tc>
        <w:tc>
          <w:tcPr>
            <w:tcW w:w="50" w:type="pct"/>
            <w:shd w:val="clear" w:color="auto" w:fill="auto"/>
          </w:tcPr>
          <w:p w14:paraId="7DD00B19" w14:textId="77777777" w:rsidR="00C1563E" w:rsidRDefault="00C1563E">
            <w:pPr>
              <w:rPr>
                <w:rFonts w:ascii="宋体"/>
              </w:rPr>
            </w:pPr>
          </w:p>
        </w:tc>
        <w:tc>
          <w:tcPr>
            <w:tcW w:w="771" w:type="pct"/>
            <w:shd w:val="clear" w:color="auto" w:fill="auto"/>
          </w:tcPr>
          <w:p w14:paraId="7DD00B1A" w14:textId="77777777" w:rsidR="00C1563E" w:rsidRDefault="00C1563E">
            <w:pPr>
              <w:rPr>
                <w:rFonts w:ascii="宋体"/>
              </w:rPr>
            </w:pPr>
          </w:p>
        </w:tc>
        <w:tc>
          <w:tcPr>
            <w:tcW w:w="5" w:type="pct"/>
            <w:shd w:val="clear" w:color="auto" w:fill="auto"/>
          </w:tcPr>
          <w:p w14:paraId="7DD00B1B" w14:textId="77777777" w:rsidR="00C1563E" w:rsidRDefault="00C1563E">
            <w:pPr>
              <w:rPr>
                <w:rFonts w:ascii="宋体"/>
              </w:rPr>
            </w:pPr>
          </w:p>
        </w:tc>
      </w:tr>
      <w:tr w:rsidR="00C1563E" w14:paraId="7DD00B1F" w14:textId="77777777">
        <w:trPr>
          <w:jc w:val="center"/>
        </w:trPr>
        <w:tc>
          <w:tcPr>
            <w:tcW w:w="0" w:type="auto"/>
            <w:gridSpan w:val="3"/>
            <w:shd w:val="clear" w:color="auto" w:fill="auto"/>
            <w:tcMar>
              <w:top w:w="0" w:type="dxa"/>
              <w:left w:w="20" w:type="dxa"/>
              <w:bottom w:w="0" w:type="dxa"/>
              <w:right w:w="20" w:type="dxa"/>
            </w:tcMar>
          </w:tcPr>
          <w:p w14:paraId="7DD00B1D"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B1E"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B26" w14:textId="77777777">
        <w:trPr>
          <w:jc w:val="center"/>
        </w:trPr>
        <w:tc>
          <w:tcPr>
            <w:tcW w:w="0" w:type="auto"/>
            <w:gridSpan w:val="3"/>
            <w:shd w:val="clear" w:color="auto" w:fill="auto"/>
            <w:tcMar>
              <w:top w:w="0" w:type="dxa"/>
              <w:left w:w="20" w:type="dxa"/>
              <w:bottom w:w="0" w:type="dxa"/>
              <w:right w:w="20" w:type="dxa"/>
            </w:tcMar>
          </w:tcPr>
          <w:p w14:paraId="7DD00B2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B21"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B22"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B23"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B24"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B25"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B29" w14:textId="77777777">
        <w:trPr>
          <w:jc w:val="center"/>
        </w:trPr>
        <w:tc>
          <w:tcPr>
            <w:tcW w:w="0" w:type="auto"/>
            <w:gridSpan w:val="3"/>
            <w:shd w:val="clear" w:color="auto" w:fill="auto"/>
            <w:tcMar>
              <w:top w:w="0" w:type="dxa"/>
              <w:left w:w="20" w:type="dxa"/>
              <w:bottom w:w="0" w:type="dxa"/>
              <w:right w:w="20" w:type="dxa"/>
            </w:tcMar>
          </w:tcPr>
          <w:p w14:paraId="7DD00B27"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B28"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B36" w14:textId="77777777">
        <w:trPr>
          <w:jc w:val="center"/>
        </w:trPr>
        <w:tc>
          <w:tcPr>
            <w:tcW w:w="0" w:type="auto"/>
            <w:gridSpan w:val="3"/>
            <w:shd w:val="clear" w:color="auto" w:fill="CCEEFF"/>
            <w:tcMar>
              <w:top w:w="40" w:type="dxa"/>
              <w:left w:w="20" w:type="dxa"/>
              <w:bottom w:w="40" w:type="dxa"/>
              <w:right w:w="20" w:type="dxa"/>
            </w:tcMar>
            <w:vAlign w:val="bottom"/>
          </w:tcPr>
          <w:p w14:paraId="7DD00B2A" w14:textId="77777777" w:rsidR="00C1563E" w:rsidRDefault="000B648B">
            <w:pPr>
              <w:textAlignment w:val="bottom"/>
            </w:pPr>
            <w:r>
              <w:rPr>
                <w:rFonts w:ascii="Times New Roman" w:eastAsia="宋体" w:hAnsi="Times New Roman"/>
                <w:i/>
                <w:iCs/>
                <w:color w:val="000000"/>
                <w:sz w:val="20"/>
                <w:szCs w:val="20"/>
              </w:rPr>
              <w:t>Beginning Balance</w:t>
            </w:r>
          </w:p>
        </w:tc>
        <w:tc>
          <w:tcPr>
            <w:tcW w:w="0" w:type="auto"/>
            <w:shd w:val="clear" w:color="auto" w:fill="CCEEFF"/>
            <w:tcMar>
              <w:top w:w="40" w:type="dxa"/>
              <w:left w:w="20" w:type="dxa"/>
              <w:bottom w:w="40" w:type="dxa"/>
              <w:right w:w="0" w:type="dxa"/>
            </w:tcMar>
            <w:vAlign w:val="bottom"/>
          </w:tcPr>
          <w:p w14:paraId="7DD00B2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2C" w14:textId="77777777" w:rsidR="00C1563E" w:rsidRDefault="000B648B">
            <w:pPr>
              <w:jc w:val="right"/>
              <w:textAlignment w:val="bottom"/>
            </w:pPr>
            <w:r>
              <w:rPr>
                <w:rFonts w:ascii="Times New Roman" w:eastAsia="宋体" w:hAnsi="Times New Roman"/>
                <w:color w:val="000000"/>
                <w:sz w:val="20"/>
                <w:szCs w:val="20"/>
              </w:rPr>
              <w:t>2,447 </w:t>
            </w:r>
          </w:p>
        </w:tc>
        <w:tc>
          <w:tcPr>
            <w:tcW w:w="0" w:type="auto"/>
            <w:shd w:val="clear" w:color="auto" w:fill="CCEEFF"/>
            <w:tcMar>
              <w:top w:w="40" w:type="dxa"/>
              <w:left w:w="0" w:type="dxa"/>
              <w:bottom w:w="40" w:type="dxa"/>
              <w:right w:w="20" w:type="dxa"/>
            </w:tcMar>
            <w:vAlign w:val="bottom"/>
          </w:tcPr>
          <w:p w14:paraId="7DD00B2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2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2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30" w14:textId="77777777" w:rsidR="00C1563E" w:rsidRDefault="000B648B">
            <w:pPr>
              <w:jc w:val="right"/>
              <w:textAlignment w:val="bottom"/>
            </w:pPr>
            <w:r>
              <w:rPr>
                <w:rFonts w:ascii="Times New Roman" w:eastAsia="宋体" w:hAnsi="Times New Roman"/>
                <w:color w:val="000000"/>
                <w:sz w:val="20"/>
                <w:szCs w:val="20"/>
              </w:rPr>
              <w:t>2,989 </w:t>
            </w:r>
          </w:p>
        </w:tc>
        <w:tc>
          <w:tcPr>
            <w:tcW w:w="0" w:type="auto"/>
            <w:shd w:val="clear" w:color="auto" w:fill="CCEEFF"/>
            <w:tcMar>
              <w:top w:w="40" w:type="dxa"/>
              <w:left w:w="0" w:type="dxa"/>
              <w:bottom w:w="40" w:type="dxa"/>
              <w:right w:w="20" w:type="dxa"/>
            </w:tcMar>
            <w:vAlign w:val="bottom"/>
          </w:tcPr>
          <w:p w14:paraId="7DD00B3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3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3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34" w14:textId="77777777" w:rsidR="00C1563E" w:rsidRDefault="000B648B">
            <w:pPr>
              <w:jc w:val="right"/>
              <w:textAlignment w:val="bottom"/>
            </w:pPr>
            <w:r>
              <w:rPr>
                <w:rFonts w:ascii="Times New Roman" w:eastAsia="宋体" w:hAnsi="Times New Roman"/>
                <w:color w:val="000000"/>
                <w:sz w:val="20"/>
                <w:szCs w:val="20"/>
              </w:rPr>
              <w:t>2,867 </w:t>
            </w:r>
          </w:p>
        </w:tc>
        <w:tc>
          <w:tcPr>
            <w:tcW w:w="0" w:type="auto"/>
            <w:shd w:val="clear" w:color="auto" w:fill="CCEEFF"/>
            <w:tcMar>
              <w:top w:w="40" w:type="dxa"/>
              <w:left w:w="0" w:type="dxa"/>
              <w:bottom w:w="40" w:type="dxa"/>
              <w:right w:w="20" w:type="dxa"/>
            </w:tcMar>
            <w:vAlign w:val="bottom"/>
          </w:tcPr>
          <w:p w14:paraId="7DD00B35" w14:textId="77777777" w:rsidR="00C1563E" w:rsidRDefault="00C1563E">
            <w:pPr>
              <w:jc w:val="right"/>
              <w:rPr>
                <w:rFonts w:ascii="宋体"/>
              </w:rPr>
            </w:pPr>
          </w:p>
        </w:tc>
      </w:tr>
      <w:tr w:rsidR="00C1563E" w14:paraId="7DD00B40" w14:textId="77777777">
        <w:trPr>
          <w:jc w:val="center"/>
        </w:trPr>
        <w:tc>
          <w:tcPr>
            <w:tcW w:w="0" w:type="auto"/>
            <w:gridSpan w:val="3"/>
            <w:shd w:val="clear" w:color="auto" w:fill="FFFFFF"/>
            <w:tcMar>
              <w:top w:w="40" w:type="dxa"/>
              <w:left w:w="155" w:type="dxa"/>
              <w:bottom w:w="40" w:type="dxa"/>
              <w:right w:w="20" w:type="dxa"/>
            </w:tcMar>
            <w:vAlign w:val="bottom"/>
          </w:tcPr>
          <w:p w14:paraId="7DD00B37" w14:textId="77777777" w:rsidR="00C1563E" w:rsidRDefault="000B648B">
            <w:pPr>
              <w:textAlignment w:val="bottom"/>
            </w:pPr>
            <w:r>
              <w:rPr>
                <w:rFonts w:ascii="Times New Roman" w:eastAsia="宋体" w:hAnsi="Times New Roman"/>
                <w:color w:val="000000"/>
                <w:sz w:val="20"/>
                <w:szCs w:val="20"/>
              </w:rPr>
              <w:t>Increases related to tax positions of the current year</w:t>
            </w:r>
          </w:p>
        </w:tc>
        <w:tc>
          <w:tcPr>
            <w:tcW w:w="0" w:type="auto"/>
            <w:gridSpan w:val="2"/>
            <w:shd w:val="clear" w:color="auto" w:fill="FFFFFF"/>
            <w:tcMar>
              <w:top w:w="40" w:type="dxa"/>
              <w:left w:w="20" w:type="dxa"/>
              <w:bottom w:w="40" w:type="dxa"/>
              <w:right w:w="0" w:type="dxa"/>
            </w:tcMar>
            <w:vAlign w:val="bottom"/>
          </w:tcPr>
          <w:p w14:paraId="7DD00B38" w14:textId="77777777" w:rsidR="00C1563E" w:rsidRDefault="000B648B">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DD00B3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3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3B" w14:textId="77777777" w:rsidR="00C1563E" w:rsidRDefault="000B648B">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7DD00B3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3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3E" w14:textId="77777777" w:rsidR="00C1563E" w:rsidRDefault="000B648B">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left w:w="0" w:type="dxa"/>
              <w:bottom w:w="40" w:type="dxa"/>
              <w:right w:w="20" w:type="dxa"/>
            </w:tcMar>
            <w:vAlign w:val="bottom"/>
          </w:tcPr>
          <w:p w14:paraId="7DD00B3F" w14:textId="77777777" w:rsidR="00C1563E" w:rsidRDefault="00C1563E">
            <w:pPr>
              <w:jc w:val="right"/>
              <w:rPr>
                <w:rFonts w:ascii="宋体"/>
              </w:rPr>
            </w:pPr>
          </w:p>
        </w:tc>
      </w:tr>
      <w:tr w:rsidR="00C1563E" w14:paraId="7DD00B4A" w14:textId="77777777">
        <w:trPr>
          <w:jc w:val="center"/>
        </w:trPr>
        <w:tc>
          <w:tcPr>
            <w:tcW w:w="0" w:type="auto"/>
            <w:gridSpan w:val="3"/>
            <w:shd w:val="clear" w:color="auto" w:fill="CCEEFF"/>
            <w:tcMar>
              <w:top w:w="40" w:type="dxa"/>
              <w:left w:w="155" w:type="dxa"/>
              <w:bottom w:w="40" w:type="dxa"/>
              <w:right w:w="20" w:type="dxa"/>
            </w:tcMar>
            <w:vAlign w:val="bottom"/>
          </w:tcPr>
          <w:p w14:paraId="7DD00B41" w14:textId="77777777" w:rsidR="00C1563E" w:rsidRDefault="000B648B">
            <w:pPr>
              <w:textAlignment w:val="bottom"/>
            </w:pPr>
            <w:r>
              <w:rPr>
                <w:rFonts w:ascii="Times New Roman" w:eastAsia="宋体" w:hAnsi="Times New Roman"/>
                <w:color w:val="000000"/>
                <w:sz w:val="20"/>
                <w:szCs w:val="20"/>
              </w:rPr>
              <w:t>Increases related to tax position of prior years</w:t>
            </w:r>
          </w:p>
        </w:tc>
        <w:tc>
          <w:tcPr>
            <w:tcW w:w="0" w:type="auto"/>
            <w:gridSpan w:val="2"/>
            <w:shd w:val="clear" w:color="auto" w:fill="CCEEFF"/>
            <w:tcMar>
              <w:top w:w="40" w:type="dxa"/>
              <w:left w:w="20" w:type="dxa"/>
              <w:bottom w:w="40" w:type="dxa"/>
              <w:right w:w="0" w:type="dxa"/>
            </w:tcMar>
            <w:vAlign w:val="bottom"/>
          </w:tcPr>
          <w:p w14:paraId="7DD00B42" w14:textId="77777777" w:rsidR="00C1563E" w:rsidRDefault="000B648B">
            <w:pPr>
              <w:jc w:val="right"/>
              <w:textAlignment w:val="bottom"/>
            </w:pPr>
            <w:r>
              <w:rPr>
                <w:rFonts w:ascii="Times New Roman" w:eastAsia="宋体" w:hAnsi="Times New Roman"/>
                <w:color w:val="000000"/>
                <w:sz w:val="20"/>
                <w:szCs w:val="20"/>
              </w:rPr>
              <w:t>393 </w:t>
            </w:r>
          </w:p>
        </w:tc>
        <w:tc>
          <w:tcPr>
            <w:tcW w:w="0" w:type="auto"/>
            <w:shd w:val="clear" w:color="auto" w:fill="CCEEFF"/>
            <w:tcMar>
              <w:top w:w="40" w:type="dxa"/>
              <w:left w:w="0" w:type="dxa"/>
              <w:bottom w:w="40" w:type="dxa"/>
              <w:right w:w="20" w:type="dxa"/>
            </w:tcMar>
            <w:vAlign w:val="bottom"/>
          </w:tcPr>
          <w:p w14:paraId="7DD00B4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4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45" w14:textId="77777777" w:rsidR="00C1563E" w:rsidRDefault="000B648B">
            <w:pPr>
              <w:jc w:val="right"/>
              <w:textAlignment w:val="bottom"/>
            </w:pPr>
            <w:r>
              <w:rPr>
                <w:rFonts w:ascii="Times New Roman" w:eastAsia="宋体" w:hAnsi="Times New Roman"/>
                <w:color w:val="000000"/>
                <w:sz w:val="20"/>
                <w:szCs w:val="20"/>
              </w:rPr>
              <w:t>332 </w:t>
            </w:r>
          </w:p>
        </w:tc>
        <w:tc>
          <w:tcPr>
            <w:tcW w:w="0" w:type="auto"/>
            <w:shd w:val="clear" w:color="auto" w:fill="CCEEFF"/>
            <w:tcMar>
              <w:top w:w="40" w:type="dxa"/>
              <w:left w:w="0" w:type="dxa"/>
              <w:bottom w:w="40" w:type="dxa"/>
              <w:right w:w="20" w:type="dxa"/>
            </w:tcMar>
            <w:vAlign w:val="bottom"/>
          </w:tcPr>
          <w:p w14:paraId="7DD00B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4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48" w14:textId="77777777" w:rsidR="00C1563E" w:rsidRDefault="000B648B">
            <w:pPr>
              <w:jc w:val="right"/>
              <w:textAlignment w:val="bottom"/>
            </w:pPr>
            <w:r>
              <w:rPr>
                <w:rFonts w:ascii="Times New Roman" w:eastAsia="宋体" w:hAnsi="Times New Roman"/>
                <w:color w:val="000000"/>
                <w:sz w:val="20"/>
                <w:szCs w:val="20"/>
              </w:rPr>
              <w:t>288 </w:t>
            </w:r>
          </w:p>
        </w:tc>
        <w:tc>
          <w:tcPr>
            <w:tcW w:w="0" w:type="auto"/>
            <w:shd w:val="clear" w:color="auto" w:fill="CCEEFF"/>
            <w:tcMar>
              <w:top w:w="40" w:type="dxa"/>
              <w:left w:w="0" w:type="dxa"/>
              <w:bottom w:w="40" w:type="dxa"/>
              <w:right w:w="20" w:type="dxa"/>
            </w:tcMar>
            <w:vAlign w:val="bottom"/>
          </w:tcPr>
          <w:p w14:paraId="7DD00B49" w14:textId="77777777" w:rsidR="00C1563E" w:rsidRDefault="00C1563E">
            <w:pPr>
              <w:jc w:val="right"/>
              <w:rPr>
                <w:rFonts w:ascii="宋体"/>
              </w:rPr>
            </w:pPr>
          </w:p>
        </w:tc>
      </w:tr>
      <w:tr w:rsidR="00C1563E" w14:paraId="7DD00B54" w14:textId="77777777">
        <w:trPr>
          <w:jc w:val="center"/>
        </w:trPr>
        <w:tc>
          <w:tcPr>
            <w:tcW w:w="0" w:type="auto"/>
            <w:gridSpan w:val="3"/>
            <w:shd w:val="clear" w:color="auto" w:fill="FFFFFF"/>
            <w:tcMar>
              <w:top w:w="40" w:type="dxa"/>
              <w:left w:w="155" w:type="dxa"/>
              <w:bottom w:w="40" w:type="dxa"/>
              <w:right w:w="20" w:type="dxa"/>
            </w:tcMar>
            <w:vAlign w:val="bottom"/>
          </w:tcPr>
          <w:p w14:paraId="7DD00B4B" w14:textId="77777777" w:rsidR="00C1563E" w:rsidRDefault="000B648B">
            <w:pPr>
              <w:textAlignment w:val="bottom"/>
            </w:pPr>
            <w:r>
              <w:rPr>
                <w:rFonts w:ascii="Times New Roman" w:eastAsia="宋体" w:hAnsi="Times New Roman"/>
                <w:color w:val="000000"/>
                <w:sz w:val="20"/>
                <w:szCs w:val="20"/>
              </w:rPr>
              <w:t>Reductions for tax positions of prior years</w:t>
            </w:r>
          </w:p>
        </w:tc>
        <w:tc>
          <w:tcPr>
            <w:tcW w:w="0" w:type="auto"/>
            <w:gridSpan w:val="2"/>
            <w:shd w:val="clear" w:color="auto" w:fill="FFFFFF"/>
            <w:tcMar>
              <w:top w:w="40" w:type="dxa"/>
              <w:left w:w="20" w:type="dxa"/>
              <w:bottom w:w="40" w:type="dxa"/>
              <w:right w:w="0" w:type="dxa"/>
            </w:tcMar>
            <w:vAlign w:val="bottom"/>
          </w:tcPr>
          <w:p w14:paraId="7DD00B4C" w14:textId="77777777" w:rsidR="00C1563E" w:rsidRDefault="000B648B">
            <w:pPr>
              <w:jc w:val="right"/>
              <w:textAlignment w:val="bottom"/>
            </w:pPr>
            <w:r>
              <w:rPr>
                <w:rFonts w:ascii="Times New Roman" w:eastAsia="宋体" w:hAnsi="Times New Roman"/>
                <w:color w:val="000000"/>
                <w:sz w:val="20"/>
                <w:szCs w:val="20"/>
              </w:rPr>
              <w:t>(698)</w:t>
            </w:r>
          </w:p>
        </w:tc>
        <w:tc>
          <w:tcPr>
            <w:tcW w:w="0" w:type="auto"/>
            <w:shd w:val="clear" w:color="auto" w:fill="FFFFFF"/>
            <w:tcMar>
              <w:top w:w="40" w:type="dxa"/>
              <w:left w:w="0" w:type="dxa"/>
              <w:bottom w:w="40" w:type="dxa"/>
              <w:right w:w="20" w:type="dxa"/>
            </w:tcMar>
            <w:vAlign w:val="bottom"/>
          </w:tcPr>
          <w:p w14:paraId="7DD00B4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4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4F" w14:textId="77777777" w:rsidR="00C1563E" w:rsidRDefault="000B648B">
            <w:pPr>
              <w:jc w:val="right"/>
              <w:textAlignment w:val="bottom"/>
            </w:pPr>
            <w:r>
              <w:rPr>
                <w:rFonts w:ascii="Times New Roman" w:eastAsia="宋体" w:hAnsi="Times New Roman"/>
                <w:color w:val="000000"/>
                <w:sz w:val="20"/>
                <w:szCs w:val="20"/>
              </w:rPr>
              <w:t>(490)</w:t>
            </w:r>
          </w:p>
        </w:tc>
        <w:tc>
          <w:tcPr>
            <w:tcW w:w="0" w:type="auto"/>
            <w:shd w:val="clear" w:color="auto" w:fill="FFFFFF"/>
            <w:tcMar>
              <w:top w:w="40" w:type="dxa"/>
              <w:left w:w="0" w:type="dxa"/>
              <w:bottom w:w="40" w:type="dxa"/>
              <w:right w:w="20" w:type="dxa"/>
            </w:tcMar>
            <w:vAlign w:val="bottom"/>
          </w:tcPr>
          <w:p w14:paraId="7DD00B5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5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52" w14:textId="77777777" w:rsidR="00C1563E" w:rsidRDefault="000B648B">
            <w:pPr>
              <w:jc w:val="right"/>
              <w:textAlignment w:val="bottom"/>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bottom"/>
          </w:tcPr>
          <w:p w14:paraId="7DD00B53" w14:textId="77777777" w:rsidR="00C1563E" w:rsidRDefault="00C1563E">
            <w:pPr>
              <w:jc w:val="right"/>
              <w:rPr>
                <w:rFonts w:ascii="宋体"/>
              </w:rPr>
            </w:pPr>
          </w:p>
        </w:tc>
      </w:tr>
      <w:tr w:rsidR="00C1563E" w14:paraId="7DD00B5E" w14:textId="77777777">
        <w:trPr>
          <w:jc w:val="center"/>
        </w:trPr>
        <w:tc>
          <w:tcPr>
            <w:tcW w:w="0" w:type="auto"/>
            <w:gridSpan w:val="3"/>
            <w:shd w:val="clear" w:color="auto" w:fill="CCEEFF"/>
            <w:tcMar>
              <w:top w:w="40" w:type="dxa"/>
              <w:left w:w="155" w:type="dxa"/>
              <w:bottom w:w="40" w:type="dxa"/>
              <w:right w:w="20" w:type="dxa"/>
            </w:tcMar>
            <w:vAlign w:val="bottom"/>
          </w:tcPr>
          <w:p w14:paraId="7DD00B55" w14:textId="77777777" w:rsidR="00C1563E" w:rsidRDefault="000B648B">
            <w:pPr>
              <w:textAlignment w:val="bottom"/>
            </w:pPr>
            <w:r>
              <w:rPr>
                <w:rFonts w:ascii="Times New Roman" w:eastAsia="宋体" w:hAnsi="Times New Roman"/>
                <w:color w:val="000000"/>
                <w:sz w:val="20"/>
                <w:szCs w:val="20"/>
              </w:rPr>
              <w:t xml:space="preserve">Lapse of </w:t>
            </w:r>
            <w:r>
              <w:rPr>
                <w:rFonts w:ascii="Times New Roman" w:eastAsia="宋体" w:hAnsi="Times New Roman"/>
                <w:color w:val="000000"/>
                <w:sz w:val="20"/>
                <w:szCs w:val="20"/>
              </w:rPr>
              <w:t>statute of limitations</w:t>
            </w:r>
          </w:p>
        </w:tc>
        <w:tc>
          <w:tcPr>
            <w:tcW w:w="0" w:type="auto"/>
            <w:gridSpan w:val="2"/>
            <w:shd w:val="clear" w:color="auto" w:fill="CCEEFF"/>
            <w:tcMar>
              <w:top w:w="40" w:type="dxa"/>
              <w:left w:w="20" w:type="dxa"/>
              <w:bottom w:w="40" w:type="dxa"/>
              <w:right w:w="0" w:type="dxa"/>
            </w:tcMar>
            <w:vAlign w:val="bottom"/>
          </w:tcPr>
          <w:p w14:paraId="7DD00B56" w14:textId="77777777" w:rsidR="00C1563E" w:rsidRDefault="000B648B">
            <w:pPr>
              <w:jc w:val="right"/>
              <w:textAlignment w:val="bottom"/>
            </w:pPr>
            <w:r>
              <w:rPr>
                <w:rFonts w:ascii="Times New Roman" w:eastAsia="宋体" w:hAnsi="Times New Roman"/>
                <w:color w:val="000000"/>
                <w:sz w:val="20"/>
                <w:szCs w:val="20"/>
              </w:rPr>
              <w:t>(40)</w:t>
            </w:r>
          </w:p>
        </w:tc>
        <w:tc>
          <w:tcPr>
            <w:tcW w:w="0" w:type="auto"/>
            <w:shd w:val="clear" w:color="auto" w:fill="CCEEFF"/>
            <w:tcMar>
              <w:top w:w="40" w:type="dxa"/>
              <w:left w:w="0" w:type="dxa"/>
              <w:bottom w:w="40" w:type="dxa"/>
              <w:right w:w="20" w:type="dxa"/>
            </w:tcMar>
            <w:vAlign w:val="bottom"/>
          </w:tcPr>
          <w:p w14:paraId="7DD00B5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5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59" w14:textId="77777777" w:rsidR="00C1563E" w:rsidRDefault="000B648B">
            <w:pPr>
              <w:jc w:val="right"/>
              <w:textAlignment w:val="bottom"/>
            </w:pPr>
            <w:r>
              <w:rPr>
                <w:rFonts w:ascii="Times New Roman" w:eastAsia="宋体" w:hAnsi="Times New Roman"/>
                <w:color w:val="000000"/>
                <w:sz w:val="20"/>
                <w:szCs w:val="20"/>
              </w:rPr>
              <w:t>(127)</w:t>
            </w:r>
          </w:p>
        </w:tc>
        <w:tc>
          <w:tcPr>
            <w:tcW w:w="0" w:type="auto"/>
            <w:shd w:val="clear" w:color="auto" w:fill="CCEEFF"/>
            <w:tcMar>
              <w:top w:w="40" w:type="dxa"/>
              <w:left w:w="0" w:type="dxa"/>
              <w:bottom w:w="40" w:type="dxa"/>
              <w:right w:w="20" w:type="dxa"/>
            </w:tcMar>
            <w:vAlign w:val="bottom"/>
          </w:tcPr>
          <w:p w14:paraId="7DD00B5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5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5C" w14:textId="77777777" w:rsidR="00C1563E" w:rsidRDefault="000B648B">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7DD00B5D" w14:textId="77777777" w:rsidR="00C1563E" w:rsidRDefault="00C1563E">
            <w:pPr>
              <w:jc w:val="right"/>
              <w:rPr>
                <w:rFonts w:ascii="宋体"/>
              </w:rPr>
            </w:pPr>
          </w:p>
        </w:tc>
      </w:tr>
      <w:tr w:rsidR="00C1563E" w14:paraId="7DD00B68" w14:textId="77777777">
        <w:trPr>
          <w:jc w:val="center"/>
        </w:trPr>
        <w:tc>
          <w:tcPr>
            <w:tcW w:w="0" w:type="auto"/>
            <w:gridSpan w:val="3"/>
            <w:shd w:val="clear" w:color="auto" w:fill="FFFFFF"/>
            <w:tcMar>
              <w:top w:w="40" w:type="dxa"/>
              <w:left w:w="155" w:type="dxa"/>
              <w:bottom w:w="40" w:type="dxa"/>
              <w:right w:w="20" w:type="dxa"/>
            </w:tcMar>
            <w:vAlign w:val="bottom"/>
          </w:tcPr>
          <w:p w14:paraId="7DD00B5F" w14:textId="77777777" w:rsidR="00C1563E" w:rsidRDefault="000B648B">
            <w:pPr>
              <w:textAlignment w:val="bottom"/>
            </w:pPr>
            <w:r>
              <w:rPr>
                <w:rFonts w:ascii="Times New Roman" w:eastAsia="宋体" w:hAnsi="Times New Roman"/>
                <w:color w:val="000000"/>
                <w:sz w:val="20"/>
                <w:szCs w:val="20"/>
              </w:rPr>
              <w:t>Audit settlements</w:t>
            </w:r>
          </w:p>
        </w:tc>
        <w:tc>
          <w:tcPr>
            <w:tcW w:w="0" w:type="auto"/>
            <w:gridSpan w:val="2"/>
            <w:shd w:val="clear" w:color="auto" w:fill="FFFFFF"/>
            <w:tcMar>
              <w:top w:w="40" w:type="dxa"/>
              <w:left w:w="20" w:type="dxa"/>
              <w:bottom w:w="40" w:type="dxa"/>
              <w:right w:w="0" w:type="dxa"/>
            </w:tcMar>
            <w:vAlign w:val="bottom"/>
          </w:tcPr>
          <w:p w14:paraId="7DD00B60" w14:textId="77777777" w:rsidR="00C1563E" w:rsidRDefault="000B648B">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7DD00B6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6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63" w14:textId="77777777" w:rsidR="00C1563E" w:rsidRDefault="000B648B">
            <w:pPr>
              <w:jc w:val="right"/>
              <w:textAlignment w:val="bottom"/>
            </w:pPr>
            <w:r>
              <w:rPr>
                <w:rFonts w:ascii="Times New Roman" w:eastAsia="宋体" w:hAnsi="Times New Roman"/>
                <w:color w:val="000000"/>
                <w:sz w:val="20"/>
                <w:szCs w:val="20"/>
              </w:rPr>
              <w:t>(402)</w:t>
            </w:r>
          </w:p>
        </w:tc>
        <w:tc>
          <w:tcPr>
            <w:tcW w:w="0" w:type="auto"/>
            <w:shd w:val="clear" w:color="auto" w:fill="FFFFFF"/>
            <w:tcMar>
              <w:top w:w="40" w:type="dxa"/>
              <w:left w:w="0" w:type="dxa"/>
              <w:bottom w:w="40" w:type="dxa"/>
              <w:right w:w="20" w:type="dxa"/>
            </w:tcMar>
            <w:vAlign w:val="bottom"/>
          </w:tcPr>
          <w:p w14:paraId="7DD00B6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6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66" w14:textId="77777777" w:rsidR="00C1563E" w:rsidRDefault="000B648B">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7DD00B67" w14:textId="77777777" w:rsidR="00C1563E" w:rsidRDefault="00C1563E">
            <w:pPr>
              <w:jc w:val="right"/>
              <w:rPr>
                <w:rFonts w:ascii="宋体"/>
              </w:rPr>
            </w:pPr>
          </w:p>
        </w:tc>
      </w:tr>
      <w:tr w:rsidR="00C1563E" w14:paraId="7DD00B75" w14:textId="77777777">
        <w:trPr>
          <w:jc w:val="center"/>
        </w:trPr>
        <w:tc>
          <w:tcPr>
            <w:tcW w:w="0" w:type="auto"/>
            <w:gridSpan w:val="3"/>
            <w:shd w:val="clear" w:color="auto" w:fill="CCEEFF"/>
            <w:tcMar>
              <w:top w:w="40" w:type="dxa"/>
              <w:left w:w="20" w:type="dxa"/>
              <w:bottom w:w="40" w:type="dxa"/>
              <w:right w:w="20" w:type="dxa"/>
            </w:tcMar>
            <w:vAlign w:val="bottom"/>
          </w:tcPr>
          <w:p w14:paraId="7DD00B69" w14:textId="77777777" w:rsidR="00C1563E" w:rsidRDefault="000B648B">
            <w:pPr>
              <w:textAlignment w:val="bottom"/>
            </w:pPr>
            <w:r>
              <w:rPr>
                <w:rFonts w:ascii="Times New Roman" w:eastAsia="宋体" w:hAnsi="Times New Roman"/>
                <w:i/>
                <w:iCs/>
                <w:color w:val="000000"/>
                <w:sz w:val="20"/>
                <w:szCs w:val="20"/>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B6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B6B" w14:textId="77777777" w:rsidR="00C1563E" w:rsidRDefault="000B648B">
            <w:pPr>
              <w:jc w:val="right"/>
              <w:textAlignment w:val="bottom"/>
            </w:pPr>
            <w:r>
              <w:rPr>
                <w:rFonts w:ascii="Times New Roman" w:eastAsia="宋体" w:hAnsi="Times New Roman"/>
                <w:color w:val="000000"/>
                <w:sz w:val="20"/>
                <w:szCs w:val="20"/>
              </w:rPr>
              <w:t>1,833 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B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6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B6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B6F" w14:textId="77777777" w:rsidR="00C1563E" w:rsidRDefault="000B648B">
            <w:pPr>
              <w:jc w:val="right"/>
              <w:textAlignment w:val="bottom"/>
            </w:pPr>
            <w:r>
              <w:rPr>
                <w:rFonts w:ascii="Times New Roman" w:eastAsia="宋体" w:hAnsi="Times New Roman"/>
                <w:color w:val="000000"/>
                <w:sz w:val="20"/>
                <w:szCs w:val="20"/>
              </w:rPr>
              <w:t>2,447 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B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71"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B7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B73" w14:textId="77777777" w:rsidR="00C1563E" w:rsidRDefault="000B648B">
            <w:pPr>
              <w:jc w:val="right"/>
              <w:textAlignment w:val="bottom"/>
            </w:pPr>
            <w:r>
              <w:rPr>
                <w:rFonts w:ascii="Times New Roman" w:eastAsia="宋体" w:hAnsi="Times New Roman"/>
                <w:color w:val="000000"/>
                <w:sz w:val="20"/>
                <w:szCs w:val="20"/>
              </w:rPr>
              <w:t>2,989 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B74" w14:textId="77777777" w:rsidR="00C1563E" w:rsidRDefault="00C1563E">
            <w:pPr>
              <w:jc w:val="right"/>
              <w:rPr>
                <w:rFonts w:ascii="宋体"/>
              </w:rPr>
            </w:pPr>
          </w:p>
        </w:tc>
      </w:tr>
    </w:tbl>
    <w:p w14:paraId="7DD00B76" w14:textId="77777777" w:rsidR="00C1563E" w:rsidRDefault="00C1563E"/>
    <w:p w14:paraId="7DD00B77" w14:textId="77777777" w:rsidR="00C1563E" w:rsidRDefault="000B648B">
      <w:r>
        <w:rPr>
          <w:rFonts w:ascii="Times New Roman" w:eastAsia="宋体" w:hAnsi="Times New Roman"/>
          <w:color w:val="000000"/>
          <w:sz w:val="20"/>
          <w:szCs w:val="20"/>
        </w:rPr>
        <w:t>The Company’s net unrecognized tax benefits were $1.4 billion, $2.5 billion, and $3.4 billion as of January 29, 2021, January 31, 2020, and February 1, 2019, respectively, and are included in a</w:t>
      </w:r>
      <w:r>
        <w:rPr>
          <w:rFonts w:ascii="Times New Roman" w:eastAsia="宋体" w:hAnsi="Times New Roman"/>
          <w:color w:val="000000"/>
          <w:sz w:val="20"/>
          <w:szCs w:val="20"/>
        </w:rPr>
        <w:t>ccrued and other and other non-current liabilities i</w:t>
      </w:r>
      <w:r>
        <w:rPr>
          <w:rFonts w:ascii="Times New Roman" w:eastAsia="宋体" w:hAnsi="Times New Roman"/>
          <w:color w:val="000000"/>
          <w:sz w:val="20"/>
          <w:szCs w:val="20"/>
          <w:shd w:val="clear" w:color="auto" w:fill="FFFFFF"/>
        </w:rPr>
        <w:t xml:space="preserve">n the </w:t>
      </w:r>
      <w:r>
        <w:rPr>
          <w:rFonts w:ascii="Times New Roman" w:eastAsia="宋体" w:hAnsi="Times New Roman"/>
          <w:color w:val="000000"/>
          <w:sz w:val="20"/>
          <w:szCs w:val="20"/>
        </w:rPr>
        <w:t>Consolidated Statements of Financial Position</w:t>
      </w:r>
      <w:r>
        <w:rPr>
          <w:rFonts w:ascii="Times New Roman" w:eastAsia="宋体" w:hAnsi="Times New Roman"/>
          <w:color w:val="000000"/>
          <w:sz w:val="20"/>
          <w:szCs w:val="20"/>
          <w:shd w:val="clear" w:color="auto" w:fill="FFFFFF"/>
        </w:rPr>
        <w:t>.</w:t>
      </w:r>
    </w:p>
    <w:p w14:paraId="7DD00B78" w14:textId="77777777" w:rsidR="00C1563E" w:rsidRDefault="00C1563E">
      <w:pPr>
        <w:jc w:val="center"/>
      </w:pPr>
    </w:p>
    <w:p w14:paraId="7DD00B79" w14:textId="77777777" w:rsidR="00C1563E" w:rsidRDefault="000B648B">
      <w:pPr>
        <w:jc w:val="center"/>
      </w:pPr>
      <w:r>
        <w:rPr>
          <w:rFonts w:ascii="Times New Roman" w:eastAsia="宋体" w:hAnsi="Times New Roman"/>
          <w:color w:val="000000"/>
          <w:sz w:val="20"/>
          <w:szCs w:val="20"/>
        </w:rPr>
        <w:t>132</w:t>
      </w:r>
    </w:p>
    <w:p w14:paraId="7DD00B7A" w14:textId="77777777" w:rsidR="00C1563E" w:rsidRDefault="00C1563E">
      <w:pPr>
        <w:jc w:val="center"/>
      </w:pPr>
    </w:p>
    <w:p w14:paraId="7DD00B7B" w14:textId="77777777" w:rsidR="00C1563E" w:rsidRDefault="000B648B">
      <w:r>
        <w:pict w14:anchorId="7DD025EE">
          <v:rect id="_x0000_i1156" style="width:415.3pt;height:1.5pt" o:hralign="center" o:hrstd="t" o:hr="t" fillcolor="#a0a0a0" stroked="f"/>
        </w:pict>
      </w:r>
    </w:p>
    <w:p w14:paraId="7DD00B7C" w14:textId="77777777" w:rsidR="00C1563E" w:rsidRDefault="000B648B">
      <w:hyperlink r:id="rId315" w:anchor="i418e32e4a35149ffbf7d3a25d66881b8_10" w:history="1">
        <w:r>
          <w:rPr>
            <w:rStyle w:val="a5"/>
            <w:rFonts w:ascii="Times New Roman" w:eastAsia="宋体" w:hAnsi="Times New Roman"/>
            <w:sz w:val="20"/>
            <w:szCs w:val="20"/>
          </w:rPr>
          <w:t>Table of Contents</w:t>
        </w:r>
      </w:hyperlink>
    </w:p>
    <w:p w14:paraId="7DD00B7D" w14:textId="77777777" w:rsidR="00C1563E" w:rsidRDefault="00C1563E"/>
    <w:p w14:paraId="7DD00B7E" w14:textId="77777777" w:rsidR="00C1563E" w:rsidRDefault="000B648B">
      <w:r>
        <w:rPr>
          <w:rFonts w:ascii="Times New Roman" w:eastAsia="宋体" w:hAnsi="Times New Roman"/>
          <w:color w:val="000000"/>
          <w:sz w:val="20"/>
          <w:szCs w:val="20"/>
        </w:rPr>
        <w:t xml:space="preserve">The unrecognized tax benefits in the table above include $1.1 billion, $2.0 billion, and $2.4 billion as of January 29, 2021, January 31, 2020, and February 1, 2019, respectively, that, if recognized, would have </w:t>
      </w:r>
      <w:r>
        <w:rPr>
          <w:rFonts w:ascii="Times New Roman" w:eastAsia="宋体" w:hAnsi="Times New Roman"/>
          <w:color w:val="000000"/>
          <w:sz w:val="20"/>
          <w:szCs w:val="20"/>
        </w:rPr>
        <w:t>impacted income tax expense. The table does not include accrued interest and penalties of $0.4 billion, $0.8 billion, and $1.0 billion as of January 29, 2021, January 31, 2020, and February 1, 2019, respectively. Tax benefits associated with interest and s</w:t>
      </w:r>
      <w:r>
        <w:rPr>
          <w:rFonts w:ascii="Times New Roman" w:eastAsia="宋体" w:hAnsi="Times New Roman"/>
          <w:color w:val="000000"/>
          <w:sz w:val="20"/>
          <w:szCs w:val="20"/>
        </w:rPr>
        <w:t>tate tax deductions and other indirect jurisdictional effects of uncertain tax positions were $862 million, $629 million, and $611 million as of January 29, 2021, January 31, 2020, and February 1, 2019, respectively. Interest and penalties related to incom</w:t>
      </w:r>
      <w:r>
        <w:rPr>
          <w:rFonts w:ascii="Times New Roman" w:eastAsia="宋体" w:hAnsi="Times New Roman"/>
          <w:color w:val="000000"/>
          <w:sz w:val="20"/>
          <w:szCs w:val="20"/>
        </w:rPr>
        <w:t>e tax liabilities are included in income tax expense. The Company recorded tax benefits for interest and penalties of $251 million and $174 million for the fiscal years ended January 29, 2021 and January 31, 2020, respectively, and tax expense of $127 mill</w:t>
      </w:r>
      <w:r>
        <w:rPr>
          <w:rFonts w:ascii="Times New Roman" w:eastAsia="宋体" w:hAnsi="Times New Roman"/>
          <w:color w:val="000000"/>
          <w:sz w:val="20"/>
          <w:szCs w:val="20"/>
        </w:rPr>
        <w:t>ion for the fiscal year ended February 1, 2019.</w:t>
      </w:r>
    </w:p>
    <w:p w14:paraId="7DD00B7F" w14:textId="77777777" w:rsidR="00C1563E" w:rsidRDefault="00C1563E"/>
    <w:p w14:paraId="7DD00B80" w14:textId="77777777" w:rsidR="00C1563E" w:rsidRDefault="000B648B">
      <w:r>
        <w:rPr>
          <w:rFonts w:ascii="Times New Roman" w:eastAsia="宋体" w:hAnsi="Times New Roman"/>
          <w:color w:val="000000"/>
          <w:sz w:val="20"/>
          <w:szCs w:val="20"/>
        </w:rPr>
        <w:t>During the fiscal year ended January 29, 2021, the Company settled the Internal Revenue Service (“IRS”) audit for fiscal years 2010 through 2014, for which the Company made a cash payment of $435 million to the IRS on August 3, 2020. During the fiscal year</w:t>
      </w:r>
      <w:r>
        <w:rPr>
          <w:rFonts w:ascii="Times New Roman" w:eastAsia="宋体" w:hAnsi="Times New Roman"/>
          <w:color w:val="000000"/>
          <w:sz w:val="20"/>
          <w:szCs w:val="20"/>
        </w:rPr>
        <w:t xml:space="preserve"> ended January 31, 2020, the Company made a cash payment of $438 million in settlement of the IRS audit for fiscal years 2007 through 2009. The IRS is currently examining fiscal years 2015 through 2019. The Company believes it has valid positions supportin</w:t>
      </w:r>
      <w:r>
        <w:rPr>
          <w:rFonts w:ascii="Times New Roman" w:eastAsia="宋体" w:hAnsi="Times New Roman"/>
          <w:color w:val="000000"/>
          <w:sz w:val="20"/>
          <w:szCs w:val="20"/>
        </w:rPr>
        <w:t xml:space="preserve">g its tax returns and that it is adequately reserved. </w:t>
      </w:r>
    </w:p>
    <w:p w14:paraId="7DD00B81" w14:textId="77777777" w:rsidR="00C1563E" w:rsidRDefault="00C1563E"/>
    <w:p w14:paraId="7DD00B82" w14:textId="77777777" w:rsidR="00C1563E" w:rsidRDefault="000B648B">
      <w:r>
        <w:rPr>
          <w:rFonts w:ascii="Times New Roman" w:eastAsia="宋体" w:hAnsi="Times New Roman"/>
          <w:color w:val="000000"/>
          <w:sz w:val="20"/>
          <w:szCs w:val="20"/>
        </w:rPr>
        <w:t>The Company is also currently under income tax audits in various state and foreign taxing jurisdictions.  The Company is undergoing negotiations, and in some cases contested proceedings, relating to t</w:t>
      </w:r>
      <w:r>
        <w:rPr>
          <w:rFonts w:ascii="Times New Roman" w:eastAsia="宋体" w:hAnsi="Times New Roman"/>
          <w:color w:val="000000"/>
          <w:sz w:val="20"/>
          <w:szCs w:val="20"/>
        </w:rPr>
        <w:t xml:space="preserve">ax matters with the taxing authorities in these jurisdictions.  The Company believes that it has provided adequate reserves related to all matters contained in tax periods open to examination.  Although the Company believes it has made adequate provisions </w:t>
      </w:r>
      <w:r>
        <w:rPr>
          <w:rFonts w:ascii="Times New Roman" w:eastAsia="宋体" w:hAnsi="Times New Roman"/>
          <w:color w:val="000000"/>
          <w:sz w:val="20"/>
          <w:szCs w:val="20"/>
        </w:rPr>
        <w:t>for the uncertainties surrounding these audits, should the Company experience unfavorable outcomes, such outcomes could have a material impact on its results of operations, financial position, and cash flows.  With respect to major U.S. state and foreign t</w:t>
      </w:r>
      <w:r>
        <w:rPr>
          <w:rFonts w:ascii="Times New Roman" w:eastAsia="宋体" w:hAnsi="Times New Roman"/>
          <w:color w:val="000000"/>
          <w:sz w:val="20"/>
          <w:szCs w:val="20"/>
        </w:rPr>
        <w:t>axing jurisdictions, the Company is generally not subject to tax examinations for years prior to the fiscal year ended January 29, 2010.</w:t>
      </w:r>
    </w:p>
    <w:p w14:paraId="7DD00B83" w14:textId="77777777" w:rsidR="00C1563E" w:rsidRDefault="00C1563E"/>
    <w:p w14:paraId="7DD00B84" w14:textId="77777777" w:rsidR="00C1563E" w:rsidRDefault="000B648B">
      <w:r>
        <w:rPr>
          <w:rFonts w:ascii="Times New Roman" w:eastAsia="宋体" w:hAnsi="Times New Roman"/>
          <w:color w:val="000000"/>
          <w:sz w:val="20"/>
          <w:szCs w:val="20"/>
        </w:rPr>
        <w:t>Judgment is required in evaluating the Company’s uncertain tax positions and determining the Company’s provision for i</w:t>
      </w:r>
      <w:r>
        <w:rPr>
          <w:rFonts w:ascii="Times New Roman" w:eastAsia="宋体" w:hAnsi="Times New Roman"/>
          <w:color w:val="000000"/>
          <w:sz w:val="20"/>
          <w:szCs w:val="20"/>
        </w:rPr>
        <w:t xml:space="preserve">ncome taxes. The Company does not anticipate a significant change to the total amount of unrecognized tax benefits within the next twelve months. </w:t>
      </w:r>
    </w:p>
    <w:p w14:paraId="7DD00B85" w14:textId="77777777" w:rsidR="00C1563E" w:rsidRDefault="00C1563E"/>
    <w:p w14:paraId="7DD00B86" w14:textId="77777777" w:rsidR="00C1563E" w:rsidRDefault="000B648B">
      <w:r>
        <w:rPr>
          <w:rFonts w:ascii="Times New Roman" w:eastAsia="宋体" w:hAnsi="Times New Roman"/>
          <w:color w:val="000000"/>
          <w:sz w:val="20"/>
          <w:szCs w:val="20"/>
        </w:rPr>
        <w:t>The Company takes certain non-income tax positions in the jurisdictions in which it operates and has receive</w:t>
      </w:r>
      <w:r>
        <w:rPr>
          <w:rFonts w:ascii="Times New Roman" w:eastAsia="宋体" w:hAnsi="Times New Roman"/>
          <w:color w:val="000000"/>
          <w:sz w:val="20"/>
          <w:szCs w:val="20"/>
        </w:rPr>
        <w:t>d certain non-income tax assessments from various jurisdictions. The Company believes that a material loss in these matters is not probable and that it is not reasonably possible that a material loss exceeding amounts already accrued has been incurred.  Th</w:t>
      </w:r>
      <w:r>
        <w:rPr>
          <w:rFonts w:ascii="Times New Roman" w:eastAsia="宋体" w:hAnsi="Times New Roman"/>
          <w:color w:val="000000"/>
          <w:sz w:val="20"/>
          <w:szCs w:val="20"/>
        </w:rPr>
        <w:t xml:space="preserve">e Company believes its positions in these non-income tax litigation matters are supportable and that it ultimately will prevail in the matters. In the normal course of business, the Company’s positions and conclusions related to its non-income taxes could </w:t>
      </w:r>
      <w:r>
        <w:rPr>
          <w:rFonts w:ascii="Times New Roman" w:eastAsia="宋体" w:hAnsi="Times New Roman"/>
          <w:color w:val="000000"/>
          <w:sz w:val="20"/>
          <w:szCs w:val="20"/>
        </w:rPr>
        <w:t>be challenged and assessments may be made. To the extent new information is obtained and the Company’s views on its positions, probable outcomes of assessments, or litigation change, changes in estimates to the Company’s accrued liabilities would be record</w:t>
      </w:r>
      <w:r>
        <w:rPr>
          <w:rFonts w:ascii="Times New Roman" w:eastAsia="宋体" w:hAnsi="Times New Roman"/>
          <w:color w:val="000000"/>
          <w:sz w:val="20"/>
          <w:szCs w:val="20"/>
        </w:rPr>
        <w:t xml:space="preserve">ed in the period in which such a determination is made. In the resolution process for income tax and non-income tax audits, the Company is required in certain situations to provide collateral guarantees or indemnification to regulators and tax authorities </w:t>
      </w:r>
      <w:r>
        <w:rPr>
          <w:rFonts w:ascii="Times New Roman" w:eastAsia="宋体" w:hAnsi="Times New Roman"/>
          <w:color w:val="000000"/>
          <w:sz w:val="20"/>
          <w:szCs w:val="20"/>
        </w:rPr>
        <w:t>until the matter is resolved.</w:t>
      </w:r>
    </w:p>
    <w:p w14:paraId="7DD00B87" w14:textId="77777777" w:rsidR="00C1563E" w:rsidRDefault="00C1563E"/>
    <w:p w14:paraId="7DD00B88" w14:textId="77777777" w:rsidR="00C1563E" w:rsidRDefault="00C1563E">
      <w:pPr>
        <w:jc w:val="center"/>
      </w:pPr>
    </w:p>
    <w:p w14:paraId="7DD00B89" w14:textId="77777777" w:rsidR="00C1563E" w:rsidRDefault="000B648B">
      <w:pPr>
        <w:jc w:val="center"/>
      </w:pPr>
      <w:r>
        <w:rPr>
          <w:rFonts w:ascii="Times New Roman" w:eastAsia="宋体" w:hAnsi="Times New Roman"/>
          <w:color w:val="000000"/>
          <w:sz w:val="20"/>
          <w:szCs w:val="20"/>
        </w:rPr>
        <w:t>133</w:t>
      </w:r>
    </w:p>
    <w:p w14:paraId="7DD00B8A" w14:textId="77777777" w:rsidR="00C1563E" w:rsidRDefault="00C1563E">
      <w:pPr>
        <w:jc w:val="center"/>
      </w:pPr>
    </w:p>
    <w:p w14:paraId="7DD00B8B" w14:textId="77777777" w:rsidR="00C1563E" w:rsidRDefault="000B648B">
      <w:r>
        <w:pict w14:anchorId="7DD025EF">
          <v:rect id="_x0000_i1157" style="width:415.3pt;height:1.5pt" o:hralign="center" o:hrstd="t" o:hr="t" fillcolor="#a0a0a0" stroked="f"/>
        </w:pict>
      </w:r>
    </w:p>
    <w:p w14:paraId="7DD00B8C" w14:textId="77777777" w:rsidR="00C1563E" w:rsidRDefault="000B648B">
      <w:hyperlink r:id="rId316" w:anchor="i418e32e4a35149ffbf7d3a25d66881b8_10" w:history="1">
        <w:r>
          <w:rPr>
            <w:rStyle w:val="a5"/>
            <w:rFonts w:ascii="Times New Roman" w:eastAsia="宋体" w:hAnsi="Times New Roman"/>
            <w:sz w:val="20"/>
            <w:szCs w:val="20"/>
          </w:rPr>
          <w:t>Table of Contents</w:t>
        </w:r>
      </w:hyperlink>
    </w:p>
    <w:p w14:paraId="7DD00B8D" w14:textId="77777777" w:rsidR="00C1563E" w:rsidRDefault="000B648B">
      <w:r>
        <w:rPr>
          <w:rFonts w:ascii="Times New Roman" w:eastAsia="宋体" w:hAnsi="Times New Roman"/>
          <w:b/>
          <w:bCs/>
          <w:color w:val="000000"/>
          <w:sz w:val="20"/>
          <w:szCs w:val="20"/>
        </w:rPr>
        <w:t>NOTE 12 — ACCUMULATED OTHER COMPREHENSIVE INC</w:t>
      </w:r>
      <w:r>
        <w:rPr>
          <w:rFonts w:ascii="Times New Roman" w:eastAsia="宋体" w:hAnsi="Times New Roman"/>
          <w:b/>
          <w:bCs/>
          <w:color w:val="000000"/>
          <w:sz w:val="20"/>
          <w:szCs w:val="20"/>
        </w:rPr>
        <w:t xml:space="preserve">OME (LOSS) </w:t>
      </w:r>
    </w:p>
    <w:p w14:paraId="7DD00B8E" w14:textId="77777777" w:rsidR="00C1563E" w:rsidRDefault="00C1563E"/>
    <w:p w14:paraId="7DD00B8F" w14:textId="77777777" w:rsidR="00C1563E" w:rsidRDefault="000B648B">
      <w:r>
        <w:rPr>
          <w:rFonts w:ascii="Times New Roman" w:eastAsia="宋体" w:hAnsi="Times New Roman"/>
          <w:color w:val="000000"/>
          <w:sz w:val="20"/>
          <w:szCs w:val="20"/>
        </w:rPr>
        <w:t>Accumulated other comprehensive income (loss) is presented in stockholders’ equity (deficit) in the Consolidated Statements of Financial Position and consists of amounts related to foreign currency translation adjustments, unrealized net gains</w:t>
      </w:r>
      <w:r>
        <w:rPr>
          <w:rFonts w:ascii="Times New Roman" w:eastAsia="宋体" w:hAnsi="Times New Roman"/>
          <w:color w:val="000000"/>
          <w:sz w:val="20"/>
          <w:szCs w:val="20"/>
        </w:rPr>
        <w:t xml:space="preserve"> (losses) on investments, unrealized net gains (losses) on cash flow hedges, and actuarial net gains (losses) from pension and other postretirement plans.</w:t>
      </w:r>
    </w:p>
    <w:p w14:paraId="7DD00B90" w14:textId="77777777" w:rsidR="00C1563E" w:rsidRDefault="00C1563E"/>
    <w:p w14:paraId="7DD00B91" w14:textId="77777777" w:rsidR="00C1563E" w:rsidRDefault="000B648B">
      <w:pPr>
        <w:spacing w:after="120"/>
      </w:pPr>
      <w:r>
        <w:rPr>
          <w:rFonts w:ascii="Times New Roman" w:eastAsia="宋体" w:hAnsi="Times New Roman"/>
          <w:color w:val="000000"/>
          <w:sz w:val="20"/>
          <w:szCs w:val="20"/>
        </w:rPr>
        <w:t>The following table presents changes in accumulated other comprehensive income (loss), net of tax, b</w:t>
      </w:r>
      <w:r>
        <w:rPr>
          <w:rFonts w:ascii="Times New Roman" w:eastAsia="宋体" w:hAnsi="Times New Roman"/>
          <w:color w:val="000000"/>
          <w:sz w:val="20"/>
          <w:szCs w:val="20"/>
        </w:rPr>
        <w:t>y the following components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2164"/>
        <w:gridCol w:w="39"/>
        <w:gridCol w:w="121"/>
        <w:gridCol w:w="979"/>
        <w:gridCol w:w="36"/>
        <w:gridCol w:w="36"/>
        <w:gridCol w:w="36"/>
        <w:gridCol w:w="36"/>
        <w:gridCol w:w="121"/>
        <w:gridCol w:w="926"/>
        <w:gridCol w:w="36"/>
        <w:gridCol w:w="36"/>
        <w:gridCol w:w="36"/>
        <w:gridCol w:w="36"/>
        <w:gridCol w:w="121"/>
        <w:gridCol w:w="600"/>
        <w:gridCol w:w="36"/>
        <w:gridCol w:w="36"/>
        <w:gridCol w:w="36"/>
        <w:gridCol w:w="36"/>
        <w:gridCol w:w="121"/>
        <w:gridCol w:w="1152"/>
        <w:gridCol w:w="36"/>
        <w:gridCol w:w="36"/>
        <w:gridCol w:w="36"/>
        <w:gridCol w:w="36"/>
        <w:gridCol w:w="121"/>
        <w:gridCol w:w="1207"/>
        <w:gridCol w:w="36"/>
      </w:tblGrid>
      <w:tr w:rsidR="00C1563E" w14:paraId="7DD00BB0" w14:textId="77777777">
        <w:tc>
          <w:tcPr>
            <w:tcW w:w="50" w:type="pct"/>
            <w:shd w:val="clear" w:color="auto" w:fill="auto"/>
          </w:tcPr>
          <w:p w14:paraId="7DD00B92" w14:textId="77777777" w:rsidR="00C1563E" w:rsidRDefault="00C1563E">
            <w:pPr>
              <w:rPr>
                <w:rFonts w:ascii="宋体"/>
              </w:rPr>
            </w:pPr>
          </w:p>
        </w:tc>
        <w:tc>
          <w:tcPr>
            <w:tcW w:w="1633" w:type="pct"/>
            <w:shd w:val="clear" w:color="auto" w:fill="auto"/>
          </w:tcPr>
          <w:p w14:paraId="7DD00B93" w14:textId="77777777" w:rsidR="00C1563E" w:rsidRDefault="00C1563E">
            <w:pPr>
              <w:rPr>
                <w:rFonts w:ascii="宋体"/>
              </w:rPr>
            </w:pPr>
          </w:p>
        </w:tc>
        <w:tc>
          <w:tcPr>
            <w:tcW w:w="5" w:type="pct"/>
            <w:shd w:val="clear" w:color="auto" w:fill="auto"/>
          </w:tcPr>
          <w:p w14:paraId="7DD00B94" w14:textId="77777777" w:rsidR="00C1563E" w:rsidRDefault="00C1563E">
            <w:pPr>
              <w:rPr>
                <w:rFonts w:ascii="宋体"/>
              </w:rPr>
            </w:pPr>
          </w:p>
        </w:tc>
        <w:tc>
          <w:tcPr>
            <w:tcW w:w="50" w:type="pct"/>
            <w:shd w:val="clear" w:color="auto" w:fill="auto"/>
          </w:tcPr>
          <w:p w14:paraId="7DD00B95" w14:textId="77777777" w:rsidR="00C1563E" w:rsidRDefault="00C1563E">
            <w:pPr>
              <w:rPr>
                <w:rFonts w:ascii="宋体"/>
              </w:rPr>
            </w:pPr>
          </w:p>
        </w:tc>
        <w:tc>
          <w:tcPr>
            <w:tcW w:w="559" w:type="pct"/>
            <w:shd w:val="clear" w:color="auto" w:fill="auto"/>
          </w:tcPr>
          <w:p w14:paraId="7DD00B96" w14:textId="77777777" w:rsidR="00C1563E" w:rsidRDefault="00C1563E">
            <w:pPr>
              <w:rPr>
                <w:rFonts w:ascii="宋体"/>
              </w:rPr>
            </w:pPr>
          </w:p>
        </w:tc>
        <w:tc>
          <w:tcPr>
            <w:tcW w:w="5" w:type="pct"/>
            <w:shd w:val="clear" w:color="auto" w:fill="auto"/>
          </w:tcPr>
          <w:p w14:paraId="7DD00B97" w14:textId="77777777" w:rsidR="00C1563E" w:rsidRDefault="00C1563E">
            <w:pPr>
              <w:rPr>
                <w:rFonts w:ascii="宋体"/>
              </w:rPr>
            </w:pPr>
          </w:p>
        </w:tc>
        <w:tc>
          <w:tcPr>
            <w:tcW w:w="5" w:type="pct"/>
            <w:shd w:val="clear" w:color="auto" w:fill="auto"/>
          </w:tcPr>
          <w:p w14:paraId="7DD00B98" w14:textId="77777777" w:rsidR="00C1563E" w:rsidRDefault="00C1563E">
            <w:pPr>
              <w:rPr>
                <w:rFonts w:ascii="宋体"/>
              </w:rPr>
            </w:pPr>
          </w:p>
        </w:tc>
        <w:tc>
          <w:tcPr>
            <w:tcW w:w="19" w:type="pct"/>
            <w:shd w:val="clear" w:color="auto" w:fill="auto"/>
          </w:tcPr>
          <w:p w14:paraId="7DD00B99" w14:textId="77777777" w:rsidR="00C1563E" w:rsidRDefault="00C1563E">
            <w:pPr>
              <w:rPr>
                <w:rFonts w:ascii="宋体"/>
              </w:rPr>
            </w:pPr>
          </w:p>
        </w:tc>
        <w:tc>
          <w:tcPr>
            <w:tcW w:w="5" w:type="pct"/>
            <w:shd w:val="clear" w:color="auto" w:fill="auto"/>
          </w:tcPr>
          <w:p w14:paraId="7DD00B9A" w14:textId="77777777" w:rsidR="00C1563E" w:rsidRDefault="00C1563E">
            <w:pPr>
              <w:rPr>
                <w:rFonts w:ascii="宋体"/>
              </w:rPr>
            </w:pPr>
          </w:p>
        </w:tc>
        <w:tc>
          <w:tcPr>
            <w:tcW w:w="50" w:type="pct"/>
            <w:shd w:val="clear" w:color="auto" w:fill="auto"/>
          </w:tcPr>
          <w:p w14:paraId="7DD00B9B" w14:textId="77777777" w:rsidR="00C1563E" w:rsidRDefault="00C1563E">
            <w:pPr>
              <w:rPr>
                <w:rFonts w:ascii="宋体"/>
              </w:rPr>
            </w:pPr>
          </w:p>
        </w:tc>
        <w:tc>
          <w:tcPr>
            <w:tcW w:w="529" w:type="pct"/>
            <w:shd w:val="clear" w:color="auto" w:fill="auto"/>
          </w:tcPr>
          <w:p w14:paraId="7DD00B9C" w14:textId="77777777" w:rsidR="00C1563E" w:rsidRDefault="00C1563E">
            <w:pPr>
              <w:rPr>
                <w:rFonts w:ascii="宋体"/>
              </w:rPr>
            </w:pPr>
          </w:p>
        </w:tc>
        <w:tc>
          <w:tcPr>
            <w:tcW w:w="5" w:type="pct"/>
            <w:shd w:val="clear" w:color="auto" w:fill="auto"/>
          </w:tcPr>
          <w:p w14:paraId="7DD00B9D" w14:textId="77777777" w:rsidR="00C1563E" w:rsidRDefault="00C1563E">
            <w:pPr>
              <w:rPr>
                <w:rFonts w:ascii="宋体"/>
              </w:rPr>
            </w:pPr>
          </w:p>
        </w:tc>
        <w:tc>
          <w:tcPr>
            <w:tcW w:w="5" w:type="pct"/>
            <w:shd w:val="clear" w:color="auto" w:fill="auto"/>
          </w:tcPr>
          <w:p w14:paraId="7DD00B9E" w14:textId="77777777" w:rsidR="00C1563E" w:rsidRDefault="00C1563E">
            <w:pPr>
              <w:rPr>
                <w:rFonts w:ascii="宋体"/>
              </w:rPr>
            </w:pPr>
          </w:p>
        </w:tc>
        <w:tc>
          <w:tcPr>
            <w:tcW w:w="19" w:type="pct"/>
            <w:shd w:val="clear" w:color="auto" w:fill="auto"/>
          </w:tcPr>
          <w:p w14:paraId="7DD00B9F" w14:textId="77777777" w:rsidR="00C1563E" w:rsidRDefault="00C1563E">
            <w:pPr>
              <w:rPr>
                <w:rFonts w:ascii="宋体"/>
              </w:rPr>
            </w:pPr>
          </w:p>
        </w:tc>
        <w:tc>
          <w:tcPr>
            <w:tcW w:w="5" w:type="pct"/>
            <w:shd w:val="clear" w:color="auto" w:fill="auto"/>
          </w:tcPr>
          <w:p w14:paraId="7DD00BA0" w14:textId="77777777" w:rsidR="00C1563E" w:rsidRDefault="00C1563E">
            <w:pPr>
              <w:rPr>
                <w:rFonts w:ascii="宋体"/>
              </w:rPr>
            </w:pPr>
          </w:p>
        </w:tc>
        <w:tc>
          <w:tcPr>
            <w:tcW w:w="50" w:type="pct"/>
            <w:shd w:val="clear" w:color="auto" w:fill="auto"/>
          </w:tcPr>
          <w:p w14:paraId="7DD00BA1" w14:textId="77777777" w:rsidR="00C1563E" w:rsidRDefault="00C1563E">
            <w:pPr>
              <w:rPr>
                <w:rFonts w:ascii="宋体"/>
              </w:rPr>
            </w:pPr>
          </w:p>
        </w:tc>
        <w:tc>
          <w:tcPr>
            <w:tcW w:w="537" w:type="pct"/>
            <w:shd w:val="clear" w:color="auto" w:fill="auto"/>
          </w:tcPr>
          <w:p w14:paraId="7DD00BA2" w14:textId="77777777" w:rsidR="00C1563E" w:rsidRDefault="00C1563E">
            <w:pPr>
              <w:rPr>
                <w:rFonts w:ascii="宋体"/>
              </w:rPr>
            </w:pPr>
          </w:p>
        </w:tc>
        <w:tc>
          <w:tcPr>
            <w:tcW w:w="5" w:type="pct"/>
            <w:shd w:val="clear" w:color="auto" w:fill="auto"/>
          </w:tcPr>
          <w:p w14:paraId="7DD00BA3" w14:textId="77777777" w:rsidR="00C1563E" w:rsidRDefault="00C1563E">
            <w:pPr>
              <w:rPr>
                <w:rFonts w:ascii="宋体"/>
              </w:rPr>
            </w:pPr>
          </w:p>
        </w:tc>
        <w:tc>
          <w:tcPr>
            <w:tcW w:w="5" w:type="pct"/>
            <w:shd w:val="clear" w:color="auto" w:fill="auto"/>
          </w:tcPr>
          <w:p w14:paraId="7DD00BA4" w14:textId="77777777" w:rsidR="00C1563E" w:rsidRDefault="00C1563E">
            <w:pPr>
              <w:rPr>
                <w:rFonts w:ascii="宋体"/>
              </w:rPr>
            </w:pPr>
          </w:p>
        </w:tc>
        <w:tc>
          <w:tcPr>
            <w:tcW w:w="19" w:type="pct"/>
            <w:shd w:val="clear" w:color="auto" w:fill="auto"/>
          </w:tcPr>
          <w:p w14:paraId="7DD00BA5" w14:textId="77777777" w:rsidR="00C1563E" w:rsidRDefault="00C1563E">
            <w:pPr>
              <w:rPr>
                <w:rFonts w:ascii="宋体"/>
              </w:rPr>
            </w:pPr>
          </w:p>
        </w:tc>
        <w:tc>
          <w:tcPr>
            <w:tcW w:w="5" w:type="pct"/>
            <w:shd w:val="clear" w:color="auto" w:fill="auto"/>
          </w:tcPr>
          <w:p w14:paraId="7DD00BA6" w14:textId="77777777" w:rsidR="00C1563E" w:rsidRDefault="00C1563E">
            <w:pPr>
              <w:rPr>
                <w:rFonts w:ascii="宋体"/>
              </w:rPr>
            </w:pPr>
          </w:p>
        </w:tc>
        <w:tc>
          <w:tcPr>
            <w:tcW w:w="50" w:type="pct"/>
            <w:shd w:val="clear" w:color="auto" w:fill="auto"/>
          </w:tcPr>
          <w:p w14:paraId="7DD00BA7" w14:textId="77777777" w:rsidR="00C1563E" w:rsidRDefault="00C1563E">
            <w:pPr>
              <w:rPr>
                <w:rFonts w:ascii="宋体"/>
              </w:rPr>
            </w:pPr>
          </w:p>
        </w:tc>
        <w:tc>
          <w:tcPr>
            <w:tcW w:w="624" w:type="pct"/>
            <w:shd w:val="clear" w:color="auto" w:fill="auto"/>
          </w:tcPr>
          <w:p w14:paraId="7DD00BA8" w14:textId="77777777" w:rsidR="00C1563E" w:rsidRDefault="00C1563E">
            <w:pPr>
              <w:rPr>
                <w:rFonts w:ascii="宋体"/>
              </w:rPr>
            </w:pPr>
          </w:p>
        </w:tc>
        <w:tc>
          <w:tcPr>
            <w:tcW w:w="5" w:type="pct"/>
            <w:shd w:val="clear" w:color="auto" w:fill="auto"/>
          </w:tcPr>
          <w:p w14:paraId="7DD00BA9" w14:textId="77777777" w:rsidR="00C1563E" w:rsidRDefault="00C1563E">
            <w:pPr>
              <w:rPr>
                <w:rFonts w:ascii="宋体"/>
              </w:rPr>
            </w:pPr>
          </w:p>
        </w:tc>
        <w:tc>
          <w:tcPr>
            <w:tcW w:w="5" w:type="pct"/>
            <w:shd w:val="clear" w:color="auto" w:fill="auto"/>
          </w:tcPr>
          <w:p w14:paraId="7DD00BAA" w14:textId="77777777" w:rsidR="00C1563E" w:rsidRDefault="00C1563E">
            <w:pPr>
              <w:rPr>
                <w:rFonts w:ascii="宋体"/>
              </w:rPr>
            </w:pPr>
          </w:p>
        </w:tc>
        <w:tc>
          <w:tcPr>
            <w:tcW w:w="19" w:type="pct"/>
            <w:shd w:val="clear" w:color="auto" w:fill="auto"/>
          </w:tcPr>
          <w:p w14:paraId="7DD00BAB" w14:textId="77777777" w:rsidR="00C1563E" w:rsidRDefault="00C1563E">
            <w:pPr>
              <w:rPr>
                <w:rFonts w:ascii="宋体"/>
              </w:rPr>
            </w:pPr>
          </w:p>
        </w:tc>
        <w:tc>
          <w:tcPr>
            <w:tcW w:w="5" w:type="pct"/>
            <w:shd w:val="clear" w:color="auto" w:fill="auto"/>
          </w:tcPr>
          <w:p w14:paraId="7DD00BAC" w14:textId="77777777" w:rsidR="00C1563E" w:rsidRDefault="00C1563E">
            <w:pPr>
              <w:rPr>
                <w:rFonts w:ascii="宋体"/>
              </w:rPr>
            </w:pPr>
          </w:p>
        </w:tc>
        <w:tc>
          <w:tcPr>
            <w:tcW w:w="50" w:type="pct"/>
            <w:shd w:val="clear" w:color="auto" w:fill="auto"/>
          </w:tcPr>
          <w:p w14:paraId="7DD00BAD" w14:textId="77777777" w:rsidR="00C1563E" w:rsidRDefault="00C1563E">
            <w:pPr>
              <w:rPr>
                <w:rFonts w:ascii="宋体"/>
              </w:rPr>
            </w:pPr>
          </w:p>
        </w:tc>
        <w:tc>
          <w:tcPr>
            <w:tcW w:w="669" w:type="pct"/>
            <w:shd w:val="clear" w:color="auto" w:fill="auto"/>
          </w:tcPr>
          <w:p w14:paraId="7DD00BAE" w14:textId="77777777" w:rsidR="00C1563E" w:rsidRDefault="00C1563E">
            <w:pPr>
              <w:rPr>
                <w:rFonts w:ascii="宋体"/>
              </w:rPr>
            </w:pPr>
          </w:p>
        </w:tc>
        <w:tc>
          <w:tcPr>
            <w:tcW w:w="5" w:type="pct"/>
            <w:shd w:val="clear" w:color="auto" w:fill="auto"/>
          </w:tcPr>
          <w:p w14:paraId="7DD00BAF" w14:textId="77777777" w:rsidR="00C1563E" w:rsidRDefault="00C1563E">
            <w:pPr>
              <w:rPr>
                <w:rFonts w:ascii="宋体"/>
              </w:rPr>
            </w:pPr>
          </w:p>
        </w:tc>
      </w:tr>
      <w:tr w:rsidR="00C1563E" w14:paraId="7DD00BBB" w14:textId="77777777">
        <w:tc>
          <w:tcPr>
            <w:tcW w:w="0" w:type="auto"/>
            <w:gridSpan w:val="3"/>
            <w:shd w:val="clear" w:color="auto" w:fill="auto"/>
            <w:tcMar>
              <w:top w:w="0" w:type="dxa"/>
              <w:left w:w="20" w:type="dxa"/>
              <w:bottom w:w="0" w:type="dxa"/>
              <w:right w:w="20" w:type="dxa"/>
            </w:tcMar>
          </w:tcPr>
          <w:p w14:paraId="7DD00BB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BB2" w14:textId="77777777" w:rsidR="00C1563E" w:rsidRDefault="000B648B">
            <w:pPr>
              <w:jc w:val="center"/>
              <w:textAlignment w:val="bottom"/>
            </w:pPr>
            <w:r>
              <w:rPr>
                <w:rFonts w:ascii="Times New Roman" w:eastAsia="宋体" w:hAnsi="Times New Roman"/>
                <w:b/>
                <w:bCs/>
                <w:color w:val="000000"/>
                <w:sz w:val="19"/>
                <w:szCs w:val="19"/>
              </w:rPr>
              <w:t>Foreign Currency Translation Adjustments</w:t>
            </w:r>
          </w:p>
        </w:tc>
        <w:tc>
          <w:tcPr>
            <w:tcW w:w="0" w:type="auto"/>
            <w:gridSpan w:val="3"/>
            <w:shd w:val="clear" w:color="auto" w:fill="auto"/>
            <w:tcMar>
              <w:top w:w="0" w:type="dxa"/>
              <w:left w:w="20" w:type="dxa"/>
              <w:bottom w:w="0" w:type="dxa"/>
              <w:right w:w="20" w:type="dxa"/>
            </w:tcMar>
          </w:tcPr>
          <w:p w14:paraId="7DD00BB3"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BB4" w14:textId="77777777" w:rsidR="00C1563E" w:rsidRDefault="000B648B">
            <w:pPr>
              <w:jc w:val="center"/>
              <w:textAlignment w:val="bottom"/>
            </w:pPr>
            <w:r>
              <w:rPr>
                <w:rFonts w:ascii="Times New Roman" w:eastAsia="宋体" w:hAnsi="Times New Roman"/>
                <w:b/>
                <w:bCs/>
                <w:color w:val="000000"/>
                <w:sz w:val="19"/>
                <w:szCs w:val="19"/>
              </w:rPr>
              <w:t>Investments</w:t>
            </w:r>
          </w:p>
        </w:tc>
        <w:tc>
          <w:tcPr>
            <w:tcW w:w="0" w:type="auto"/>
            <w:gridSpan w:val="3"/>
            <w:shd w:val="clear" w:color="auto" w:fill="auto"/>
            <w:tcMar>
              <w:top w:w="0" w:type="dxa"/>
              <w:left w:w="20" w:type="dxa"/>
              <w:bottom w:w="0" w:type="dxa"/>
              <w:right w:w="20" w:type="dxa"/>
            </w:tcMar>
          </w:tcPr>
          <w:p w14:paraId="7DD00BB5"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BB6" w14:textId="77777777" w:rsidR="00C1563E" w:rsidRDefault="000B648B">
            <w:pPr>
              <w:jc w:val="center"/>
              <w:textAlignment w:val="bottom"/>
            </w:pPr>
            <w:r>
              <w:rPr>
                <w:rFonts w:ascii="Times New Roman" w:eastAsia="宋体" w:hAnsi="Times New Roman"/>
                <w:b/>
                <w:bCs/>
                <w:color w:val="000000"/>
                <w:sz w:val="19"/>
                <w:szCs w:val="19"/>
              </w:rPr>
              <w:t>Cash Flow Hedges</w:t>
            </w:r>
          </w:p>
        </w:tc>
        <w:tc>
          <w:tcPr>
            <w:tcW w:w="0" w:type="auto"/>
            <w:gridSpan w:val="3"/>
            <w:shd w:val="clear" w:color="auto" w:fill="auto"/>
            <w:tcMar>
              <w:top w:w="0" w:type="dxa"/>
              <w:left w:w="20" w:type="dxa"/>
              <w:bottom w:w="0" w:type="dxa"/>
              <w:right w:w="20" w:type="dxa"/>
            </w:tcMar>
          </w:tcPr>
          <w:p w14:paraId="7DD00BB7"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BB8" w14:textId="77777777" w:rsidR="00C1563E" w:rsidRDefault="000B648B">
            <w:pPr>
              <w:jc w:val="center"/>
              <w:textAlignment w:val="bottom"/>
            </w:pPr>
            <w:r>
              <w:rPr>
                <w:rFonts w:ascii="Times New Roman" w:eastAsia="宋体" w:hAnsi="Times New Roman"/>
                <w:b/>
                <w:bCs/>
                <w:color w:val="000000"/>
                <w:sz w:val="19"/>
                <w:szCs w:val="19"/>
              </w:rPr>
              <w:t>Pension and Other Postretirement Plans</w:t>
            </w:r>
          </w:p>
        </w:tc>
        <w:tc>
          <w:tcPr>
            <w:tcW w:w="0" w:type="auto"/>
            <w:gridSpan w:val="3"/>
            <w:shd w:val="clear" w:color="auto" w:fill="auto"/>
            <w:tcMar>
              <w:top w:w="0" w:type="dxa"/>
              <w:left w:w="20" w:type="dxa"/>
              <w:bottom w:w="0" w:type="dxa"/>
              <w:right w:w="20" w:type="dxa"/>
            </w:tcMar>
          </w:tcPr>
          <w:p w14:paraId="7DD00BB9"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BBA" w14:textId="77777777" w:rsidR="00C1563E" w:rsidRDefault="000B648B">
            <w:pPr>
              <w:jc w:val="center"/>
              <w:textAlignment w:val="bottom"/>
            </w:pPr>
            <w:r>
              <w:rPr>
                <w:rFonts w:ascii="Times New Roman" w:eastAsia="宋体" w:hAnsi="Times New Roman"/>
                <w:b/>
                <w:bCs/>
                <w:color w:val="000000"/>
                <w:sz w:val="19"/>
                <w:szCs w:val="19"/>
              </w:rPr>
              <w:t>Accumulated Other Comprehensive Income (Loss)</w:t>
            </w:r>
          </w:p>
        </w:tc>
      </w:tr>
      <w:tr w:rsidR="00C1563E" w14:paraId="7DD00BBE" w14:textId="77777777">
        <w:tc>
          <w:tcPr>
            <w:tcW w:w="0" w:type="auto"/>
            <w:gridSpan w:val="3"/>
            <w:shd w:val="clear" w:color="auto" w:fill="auto"/>
            <w:tcMar>
              <w:top w:w="0" w:type="dxa"/>
              <w:left w:w="20" w:type="dxa"/>
              <w:bottom w:w="0" w:type="dxa"/>
              <w:right w:w="20" w:type="dxa"/>
            </w:tcMar>
          </w:tcPr>
          <w:p w14:paraId="7DD00BBC" w14:textId="77777777" w:rsidR="00C1563E" w:rsidRDefault="00C1563E">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DD00BBD" w14:textId="77777777" w:rsidR="00C1563E" w:rsidRDefault="000B648B">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C1563E" w14:paraId="7DD00BD3" w14:textId="77777777">
        <w:tc>
          <w:tcPr>
            <w:tcW w:w="0" w:type="auto"/>
            <w:gridSpan w:val="3"/>
            <w:shd w:val="clear" w:color="auto" w:fill="CCEEFF"/>
            <w:tcMar>
              <w:top w:w="40" w:type="dxa"/>
              <w:left w:w="20" w:type="dxa"/>
              <w:bottom w:w="40" w:type="dxa"/>
              <w:right w:w="20" w:type="dxa"/>
            </w:tcMar>
            <w:vAlign w:val="bottom"/>
          </w:tcPr>
          <w:p w14:paraId="7DD00BBF" w14:textId="77777777" w:rsidR="00C1563E" w:rsidRDefault="000B648B">
            <w:pPr>
              <w:textAlignment w:val="bottom"/>
            </w:pPr>
            <w:r>
              <w:rPr>
                <w:rFonts w:ascii="Times New Roman" w:eastAsia="宋体" w:hAnsi="Times New Roman"/>
                <w:i/>
                <w:iCs/>
                <w:color w:val="000000"/>
                <w:sz w:val="20"/>
                <w:szCs w:val="20"/>
              </w:rPr>
              <w:t>Balances as of February 2, 2018</w:t>
            </w:r>
          </w:p>
        </w:tc>
        <w:tc>
          <w:tcPr>
            <w:tcW w:w="0" w:type="auto"/>
            <w:shd w:val="clear" w:color="auto" w:fill="CCEEFF"/>
            <w:tcMar>
              <w:top w:w="40" w:type="dxa"/>
              <w:left w:w="20" w:type="dxa"/>
              <w:bottom w:w="40" w:type="dxa"/>
              <w:right w:w="0" w:type="dxa"/>
            </w:tcMar>
            <w:vAlign w:val="bottom"/>
          </w:tcPr>
          <w:p w14:paraId="7DD00BC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C1" w14:textId="77777777" w:rsidR="00C1563E" w:rsidRDefault="000B648B">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7DD00BC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C3"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C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C5" w14:textId="77777777" w:rsidR="00C1563E" w:rsidRDefault="000B648B">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7DD00BC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C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C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C9" w14:textId="77777777" w:rsidR="00C1563E" w:rsidRDefault="000B648B">
            <w:pPr>
              <w:jc w:val="right"/>
              <w:textAlignment w:val="bottom"/>
            </w:pPr>
            <w:r>
              <w:rPr>
                <w:rFonts w:ascii="Times New Roman" w:eastAsia="宋体" w:hAnsi="Times New Roman"/>
                <w:color w:val="000000"/>
                <w:sz w:val="20"/>
                <w:szCs w:val="20"/>
              </w:rPr>
              <w:t>(103)</w:t>
            </w:r>
          </w:p>
        </w:tc>
        <w:tc>
          <w:tcPr>
            <w:tcW w:w="0" w:type="auto"/>
            <w:shd w:val="clear" w:color="auto" w:fill="CCEEFF"/>
            <w:tcMar>
              <w:top w:w="40" w:type="dxa"/>
              <w:left w:w="0" w:type="dxa"/>
              <w:bottom w:w="40" w:type="dxa"/>
              <w:right w:w="20" w:type="dxa"/>
            </w:tcMar>
            <w:vAlign w:val="bottom"/>
          </w:tcPr>
          <w:p w14:paraId="7DD00BC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C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C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CD" w14:textId="77777777" w:rsidR="00C1563E" w:rsidRDefault="000B648B">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7DD00BC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CF"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BD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BD1" w14:textId="77777777" w:rsidR="00C1563E" w:rsidRDefault="000B648B">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7DD00BD2" w14:textId="77777777" w:rsidR="00C1563E" w:rsidRDefault="00C1563E">
            <w:pPr>
              <w:jc w:val="right"/>
              <w:rPr>
                <w:rFonts w:ascii="宋体"/>
              </w:rPr>
            </w:pPr>
          </w:p>
        </w:tc>
      </w:tr>
      <w:tr w:rsidR="00C1563E" w14:paraId="7DD00BE3" w14:textId="77777777">
        <w:tc>
          <w:tcPr>
            <w:tcW w:w="0" w:type="auto"/>
            <w:gridSpan w:val="3"/>
            <w:shd w:val="clear" w:color="auto" w:fill="FFFFFF"/>
            <w:tcMar>
              <w:top w:w="40" w:type="dxa"/>
              <w:left w:w="140" w:type="dxa"/>
              <w:bottom w:w="40" w:type="dxa"/>
              <w:right w:w="20" w:type="dxa"/>
            </w:tcMar>
            <w:vAlign w:val="bottom"/>
          </w:tcPr>
          <w:p w14:paraId="7DD00BD4" w14:textId="77777777" w:rsidR="00C1563E" w:rsidRDefault="000B648B">
            <w:pPr>
              <w:textAlignment w:val="bottom"/>
            </w:pPr>
            <w:r>
              <w:rPr>
                <w:rFonts w:ascii="Times New Roman" w:eastAsia="宋体" w:hAnsi="Times New Roman"/>
                <w:color w:val="000000"/>
                <w:sz w:val="20"/>
                <w:szCs w:val="20"/>
              </w:rPr>
              <w:t>Adjustment for adoption of accounting standards (Note 2)</w:t>
            </w:r>
          </w:p>
        </w:tc>
        <w:tc>
          <w:tcPr>
            <w:tcW w:w="0" w:type="auto"/>
            <w:gridSpan w:val="2"/>
            <w:shd w:val="clear" w:color="auto" w:fill="FFFFFF"/>
            <w:tcMar>
              <w:top w:w="40" w:type="dxa"/>
              <w:left w:w="20" w:type="dxa"/>
              <w:bottom w:w="40" w:type="dxa"/>
              <w:right w:w="0" w:type="dxa"/>
            </w:tcMar>
            <w:vAlign w:val="bottom"/>
          </w:tcPr>
          <w:p w14:paraId="7DD00BD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BD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D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D8" w14:textId="77777777" w:rsidR="00C1563E" w:rsidRDefault="000B648B">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7DD00BD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D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D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BD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D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DE" w14:textId="77777777" w:rsidR="00C1563E" w:rsidRDefault="000B648B">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DD00BD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E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E1" w14:textId="77777777" w:rsidR="00C1563E" w:rsidRDefault="000B648B">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7DD00BE2" w14:textId="77777777" w:rsidR="00C1563E" w:rsidRDefault="00C1563E">
            <w:pPr>
              <w:jc w:val="right"/>
              <w:rPr>
                <w:rFonts w:ascii="宋体"/>
              </w:rPr>
            </w:pPr>
          </w:p>
        </w:tc>
      </w:tr>
      <w:tr w:rsidR="00C1563E" w14:paraId="7DD00BF3" w14:textId="77777777">
        <w:tc>
          <w:tcPr>
            <w:tcW w:w="0" w:type="auto"/>
            <w:gridSpan w:val="3"/>
            <w:shd w:val="clear" w:color="auto" w:fill="CCEEFF"/>
            <w:tcMar>
              <w:top w:w="40" w:type="dxa"/>
              <w:left w:w="140" w:type="dxa"/>
              <w:bottom w:w="40" w:type="dxa"/>
              <w:right w:w="20" w:type="dxa"/>
            </w:tcMar>
            <w:vAlign w:val="bottom"/>
          </w:tcPr>
          <w:p w14:paraId="7DD00BE4" w14:textId="77777777" w:rsidR="00C1563E" w:rsidRDefault="000B648B">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CCEEFF"/>
            <w:tcMar>
              <w:top w:w="40" w:type="dxa"/>
              <w:left w:w="20" w:type="dxa"/>
              <w:bottom w:w="40" w:type="dxa"/>
              <w:right w:w="0" w:type="dxa"/>
            </w:tcMar>
            <w:vAlign w:val="bottom"/>
          </w:tcPr>
          <w:p w14:paraId="7DD00BE5" w14:textId="77777777" w:rsidR="00C1563E" w:rsidRDefault="000B648B">
            <w:pPr>
              <w:jc w:val="right"/>
              <w:textAlignment w:val="bottom"/>
            </w:pPr>
            <w:r>
              <w:rPr>
                <w:rFonts w:ascii="Times New Roman" w:eastAsia="宋体" w:hAnsi="Times New Roman"/>
                <w:color w:val="000000"/>
                <w:sz w:val="20"/>
                <w:szCs w:val="20"/>
              </w:rPr>
              <w:t>(631)</w:t>
            </w:r>
          </w:p>
        </w:tc>
        <w:tc>
          <w:tcPr>
            <w:tcW w:w="0" w:type="auto"/>
            <w:shd w:val="clear" w:color="auto" w:fill="CCEEFF"/>
            <w:tcMar>
              <w:top w:w="40" w:type="dxa"/>
              <w:left w:w="0" w:type="dxa"/>
              <w:bottom w:w="40" w:type="dxa"/>
              <w:right w:w="20" w:type="dxa"/>
            </w:tcMar>
            <w:vAlign w:val="bottom"/>
          </w:tcPr>
          <w:p w14:paraId="7DD00BE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E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E8"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D00BE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E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EB" w14:textId="77777777" w:rsidR="00C1563E" w:rsidRDefault="000B648B">
            <w:pPr>
              <w:jc w:val="right"/>
              <w:textAlignment w:val="bottom"/>
            </w:pPr>
            <w:r>
              <w:rPr>
                <w:rFonts w:ascii="Times New Roman" w:eastAsia="宋体" w:hAnsi="Times New Roman"/>
                <w:color w:val="000000"/>
                <w:sz w:val="20"/>
                <w:szCs w:val="20"/>
              </w:rPr>
              <w:t>299 </w:t>
            </w:r>
          </w:p>
        </w:tc>
        <w:tc>
          <w:tcPr>
            <w:tcW w:w="0" w:type="auto"/>
            <w:shd w:val="clear" w:color="auto" w:fill="CCEEFF"/>
            <w:tcMar>
              <w:top w:w="40" w:type="dxa"/>
              <w:left w:w="0" w:type="dxa"/>
              <w:bottom w:w="40" w:type="dxa"/>
              <w:right w:w="20" w:type="dxa"/>
            </w:tcMar>
            <w:vAlign w:val="bottom"/>
          </w:tcPr>
          <w:p w14:paraId="7DD00BE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E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EE" w14:textId="77777777" w:rsidR="00C1563E" w:rsidRDefault="000B648B">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DD00BE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BF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BF1" w14:textId="77777777" w:rsidR="00C1563E" w:rsidRDefault="000B648B">
            <w:pPr>
              <w:jc w:val="right"/>
              <w:textAlignment w:val="bottom"/>
            </w:pPr>
            <w:r>
              <w:rPr>
                <w:rFonts w:ascii="Times New Roman" w:eastAsia="宋体" w:hAnsi="Times New Roman"/>
                <w:color w:val="000000"/>
                <w:sz w:val="20"/>
                <w:szCs w:val="20"/>
              </w:rPr>
              <w:t>(351)</w:t>
            </w:r>
          </w:p>
        </w:tc>
        <w:tc>
          <w:tcPr>
            <w:tcW w:w="0" w:type="auto"/>
            <w:shd w:val="clear" w:color="auto" w:fill="CCEEFF"/>
            <w:tcMar>
              <w:top w:w="40" w:type="dxa"/>
              <w:left w:w="0" w:type="dxa"/>
              <w:bottom w:w="40" w:type="dxa"/>
              <w:right w:w="20" w:type="dxa"/>
            </w:tcMar>
            <w:vAlign w:val="bottom"/>
          </w:tcPr>
          <w:p w14:paraId="7DD00BF2" w14:textId="77777777" w:rsidR="00C1563E" w:rsidRDefault="00C1563E">
            <w:pPr>
              <w:jc w:val="right"/>
              <w:rPr>
                <w:rFonts w:ascii="宋体"/>
              </w:rPr>
            </w:pPr>
          </w:p>
        </w:tc>
      </w:tr>
      <w:tr w:rsidR="00C1563E" w14:paraId="7DD00C03" w14:textId="77777777">
        <w:tc>
          <w:tcPr>
            <w:tcW w:w="0" w:type="auto"/>
            <w:gridSpan w:val="3"/>
            <w:shd w:val="clear" w:color="auto" w:fill="FFFFFF"/>
            <w:tcMar>
              <w:top w:w="40" w:type="dxa"/>
              <w:left w:w="110" w:type="dxa"/>
              <w:bottom w:w="40" w:type="dxa"/>
              <w:right w:w="20" w:type="dxa"/>
            </w:tcMar>
            <w:vAlign w:val="bottom"/>
          </w:tcPr>
          <w:p w14:paraId="7DD00BF4" w14:textId="77777777" w:rsidR="00C1563E" w:rsidRDefault="000B648B">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FFFFFF"/>
            <w:tcMar>
              <w:top w:w="40" w:type="dxa"/>
              <w:left w:w="20" w:type="dxa"/>
              <w:bottom w:w="40" w:type="dxa"/>
              <w:right w:w="0" w:type="dxa"/>
            </w:tcMar>
            <w:vAlign w:val="bottom"/>
          </w:tcPr>
          <w:p w14:paraId="7DD00BF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BF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F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F8" w14:textId="77777777" w:rsidR="00C1563E" w:rsidRDefault="000B648B">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7DD00BF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F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FB" w14:textId="77777777" w:rsidR="00C1563E" w:rsidRDefault="000B648B">
            <w:pPr>
              <w:jc w:val="right"/>
              <w:textAlignment w:val="bottom"/>
            </w:pPr>
            <w:r>
              <w:rPr>
                <w:rFonts w:ascii="Times New Roman" w:eastAsia="宋体" w:hAnsi="Times New Roman"/>
                <w:color w:val="000000"/>
                <w:sz w:val="20"/>
                <w:szCs w:val="20"/>
              </w:rPr>
              <w:t>(225)</w:t>
            </w:r>
          </w:p>
        </w:tc>
        <w:tc>
          <w:tcPr>
            <w:tcW w:w="0" w:type="auto"/>
            <w:shd w:val="clear" w:color="auto" w:fill="FFFFFF"/>
            <w:tcMar>
              <w:top w:w="40" w:type="dxa"/>
              <w:left w:w="0" w:type="dxa"/>
              <w:bottom w:w="40" w:type="dxa"/>
              <w:right w:w="20" w:type="dxa"/>
            </w:tcMar>
            <w:vAlign w:val="bottom"/>
          </w:tcPr>
          <w:p w14:paraId="7DD00BF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BF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BF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BF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0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01" w14:textId="77777777" w:rsidR="00C1563E" w:rsidRDefault="000B648B">
            <w:pPr>
              <w:jc w:val="right"/>
              <w:textAlignment w:val="bottom"/>
            </w:pPr>
            <w:r>
              <w:rPr>
                <w:rFonts w:ascii="Times New Roman" w:eastAsia="宋体" w:hAnsi="Times New Roman"/>
                <w:color w:val="000000"/>
                <w:sz w:val="20"/>
                <w:szCs w:val="20"/>
              </w:rPr>
              <w:t>(182)</w:t>
            </w:r>
          </w:p>
        </w:tc>
        <w:tc>
          <w:tcPr>
            <w:tcW w:w="0" w:type="auto"/>
            <w:shd w:val="clear" w:color="auto" w:fill="FFFFFF"/>
            <w:tcMar>
              <w:top w:w="40" w:type="dxa"/>
              <w:left w:w="0" w:type="dxa"/>
              <w:bottom w:w="40" w:type="dxa"/>
              <w:right w:w="20" w:type="dxa"/>
            </w:tcMar>
            <w:vAlign w:val="bottom"/>
          </w:tcPr>
          <w:p w14:paraId="7DD00C02" w14:textId="77777777" w:rsidR="00C1563E" w:rsidRDefault="00C1563E">
            <w:pPr>
              <w:jc w:val="right"/>
              <w:rPr>
                <w:rFonts w:ascii="宋体"/>
              </w:rPr>
            </w:pPr>
          </w:p>
        </w:tc>
      </w:tr>
      <w:tr w:rsidR="00C1563E" w14:paraId="7DD00C13" w14:textId="77777777">
        <w:tc>
          <w:tcPr>
            <w:tcW w:w="0" w:type="auto"/>
            <w:gridSpan w:val="3"/>
            <w:shd w:val="clear" w:color="auto" w:fill="CCEEFF"/>
            <w:tcMar>
              <w:top w:w="40" w:type="dxa"/>
              <w:left w:w="260" w:type="dxa"/>
              <w:bottom w:w="40" w:type="dxa"/>
              <w:right w:w="20" w:type="dxa"/>
            </w:tcMar>
            <w:vAlign w:val="bottom"/>
          </w:tcPr>
          <w:p w14:paraId="7DD00C04" w14:textId="77777777" w:rsidR="00C1563E" w:rsidRDefault="000B648B">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05" w14:textId="77777777" w:rsidR="00C1563E" w:rsidRDefault="000B648B">
            <w:pPr>
              <w:jc w:val="right"/>
              <w:textAlignment w:val="bottom"/>
            </w:pPr>
            <w:r>
              <w:rPr>
                <w:rFonts w:ascii="Times New Roman" w:eastAsia="宋体" w:hAnsi="Times New Roman"/>
                <w:color w:val="000000"/>
                <w:sz w:val="20"/>
                <w:szCs w:val="20"/>
              </w:rPr>
              <w:t>(631)</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0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0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08" w14:textId="77777777" w:rsidR="00C1563E" w:rsidRDefault="000B648B">
            <w:pPr>
              <w:jc w:val="right"/>
              <w:textAlignment w:val="bottom"/>
            </w:pPr>
            <w:r>
              <w:rPr>
                <w:rFonts w:ascii="Times New Roman" w:eastAsia="宋体" w:hAnsi="Times New Roman"/>
                <w:color w:val="000000"/>
                <w:sz w:val="20"/>
                <w:szCs w:val="20"/>
              </w:rPr>
              <w:t>(16)</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0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0A"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0B" w14:textId="77777777" w:rsidR="00C1563E" w:rsidRDefault="000B648B">
            <w:pPr>
              <w:jc w:val="right"/>
              <w:textAlignment w:val="bottom"/>
            </w:pPr>
            <w:r>
              <w:rPr>
                <w:rFonts w:ascii="Times New Roman" w:eastAsia="宋体" w:hAnsi="Times New Roman"/>
                <w:color w:val="000000"/>
                <w:sz w:val="20"/>
                <w:szCs w:val="20"/>
              </w:rPr>
              <w:t>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0D"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0E" w14:textId="77777777" w:rsidR="00C1563E" w:rsidRDefault="000B648B">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0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1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11" w14:textId="77777777" w:rsidR="00C1563E" w:rsidRDefault="000B648B">
            <w:pPr>
              <w:jc w:val="right"/>
              <w:textAlignment w:val="bottom"/>
            </w:pPr>
            <w:r>
              <w:rPr>
                <w:rFonts w:ascii="Times New Roman" w:eastAsia="宋体" w:hAnsi="Times New Roman"/>
                <w:color w:val="000000"/>
                <w:sz w:val="20"/>
                <w:szCs w:val="20"/>
              </w:rPr>
              <w:t>(591)</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12" w14:textId="77777777" w:rsidR="00C1563E" w:rsidRDefault="00C1563E">
            <w:pPr>
              <w:jc w:val="right"/>
              <w:rPr>
                <w:rFonts w:ascii="宋体"/>
              </w:rPr>
            </w:pPr>
          </w:p>
        </w:tc>
      </w:tr>
      <w:tr w:rsidR="00C1563E" w14:paraId="7DD00C23" w14:textId="77777777">
        <w:tc>
          <w:tcPr>
            <w:tcW w:w="0" w:type="auto"/>
            <w:gridSpan w:val="3"/>
            <w:shd w:val="clear" w:color="auto" w:fill="FFFFFF"/>
            <w:tcMar>
              <w:top w:w="40" w:type="dxa"/>
              <w:left w:w="470" w:type="dxa"/>
              <w:bottom w:w="40" w:type="dxa"/>
              <w:right w:w="20" w:type="dxa"/>
            </w:tcMar>
            <w:vAlign w:val="bottom"/>
          </w:tcPr>
          <w:p w14:paraId="7DD00C14" w14:textId="77777777" w:rsidR="00C1563E" w:rsidRDefault="000B648B">
            <w:pPr>
              <w:textAlignment w:val="bottom"/>
            </w:pPr>
            <w:r>
              <w:rPr>
                <w:rFonts w:ascii="Times New Roman" w:eastAsia="宋体" w:hAnsi="Times New Roman"/>
                <w:color w:val="000000"/>
                <w:sz w:val="20"/>
                <w:szCs w:val="20"/>
              </w:rPr>
              <w:t>Less: Change in comprehensive income attributable to non-controlling interests</w:t>
            </w:r>
          </w:p>
        </w:tc>
        <w:tc>
          <w:tcPr>
            <w:tcW w:w="0" w:type="auto"/>
            <w:gridSpan w:val="2"/>
            <w:shd w:val="clear" w:color="auto" w:fill="FFFFFF"/>
            <w:tcMar>
              <w:top w:w="40" w:type="dxa"/>
              <w:left w:w="20" w:type="dxa"/>
              <w:bottom w:w="40" w:type="dxa"/>
              <w:right w:w="0" w:type="dxa"/>
            </w:tcMar>
            <w:vAlign w:val="bottom"/>
          </w:tcPr>
          <w:p w14:paraId="7DD00C1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1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1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18"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DD00C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1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1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1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1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1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1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2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21"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DD00C22" w14:textId="77777777" w:rsidR="00C1563E" w:rsidRDefault="00C1563E">
            <w:pPr>
              <w:jc w:val="right"/>
              <w:rPr>
                <w:rFonts w:ascii="宋体"/>
              </w:rPr>
            </w:pPr>
          </w:p>
        </w:tc>
      </w:tr>
      <w:tr w:rsidR="00C1563E" w14:paraId="7DD00C33" w14:textId="77777777">
        <w:tc>
          <w:tcPr>
            <w:tcW w:w="0" w:type="auto"/>
            <w:gridSpan w:val="3"/>
            <w:shd w:val="clear" w:color="auto" w:fill="CCEEFF"/>
            <w:tcMar>
              <w:top w:w="40" w:type="dxa"/>
              <w:left w:w="20" w:type="dxa"/>
              <w:bottom w:w="40" w:type="dxa"/>
              <w:right w:w="20" w:type="dxa"/>
            </w:tcMar>
            <w:vAlign w:val="bottom"/>
          </w:tcPr>
          <w:p w14:paraId="7DD00C24" w14:textId="77777777" w:rsidR="00C1563E" w:rsidRDefault="000B648B">
            <w:pPr>
              <w:textAlignment w:val="bottom"/>
            </w:pPr>
            <w:r>
              <w:rPr>
                <w:rFonts w:ascii="Times New Roman" w:eastAsia="宋体" w:hAnsi="Times New Roman"/>
                <w:i/>
                <w:iCs/>
                <w:color w:val="000000"/>
                <w:sz w:val="20"/>
                <w:szCs w:val="20"/>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25" w14:textId="77777777" w:rsidR="00C1563E" w:rsidRDefault="000B648B">
            <w:pPr>
              <w:jc w:val="right"/>
              <w:textAlignment w:val="bottom"/>
            </w:pPr>
            <w:r>
              <w:rPr>
                <w:rFonts w:ascii="Times New Roman" w:eastAsia="宋体" w:hAnsi="Times New Roman"/>
                <w:color w:val="000000"/>
                <w:sz w:val="20"/>
                <w:szCs w:val="20"/>
              </w:rPr>
              <w:t>(452)</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2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2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2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2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2A"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2B" w14:textId="77777777" w:rsidR="00C1563E" w:rsidRDefault="000B648B">
            <w:pPr>
              <w:jc w:val="right"/>
              <w:textAlignment w:val="bottom"/>
            </w:pPr>
            <w:r>
              <w:rPr>
                <w:rFonts w:ascii="Times New Roman" w:eastAsia="宋体" w:hAnsi="Times New Roman"/>
                <w:color w:val="000000"/>
                <w:sz w:val="20"/>
                <w:szCs w:val="20"/>
              </w:rPr>
              <w:t>(29)</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2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2D"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2E" w14:textId="77777777" w:rsidR="00C1563E" w:rsidRDefault="000B648B">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2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3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31" w14:textId="77777777" w:rsidR="00C1563E" w:rsidRDefault="000B648B">
            <w:pPr>
              <w:jc w:val="right"/>
              <w:textAlignment w:val="bottom"/>
            </w:pPr>
            <w:r>
              <w:rPr>
                <w:rFonts w:ascii="Times New Roman" w:eastAsia="宋体" w:hAnsi="Times New Roman"/>
                <w:color w:val="000000"/>
                <w:sz w:val="20"/>
                <w:szCs w:val="20"/>
              </w:rPr>
              <w:t>(467)</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32" w14:textId="77777777" w:rsidR="00C1563E" w:rsidRDefault="00C1563E">
            <w:pPr>
              <w:jc w:val="right"/>
              <w:rPr>
                <w:rFonts w:ascii="宋体"/>
              </w:rPr>
            </w:pPr>
          </w:p>
        </w:tc>
      </w:tr>
      <w:tr w:rsidR="00C1563E" w14:paraId="7DD00C43" w14:textId="77777777">
        <w:tc>
          <w:tcPr>
            <w:tcW w:w="0" w:type="auto"/>
            <w:gridSpan w:val="3"/>
            <w:shd w:val="clear" w:color="auto" w:fill="FFFFFF"/>
            <w:tcMar>
              <w:top w:w="40" w:type="dxa"/>
              <w:left w:w="140" w:type="dxa"/>
              <w:bottom w:w="40" w:type="dxa"/>
              <w:right w:w="20" w:type="dxa"/>
            </w:tcMar>
            <w:vAlign w:val="bottom"/>
          </w:tcPr>
          <w:p w14:paraId="7DD00C34" w14:textId="77777777" w:rsidR="00C1563E" w:rsidRDefault="000B648B">
            <w:pPr>
              <w:textAlignment w:val="bottom"/>
            </w:pPr>
            <w:r>
              <w:rPr>
                <w:rFonts w:ascii="Times New Roman" w:eastAsia="宋体" w:hAnsi="Times New Roman"/>
                <w:color w:val="000000"/>
                <w:sz w:val="20"/>
                <w:szCs w:val="20"/>
              </w:rPr>
              <w:t>Other comprehensive income (loss) before reclassifications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0C35" w14:textId="77777777" w:rsidR="00C1563E" w:rsidRDefault="000B648B">
            <w:pPr>
              <w:jc w:val="right"/>
              <w:textAlignment w:val="bottom"/>
            </w:pPr>
            <w:r>
              <w:rPr>
                <w:rFonts w:ascii="Times New Roman" w:eastAsia="宋体" w:hAnsi="Times New Roman"/>
                <w:color w:val="000000"/>
                <w:sz w:val="20"/>
                <w:szCs w:val="20"/>
              </w:rPr>
              <w:t>(226)</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0C3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37" w14:textId="77777777" w:rsidR="00C1563E" w:rsidRDefault="00C1563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0C3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0C3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3A" w14:textId="77777777" w:rsidR="00C1563E" w:rsidRDefault="00C1563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0C3B" w14:textId="77777777" w:rsidR="00C1563E" w:rsidRDefault="000B648B">
            <w:pPr>
              <w:jc w:val="right"/>
              <w:textAlignment w:val="bottom"/>
            </w:pPr>
            <w:r>
              <w:rPr>
                <w:rFonts w:ascii="Times New Roman" w:eastAsia="宋体" w:hAnsi="Times New Roman"/>
                <w:color w:val="000000"/>
                <w:sz w:val="20"/>
                <w:szCs w:val="20"/>
              </w:rPr>
              <w:t>269 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0C3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3D" w14:textId="77777777" w:rsidR="00C1563E" w:rsidRDefault="00C1563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0C3E" w14:textId="77777777" w:rsidR="00C1563E" w:rsidRDefault="000B648B">
            <w:pPr>
              <w:jc w:val="right"/>
              <w:textAlignment w:val="bottom"/>
            </w:pPr>
            <w:r>
              <w:rPr>
                <w:rFonts w:ascii="Times New Roman" w:eastAsia="宋体" w:hAnsi="Times New Roman"/>
                <w:color w:val="000000"/>
                <w:sz w:val="20"/>
                <w:szCs w:val="20"/>
              </w:rPr>
              <w:t>(60)</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0C3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40" w14:textId="77777777" w:rsidR="00C1563E" w:rsidRDefault="00C1563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0C41" w14:textId="77777777" w:rsidR="00C1563E" w:rsidRDefault="000B648B">
            <w:pPr>
              <w:jc w:val="right"/>
              <w:textAlignment w:val="bottom"/>
            </w:pPr>
            <w:r>
              <w:rPr>
                <w:rFonts w:ascii="Times New Roman" w:eastAsia="宋体" w:hAnsi="Times New Roman"/>
                <w:color w:val="000000"/>
                <w:sz w:val="20"/>
                <w:szCs w:val="20"/>
              </w:rPr>
              <w:t>(17)</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0C42" w14:textId="77777777" w:rsidR="00C1563E" w:rsidRDefault="00C1563E">
            <w:pPr>
              <w:jc w:val="right"/>
              <w:rPr>
                <w:rFonts w:ascii="宋体"/>
              </w:rPr>
            </w:pPr>
          </w:p>
        </w:tc>
      </w:tr>
      <w:tr w:rsidR="00C1563E" w14:paraId="7DD00C53" w14:textId="77777777">
        <w:tc>
          <w:tcPr>
            <w:tcW w:w="0" w:type="auto"/>
            <w:gridSpan w:val="3"/>
            <w:shd w:val="clear" w:color="auto" w:fill="CCEEFF"/>
            <w:tcMar>
              <w:top w:w="40" w:type="dxa"/>
              <w:left w:w="140" w:type="dxa"/>
              <w:bottom w:w="40" w:type="dxa"/>
              <w:right w:w="20" w:type="dxa"/>
            </w:tcMar>
            <w:vAlign w:val="bottom"/>
          </w:tcPr>
          <w:p w14:paraId="7DD00C44" w14:textId="77777777" w:rsidR="00C1563E" w:rsidRDefault="000B648B">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7DD00C4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4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4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4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4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4B" w14:textId="77777777" w:rsidR="00C1563E" w:rsidRDefault="000B648B">
            <w:pPr>
              <w:jc w:val="right"/>
              <w:textAlignment w:val="bottom"/>
            </w:pPr>
            <w:r>
              <w:rPr>
                <w:rFonts w:ascii="Times New Roman" w:eastAsia="宋体" w:hAnsi="Times New Roman"/>
                <w:color w:val="000000"/>
                <w:sz w:val="20"/>
                <w:szCs w:val="20"/>
              </w:rPr>
              <w:t>(226)</w:t>
            </w:r>
          </w:p>
        </w:tc>
        <w:tc>
          <w:tcPr>
            <w:tcW w:w="0" w:type="auto"/>
            <w:shd w:val="clear" w:color="auto" w:fill="CCEEFF"/>
            <w:tcMar>
              <w:top w:w="40" w:type="dxa"/>
              <w:left w:w="0" w:type="dxa"/>
              <w:bottom w:w="40" w:type="dxa"/>
              <w:right w:w="20" w:type="dxa"/>
            </w:tcMar>
            <w:vAlign w:val="bottom"/>
          </w:tcPr>
          <w:p w14:paraId="7DD00C4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4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4E"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DD00C4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5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51" w14:textId="77777777" w:rsidR="00C1563E" w:rsidRDefault="000B648B">
            <w:pPr>
              <w:jc w:val="right"/>
              <w:textAlignment w:val="bottom"/>
            </w:pPr>
            <w:r>
              <w:rPr>
                <w:rFonts w:ascii="Times New Roman" w:eastAsia="宋体" w:hAnsi="Times New Roman"/>
                <w:color w:val="000000"/>
                <w:sz w:val="20"/>
                <w:szCs w:val="20"/>
              </w:rPr>
              <w:t>(225)</w:t>
            </w:r>
          </w:p>
        </w:tc>
        <w:tc>
          <w:tcPr>
            <w:tcW w:w="0" w:type="auto"/>
            <w:shd w:val="clear" w:color="auto" w:fill="CCEEFF"/>
            <w:tcMar>
              <w:top w:w="40" w:type="dxa"/>
              <w:left w:w="0" w:type="dxa"/>
              <w:bottom w:w="40" w:type="dxa"/>
              <w:right w:w="20" w:type="dxa"/>
            </w:tcMar>
            <w:vAlign w:val="bottom"/>
          </w:tcPr>
          <w:p w14:paraId="7DD00C52" w14:textId="77777777" w:rsidR="00C1563E" w:rsidRDefault="00C1563E">
            <w:pPr>
              <w:jc w:val="right"/>
              <w:rPr>
                <w:rFonts w:ascii="宋体"/>
              </w:rPr>
            </w:pPr>
          </w:p>
        </w:tc>
      </w:tr>
      <w:tr w:rsidR="00C1563E" w14:paraId="7DD00C63" w14:textId="77777777">
        <w:tc>
          <w:tcPr>
            <w:tcW w:w="0" w:type="auto"/>
            <w:gridSpan w:val="3"/>
            <w:shd w:val="clear" w:color="auto" w:fill="FFFFFF"/>
            <w:tcMar>
              <w:top w:w="40" w:type="dxa"/>
              <w:left w:w="260" w:type="dxa"/>
              <w:bottom w:w="40" w:type="dxa"/>
              <w:right w:w="20" w:type="dxa"/>
            </w:tcMar>
            <w:vAlign w:val="bottom"/>
          </w:tcPr>
          <w:p w14:paraId="7DD00C54" w14:textId="77777777" w:rsidR="00C1563E" w:rsidRDefault="000B648B">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55" w14:textId="77777777" w:rsidR="00C1563E" w:rsidRDefault="000B648B">
            <w:pPr>
              <w:jc w:val="right"/>
              <w:textAlignment w:val="bottom"/>
            </w:pPr>
            <w:r>
              <w:rPr>
                <w:rFonts w:ascii="Times New Roman" w:eastAsia="宋体" w:hAnsi="Times New Roman"/>
                <w:color w:val="000000"/>
                <w:sz w:val="20"/>
                <w:szCs w:val="20"/>
              </w:rPr>
              <w:t>(226)</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5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57"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5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5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5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5B" w14:textId="77777777" w:rsidR="00C1563E" w:rsidRDefault="000B648B">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5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5E" w14:textId="77777777" w:rsidR="00C1563E" w:rsidRDefault="000B648B">
            <w:pPr>
              <w:jc w:val="right"/>
              <w:textAlignment w:val="bottom"/>
            </w:pPr>
            <w:r>
              <w:rPr>
                <w:rFonts w:ascii="Times New Roman" w:eastAsia="宋体" w:hAnsi="Times New Roman"/>
                <w:color w:val="000000"/>
                <w:sz w:val="20"/>
                <w:szCs w:val="20"/>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6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61" w14:textId="77777777" w:rsidR="00C1563E" w:rsidRDefault="000B648B">
            <w:pPr>
              <w:jc w:val="right"/>
              <w:textAlignment w:val="bottom"/>
            </w:pPr>
            <w:r>
              <w:rPr>
                <w:rFonts w:ascii="Times New Roman" w:eastAsia="宋体" w:hAnsi="Times New Roman"/>
                <w:color w:val="000000"/>
                <w:sz w:val="20"/>
                <w:szCs w:val="20"/>
              </w:rPr>
              <w:t>(242)</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62" w14:textId="77777777" w:rsidR="00C1563E" w:rsidRDefault="00C1563E">
            <w:pPr>
              <w:jc w:val="right"/>
              <w:rPr>
                <w:rFonts w:ascii="宋体"/>
              </w:rPr>
            </w:pPr>
          </w:p>
        </w:tc>
      </w:tr>
      <w:tr w:rsidR="00C1563E" w14:paraId="7DD00C73" w14:textId="77777777">
        <w:tc>
          <w:tcPr>
            <w:tcW w:w="0" w:type="auto"/>
            <w:gridSpan w:val="3"/>
            <w:shd w:val="clear" w:color="auto" w:fill="CCEEFF"/>
            <w:tcMar>
              <w:top w:w="40" w:type="dxa"/>
              <w:left w:w="470" w:type="dxa"/>
              <w:bottom w:w="40" w:type="dxa"/>
              <w:right w:w="20" w:type="dxa"/>
            </w:tcMar>
            <w:vAlign w:val="bottom"/>
          </w:tcPr>
          <w:p w14:paraId="7DD00C64" w14:textId="77777777" w:rsidR="00C1563E" w:rsidRDefault="000B648B">
            <w:pPr>
              <w:textAlignment w:val="bottom"/>
            </w:pPr>
            <w:r>
              <w:rPr>
                <w:rFonts w:ascii="Times New Roman" w:eastAsia="宋体" w:hAnsi="Times New Roman"/>
                <w:color w:val="000000"/>
                <w:sz w:val="20"/>
                <w:szCs w:val="20"/>
              </w:rPr>
              <w:t>Less: Change in comprehensive income (loss) attributable to non-controlling interests</w:t>
            </w:r>
          </w:p>
        </w:tc>
        <w:tc>
          <w:tcPr>
            <w:tcW w:w="0" w:type="auto"/>
            <w:gridSpan w:val="2"/>
            <w:shd w:val="clear" w:color="auto" w:fill="CCEEFF"/>
            <w:tcMar>
              <w:top w:w="40" w:type="dxa"/>
              <w:left w:w="20" w:type="dxa"/>
              <w:bottom w:w="40" w:type="dxa"/>
              <w:right w:w="0" w:type="dxa"/>
            </w:tcMar>
            <w:vAlign w:val="bottom"/>
          </w:tcPr>
          <w:p w14:paraId="7DD00C6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6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6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6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6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6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6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6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6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6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6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7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C7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C72" w14:textId="77777777" w:rsidR="00C1563E" w:rsidRDefault="00C1563E">
            <w:pPr>
              <w:jc w:val="right"/>
              <w:rPr>
                <w:rFonts w:ascii="宋体"/>
              </w:rPr>
            </w:pPr>
          </w:p>
        </w:tc>
      </w:tr>
      <w:tr w:rsidR="00C1563E" w14:paraId="7DD00C83" w14:textId="77777777">
        <w:tc>
          <w:tcPr>
            <w:tcW w:w="0" w:type="auto"/>
            <w:gridSpan w:val="3"/>
            <w:shd w:val="clear" w:color="auto" w:fill="FFFFFF"/>
            <w:tcMar>
              <w:top w:w="40" w:type="dxa"/>
              <w:left w:w="20" w:type="dxa"/>
              <w:bottom w:w="40" w:type="dxa"/>
              <w:right w:w="20" w:type="dxa"/>
            </w:tcMar>
            <w:vAlign w:val="bottom"/>
          </w:tcPr>
          <w:p w14:paraId="7DD00C74" w14:textId="77777777" w:rsidR="00C1563E" w:rsidRDefault="000B648B">
            <w:pPr>
              <w:textAlignment w:val="bottom"/>
            </w:pPr>
            <w:r>
              <w:rPr>
                <w:rFonts w:ascii="Times New Roman" w:eastAsia="宋体" w:hAnsi="Times New Roman"/>
                <w:i/>
                <w:iCs/>
                <w:color w:val="000000"/>
                <w:sz w:val="20"/>
                <w:szCs w:val="20"/>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75" w14:textId="77777777" w:rsidR="00C1563E" w:rsidRDefault="000B648B">
            <w:pPr>
              <w:jc w:val="right"/>
              <w:textAlignment w:val="bottom"/>
            </w:pPr>
            <w:r>
              <w:rPr>
                <w:rFonts w:ascii="Times New Roman" w:eastAsia="宋体" w:hAnsi="Times New Roman"/>
                <w:color w:val="000000"/>
                <w:sz w:val="20"/>
                <w:szCs w:val="20"/>
              </w:rPr>
              <w:t>(678)</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77"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7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7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7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7B" w14:textId="77777777" w:rsidR="00C1563E" w:rsidRDefault="000B648B">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7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7E" w14:textId="77777777" w:rsidR="00C1563E" w:rsidRDefault="000B648B">
            <w:pPr>
              <w:jc w:val="right"/>
              <w:textAlignment w:val="bottom"/>
            </w:pPr>
            <w:r>
              <w:rPr>
                <w:rFonts w:ascii="Times New Roman" w:eastAsia="宋体" w:hAnsi="Times New Roman"/>
                <w:color w:val="000000"/>
                <w:sz w:val="20"/>
                <w:szCs w:val="20"/>
              </w:rPr>
              <w:t>(45)</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8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0C81" w14:textId="77777777" w:rsidR="00C1563E" w:rsidRDefault="000B648B">
            <w:pPr>
              <w:jc w:val="right"/>
              <w:textAlignment w:val="bottom"/>
            </w:pPr>
            <w:r>
              <w:rPr>
                <w:rFonts w:ascii="Times New Roman" w:eastAsia="宋体" w:hAnsi="Times New Roman"/>
                <w:color w:val="000000"/>
                <w:sz w:val="20"/>
                <w:szCs w:val="20"/>
              </w:rPr>
              <w:t>(709)</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0C82" w14:textId="77777777" w:rsidR="00C1563E" w:rsidRDefault="00C1563E">
            <w:pPr>
              <w:jc w:val="right"/>
              <w:rPr>
                <w:rFonts w:ascii="宋体"/>
              </w:rPr>
            </w:pPr>
          </w:p>
        </w:tc>
      </w:tr>
      <w:tr w:rsidR="00C1563E" w14:paraId="7DD00C93" w14:textId="77777777">
        <w:tc>
          <w:tcPr>
            <w:tcW w:w="0" w:type="auto"/>
            <w:gridSpan w:val="3"/>
            <w:shd w:val="clear" w:color="auto" w:fill="CCEEFF"/>
            <w:tcMar>
              <w:top w:w="40" w:type="dxa"/>
              <w:left w:w="140" w:type="dxa"/>
              <w:bottom w:w="40" w:type="dxa"/>
              <w:right w:w="20" w:type="dxa"/>
            </w:tcMar>
            <w:vAlign w:val="bottom"/>
          </w:tcPr>
          <w:p w14:paraId="7DD00C84" w14:textId="77777777" w:rsidR="00C1563E" w:rsidRDefault="000B648B">
            <w:pPr>
              <w:textAlignment w:val="bottom"/>
            </w:pPr>
            <w:r>
              <w:rPr>
                <w:rFonts w:ascii="Times New Roman" w:eastAsia="宋体" w:hAnsi="Times New Roman"/>
                <w:color w:val="000000"/>
                <w:sz w:val="20"/>
                <w:szCs w:val="20"/>
              </w:rPr>
              <w:t>Other comprehensive income (loss) before reclassifications</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0C85" w14:textId="77777777" w:rsidR="00C1563E" w:rsidRDefault="000B648B">
            <w:pPr>
              <w:jc w:val="right"/>
              <w:textAlignment w:val="bottom"/>
            </w:pPr>
            <w:r>
              <w:rPr>
                <w:rFonts w:ascii="Times New Roman" w:eastAsia="宋体" w:hAnsi="Times New Roman"/>
                <w:color w:val="000000"/>
                <w:sz w:val="20"/>
                <w:szCs w:val="20"/>
              </w:rPr>
              <w:t>528 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C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87" w14:textId="77777777" w:rsidR="00C1563E" w:rsidRDefault="00C1563E">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0C8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C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8A" w14:textId="77777777" w:rsidR="00C1563E" w:rsidRDefault="00C1563E">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0C8B" w14:textId="77777777" w:rsidR="00C1563E" w:rsidRDefault="000B648B">
            <w:pPr>
              <w:jc w:val="right"/>
              <w:textAlignment w:val="bottom"/>
            </w:pPr>
            <w:r>
              <w:rPr>
                <w:rFonts w:ascii="Times New Roman" w:eastAsia="宋体" w:hAnsi="Times New Roman"/>
                <w:color w:val="000000"/>
                <w:sz w:val="20"/>
                <w:szCs w:val="20"/>
              </w:rPr>
              <w:t>(200)</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C8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8D" w14:textId="77777777" w:rsidR="00C1563E" w:rsidRDefault="00C1563E">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0C8E" w14:textId="77777777" w:rsidR="00C1563E" w:rsidRDefault="000B648B">
            <w:pPr>
              <w:jc w:val="right"/>
              <w:textAlignment w:val="bottom"/>
            </w:pPr>
            <w:r>
              <w:rPr>
                <w:rFonts w:ascii="Times New Roman" w:eastAsia="宋体" w:hAnsi="Times New Roman"/>
                <w:color w:val="000000"/>
                <w:sz w:val="20"/>
                <w:szCs w:val="20"/>
              </w:rPr>
              <w:t>(38)</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C8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90" w14:textId="77777777" w:rsidR="00C1563E" w:rsidRDefault="00C1563E">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0C91" w14:textId="77777777" w:rsidR="00C1563E" w:rsidRDefault="000B648B">
            <w:pPr>
              <w:jc w:val="right"/>
              <w:textAlignment w:val="bottom"/>
            </w:pPr>
            <w:r>
              <w:rPr>
                <w:rFonts w:ascii="Times New Roman" w:eastAsia="宋体" w:hAnsi="Times New Roman"/>
                <w:color w:val="000000"/>
                <w:sz w:val="20"/>
                <w:szCs w:val="20"/>
              </w:rPr>
              <w:t>290 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0C92" w14:textId="77777777" w:rsidR="00C1563E" w:rsidRDefault="00C1563E">
            <w:pPr>
              <w:jc w:val="right"/>
              <w:rPr>
                <w:rFonts w:ascii="宋体"/>
              </w:rPr>
            </w:pPr>
          </w:p>
        </w:tc>
      </w:tr>
      <w:tr w:rsidR="00C1563E" w14:paraId="7DD00CA3" w14:textId="77777777">
        <w:tc>
          <w:tcPr>
            <w:tcW w:w="0" w:type="auto"/>
            <w:gridSpan w:val="3"/>
            <w:shd w:val="clear" w:color="auto" w:fill="FFFFFF"/>
            <w:tcMar>
              <w:top w:w="40" w:type="dxa"/>
              <w:left w:w="140" w:type="dxa"/>
              <w:bottom w:w="40" w:type="dxa"/>
              <w:right w:w="20" w:type="dxa"/>
            </w:tcMar>
            <w:vAlign w:val="bottom"/>
          </w:tcPr>
          <w:p w14:paraId="7DD00C94" w14:textId="77777777" w:rsidR="00C1563E" w:rsidRDefault="000B648B">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FFFFFF"/>
            <w:tcMar>
              <w:top w:w="40" w:type="dxa"/>
              <w:left w:w="20" w:type="dxa"/>
              <w:bottom w:w="40" w:type="dxa"/>
              <w:right w:w="0" w:type="dxa"/>
            </w:tcMar>
            <w:vAlign w:val="bottom"/>
          </w:tcPr>
          <w:p w14:paraId="7DD00C9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9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9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9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9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9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9B" w14:textId="77777777" w:rsidR="00C1563E" w:rsidRDefault="000B648B">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7DD00C9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9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9E" w14:textId="77777777" w:rsidR="00C1563E" w:rsidRDefault="000B648B">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DD00C9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A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A1" w14:textId="77777777" w:rsidR="00C1563E" w:rsidRDefault="000B648B">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7DD00CA2" w14:textId="77777777" w:rsidR="00C1563E" w:rsidRDefault="00C1563E">
            <w:pPr>
              <w:jc w:val="right"/>
              <w:rPr>
                <w:rFonts w:ascii="宋体"/>
              </w:rPr>
            </w:pPr>
          </w:p>
        </w:tc>
      </w:tr>
      <w:tr w:rsidR="00C1563E" w14:paraId="7DD00CB3" w14:textId="77777777">
        <w:tc>
          <w:tcPr>
            <w:tcW w:w="0" w:type="auto"/>
            <w:gridSpan w:val="3"/>
            <w:shd w:val="clear" w:color="auto" w:fill="CCEEFF"/>
            <w:tcMar>
              <w:top w:w="40" w:type="dxa"/>
              <w:left w:w="260" w:type="dxa"/>
              <w:bottom w:w="40" w:type="dxa"/>
              <w:right w:w="20" w:type="dxa"/>
            </w:tcMar>
            <w:vAlign w:val="bottom"/>
          </w:tcPr>
          <w:p w14:paraId="7DD00CA4" w14:textId="77777777" w:rsidR="00C1563E" w:rsidRDefault="000B648B">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A5" w14:textId="77777777" w:rsidR="00C1563E" w:rsidRDefault="000B648B">
            <w:pPr>
              <w:jc w:val="right"/>
              <w:textAlignment w:val="bottom"/>
            </w:pPr>
            <w:r>
              <w:rPr>
                <w:rFonts w:ascii="Times New Roman" w:eastAsia="宋体" w:hAnsi="Times New Roman"/>
                <w:color w:val="000000"/>
                <w:sz w:val="20"/>
                <w:szCs w:val="20"/>
              </w:rPr>
              <w:t>528 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A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A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A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A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AA"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AB" w14:textId="77777777" w:rsidR="00C1563E" w:rsidRDefault="000B648B">
            <w:pPr>
              <w:jc w:val="right"/>
              <w:textAlignment w:val="bottom"/>
            </w:pPr>
            <w:r>
              <w:rPr>
                <w:rFonts w:ascii="Times New Roman" w:eastAsia="宋体" w:hAnsi="Times New Roman"/>
                <w:color w:val="000000"/>
                <w:sz w:val="20"/>
                <w:szCs w:val="20"/>
              </w:rPr>
              <w:t>(100)</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A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AD"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AE" w14:textId="77777777" w:rsidR="00C1563E" w:rsidRDefault="000B648B">
            <w:pPr>
              <w:jc w:val="right"/>
              <w:textAlignment w:val="bottom"/>
            </w:pPr>
            <w:r>
              <w:rPr>
                <w:rFonts w:ascii="Times New Roman" w:eastAsia="宋体" w:hAnsi="Times New Roman"/>
                <w:color w:val="000000"/>
                <w:sz w:val="20"/>
                <w:szCs w:val="20"/>
              </w:rPr>
              <w:t>(33)</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A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B0"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CB1" w14:textId="77777777" w:rsidR="00C1563E" w:rsidRDefault="000B648B">
            <w:pPr>
              <w:jc w:val="right"/>
              <w:textAlignment w:val="bottom"/>
            </w:pPr>
            <w:r>
              <w:rPr>
                <w:rFonts w:ascii="Times New Roman" w:eastAsia="宋体" w:hAnsi="Times New Roman"/>
                <w:color w:val="000000"/>
                <w:sz w:val="20"/>
                <w:szCs w:val="20"/>
              </w:rPr>
              <w:t>395 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CB2" w14:textId="77777777" w:rsidR="00C1563E" w:rsidRDefault="00C1563E">
            <w:pPr>
              <w:jc w:val="right"/>
              <w:rPr>
                <w:rFonts w:ascii="宋体"/>
              </w:rPr>
            </w:pPr>
          </w:p>
        </w:tc>
      </w:tr>
      <w:tr w:rsidR="00C1563E" w14:paraId="7DD00CC3" w14:textId="77777777">
        <w:tc>
          <w:tcPr>
            <w:tcW w:w="0" w:type="auto"/>
            <w:gridSpan w:val="3"/>
            <w:shd w:val="clear" w:color="auto" w:fill="FFFFFF"/>
            <w:tcMar>
              <w:top w:w="40" w:type="dxa"/>
              <w:left w:w="470" w:type="dxa"/>
              <w:bottom w:w="40" w:type="dxa"/>
              <w:right w:w="20" w:type="dxa"/>
            </w:tcMar>
            <w:vAlign w:val="bottom"/>
          </w:tcPr>
          <w:p w14:paraId="7DD00CB4" w14:textId="77777777" w:rsidR="00C1563E" w:rsidRDefault="000B648B">
            <w:pPr>
              <w:textAlignment w:val="bottom"/>
            </w:pPr>
            <w:r>
              <w:rPr>
                <w:rFonts w:ascii="Times New Roman" w:eastAsia="宋体" w:hAnsi="Times New Roman"/>
                <w:color w:val="000000"/>
                <w:sz w:val="20"/>
                <w:szCs w:val="20"/>
              </w:rPr>
              <w:t>Less: Change in comprehensive income (loss) attributable to non-controlling interests</w:t>
            </w:r>
          </w:p>
        </w:tc>
        <w:tc>
          <w:tcPr>
            <w:tcW w:w="0" w:type="auto"/>
            <w:gridSpan w:val="2"/>
            <w:shd w:val="clear" w:color="auto" w:fill="FFFFFF"/>
            <w:tcMar>
              <w:top w:w="40" w:type="dxa"/>
              <w:left w:w="20" w:type="dxa"/>
              <w:bottom w:w="40" w:type="dxa"/>
              <w:right w:w="0" w:type="dxa"/>
            </w:tcMar>
            <w:vAlign w:val="bottom"/>
          </w:tcPr>
          <w:p w14:paraId="7DD00CB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B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B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B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B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B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B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B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B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B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B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CC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CC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CC2" w14:textId="77777777" w:rsidR="00C1563E" w:rsidRDefault="00C1563E">
            <w:pPr>
              <w:jc w:val="right"/>
              <w:rPr>
                <w:rFonts w:ascii="宋体"/>
              </w:rPr>
            </w:pPr>
          </w:p>
        </w:tc>
      </w:tr>
      <w:tr w:rsidR="00C1563E" w14:paraId="7DD00CD8" w14:textId="77777777">
        <w:tc>
          <w:tcPr>
            <w:tcW w:w="0" w:type="auto"/>
            <w:gridSpan w:val="3"/>
            <w:shd w:val="clear" w:color="auto" w:fill="CCEEFF"/>
            <w:tcMar>
              <w:top w:w="40" w:type="dxa"/>
              <w:left w:w="20" w:type="dxa"/>
              <w:bottom w:w="40" w:type="dxa"/>
              <w:right w:w="20" w:type="dxa"/>
            </w:tcMar>
            <w:vAlign w:val="bottom"/>
          </w:tcPr>
          <w:p w14:paraId="7DD00CC4" w14:textId="77777777" w:rsidR="00C1563E" w:rsidRDefault="000B648B">
            <w:pPr>
              <w:textAlignment w:val="bottom"/>
            </w:pPr>
            <w:r>
              <w:rPr>
                <w:rFonts w:ascii="Times New Roman" w:eastAsia="宋体" w:hAnsi="Times New Roman"/>
                <w:i/>
                <w:iCs/>
                <w:color w:val="000000"/>
                <w:sz w:val="20"/>
                <w:szCs w:val="20"/>
              </w:rPr>
              <w:t>Balances as of January 29,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CC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CC6" w14:textId="77777777" w:rsidR="00C1563E" w:rsidRDefault="000B648B">
            <w:pPr>
              <w:jc w:val="right"/>
              <w:textAlignment w:val="bottom"/>
            </w:pPr>
            <w:r>
              <w:rPr>
                <w:rFonts w:ascii="Times New Roman" w:eastAsia="宋体" w:hAnsi="Times New Roman"/>
                <w:color w:val="000000"/>
                <w:sz w:val="20"/>
                <w:szCs w:val="20"/>
              </w:rPr>
              <w:t>(150)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C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C8"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CC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CCA"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CC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CC"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CC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CCE" w14:textId="77777777" w:rsidR="00C1563E" w:rsidRDefault="000B648B">
            <w:pPr>
              <w:jc w:val="right"/>
              <w:textAlignment w:val="bottom"/>
            </w:pPr>
            <w:r>
              <w:rPr>
                <w:rFonts w:ascii="Times New Roman" w:eastAsia="宋体" w:hAnsi="Times New Roman"/>
                <w:color w:val="000000"/>
                <w:sz w:val="20"/>
                <w:szCs w:val="20"/>
              </w:rPr>
              <w:t>(86)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CC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D0"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CD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CD2" w14:textId="77777777" w:rsidR="00C1563E" w:rsidRDefault="000B648B">
            <w:pPr>
              <w:jc w:val="right"/>
              <w:textAlignment w:val="bottom"/>
            </w:pPr>
            <w:r>
              <w:rPr>
                <w:rFonts w:ascii="Times New Roman" w:eastAsia="宋体" w:hAnsi="Times New Roman"/>
                <w:color w:val="000000"/>
                <w:sz w:val="20"/>
                <w:szCs w:val="20"/>
              </w:rPr>
              <w:t>(78)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C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CD4"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CD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0CD6" w14:textId="77777777" w:rsidR="00C1563E" w:rsidRDefault="000B648B">
            <w:pPr>
              <w:jc w:val="right"/>
              <w:textAlignment w:val="bottom"/>
            </w:pPr>
            <w:r>
              <w:rPr>
                <w:rFonts w:ascii="Times New Roman" w:eastAsia="宋体" w:hAnsi="Times New Roman"/>
                <w:color w:val="000000"/>
                <w:sz w:val="20"/>
                <w:szCs w:val="20"/>
              </w:rPr>
              <w:t>(314)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CD7" w14:textId="77777777" w:rsidR="00C1563E" w:rsidRDefault="00C1563E">
            <w:pPr>
              <w:jc w:val="right"/>
              <w:rPr>
                <w:rFonts w:ascii="宋体"/>
              </w:rPr>
            </w:pPr>
          </w:p>
        </w:tc>
      </w:tr>
    </w:tbl>
    <w:p w14:paraId="7DD00CD9" w14:textId="77777777" w:rsidR="00C1563E" w:rsidRDefault="00C1563E"/>
    <w:p w14:paraId="7DD00CDA" w14:textId="77777777" w:rsidR="00C1563E" w:rsidRDefault="000B648B">
      <w:r>
        <w:rPr>
          <w:rFonts w:ascii="Times New Roman" w:eastAsia="宋体" w:hAnsi="Times New Roman"/>
          <w:color w:val="000000"/>
          <w:sz w:val="20"/>
          <w:szCs w:val="20"/>
        </w:rPr>
        <w:t>Amounts</w:t>
      </w:r>
      <w:r>
        <w:rPr>
          <w:rFonts w:ascii="Times New Roman" w:eastAsia="宋体" w:hAnsi="Times New Roman"/>
          <w:color w:val="000000"/>
          <w:sz w:val="20"/>
          <w:szCs w:val="20"/>
        </w:rPr>
        <w:t xml:space="preserve"> related to investments are reclassified to net income (loss) when gains and losses are realized. See Note 3 of the Notes to the Consolidated Financial Statements for more information on the Company’s investments. Amounts related to the Company’s cash flow</w:t>
      </w:r>
      <w:r>
        <w:rPr>
          <w:rFonts w:ascii="Times New Roman" w:eastAsia="宋体" w:hAnsi="Times New Roman"/>
          <w:color w:val="000000"/>
          <w:sz w:val="20"/>
          <w:szCs w:val="20"/>
        </w:rPr>
        <w:t xml:space="preserve"> hedges are reclassified to net income during the same period in which the items being hedged are recognized in earnings. See Note 7 of the Notes to the Consolidated Financial Statements for more information on the Company’s derivative instruments.</w:t>
      </w:r>
    </w:p>
    <w:p w14:paraId="7DD00CDB" w14:textId="77777777" w:rsidR="00C1563E" w:rsidRDefault="00C1563E"/>
    <w:p w14:paraId="7DD00CDC" w14:textId="77777777" w:rsidR="00C1563E" w:rsidRDefault="00C1563E">
      <w:pPr>
        <w:jc w:val="center"/>
      </w:pPr>
    </w:p>
    <w:p w14:paraId="7DD00CDD" w14:textId="77777777" w:rsidR="00C1563E" w:rsidRDefault="000B648B">
      <w:pPr>
        <w:jc w:val="center"/>
      </w:pPr>
      <w:r>
        <w:rPr>
          <w:rFonts w:ascii="Times New Roman" w:eastAsia="宋体" w:hAnsi="Times New Roman"/>
          <w:color w:val="000000"/>
          <w:sz w:val="20"/>
          <w:szCs w:val="20"/>
        </w:rPr>
        <w:t>134</w:t>
      </w:r>
    </w:p>
    <w:p w14:paraId="7DD00CDE" w14:textId="77777777" w:rsidR="00C1563E" w:rsidRDefault="00C1563E">
      <w:pPr>
        <w:jc w:val="center"/>
      </w:pPr>
    </w:p>
    <w:p w14:paraId="7DD00CDF" w14:textId="77777777" w:rsidR="00C1563E" w:rsidRDefault="000B648B">
      <w:r>
        <w:pict w14:anchorId="7DD025F0">
          <v:rect id="_x0000_i1158" style="width:415.3pt;height:1.5pt" o:hralign="center" o:hrstd="t" o:hr="t" fillcolor="#a0a0a0" stroked="f"/>
        </w:pict>
      </w:r>
    </w:p>
    <w:p w14:paraId="7DD00CE0" w14:textId="77777777" w:rsidR="00C1563E" w:rsidRDefault="000B648B">
      <w:hyperlink r:id="rId317" w:anchor="i418e32e4a35149ffbf7d3a25d66881b8_10" w:history="1">
        <w:r>
          <w:rPr>
            <w:rStyle w:val="a5"/>
            <w:rFonts w:ascii="Times New Roman" w:eastAsia="宋体" w:hAnsi="Times New Roman"/>
            <w:sz w:val="20"/>
            <w:szCs w:val="20"/>
          </w:rPr>
          <w:t>Table of Contents</w:t>
        </w:r>
      </w:hyperlink>
    </w:p>
    <w:p w14:paraId="7DD00CE1" w14:textId="77777777" w:rsidR="00C1563E" w:rsidRDefault="000B648B">
      <w:pPr>
        <w:spacing w:after="120"/>
      </w:pPr>
      <w:r>
        <w:rPr>
          <w:rFonts w:ascii="Times New Roman" w:eastAsia="宋体" w:hAnsi="Times New Roman"/>
          <w:color w:val="000000"/>
          <w:sz w:val="20"/>
          <w:szCs w:val="20"/>
        </w:rPr>
        <w:t xml:space="preserve">The following table presents reclassifications out of accumulated other </w:t>
      </w:r>
      <w:r>
        <w:rPr>
          <w:rFonts w:ascii="Times New Roman" w:eastAsia="宋体" w:hAnsi="Times New Roman"/>
          <w:color w:val="000000"/>
          <w:sz w:val="20"/>
          <w:szCs w:val="20"/>
        </w:rPr>
        <w:t>comprehensive income (loss), net of tax,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2"/>
        <w:gridCol w:w="36"/>
        <w:gridCol w:w="36"/>
        <w:gridCol w:w="36"/>
        <w:gridCol w:w="36"/>
        <w:gridCol w:w="36"/>
        <w:gridCol w:w="36"/>
        <w:gridCol w:w="121"/>
        <w:gridCol w:w="693"/>
        <w:gridCol w:w="36"/>
        <w:gridCol w:w="36"/>
        <w:gridCol w:w="36"/>
        <w:gridCol w:w="36"/>
        <w:gridCol w:w="121"/>
        <w:gridCol w:w="704"/>
        <w:gridCol w:w="36"/>
        <w:gridCol w:w="36"/>
        <w:gridCol w:w="36"/>
        <w:gridCol w:w="36"/>
        <w:gridCol w:w="120"/>
        <w:gridCol w:w="683"/>
        <w:gridCol w:w="36"/>
      </w:tblGrid>
      <w:tr w:rsidR="00C1563E" w14:paraId="7DD00D0A" w14:textId="77777777">
        <w:trPr>
          <w:jc w:val="center"/>
        </w:trPr>
        <w:tc>
          <w:tcPr>
            <w:tcW w:w="50" w:type="pct"/>
            <w:shd w:val="clear" w:color="auto" w:fill="auto"/>
          </w:tcPr>
          <w:p w14:paraId="7DD00CE2" w14:textId="77777777" w:rsidR="00C1563E" w:rsidRDefault="00C1563E">
            <w:pPr>
              <w:rPr>
                <w:rFonts w:ascii="宋体"/>
              </w:rPr>
            </w:pPr>
          </w:p>
        </w:tc>
        <w:tc>
          <w:tcPr>
            <w:tcW w:w="1597" w:type="pct"/>
            <w:shd w:val="clear" w:color="auto" w:fill="auto"/>
          </w:tcPr>
          <w:p w14:paraId="7DD00CE3" w14:textId="77777777" w:rsidR="00C1563E" w:rsidRDefault="00C1563E">
            <w:pPr>
              <w:rPr>
                <w:rFonts w:ascii="宋体"/>
              </w:rPr>
            </w:pPr>
          </w:p>
        </w:tc>
        <w:tc>
          <w:tcPr>
            <w:tcW w:w="5" w:type="pct"/>
            <w:shd w:val="clear" w:color="auto" w:fill="auto"/>
          </w:tcPr>
          <w:p w14:paraId="7DD00CE4" w14:textId="77777777" w:rsidR="00C1563E" w:rsidRDefault="00C1563E">
            <w:pPr>
              <w:rPr>
                <w:rFonts w:ascii="宋体"/>
              </w:rPr>
            </w:pPr>
          </w:p>
        </w:tc>
        <w:tc>
          <w:tcPr>
            <w:tcW w:w="0" w:type="auto"/>
            <w:shd w:val="clear" w:color="auto" w:fill="auto"/>
          </w:tcPr>
          <w:p w14:paraId="7DD00CE5" w14:textId="77777777" w:rsidR="00C1563E" w:rsidRDefault="00C1563E">
            <w:pPr>
              <w:rPr>
                <w:rFonts w:ascii="宋体"/>
                <w:vanish/>
              </w:rPr>
            </w:pPr>
          </w:p>
        </w:tc>
        <w:tc>
          <w:tcPr>
            <w:tcW w:w="0" w:type="auto"/>
            <w:shd w:val="clear" w:color="auto" w:fill="auto"/>
          </w:tcPr>
          <w:p w14:paraId="7DD00CE6" w14:textId="77777777" w:rsidR="00C1563E" w:rsidRDefault="00C1563E">
            <w:pPr>
              <w:rPr>
                <w:rFonts w:ascii="宋体"/>
                <w:vanish/>
              </w:rPr>
            </w:pPr>
          </w:p>
        </w:tc>
        <w:tc>
          <w:tcPr>
            <w:tcW w:w="50" w:type="pct"/>
            <w:shd w:val="clear" w:color="auto" w:fill="auto"/>
          </w:tcPr>
          <w:p w14:paraId="7DD00CE7" w14:textId="77777777" w:rsidR="00C1563E" w:rsidRDefault="00C1563E">
            <w:pPr>
              <w:rPr>
                <w:rFonts w:ascii="宋体"/>
              </w:rPr>
            </w:pPr>
          </w:p>
        </w:tc>
        <w:tc>
          <w:tcPr>
            <w:tcW w:w="478" w:type="pct"/>
            <w:shd w:val="clear" w:color="auto" w:fill="auto"/>
          </w:tcPr>
          <w:p w14:paraId="7DD00CE8" w14:textId="77777777" w:rsidR="00C1563E" w:rsidRDefault="00C1563E">
            <w:pPr>
              <w:rPr>
                <w:rFonts w:ascii="宋体"/>
              </w:rPr>
            </w:pPr>
          </w:p>
        </w:tc>
        <w:tc>
          <w:tcPr>
            <w:tcW w:w="5" w:type="pct"/>
            <w:shd w:val="clear" w:color="auto" w:fill="auto"/>
          </w:tcPr>
          <w:p w14:paraId="7DD00CE9" w14:textId="77777777" w:rsidR="00C1563E" w:rsidRDefault="00C1563E">
            <w:pPr>
              <w:rPr>
                <w:rFonts w:ascii="宋体"/>
              </w:rPr>
            </w:pPr>
          </w:p>
        </w:tc>
        <w:tc>
          <w:tcPr>
            <w:tcW w:w="5" w:type="pct"/>
            <w:shd w:val="clear" w:color="auto" w:fill="auto"/>
          </w:tcPr>
          <w:p w14:paraId="7DD00CEA" w14:textId="77777777" w:rsidR="00C1563E" w:rsidRDefault="00C1563E">
            <w:pPr>
              <w:rPr>
                <w:rFonts w:ascii="宋体"/>
              </w:rPr>
            </w:pPr>
          </w:p>
        </w:tc>
        <w:tc>
          <w:tcPr>
            <w:tcW w:w="19" w:type="pct"/>
            <w:shd w:val="clear" w:color="auto" w:fill="auto"/>
          </w:tcPr>
          <w:p w14:paraId="7DD00CEB" w14:textId="77777777" w:rsidR="00C1563E" w:rsidRDefault="00C1563E">
            <w:pPr>
              <w:rPr>
                <w:rFonts w:ascii="宋体"/>
              </w:rPr>
            </w:pPr>
          </w:p>
        </w:tc>
        <w:tc>
          <w:tcPr>
            <w:tcW w:w="5" w:type="pct"/>
            <w:shd w:val="clear" w:color="auto" w:fill="auto"/>
          </w:tcPr>
          <w:p w14:paraId="7DD00CEC" w14:textId="77777777" w:rsidR="00C1563E" w:rsidRDefault="00C1563E">
            <w:pPr>
              <w:rPr>
                <w:rFonts w:ascii="宋体"/>
              </w:rPr>
            </w:pPr>
          </w:p>
        </w:tc>
        <w:tc>
          <w:tcPr>
            <w:tcW w:w="50" w:type="pct"/>
            <w:shd w:val="clear" w:color="auto" w:fill="auto"/>
          </w:tcPr>
          <w:p w14:paraId="7DD00CED" w14:textId="77777777" w:rsidR="00C1563E" w:rsidRDefault="00C1563E">
            <w:pPr>
              <w:rPr>
                <w:rFonts w:ascii="宋体"/>
              </w:rPr>
            </w:pPr>
          </w:p>
        </w:tc>
        <w:tc>
          <w:tcPr>
            <w:tcW w:w="478" w:type="pct"/>
            <w:shd w:val="clear" w:color="auto" w:fill="auto"/>
          </w:tcPr>
          <w:p w14:paraId="7DD00CEE" w14:textId="77777777" w:rsidR="00C1563E" w:rsidRDefault="00C1563E">
            <w:pPr>
              <w:rPr>
                <w:rFonts w:ascii="宋体"/>
              </w:rPr>
            </w:pPr>
          </w:p>
        </w:tc>
        <w:tc>
          <w:tcPr>
            <w:tcW w:w="5" w:type="pct"/>
            <w:shd w:val="clear" w:color="auto" w:fill="auto"/>
          </w:tcPr>
          <w:p w14:paraId="7DD00CEF" w14:textId="77777777" w:rsidR="00C1563E" w:rsidRDefault="00C1563E">
            <w:pPr>
              <w:rPr>
                <w:rFonts w:ascii="宋体"/>
              </w:rPr>
            </w:pPr>
          </w:p>
        </w:tc>
        <w:tc>
          <w:tcPr>
            <w:tcW w:w="5" w:type="pct"/>
            <w:shd w:val="clear" w:color="auto" w:fill="auto"/>
          </w:tcPr>
          <w:p w14:paraId="7DD00CF0" w14:textId="77777777" w:rsidR="00C1563E" w:rsidRDefault="00C1563E">
            <w:pPr>
              <w:rPr>
                <w:rFonts w:ascii="宋体"/>
              </w:rPr>
            </w:pPr>
          </w:p>
        </w:tc>
        <w:tc>
          <w:tcPr>
            <w:tcW w:w="19" w:type="pct"/>
            <w:shd w:val="clear" w:color="auto" w:fill="auto"/>
          </w:tcPr>
          <w:p w14:paraId="7DD00CF1" w14:textId="77777777" w:rsidR="00C1563E" w:rsidRDefault="00C1563E">
            <w:pPr>
              <w:rPr>
                <w:rFonts w:ascii="宋体"/>
              </w:rPr>
            </w:pPr>
          </w:p>
        </w:tc>
        <w:tc>
          <w:tcPr>
            <w:tcW w:w="5" w:type="pct"/>
            <w:shd w:val="clear" w:color="auto" w:fill="auto"/>
          </w:tcPr>
          <w:p w14:paraId="7DD00CF2" w14:textId="77777777" w:rsidR="00C1563E" w:rsidRDefault="00C1563E">
            <w:pPr>
              <w:rPr>
                <w:rFonts w:ascii="宋体"/>
              </w:rPr>
            </w:pPr>
          </w:p>
        </w:tc>
        <w:tc>
          <w:tcPr>
            <w:tcW w:w="50" w:type="pct"/>
            <w:shd w:val="clear" w:color="auto" w:fill="auto"/>
          </w:tcPr>
          <w:p w14:paraId="7DD00CF3" w14:textId="77777777" w:rsidR="00C1563E" w:rsidRDefault="00C1563E">
            <w:pPr>
              <w:rPr>
                <w:rFonts w:ascii="宋体"/>
              </w:rPr>
            </w:pPr>
          </w:p>
        </w:tc>
        <w:tc>
          <w:tcPr>
            <w:tcW w:w="478" w:type="pct"/>
            <w:shd w:val="clear" w:color="auto" w:fill="auto"/>
          </w:tcPr>
          <w:p w14:paraId="7DD00CF4" w14:textId="77777777" w:rsidR="00C1563E" w:rsidRDefault="00C1563E">
            <w:pPr>
              <w:rPr>
                <w:rFonts w:ascii="宋体"/>
              </w:rPr>
            </w:pPr>
          </w:p>
        </w:tc>
        <w:tc>
          <w:tcPr>
            <w:tcW w:w="5" w:type="pct"/>
            <w:shd w:val="clear" w:color="auto" w:fill="auto"/>
          </w:tcPr>
          <w:p w14:paraId="7DD00CF5" w14:textId="77777777" w:rsidR="00C1563E" w:rsidRDefault="00C1563E">
            <w:pPr>
              <w:rPr>
                <w:rFonts w:ascii="宋体"/>
              </w:rPr>
            </w:pPr>
          </w:p>
        </w:tc>
        <w:tc>
          <w:tcPr>
            <w:tcW w:w="5" w:type="pct"/>
            <w:shd w:val="clear" w:color="auto" w:fill="auto"/>
          </w:tcPr>
          <w:p w14:paraId="7DD00CF6" w14:textId="77777777" w:rsidR="00C1563E" w:rsidRDefault="00C1563E">
            <w:pPr>
              <w:rPr>
                <w:rFonts w:ascii="宋体"/>
              </w:rPr>
            </w:pPr>
          </w:p>
        </w:tc>
        <w:tc>
          <w:tcPr>
            <w:tcW w:w="19" w:type="pct"/>
            <w:shd w:val="clear" w:color="auto" w:fill="auto"/>
          </w:tcPr>
          <w:p w14:paraId="7DD00CF7" w14:textId="77777777" w:rsidR="00C1563E" w:rsidRDefault="00C1563E">
            <w:pPr>
              <w:rPr>
                <w:rFonts w:ascii="宋体"/>
              </w:rPr>
            </w:pPr>
          </w:p>
        </w:tc>
        <w:tc>
          <w:tcPr>
            <w:tcW w:w="5" w:type="pct"/>
            <w:shd w:val="clear" w:color="auto" w:fill="auto"/>
          </w:tcPr>
          <w:p w14:paraId="7DD00CF8" w14:textId="77777777" w:rsidR="00C1563E" w:rsidRDefault="00C1563E">
            <w:pPr>
              <w:rPr>
                <w:rFonts w:ascii="宋体"/>
              </w:rPr>
            </w:pPr>
          </w:p>
        </w:tc>
        <w:tc>
          <w:tcPr>
            <w:tcW w:w="0" w:type="auto"/>
            <w:shd w:val="clear" w:color="auto" w:fill="auto"/>
          </w:tcPr>
          <w:p w14:paraId="7DD00CF9" w14:textId="77777777" w:rsidR="00C1563E" w:rsidRDefault="00C1563E">
            <w:pPr>
              <w:rPr>
                <w:rFonts w:ascii="宋体"/>
                <w:vanish/>
              </w:rPr>
            </w:pPr>
          </w:p>
        </w:tc>
        <w:tc>
          <w:tcPr>
            <w:tcW w:w="0" w:type="auto"/>
            <w:shd w:val="clear" w:color="auto" w:fill="auto"/>
          </w:tcPr>
          <w:p w14:paraId="7DD00CFA" w14:textId="77777777" w:rsidR="00C1563E" w:rsidRDefault="00C1563E">
            <w:pPr>
              <w:rPr>
                <w:rFonts w:ascii="宋体"/>
                <w:vanish/>
              </w:rPr>
            </w:pPr>
          </w:p>
        </w:tc>
        <w:tc>
          <w:tcPr>
            <w:tcW w:w="50" w:type="pct"/>
            <w:shd w:val="clear" w:color="auto" w:fill="auto"/>
          </w:tcPr>
          <w:p w14:paraId="7DD00CFB" w14:textId="77777777" w:rsidR="00C1563E" w:rsidRDefault="00C1563E">
            <w:pPr>
              <w:rPr>
                <w:rFonts w:ascii="宋体"/>
              </w:rPr>
            </w:pPr>
          </w:p>
        </w:tc>
        <w:tc>
          <w:tcPr>
            <w:tcW w:w="478" w:type="pct"/>
            <w:shd w:val="clear" w:color="auto" w:fill="auto"/>
          </w:tcPr>
          <w:p w14:paraId="7DD00CFC" w14:textId="77777777" w:rsidR="00C1563E" w:rsidRDefault="00C1563E">
            <w:pPr>
              <w:rPr>
                <w:rFonts w:ascii="宋体"/>
              </w:rPr>
            </w:pPr>
          </w:p>
        </w:tc>
        <w:tc>
          <w:tcPr>
            <w:tcW w:w="5" w:type="pct"/>
            <w:shd w:val="clear" w:color="auto" w:fill="auto"/>
          </w:tcPr>
          <w:p w14:paraId="7DD00CFD" w14:textId="77777777" w:rsidR="00C1563E" w:rsidRDefault="00C1563E">
            <w:pPr>
              <w:rPr>
                <w:rFonts w:ascii="宋体"/>
              </w:rPr>
            </w:pPr>
          </w:p>
        </w:tc>
        <w:tc>
          <w:tcPr>
            <w:tcW w:w="5" w:type="pct"/>
            <w:shd w:val="clear" w:color="auto" w:fill="auto"/>
          </w:tcPr>
          <w:p w14:paraId="7DD00CFE" w14:textId="77777777" w:rsidR="00C1563E" w:rsidRDefault="00C1563E">
            <w:pPr>
              <w:rPr>
                <w:rFonts w:ascii="宋体"/>
              </w:rPr>
            </w:pPr>
          </w:p>
        </w:tc>
        <w:tc>
          <w:tcPr>
            <w:tcW w:w="19" w:type="pct"/>
            <w:shd w:val="clear" w:color="auto" w:fill="auto"/>
          </w:tcPr>
          <w:p w14:paraId="7DD00CFF" w14:textId="77777777" w:rsidR="00C1563E" w:rsidRDefault="00C1563E">
            <w:pPr>
              <w:rPr>
                <w:rFonts w:ascii="宋体"/>
              </w:rPr>
            </w:pPr>
          </w:p>
        </w:tc>
        <w:tc>
          <w:tcPr>
            <w:tcW w:w="5" w:type="pct"/>
            <w:shd w:val="clear" w:color="auto" w:fill="auto"/>
          </w:tcPr>
          <w:p w14:paraId="7DD00D00" w14:textId="77777777" w:rsidR="00C1563E" w:rsidRDefault="00C1563E">
            <w:pPr>
              <w:rPr>
                <w:rFonts w:ascii="宋体"/>
              </w:rPr>
            </w:pPr>
          </w:p>
        </w:tc>
        <w:tc>
          <w:tcPr>
            <w:tcW w:w="50" w:type="pct"/>
            <w:shd w:val="clear" w:color="auto" w:fill="auto"/>
          </w:tcPr>
          <w:p w14:paraId="7DD00D01" w14:textId="77777777" w:rsidR="00C1563E" w:rsidRDefault="00C1563E">
            <w:pPr>
              <w:rPr>
                <w:rFonts w:ascii="宋体"/>
              </w:rPr>
            </w:pPr>
          </w:p>
        </w:tc>
        <w:tc>
          <w:tcPr>
            <w:tcW w:w="478" w:type="pct"/>
            <w:shd w:val="clear" w:color="auto" w:fill="auto"/>
          </w:tcPr>
          <w:p w14:paraId="7DD00D02" w14:textId="77777777" w:rsidR="00C1563E" w:rsidRDefault="00C1563E">
            <w:pPr>
              <w:rPr>
                <w:rFonts w:ascii="宋体"/>
              </w:rPr>
            </w:pPr>
          </w:p>
        </w:tc>
        <w:tc>
          <w:tcPr>
            <w:tcW w:w="5" w:type="pct"/>
            <w:shd w:val="clear" w:color="auto" w:fill="auto"/>
          </w:tcPr>
          <w:p w14:paraId="7DD00D03" w14:textId="77777777" w:rsidR="00C1563E" w:rsidRDefault="00C1563E">
            <w:pPr>
              <w:rPr>
                <w:rFonts w:ascii="宋体"/>
              </w:rPr>
            </w:pPr>
          </w:p>
        </w:tc>
        <w:tc>
          <w:tcPr>
            <w:tcW w:w="5" w:type="pct"/>
            <w:shd w:val="clear" w:color="auto" w:fill="auto"/>
          </w:tcPr>
          <w:p w14:paraId="7DD00D04" w14:textId="77777777" w:rsidR="00C1563E" w:rsidRDefault="00C1563E">
            <w:pPr>
              <w:rPr>
                <w:rFonts w:ascii="宋体"/>
              </w:rPr>
            </w:pPr>
          </w:p>
        </w:tc>
        <w:tc>
          <w:tcPr>
            <w:tcW w:w="19" w:type="pct"/>
            <w:shd w:val="clear" w:color="auto" w:fill="auto"/>
          </w:tcPr>
          <w:p w14:paraId="7DD00D05" w14:textId="77777777" w:rsidR="00C1563E" w:rsidRDefault="00C1563E">
            <w:pPr>
              <w:rPr>
                <w:rFonts w:ascii="宋体"/>
              </w:rPr>
            </w:pPr>
          </w:p>
        </w:tc>
        <w:tc>
          <w:tcPr>
            <w:tcW w:w="5" w:type="pct"/>
            <w:shd w:val="clear" w:color="auto" w:fill="auto"/>
          </w:tcPr>
          <w:p w14:paraId="7DD00D06" w14:textId="77777777" w:rsidR="00C1563E" w:rsidRDefault="00C1563E">
            <w:pPr>
              <w:rPr>
                <w:rFonts w:ascii="宋体"/>
              </w:rPr>
            </w:pPr>
          </w:p>
        </w:tc>
        <w:tc>
          <w:tcPr>
            <w:tcW w:w="50" w:type="pct"/>
            <w:shd w:val="clear" w:color="auto" w:fill="auto"/>
          </w:tcPr>
          <w:p w14:paraId="7DD00D07" w14:textId="77777777" w:rsidR="00C1563E" w:rsidRDefault="00C1563E">
            <w:pPr>
              <w:rPr>
                <w:rFonts w:ascii="宋体"/>
              </w:rPr>
            </w:pPr>
          </w:p>
        </w:tc>
        <w:tc>
          <w:tcPr>
            <w:tcW w:w="479" w:type="pct"/>
            <w:shd w:val="clear" w:color="auto" w:fill="auto"/>
          </w:tcPr>
          <w:p w14:paraId="7DD00D08" w14:textId="77777777" w:rsidR="00C1563E" w:rsidRDefault="00C1563E">
            <w:pPr>
              <w:rPr>
                <w:rFonts w:ascii="宋体"/>
              </w:rPr>
            </w:pPr>
          </w:p>
        </w:tc>
        <w:tc>
          <w:tcPr>
            <w:tcW w:w="5" w:type="pct"/>
            <w:shd w:val="clear" w:color="auto" w:fill="auto"/>
          </w:tcPr>
          <w:p w14:paraId="7DD00D09" w14:textId="77777777" w:rsidR="00C1563E" w:rsidRDefault="00C1563E">
            <w:pPr>
              <w:rPr>
                <w:rFonts w:ascii="宋体"/>
              </w:rPr>
            </w:pPr>
          </w:p>
        </w:tc>
      </w:tr>
      <w:tr w:rsidR="00C1563E" w14:paraId="7DD00D15" w14:textId="77777777">
        <w:trPr>
          <w:jc w:val="center"/>
        </w:trPr>
        <w:tc>
          <w:tcPr>
            <w:tcW w:w="0" w:type="auto"/>
            <w:gridSpan w:val="3"/>
            <w:shd w:val="clear" w:color="auto" w:fill="auto"/>
            <w:tcMar>
              <w:top w:w="0" w:type="dxa"/>
              <w:left w:w="20" w:type="dxa"/>
              <w:bottom w:w="0" w:type="dxa"/>
              <w:right w:w="20" w:type="dxa"/>
            </w:tcMar>
          </w:tcPr>
          <w:p w14:paraId="7DD00D0B" w14:textId="77777777" w:rsidR="00C1563E" w:rsidRDefault="00C1563E">
            <w:pPr>
              <w:rPr>
                <w:rFonts w:ascii="宋体"/>
              </w:rPr>
            </w:pPr>
          </w:p>
        </w:tc>
        <w:tc>
          <w:tcPr>
            <w:tcW w:w="0" w:type="auto"/>
            <w:shd w:val="clear" w:color="auto" w:fill="auto"/>
          </w:tcPr>
          <w:p w14:paraId="7DD00D0C" w14:textId="77777777" w:rsidR="00C1563E" w:rsidRDefault="00C1563E">
            <w:pPr>
              <w:rPr>
                <w:rFonts w:ascii="宋体"/>
                <w:vanish/>
              </w:rPr>
            </w:pPr>
          </w:p>
        </w:tc>
        <w:tc>
          <w:tcPr>
            <w:tcW w:w="0" w:type="auto"/>
            <w:shd w:val="clear" w:color="auto" w:fill="auto"/>
          </w:tcPr>
          <w:p w14:paraId="7DD00D0D" w14:textId="77777777" w:rsidR="00C1563E" w:rsidRDefault="00C1563E">
            <w:pPr>
              <w:rPr>
                <w:rFonts w:ascii="宋体"/>
                <w:vanish/>
              </w:rPr>
            </w:pPr>
          </w:p>
        </w:tc>
        <w:tc>
          <w:tcPr>
            <w:tcW w:w="0" w:type="auto"/>
            <w:gridSpan w:val="29"/>
            <w:tcBorders>
              <w:bottom w:val="single" w:sz="8" w:space="0" w:color="000000"/>
            </w:tcBorders>
            <w:shd w:val="clear" w:color="auto" w:fill="FFFFFF"/>
            <w:tcMar>
              <w:top w:w="40" w:type="dxa"/>
              <w:left w:w="20" w:type="dxa"/>
              <w:bottom w:w="40" w:type="dxa"/>
              <w:right w:w="20" w:type="dxa"/>
            </w:tcMar>
            <w:vAlign w:val="bottom"/>
          </w:tcPr>
          <w:p w14:paraId="7DD00D0E"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D00D0F" w14:textId="77777777" w:rsidR="00C1563E" w:rsidRDefault="00C1563E">
            <w:pPr>
              <w:rPr>
                <w:rFonts w:ascii="宋体"/>
              </w:rPr>
            </w:pPr>
          </w:p>
        </w:tc>
        <w:tc>
          <w:tcPr>
            <w:tcW w:w="0" w:type="auto"/>
            <w:shd w:val="clear" w:color="auto" w:fill="auto"/>
          </w:tcPr>
          <w:p w14:paraId="7DD00D10" w14:textId="77777777" w:rsidR="00C1563E" w:rsidRDefault="00C1563E">
            <w:pPr>
              <w:rPr>
                <w:rFonts w:ascii="宋体"/>
              </w:rPr>
            </w:pPr>
          </w:p>
        </w:tc>
        <w:tc>
          <w:tcPr>
            <w:tcW w:w="0" w:type="auto"/>
            <w:shd w:val="clear" w:color="auto" w:fill="auto"/>
          </w:tcPr>
          <w:p w14:paraId="7DD00D11" w14:textId="77777777" w:rsidR="00C1563E" w:rsidRDefault="00C1563E">
            <w:pPr>
              <w:rPr>
                <w:rFonts w:ascii="宋体"/>
              </w:rPr>
            </w:pPr>
          </w:p>
        </w:tc>
        <w:tc>
          <w:tcPr>
            <w:tcW w:w="0" w:type="auto"/>
            <w:shd w:val="clear" w:color="auto" w:fill="auto"/>
          </w:tcPr>
          <w:p w14:paraId="7DD00D12" w14:textId="77777777" w:rsidR="00C1563E" w:rsidRDefault="00C1563E">
            <w:pPr>
              <w:rPr>
                <w:rFonts w:ascii="宋体"/>
              </w:rPr>
            </w:pPr>
          </w:p>
        </w:tc>
        <w:tc>
          <w:tcPr>
            <w:tcW w:w="0" w:type="auto"/>
            <w:shd w:val="clear" w:color="auto" w:fill="auto"/>
          </w:tcPr>
          <w:p w14:paraId="7DD00D13" w14:textId="77777777" w:rsidR="00C1563E" w:rsidRDefault="00C1563E">
            <w:pPr>
              <w:rPr>
                <w:rFonts w:ascii="宋体"/>
              </w:rPr>
            </w:pPr>
          </w:p>
        </w:tc>
        <w:tc>
          <w:tcPr>
            <w:tcW w:w="0" w:type="auto"/>
            <w:shd w:val="clear" w:color="auto" w:fill="auto"/>
          </w:tcPr>
          <w:p w14:paraId="7DD00D14" w14:textId="77777777" w:rsidR="00C1563E" w:rsidRDefault="00C1563E">
            <w:pPr>
              <w:rPr>
                <w:rFonts w:ascii="宋体"/>
              </w:rPr>
            </w:pPr>
          </w:p>
        </w:tc>
      </w:tr>
      <w:tr w:rsidR="00C1563E" w14:paraId="7DD00D1E" w14:textId="77777777">
        <w:trPr>
          <w:jc w:val="center"/>
        </w:trPr>
        <w:tc>
          <w:tcPr>
            <w:tcW w:w="0" w:type="auto"/>
            <w:gridSpan w:val="3"/>
            <w:shd w:val="clear" w:color="auto" w:fill="auto"/>
            <w:tcMar>
              <w:top w:w="0" w:type="dxa"/>
              <w:left w:w="20" w:type="dxa"/>
              <w:bottom w:w="0" w:type="dxa"/>
              <w:right w:w="20" w:type="dxa"/>
            </w:tcMar>
          </w:tcPr>
          <w:p w14:paraId="7DD00D16" w14:textId="77777777" w:rsidR="00C1563E" w:rsidRDefault="00C1563E">
            <w:pPr>
              <w:rPr>
                <w:rFonts w:ascii="宋体"/>
              </w:rPr>
            </w:pPr>
          </w:p>
        </w:tc>
        <w:tc>
          <w:tcPr>
            <w:tcW w:w="0" w:type="auto"/>
            <w:shd w:val="clear" w:color="auto" w:fill="auto"/>
          </w:tcPr>
          <w:p w14:paraId="7DD00D17" w14:textId="77777777" w:rsidR="00C1563E" w:rsidRDefault="00C1563E">
            <w:pPr>
              <w:rPr>
                <w:rFonts w:ascii="宋体"/>
                <w:vanish/>
              </w:rPr>
            </w:pPr>
          </w:p>
        </w:tc>
        <w:tc>
          <w:tcPr>
            <w:tcW w:w="0" w:type="auto"/>
            <w:shd w:val="clear" w:color="auto" w:fill="auto"/>
          </w:tcPr>
          <w:p w14:paraId="7DD00D18"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D19"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D1A" w14:textId="77777777" w:rsidR="00C1563E" w:rsidRDefault="00C1563E">
            <w:pPr>
              <w:rPr>
                <w:rFonts w:ascii="宋体"/>
              </w:rPr>
            </w:pPr>
          </w:p>
        </w:tc>
        <w:tc>
          <w:tcPr>
            <w:tcW w:w="0" w:type="auto"/>
            <w:shd w:val="clear" w:color="auto" w:fill="auto"/>
          </w:tcPr>
          <w:p w14:paraId="7DD00D1B" w14:textId="77777777" w:rsidR="00C1563E" w:rsidRDefault="00C1563E">
            <w:pPr>
              <w:rPr>
                <w:rFonts w:ascii="宋体"/>
                <w:vanish/>
              </w:rPr>
            </w:pPr>
          </w:p>
        </w:tc>
        <w:tc>
          <w:tcPr>
            <w:tcW w:w="0" w:type="auto"/>
            <w:shd w:val="clear" w:color="auto" w:fill="auto"/>
          </w:tcPr>
          <w:p w14:paraId="7DD00D1C"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D1D"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0D2F" w14:textId="77777777">
        <w:trPr>
          <w:jc w:val="center"/>
        </w:trPr>
        <w:tc>
          <w:tcPr>
            <w:tcW w:w="0" w:type="auto"/>
            <w:gridSpan w:val="3"/>
            <w:shd w:val="clear" w:color="auto" w:fill="auto"/>
            <w:tcMar>
              <w:top w:w="0" w:type="dxa"/>
              <w:left w:w="20" w:type="dxa"/>
              <w:bottom w:w="0" w:type="dxa"/>
              <w:right w:w="20" w:type="dxa"/>
            </w:tcMar>
          </w:tcPr>
          <w:p w14:paraId="7DD00D1F" w14:textId="77777777" w:rsidR="00C1563E" w:rsidRDefault="00C1563E">
            <w:pPr>
              <w:rPr>
                <w:rFonts w:ascii="宋体"/>
              </w:rPr>
            </w:pPr>
          </w:p>
        </w:tc>
        <w:tc>
          <w:tcPr>
            <w:tcW w:w="0" w:type="auto"/>
            <w:shd w:val="clear" w:color="auto" w:fill="auto"/>
          </w:tcPr>
          <w:p w14:paraId="7DD00D20" w14:textId="77777777" w:rsidR="00C1563E" w:rsidRDefault="00C1563E">
            <w:pPr>
              <w:rPr>
                <w:rFonts w:ascii="宋体"/>
                <w:vanish/>
              </w:rPr>
            </w:pPr>
          </w:p>
        </w:tc>
        <w:tc>
          <w:tcPr>
            <w:tcW w:w="0" w:type="auto"/>
            <w:shd w:val="clear" w:color="auto" w:fill="auto"/>
          </w:tcPr>
          <w:p w14:paraId="7DD00D21"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D22" w14:textId="77777777" w:rsidR="00C1563E" w:rsidRDefault="000B648B">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DD00D2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24" w14:textId="77777777" w:rsidR="00C1563E" w:rsidRDefault="000B648B">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DD00D25"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26" w14:textId="77777777" w:rsidR="00C1563E" w:rsidRDefault="000B648B">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tcPr>
          <w:p w14:paraId="7DD00D27" w14:textId="77777777" w:rsidR="00C1563E" w:rsidRDefault="00C1563E">
            <w:pPr>
              <w:rPr>
                <w:rFonts w:ascii="宋体"/>
              </w:rPr>
            </w:pPr>
          </w:p>
        </w:tc>
        <w:tc>
          <w:tcPr>
            <w:tcW w:w="0" w:type="auto"/>
            <w:shd w:val="clear" w:color="auto" w:fill="auto"/>
          </w:tcPr>
          <w:p w14:paraId="7DD00D28" w14:textId="77777777" w:rsidR="00C1563E" w:rsidRDefault="00C1563E">
            <w:pPr>
              <w:rPr>
                <w:rFonts w:ascii="宋体"/>
                <w:vanish/>
              </w:rPr>
            </w:pPr>
          </w:p>
        </w:tc>
        <w:tc>
          <w:tcPr>
            <w:tcW w:w="0" w:type="auto"/>
            <w:shd w:val="clear" w:color="auto" w:fill="auto"/>
          </w:tcPr>
          <w:p w14:paraId="7DD00D29" w14:textId="77777777" w:rsidR="00C1563E" w:rsidRDefault="00C1563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2A" w14:textId="77777777" w:rsidR="00C1563E" w:rsidRDefault="000B648B">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tcPr>
          <w:p w14:paraId="7DD00D2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2C" w14:textId="77777777" w:rsidR="00C1563E" w:rsidRDefault="000B648B">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tcPr>
          <w:p w14:paraId="7DD00D2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2E" w14:textId="77777777" w:rsidR="00C1563E" w:rsidRDefault="000B648B">
            <w:pPr>
              <w:jc w:val="center"/>
              <w:textAlignment w:val="bottom"/>
            </w:pPr>
            <w:r>
              <w:rPr>
                <w:rFonts w:ascii="Times New Roman" w:eastAsia="宋体" w:hAnsi="Times New Roman"/>
                <w:b/>
                <w:bCs/>
                <w:color w:val="000000"/>
                <w:sz w:val="20"/>
                <w:szCs w:val="20"/>
              </w:rPr>
              <w:t>Total</w:t>
            </w:r>
          </w:p>
        </w:tc>
      </w:tr>
      <w:tr w:rsidR="00C1563E" w14:paraId="7DD00D3A" w14:textId="77777777">
        <w:trPr>
          <w:jc w:val="center"/>
        </w:trPr>
        <w:tc>
          <w:tcPr>
            <w:tcW w:w="0" w:type="auto"/>
            <w:gridSpan w:val="3"/>
            <w:shd w:val="clear" w:color="auto" w:fill="FFFFFF"/>
            <w:tcMar>
              <w:top w:w="0" w:type="dxa"/>
              <w:left w:w="20" w:type="dxa"/>
              <w:bottom w:w="0" w:type="dxa"/>
              <w:right w:w="20" w:type="dxa"/>
            </w:tcMar>
          </w:tcPr>
          <w:p w14:paraId="7DD00D30" w14:textId="77777777" w:rsidR="00C1563E" w:rsidRDefault="00C1563E">
            <w:pPr>
              <w:rPr>
                <w:rFonts w:ascii="宋体"/>
              </w:rPr>
            </w:pPr>
          </w:p>
        </w:tc>
        <w:tc>
          <w:tcPr>
            <w:tcW w:w="0" w:type="auto"/>
            <w:shd w:val="clear" w:color="auto" w:fill="auto"/>
          </w:tcPr>
          <w:p w14:paraId="7DD00D31" w14:textId="77777777" w:rsidR="00C1563E" w:rsidRDefault="00C1563E">
            <w:pPr>
              <w:rPr>
                <w:rFonts w:ascii="宋体"/>
                <w:vanish/>
              </w:rPr>
            </w:pPr>
          </w:p>
        </w:tc>
        <w:tc>
          <w:tcPr>
            <w:tcW w:w="0" w:type="auto"/>
            <w:shd w:val="clear" w:color="auto" w:fill="auto"/>
          </w:tcPr>
          <w:p w14:paraId="7DD00D32" w14:textId="77777777" w:rsidR="00C1563E" w:rsidRDefault="00C1563E">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center"/>
          </w:tcPr>
          <w:p w14:paraId="7DD00D33" w14:textId="77777777" w:rsidR="00C1563E" w:rsidRDefault="000B648B">
            <w:pPr>
              <w:jc w:val="center"/>
              <w:textAlignment w:val="center"/>
            </w:pPr>
            <w:r>
              <w:rPr>
                <w:rFonts w:ascii="Times New Roman" w:eastAsia="宋体" w:hAnsi="Times New Roman"/>
                <w:color w:val="000000"/>
                <w:sz w:val="20"/>
                <w:szCs w:val="20"/>
              </w:rPr>
              <w:t>(in millions)</w:t>
            </w:r>
          </w:p>
        </w:tc>
        <w:tc>
          <w:tcPr>
            <w:tcW w:w="0" w:type="auto"/>
            <w:shd w:val="clear" w:color="auto" w:fill="auto"/>
          </w:tcPr>
          <w:p w14:paraId="7DD00D34" w14:textId="77777777" w:rsidR="00C1563E" w:rsidRDefault="00C1563E">
            <w:pPr>
              <w:rPr>
                <w:rFonts w:ascii="宋体"/>
              </w:rPr>
            </w:pPr>
          </w:p>
        </w:tc>
        <w:tc>
          <w:tcPr>
            <w:tcW w:w="0" w:type="auto"/>
            <w:shd w:val="clear" w:color="auto" w:fill="auto"/>
          </w:tcPr>
          <w:p w14:paraId="7DD00D35" w14:textId="77777777" w:rsidR="00C1563E" w:rsidRDefault="00C1563E">
            <w:pPr>
              <w:rPr>
                <w:rFonts w:ascii="宋体"/>
              </w:rPr>
            </w:pPr>
          </w:p>
        </w:tc>
        <w:tc>
          <w:tcPr>
            <w:tcW w:w="0" w:type="auto"/>
            <w:shd w:val="clear" w:color="auto" w:fill="auto"/>
          </w:tcPr>
          <w:p w14:paraId="7DD00D36" w14:textId="77777777" w:rsidR="00C1563E" w:rsidRDefault="00C1563E">
            <w:pPr>
              <w:rPr>
                <w:rFonts w:ascii="宋体"/>
              </w:rPr>
            </w:pPr>
          </w:p>
        </w:tc>
        <w:tc>
          <w:tcPr>
            <w:tcW w:w="0" w:type="auto"/>
            <w:shd w:val="clear" w:color="auto" w:fill="auto"/>
          </w:tcPr>
          <w:p w14:paraId="7DD00D37" w14:textId="77777777" w:rsidR="00C1563E" w:rsidRDefault="00C1563E">
            <w:pPr>
              <w:rPr>
                <w:rFonts w:ascii="宋体"/>
              </w:rPr>
            </w:pPr>
          </w:p>
        </w:tc>
        <w:tc>
          <w:tcPr>
            <w:tcW w:w="0" w:type="auto"/>
            <w:shd w:val="clear" w:color="auto" w:fill="auto"/>
          </w:tcPr>
          <w:p w14:paraId="7DD00D38" w14:textId="77777777" w:rsidR="00C1563E" w:rsidRDefault="00C1563E">
            <w:pPr>
              <w:rPr>
                <w:rFonts w:ascii="宋体"/>
              </w:rPr>
            </w:pPr>
          </w:p>
        </w:tc>
        <w:tc>
          <w:tcPr>
            <w:tcW w:w="0" w:type="auto"/>
            <w:shd w:val="clear" w:color="auto" w:fill="auto"/>
          </w:tcPr>
          <w:p w14:paraId="7DD00D39" w14:textId="77777777" w:rsidR="00C1563E" w:rsidRDefault="00C1563E">
            <w:pPr>
              <w:rPr>
                <w:rFonts w:ascii="宋体"/>
              </w:rPr>
            </w:pPr>
          </w:p>
        </w:tc>
      </w:tr>
      <w:tr w:rsidR="00C1563E" w14:paraId="7DD00D4B" w14:textId="77777777">
        <w:trPr>
          <w:jc w:val="center"/>
        </w:trPr>
        <w:tc>
          <w:tcPr>
            <w:tcW w:w="0" w:type="auto"/>
            <w:gridSpan w:val="3"/>
            <w:shd w:val="clear" w:color="auto" w:fill="CCEEFF"/>
            <w:tcMar>
              <w:top w:w="40" w:type="dxa"/>
              <w:left w:w="20" w:type="dxa"/>
              <w:bottom w:w="40" w:type="dxa"/>
              <w:right w:w="20" w:type="dxa"/>
            </w:tcMar>
            <w:vAlign w:val="center"/>
          </w:tcPr>
          <w:p w14:paraId="7DD00D3B" w14:textId="77777777" w:rsidR="00C1563E" w:rsidRDefault="000B648B">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tcPr>
          <w:p w14:paraId="7DD00D3C" w14:textId="77777777" w:rsidR="00C1563E" w:rsidRDefault="00C1563E">
            <w:pPr>
              <w:rPr>
                <w:rFonts w:ascii="宋体"/>
                <w:vanish/>
              </w:rPr>
            </w:pPr>
          </w:p>
        </w:tc>
        <w:tc>
          <w:tcPr>
            <w:tcW w:w="0" w:type="auto"/>
            <w:shd w:val="clear" w:color="auto" w:fill="auto"/>
          </w:tcPr>
          <w:p w14:paraId="7DD00D3D"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0D3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3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3" w14:textId="77777777" w:rsidR="00C1563E" w:rsidRDefault="00C1563E">
            <w:pPr>
              <w:rPr>
                <w:rFonts w:ascii="宋体"/>
              </w:rPr>
            </w:pPr>
          </w:p>
        </w:tc>
        <w:tc>
          <w:tcPr>
            <w:tcW w:w="0" w:type="auto"/>
            <w:shd w:val="clear" w:color="auto" w:fill="auto"/>
          </w:tcPr>
          <w:p w14:paraId="7DD00D44" w14:textId="77777777" w:rsidR="00C1563E" w:rsidRDefault="00C1563E">
            <w:pPr>
              <w:rPr>
                <w:rFonts w:ascii="宋体"/>
                <w:vanish/>
              </w:rPr>
            </w:pPr>
          </w:p>
        </w:tc>
        <w:tc>
          <w:tcPr>
            <w:tcW w:w="0" w:type="auto"/>
            <w:shd w:val="clear" w:color="auto" w:fill="auto"/>
          </w:tcPr>
          <w:p w14:paraId="7DD00D45"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0D4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D4A" w14:textId="77777777" w:rsidR="00C1563E" w:rsidRDefault="00C1563E">
            <w:pPr>
              <w:rPr>
                <w:rFonts w:ascii="宋体"/>
              </w:rPr>
            </w:pPr>
          </w:p>
        </w:tc>
      </w:tr>
      <w:tr w:rsidR="00C1563E" w14:paraId="7DD00D68" w14:textId="77777777">
        <w:trPr>
          <w:jc w:val="center"/>
        </w:trPr>
        <w:tc>
          <w:tcPr>
            <w:tcW w:w="0" w:type="auto"/>
            <w:gridSpan w:val="3"/>
            <w:shd w:val="clear" w:color="auto" w:fill="FFFFFF"/>
            <w:tcMar>
              <w:top w:w="40" w:type="dxa"/>
              <w:left w:w="155" w:type="dxa"/>
              <w:bottom w:w="40" w:type="dxa"/>
              <w:right w:w="20" w:type="dxa"/>
            </w:tcMar>
            <w:vAlign w:val="center"/>
          </w:tcPr>
          <w:p w14:paraId="7DD00D4C" w14:textId="77777777" w:rsidR="00C1563E" w:rsidRDefault="000B648B">
            <w:pPr>
              <w:textAlignment w:val="center"/>
            </w:pPr>
            <w:r>
              <w:rPr>
                <w:rFonts w:ascii="Times New Roman" w:eastAsia="宋体" w:hAnsi="Times New Roman"/>
                <w:color w:val="000000"/>
                <w:sz w:val="20"/>
                <w:szCs w:val="20"/>
              </w:rPr>
              <w:t>Net revenue</w:t>
            </w:r>
          </w:p>
        </w:tc>
        <w:tc>
          <w:tcPr>
            <w:tcW w:w="0" w:type="auto"/>
            <w:shd w:val="clear" w:color="auto" w:fill="auto"/>
          </w:tcPr>
          <w:p w14:paraId="7DD00D4D" w14:textId="77777777" w:rsidR="00C1563E" w:rsidRDefault="00C1563E">
            <w:pPr>
              <w:rPr>
                <w:rFonts w:ascii="宋体"/>
                <w:vanish/>
              </w:rPr>
            </w:pPr>
          </w:p>
        </w:tc>
        <w:tc>
          <w:tcPr>
            <w:tcW w:w="0" w:type="auto"/>
            <w:shd w:val="clear" w:color="auto" w:fill="auto"/>
          </w:tcPr>
          <w:p w14:paraId="7DD00D4E"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center"/>
          </w:tcPr>
          <w:p w14:paraId="7DD00D4F"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50" w14:textId="77777777" w:rsidR="00C1563E" w:rsidRDefault="000B648B">
            <w:pPr>
              <w:jc w:val="right"/>
              <w:textAlignment w:val="center"/>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center"/>
          </w:tcPr>
          <w:p w14:paraId="7DD00D5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52" w14:textId="77777777" w:rsidR="00C1563E" w:rsidRDefault="00C1563E">
            <w:pPr>
              <w:rPr>
                <w:rFonts w:ascii="宋体"/>
              </w:rPr>
            </w:pPr>
          </w:p>
        </w:tc>
        <w:tc>
          <w:tcPr>
            <w:tcW w:w="0" w:type="auto"/>
            <w:shd w:val="clear" w:color="auto" w:fill="FFFFFF"/>
            <w:tcMar>
              <w:top w:w="40" w:type="dxa"/>
              <w:left w:w="20" w:type="dxa"/>
              <w:bottom w:w="40" w:type="dxa"/>
              <w:right w:w="0" w:type="dxa"/>
            </w:tcMar>
            <w:vAlign w:val="center"/>
          </w:tcPr>
          <w:p w14:paraId="7DD00D53"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54"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DD00D5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56" w14:textId="77777777" w:rsidR="00C1563E" w:rsidRDefault="00C1563E">
            <w:pPr>
              <w:rPr>
                <w:rFonts w:ascii="宋体"/>
              </w:rPr>
            </w:pPr>
          </w:p>
        </w:tc>
        <w:tc>
          <w:tcPr>
            <w:tcW w:w="0" w:type="auto"/>
            <w:shd w:val="clear" w:color="auto" w:fill="FFFFFF"/>
            <w:tcMar>
              <w:top w:w="40" w:type="dxa"/>
              <w:left w:w="20" w:type="dxa"/>
              <w:bottom w:w="40" w:type="dxa"/>
              <w:right w:w="0" w:type="dxa"/>
            </w:tcMar>
            <w:vAlign w:val="center"/>
          </w:tcPr>
          <w:p w14:paraId="7DD00D57"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58" w14:textId="77777777" w:rsidR="00C1563E" w:rsidRDefault="000B648B">
            <w:pPr>
              <w:jc w:val="right"/>
              <w:textAlignment w:val="center"/>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center"/>
          </w:tcPr>
          <w:p w14:paraId="7DD00D5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5A" w14:textId="77777777" w:rsidR="00C1563E" w:rsidRDefault="00C1563E">
            <w:pPr>
              <w:rPr>
                <w:rFonts w:ascii="宋体"/>
              </w:rPr>
            </w:pPr>
          </w:p>
        </w:tc>
        <w:tc>
          <w:tcPr>
            <w:tcW w:w="0" w:type="auto"/>
            <w:shd w:val="clear" w:color="auto" w:fill="auto"/>
          </w:tcPr>
          <w:p w14:paraId="7DD00D5B" w14:textId="77777777" w:rsidR="00C1563E" w:rsidRDefault="00C1563E">
            <w:pPr>
              <w:rPr>
                <w:rFonts w:ascii="宋体"/>
                <w:vanish/>
              </w:rPr>
            </w:pPr>
          </w:p>
        </w:tc>
        <w:tc>
          <w:tcPr>
            <w:tcW w:w="0" w:type="auto"/>
            <w:shd w:val="clear" w:color="auto" w:fill="auto"/>
          </w:tcPr>
          <w:p w14:paraId="7DD00D5C"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center"/>
          </w:tcPr>
          <w:p w14:paraId="7DD00D5D"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5E" w14:textId="77777777" w:rsidR="00C1563E" w:rsidRDefault="000B648B">
            <w:pPr>
              <w:jc w:val="right"/>
              <w:textAlignment w:val="center"/>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center"/>
          </w:tcPr>
          <w:p w14:paraId="7DD00D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60" w14:textId="77777777" w:rsidR="00C1563E" w:rsidRDefault="00C1563E">
            <w:pPr>
              <w:rPr>
                <w:rFonts w:ascii="宋体"/>
              </w:rPr>
            </w:pPr>
          </w:p>
        </w:tc>
        <w:tc>
          <w:tcPr>
            <w:tcW w:w="0" w:type="auto"/>
            <w:shd w:val="clear" w:color="auto" w:fill="FFFFFF"/>
            <w:tcMar>
              <w:top w:w="40" w:type="dxa"/>
              <w:left w:w="20" w:type="dxa"/>
              <w:bottom w:w="40" w:type="dxa"/>
              <w:right w:w="0" w:type="dxa"/>
            </w:tcMar>
            <w:vAlign w:val="center"/>
          </w:tcPr>
          <w:p w14:paraId="7DD00D61"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62"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DD00D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64" w14:textId="77777777" w:rsidR="00C1563E" w:rsidRDefault="00C1563E">
            <w:pPr>
              <w:rPr>
                <w:rFonts w:ascii="宋体"/>
              </w:rPr>
            </w:pPr>
          </w:p>
        </w:tc>
        <w:tc>
          <w:tcPr>
            <w:tcW w:w="0" w:type="auto"/>
            <w:shd w:val="clear" w:color="auto" w:fill="FFFFFF"/>
            <w:tcMar>
              <w:top w:w="40" w:type="dxa"/>
              <w:left w:w="20" w:type="dxa"/>
              <w:bottom w:w="40" w:type="dxa"/>
              <w:right w:w="0" w:type="dxa"/>
            </w:tcMar>
            <w:vAlign w:val="center"/>
          </w:tcPr>
          <w:p w14:paraId="7DD00D65" w14:textId="77777777" w:rsidR="00C1563E" w:rsidRDefault="000B648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DD00D66" w14:textId="77777777" w:rsidR="00C1563E" w:rsidRDefault="000B648B">
            <w:pPr>
              <w:jc w:val="right"/>
              <w:textAlignment w:val="center"/>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center"/>
          </w:tcPr>
          <w:p w14:paraId="7DD00D67" w14:textId="77777777" w:rsidR="00C1563E" w:rsidRDefault="00C1563E">
            <w:pPr>
              <w:jc w:val="right"/>
              <w:rPr>
                <w:rFonts w:ascii="宋体"/>
              </w:rPr>
            </w:pPr>
          </w:p>
        </w:tc>
      </w:tr>
      <w:tr w:rsidR="00C1563E" w14:paraId="7DD00D7F" w14:textId="77777777">
        <w:trPr>
          <w:jc w:val="center"/>
        </w:trPr>
        <w:tc>
          <w:tcPr>
            <w:tcW w:w="0" w:type="auto"/>
            <w:gridSpan w:val="3"/>
            <w:shd w:val="clear" w:color="auto" w:fill="CCEEFF"/>
            <w:tcMar>
              <w:top w:w="40" w:type="dxa"/>
              <w:left w:w="155" w:type="dxa"/>
              <w:bottom w:w="40" w:type="dxa"/>
              <w:right w:w="20" w:type="dxa"/>
            </w:tcMar>
            <w:vAlign w:val="center"/>
          </w:tcPr>
          <w:p w14:paraId="7DD00D69" w14:textId="77777777" w:rsidR="00C1563E" w:rsidRDefault="000B648B">
            <w:pPr>
              <w:textAlignment w:val="center"/>
            </w:pPr>
            <w:r>
              <w:rPr>
                <w:rFonts w:ascii="Times New Roman" w:eastAsia="宋体" w:hAnsi="Times New Roman"/>
                <w:color w:val="000000"/>
                <w:sz w:val="20"/>
                <w:szCs w:val="20"/>
              </w:rPr>
              <w:t>Cost of net revenue</w:t>
            </w:r>
          </w:p>
        </w:tc>
        <w:tc>
          <w:tcPr>
            <w:tcW w:w="0" w:type="auto"/>
            <w:shd w:val="clear" w:color="auto" w:fill="auto"/>
          </w:tcPr>
          <w:p w14:paraId="7DD00D6A" w14:textId="77777777" w:rsidR="00C1563E" w:rsidRDefault="00C1563E">
            <w:pPr>
              <w:rPr>
                <w:rFonts w:ascii="宋体"/>
                <w:vanish/>
              </w:rPr>
            </w:pPr>
          </w:p>
        </w:tc>
        <w:tc>
          <w:tcPr>
            <w:tcW w:w="0" w:type="auto"/>
            <w:shd w:val="clear" w:color="auto" w:fill="auto"/>
          </w:tcPr>
          <w:p w14:paraId="7DD00D6B"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center"/>
          </w:tcPr>
          <w:p w14:paraId="7DD00D6C" w14:textId="77777777" w:rsidR="00C1563E" w:rsidRDefault="000B648B">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7DD00D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6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D00D6F"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D00D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7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D00D72" w14:textId="77777777" w:rsidR="00C1563E" w:rsidRDefault="000B648B">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7DD00D7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74" w14:textId="77777777" w:rsidR="00C1563E" w:rsidRDefault="00C1563E">
            <w:pPr>
              <w:rPr>
                <w:rFonts w:ascii="宋体"/>
              </w:rPr>
            </w:pPr>
          </w:p>
        </w:tc>
        <w:tc>
          <w:tcPr>
            <w:tcW w:w="0" w:type="auto"/>
            <w:shd w:val="clear" w:color="auto" w:fill="auto"/>
          </w:tcPr>
          <w:p w14:paraId="7DD00D75" w14:textId="77777777" w:rsidR="00C1563E" w:rsidRDefault="00C1563E">
            <w:pPr>
              <w:rPr>
                <w:rFonts w:ascii="宋体"/>
                <w:vanish/>
              </w:rPr>
            </w:pPr>
          </w:p>
        </w:tc>
        <w:tc>
          <w:tcPr>
            <w:tcW w:w="0" w:type="auto"/>
            <w:shd w:val="clear" w:color="auto" w:fill="auto"/>
          </w:tcPr>
          <w:p w14:paraId="7DD00D76"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center"/>
          </w:tcPr>
          <w:p w14:paraId="7DD00D77"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D00D7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7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D00D7A"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D00D7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7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D00D7D"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DD00D7E" w14:textId="77777777" w:rsidR="00C1563E" w:rsidRDefault="00C1563E">
            <w:pPr>
              <w:jc w:val="right"/>
              <w:rPr>
                <w:rFonts w:ascii="宋体"/>
              </w:rPr>
            </w:pPr>
          </w:p>
        </w:tc>
      </w:tr>
      <w:tr w:rsidR="00C1563E" w14:paraId="7DD00D96" w14:textId="77777777">
        <w:trPr>
          <w:jc w:val="center"/>
        </w:trPr>
        <w:tc>
          <w:tcPr>
            <w:tcW w:w="0" w:type="auto"/>
            <w:gridSpan w:val="3"/>
            <w:shd w:val="clear" w:color="auto" w:fill="FFFFFF"/>
            <w:tcMar>
              <w:top w:w="40" w:type="dxa"/>
              <w:left w:w="155" w:type="dxa"/>
              <w:bottom w:w="40" w:type="dxa"/>
              <w:right w:w="20" w:type="dxa"/>
            </w:tcMar>
            <w:vAlign w:val="center"/>
          </w:tcPr>
          <w:p w14:paraId="7DD00D80" w14:textId="77777777" w:rsidR="00C1563E" w:rsidRDefault="000B648B">
            <w:pPr>
              <w:textAlignment w:val="center"/>
            </w:pPr>
            <w:r>
              <w:rPr>
                <w:rFonts w:ascii="Times New Roman" w:eastAsia="宋体" w:hAnsi="Times New Roman"/>
                <w:color w:val="000000"/>
                <w:sz w:val="20"/>
                <w:szCs w:val="20"/>
              </w:rPr>
              <w:t>Operating expenses</w:t>
            </w:r>
          </w:p>
        </w:tc>
        <w:tc>
          <w:tcPr>
            <w:tcW w:w="0" w:type="auto"/>
            <w:shd w:val="clear" w:color="auto" w:fill="auto"/>
          </w:tcPr>
          <w:p w14:paraId="7DD00D81" w14:textId="77777777" w:rsidR="00C1563E" w:rsidRDefault="00C1563E">
            <w:pPr>
              <w:rPr>
                <w:rFonts w:ascii="宋体"/>
                <w:vanish/>
              </w:rPr>
            </w:pPr>
          </w:p>
        </w:tc>
        <w:tc>
          <w:tcPr>
            <w:tcW w:w="0" w:type="auto"/>
            <w:shd w:val="clear" w:color="auto" w:fill="auto"/>
          </w:tcPr>
          <w:p w14:paraId="7DD00D82"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center"/>
          </w:tcPr>
          <w:p w14:paraId="7DD00D83"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DD00D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8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D00D86" w14:textId="77777777" w:rsidR="00C1563E" w:rsidRDefault="000B648B">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7DD00D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8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D00D89" w14:textId="77777777" w:rsidR="00C1563E" w:rsidRDefault="000B648B">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7DD00D8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8B" w14:textId="77777777" w:rsidR="00C1563E" w:rsidRDefault="00C1563E">
            <w:pPr>
              <w:rPr>
                <w:rFonts w:ascii="宋体"/>
              </w:rPr>
            </w:pPr>
          </w:p>
        </w:tc>
        <w:tc>
          <w:tcPr>
            <w:tcW w:w="0" w:type="auto"/>
            <w:shd w:val="clear" w:color="auto" w:fill="auto"/>
          </w:tcPr>
          <w:p w14:paraId="7DD00D8C" w14:textId="77777777" w:rsidR="00C1563E" w:rsidRDefault="00C1563E">
            <w:pPr>
              <w:rPr>
                <w:rFonts w:ascii="宋体"/>
                <w:vanish/>
              </w:rPr>
            </w:pPr>
          </w:p>
        </w:tc>
        <w:tc>
          <w:tcPr>
            <w:tcW w:w="0" w:type="auto"/>
            <w:shd w:val="clear" w:color="auto" w:fill="auto"/>
          </w:tcPr>
          <w:p w14:paraId="7DD00D8D"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center"/>
          </w:tcPr>
          <w:p w14:paraId="7DD00D8E" w14:textId="77777777" w:rsidR="00C1563E" w:rsidRDefault="000B648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DD00D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9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D00D91" w14:textId="77777777" w:rsidR="00C1563E" w:rsidRDefault="000B648B">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7DD00D9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D9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center"/>
          </w:tcPr>
          <w:p w14:paraId="7DD00D94" w14:textId="77777777" w:rsidR="00C1563E" w:rsidRDefault="000B648B">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7DD00D95" w14:textId="77777777" w:rsidR="00C1563E" w:rsidRDefault="00C1563E">
            <w:pPr>
              <w:jc w:val="right"/>
              <w:rPr>
                <w:rFonts w:ascii="宋体"/>
              </w:rPr>
            </w:pPr>
          </w:p>
        </w:tc>
      </w:tr>
      <w:tr w:rsidR="00C1563E" w14:paraId="7DD00DA7" w14:textId="77777777">
        <w:trPr>
          <w:jc w:val="center"/>
          <w:hidden/>
        </w:trPr>
        <w:tc>
          <w:tcPr>
            <w:tcW w:w="0" w:type="auto"/>
            <w:gridSpan w:val="3"/>
            <w:shd w:val="clear" w:color="auto" w:fill="auto"/>
          </w:tcPr>
          <w:p w14:paraId="7DD00D97" w14:textId="77777777" w:rsidR="00C1563E" w:rsidRDefault="00C1563E">
            <w:pPr>
              <w:rPr>
                <w:rFonts w:ascii="宋体"/>
                <w:vanish/>
              </w:rPr>
            </w:pPr>
          </w:p>
        </w:tc>
        <w:tc>
          <w:tcPr>
            <w:tcW w:w="0" w:type="auto"/>
            <w:shd w:val="clear" w:color="auto" w:fill="auto"/>
          </w:tcPr>
          <w:p w14:paraId="7DD00D98" w14:textId="77777777" w:rsidR="00C1563E" w:rsidRDefault="00C1563E">
            <w:pPr>
              <w:rPr>
                <w:rFonts w:ascii="宋体"/>
                <w:vanish/>
              </w:rPr>
            </w:pPr>
          </w:p>
        </w:tc>
        <w:tc>
          <w:tcPr>
            <w:tcW w:w="0" w:type="auto"/>
            <w:shd w:val="clear" w:color="auto" w:fill="auto"/>
          </w:tcPr>
          <w:p w14:paraId="7DD00D99" w14:textId="77777777" w:rsidR="00C1563E" w:rsidRDefault="00C1563E">
            <w:pPr>
              <w:rPr>
                <w:rFonts w:ascii="宋体"/>
                <w:vanish/>
              </w:rPr>
            </w:pPr>
          </w:p>
        </w:tc>
        <w:tc>
          <w:tcPr>
            <w:tcW w:w="0" w:type="auto"/>
            <w:gridSpan w:val="3"/>
            <w:shd w:val="clear" w:color="auto" w:fill="auto"/>
          </w:tcPr>
          <w:p w14:paraId="7DD00D9A" w14:textId="77777777" w:rsidR="00C1563E" w:rsidRDefault="00C1563E">
            <w:pPr>
              <w:rPr>
                <w:rFonts w:ascii="宋体"/>
                <w:vanish/>
              </w:rPr>
            </w:pPr>
          </w:p>
        </w:tc>
        <w:tc>
          <w:tcPr>
            <w:tcW w:w="0" w:type="auto"/>
            <w:gridSpan w:val="3"/>
            <w:shd w:val="clear" w:color="auto" w:fill="auto"/>
          </w:tcPr>
          <w:p w14:paraId="7DD00D9B" w14:textId="77777777" w:rsidR="00C1563E" w:rsidRDefault="00C1563E">
            <w:pPr>
              <w:rPr>
                <w:rFonts w:ascii="宋体"/>
                <w:vanish/>
              </w:rPr>
            </w:pPr>
          </w:p>
        </w:tc>
        <w:tc>
          <w:tcPr>
            <w:tcW w:w="0" w:type="auto"/>
            <w:gridSpan w:val="3"/>
            <w:shd w:val="clear" w:color="auto" w:fill="auto"/>
          </w:tcPr>
          <w:p w14:paraId="7DD00D9C" w14:textId="77777777" w:rsidR="00C1563E" w:rsidRDefault="00C1563E">
            <w:pPr>
              <w:rPr>
                <w:rFonts w:ascii="宋体"/>
                <w:vanish/>
              </w:rPr>
            </w:pPr>
          </w:p>
        </w:tc>
        <w:tc>
          <w:tcPr>
            <w:tcW w:w="0" w:type="auto"/>
            <w:gridSpan w:val="3"/>
            <w:shd w:val="clear" w:color="auto" w:fill="auto"/>
          </w:tcPr>
          <w:p w14:paraId="7DD00D9D" w14:textId="77777777" w:rsidR="00C1563E" w:rsidRDefault="00C1563E">
            <w:pPr>
              <w:rPr>
                <w:rFonts w:ascii="宋体"/>
                <w:vanish/>
              </w:rPr>
            </w:pPr>
          </w:p>
        </w:tc>
        <w:tc>
          <w:tcPr>
            <w:tcW w:w="0" w:type="auto"/>
            <w:gridSpan w:val="3"/>
            <w:shd w:val="clear" w:color="auto" w:fill="auto"/>
          </w:tcPr>
          <w:p w14:paraId="7DD00D9E" w14:textId="77777777" w:rsidR="00C1563E" w:rsidRDefault="00C1563E">
            <w:pPr>
              <w:rPr>
                <w:rFonts w:ascii="宋体"/>
                <w:vanish/>
              </w:rPr>
            </w:pPr>
          </w:p>
        </w:tc>
        <w:tc>
          <w:tcPr>
            <w:tcW w:w="0" w:type="auto"/>
            <w:gridSpan w:val="3"/>
            <w:shd w:val="clear" w:color="auto" w:fill="auto"/>
          </w:tcPr>
          <w:p w14:paraId="7DD00D9F" w14:textId="77777777" w:rsidR="00C1563E" w:rsidRDefault="00C1563E">
            <w:pPr>
              <w:rPr>
                <w:rFonts w:ascii="宋体"/>
                <w:vanish/>
              </w:rPr>
            </w:pPr>
          </w:p>
        </w:tc>
        <w:tc>
          <w:tcPr>
            <w:tcW w:w="0" w:type="auto"/>
            <w:shd w:val="clear" w:color="auto" w:fill="auto"/>
          </w:tcPr>
          <w:p w14:paraId="7DD00DA0" w14:textId="77777777" w:rsidR="00C1563E" w:rsidRDefault="00C1563E">
            <w:pPr>
              <w:rPr>
                <w:rFonts w:ascii="宋体"/>
                <w:vanish/>
              </w:rPr>
            </w:pPr>
          </w:p>
        </w:tc>
        <w:tc>
          <w:tcPr>
            <w:tcW w:w="0" w:type="auto"/>
            <w:shd w:val="clear" w:color="auto" w:fill="auto"/>
          </w:tcPr>
          <w:p w14:paraId="7DD00DA1" w14:textId="77777777" w:rsidR="00C1563E" w:rsidRDefault="00C1563E">
            <w:pPr>
              <w:rPr>
                <w:rFonts w:ascii="宋体"/>
                <w:vanish/>
              </w:rPr>
            </w:pPr>
          </w:p>
        </w:tc>
        <w:tc>
          <w:tcPr>
            <w:tcW w:w="0" w:type="auto"/>
            <w:gridSpan w:val="3"/>
            <w:shd w:val="clear" w:color="auto" w:fill="auto"/>
          </w:tcPr>
          <w:p w14:paraId="7DD00DA2" w14:textId="77777777" w:rsidR="00C1563E" w:rsidRDefault="00C1563E">
            <w:pPr>
              <w:rPr>
                <w:rFonts w:ascii="宋体"/>
                <w:vanish/>
              </w:rPr>
            </w:pPr>
          </w:p>
        </w:tc>
        <w:tc>
          <w:tcPr>
            <w:tcW w:w="0" w:type="auto"/>
            <w:gridSpan w:val="3"/>
            <w:shd w:val="clear" w:color="auto" w:fill="auto"/>
          </w:tcPr>
          <w:p w14:paraId="7DD00DA3" w14:textId="77777777" w:rsidR="00C1563E" w:rsidRDefault="00C1563E">
            <w:pPr>
              <w:rPr>
                <w:rFonts w:ascii="宋体"/>
                <w:vanish/>
              </w:rPr>
            </w:pPr>
          </w:p>
        </w:tc>
        <w:tc>
          <w:tcPr>
            <w:tcW w:w="0" w:type="auto"/>
            <w:gridSpan w:val="3"/>
            <w:shd w:val="clear" w:color="auto" w:fill="auto"/>
          </w:tcPr>
          <w:p w14:paraId="7DD00DA4" w14:textId="77777777" w:rsidR="00C1563E" w:rsidRDefault="00C1563E">
            <w:pPr>
              <w:rPr>
                <w:rFonts w:ascii="宋体"/>
                <w:vanish/>
              </w:rPr>
            </w:pPr>
          </w:p>
        </w:tc>
        <w:tc>
          <w:tcPr>
            <w:tcW w:w="0" w:type="auto"/>
            <w:gridSpan w:val="3"/>
            <w:shd w:val="clear" w:color="auto" w:fill="auto"/>
          </w:tcPr>
          <w:p w14:paraId="7DD00DA5" w14:textId="77777777" w:rsidR="00C1563E" w:rsidRDefault="00C1563E">
            <w:pPr>
              <w:rPr>
                <w:rFonts w:ascii="宋体"/>
                <w:vanish/>
              </w:rPr>
            </w:pPr>
          </w:p>
        </w:tc>
        <w:tc>
          <w:tcPr>
            <w:tcW w:w="0" w:type="auto"/>
            <w:gridSpan w:val="3"/>
            <w:shd w:val="clear" w:color="auto" w:fill="auto"/>
          </w:tcPr>
          <w:p w14:paraId="7DD00DA6" w14:textId="77777777" w:rsidR="00C1563E" w:rsidRDefault="00C1563E">
            <w:pPr>
              <w:rPr>
                <w:rFonts w:ascii="宋体"/>
                <w:vanish/>
              </w:rPr>
            </w:pPr>
          </w:p>
        </w:tc>
      </w:tr>
      <w:tr w:rsidR="00C1563E" w14:paraId="7DD00DC4" w14:textId="77777777">
        <w:trPr>
          <w:jc w:val="center"/>
        </w:trPr>
        <w:tc>
          <w:tcPr>
            <w:tcW w:w="0" w:type="auto"/>
            <w:gridSpan w:val="3"/>
            <w:shd w:val="clear" w:color="auto" w:fill="CCEEFF"/>
            <w:tcMar>
              <w:top w:w="40" w:type="dxa"/>
              <w:left w:w="245" w:type="dxa"/>
              <w:bottom w:w="40" w:type="dxa"/>
              <w:right w:w="20" w:type="dxa"/>
            </w:tcMar>
            <w:vAlign w:val="center"/>
          </w:tcPr>
          <w:p w14:paraId="7DD00DA8" w14:textId="77777777" w:rsidR="00C1563E" w:rsidRDefault="000B648B">
            <w:pPr>
              <w:textAlignment w:val="center"/>
            </w:pPr>
            <w:r>
              <w:rPr>
                <w:rFonts w:ascii="Times New Roman" w:eastAsia="宋体" w:hAnsi="Times New Roman"/>
                <w:color w:val="000000"/>
                <w:sz w:val="20"/>
                <w:szCs w:val="20"/>
              </w:rPr>
              <w:t>Total reclassifications, net of tax</w:t>
            </w:r>
          </w:p>
        </w:tc>
        <w:tc>
          <w:tcPr>
            <w:tcW w:w="0" w:type="auto"/>
            <w:shd w:val="clear" w:color="auto" w:fill="auto"/>
          </w:tcPr>
          <w:p w14:paraId="7DD00DA9" w14:textId="77777777" w:rsidR="00C1563E" w:rsidRDefault="00C1563E">
            <w:pPr>
              <w:rPr>
                <w:rFonts w:ascii="宋体"/>
                <w:vanish/>
              </w:rPr>
            </w:pPr>
          </w:p>
        </w:tc>
        <w:tc>
          <w:tcPr>
            <w:tcW w:w="0" w:type="auto"/>
            <w:shd w:val="clear" w:color="auto" w:fill="auto"/>
          </w:tcPr>
          <w:p w14:paraId="7DD00DAA"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AB"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AC" w14:textId="77777777" w:rsidR="00C1563E" w:rsidRDefault="000B648B">
            <w:pPr>
              <w:jc w:val="right"/>
              <w:textAlignment w:val="center"/>
            </w:pPr>
            <w:r>
              <w:rPr>
                <w:rFonts w:ascii="Times New Roman" w:eastAsia="宋体" w:hAnsi="Times New Roman"/>
                <w:color w:val="000000"/>
                <w:sz w:val="20"/>
                <w:szCs w:val="20"/>
              </w:rPr>
              <w:t>(100)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A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AE"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AF"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B0" w14:textId="77777777" w:rsidR="00C1563E" w:rsidRDefault="000B648B">
            <w:pPr>
              <w:jc w:val="right"/>
              <w:textAlignment w:val="center"/>
            </w:pPr>
            <w:r>
              <w:rPr>
                <w:rFonts w:ascii="Times New Roman" w:eastAsia="宋体" w:hAnsi="Times New Roman"/>
                <w:color w:val="000000"/>
                <w:sz w:val="20"/>
                <w:szCs w:val="20"/>
              </w:rPr>
              <w:t>(5)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B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B2"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B3"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B4" w14:textId="77777777" w:rsidR="00C1563E" w:rsidRDefault="000B648B">
            <w:pPr>
              <w:jc w:val="right"/>
              <w:textAlignment w:val="center"/>
            </w:pPr>
            <w:r>
              <w:rPr>
                <w:rFonts w:ascii="Times New Roman" w:eastAsia="宋体" w:hAnsi="Times New Roman"/>
                <w:color w:val="000000"/>
                <w:sz w:val="20"/>
                <w:szCs w:val="20"/>
              </w:rPr>
              <w:t>(105)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B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B6" w14:textId="77777777" w:rsidR="00C1563E" w:rsidRDefault="00C1563E">
            <w:pPr>
              <w:rPr>
                <w:rFonts w:ascii="宋体"/>
              </w:rPr>
            </w:pPr>
          </w:p>
        </w:tc>
        <w:tc>
          <w:tcPr>
            <w:tcW w:w="0" w:type="auto"/>
            <w:shd w:val="clear" w:color="auto" w:fill="auto"/>
          </w:tcPr>
          <w:p w14:paraId="7DD00DB7" w14:textId="77777777" w:rsidR="00C1563E" w:rsidRDefault="00C1563E">
            <w:pPr>
              <w:rPr>
                <w:rFonts w:ascii="宋体"/>
                <w:vanish/>
              </w:rPr>
            </w:pPr>
          </w:p>
        </w:tc>
        <w:tc>
          <w:tcPr>
            <w:tcW w:w="0" w:type="auto"/>
            <w:shd w:val="clear" w:color="auto" w:fill="auto"/>
          </w:tcPr>
          <w:p w14:paraId="7DD00DB8"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B9"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BA" w14:textId="77777777" w:rsidR="00C1563E" w:rsidRDefault="000B648B">
            <w:pPr>
              <w:jc w:val="right"/>
              <w:textAlignment w:val="center"/>
            </w:pPr>
            <w:r>
              <w:rPr>
                <w:rFonts w:ascii="Times New Roman" w:eastAsia="宋体" w:hAnsi="Times New Roman"/>
                <w:color w:val="000000"/>
                <w:sz w:val="20"/>
                <w:szCs w:val="20"/>
              </w:rPr>
              <w:t>226 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BC"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BD"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BE" w14:textId="77777777" w:rsidR="00C1563E" w:rsidRDefault="000B648B">
            <w:pPr>
              <w:jc w:val="right"/>
              <w:textAlignment w:val="center"/>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B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C0"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DD00DC1" w14:textId="77777777" w:rsidR="00C1563E" w:rsidRDefault="000B648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DD00DC2" w14:textId="77777777" w:rsidR="00C1563E" w:rsidRDefault="000B648B">
            <w:pPr>
              <w:jc w:val="right"/>
              <w:textAlignment w:val="center"/>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DD00DC3" w14:textId="77777777" w:rsidR="00C1563E" w:rsidRDefault="00C1563E">
            <w:pPr>
              <w:jc w:val="right"/>
              <w:rPr>
                <w:rFonts w:ascii="宋体"/>
              </w:rPr>
            </w:pPr>
          </w:p>
        </w:tc>
      </w:tr>
    </w:tbl>
    <w:p w14:paraId="7DD00DC5" w14:textId="77777777" w:rsidR="00C1563E" w:rsidRDefault="00C1563E">
      <w:pPr>
        <w:jc w:val="center"/>
      </w:pPr>
    </w:p>
    <w:p w14:paraId="7DD00DC6" w14:textId="77777777" w:rsidR="00C1563E" w:rsidRDefault="000B648B">
      <w:pPr>
        <w:jc w:val="center"/>
      </w:pPr>
      <w:r>
        <w:rPr>
          <w:rFonts w:ascii="Times New Roman" w:eastAsia="宋体" w:hAnsi="Times New Roman"/>
          <w:color w:val="000000"/>
          <w:sz w:val="20"/>
          <w:szCs w:val="20"/>
        </w:rPr>
        <w:t>135</w:t>
      </w:r>
    </w:p>
    <w:p w14:paraId="7DD00DC7" w14:textId="77777777" w:rsidR="00C1563E" w:rsidRDefault="00C1563E">
      <w:pPr>
        <w:jc w:val="center"/>
      </w:pPr>
    </w:p>
    <w:p w14:paraId="7DD00DC8" w14:textId="77777777" w:rsidR="00C1563E" w:rsidRDefault="000B648B">
      <w:r>
        <w:pict w14:anchorId="7DD025F1">
          <v:rect id="_x0000_i1159" style="width:415.3pt;height:1.5pt" o:hralign="center" o:hrstd="t" o:hr="t" fillcolor="#a0a0a0" stroked="f"/>
        </w:pict>
      </w:r>
    </w:p>
    <w:p w14:paraId="7DD00DC9" w14:textId="77777777" w:rsidR="00C1563E" w:rsidRDefault="000B648B">
      <w:hyperlink r:id="rId318" w:anchor="i418e32e4a35149ffbf7d3a25d66881b8_10" w:history="1">
        <w:r>
          <w:rPr>
            <w:rStyle w:val="a5"/>
            <w:rFonts w:ascii="Times New Roman" w:eastAsia="宋体" w:hAnsi="Times New Roman"/>
            <w:sz w:val="20"/>
            <w:szCs w:val="20"/>
          </w:rPr>
          <w:t>Table of Contents</w:t>
        </w:r>
      </w:hyperlink>
    </w:p>
    <w:p w14:paraId="7DD00DCA" w14:textId="77777777" w:rsidR="00C1563E" w:rsidRDefault="000B648B">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NON-CONTROLLING INTERESTS</w:t>
      </w:r>
    </w:p>
    <w:p w14:paraId="7DD00DCB" w14:textId="77777777" w:rsidR="00C1563E" w:rsidRDefault="00C1563E"/>
    <w:p w14:paraId="7DD00DCC" w14:textId="77777777" w:rsidR="00C1563E" w:rsidRDefault="000B648B">
      <w:r>
        <w:rPr>
          <w:rFonts w:ascii="Times New Roman" w:eastAsia="宋体" w:hAnsi="Times New Roman"/>
          <w:i/>
          <w:iCs/>
          <w:color w:val="000000"/>
          <w:sz w:val="20"/>
          <w:szCs w:val="20"/>
        </w:rPr>
        <w:t>VMware, Inc.</w:t>
      </w:r>
      <w:r>
        <w:rPr>
          <w:rFonts w:ascii="Times New Roman" w:eastAsia="宋体" w:hAnsi="Times New Roman"/>
          <w:color w:val="000000"/>
          <w:sz w:val="20"/>
          <w:szCs w:val="20"/>
        </w:rPr>
        <w:t xml:space="preserve"> — The non-controlling interests’ share of equity in VMware, Inc. is reflected as a component of the non-controlling interests in the Consolidated Statements of Financial Position and was $5.0 billion and $4.6 billion as of January 29, 2021 and January 31,</w:t>
      </w:r>
      <w:r>
        <w:rPr>
          <w:rFonts w:ascii="Times New Roman" w:eastAsia="宋体" w:hAnsi="Times New Roman"/>
          <w:color w:val="000000"/>
          <w:sz w:val="20"/>
          <w:szCs w:val="20"/>
        </w:rPr>
        <w:t xml:space="preserve"> 2020, respectively. As of January 29, 2021 and January 31, 2020, the Company held approximately 80.6% and 80.9%, respectively, of the outstanding equity interest in VMware, Inc. </w:t>
      </w:r>
    </w:p>
    <w:p w14:paraId="7DD00DCD" w14:textId="77777777" w:rsidR="00C1563E" w:rsidRDefault="00C1563E"/>
    <w:p w14:paraId="7DD00DCE" w14:textId="77777777" w:rsidR="00C1563E" w:rsidRDefault="000B648B">
      <w:r>
        <w:rPr>
          <w:rFonts w:ascii="Times New Roman" w:eastAsia="宋体" w:hAnsi="Times New Roman"/>
          <w:color w:val="000000"/>
          <w:sz w:val="20"/>
          <w:szCs w:val="20"/>
        </w:rPr>
        <w:t>As a result of VMware, Inc.’s acquisition of the non-controlling interest i</w:t>
      </w:r>
      <w:r>
        <w:rPr>
          <w:rFonts w:ascii="Times New Roman" w:eastAsia="宋体" w:hAnsi="Times New Roman"/>
          <w:color w:val="000000"/>
          <w:sz w:val="20"/>
          <w:szCs w:val="20"/>
        </w:rPr>
        <w:t>n Pivotal from Pivotal’s public stockholders on December 30, 2019, as described in Note 1 of the Notes to the Consolidated Financial Statements, the non-controlling interests’ share of equity in Pivotal is only reflected as a component of the non-controlli</w:t>
      </w:r>
      <w:r>
        <w:rPr>
          <w:rFonts w:ascii="Times New Roman" w:eastAsia="宋体" w:hAnsi="Times New Roman"/>
          <w:color w:val="000000"/>
          <w:sz w:val="20"/>
          <w:szCs w:val="20"/>
        </w:rPr>
        <w:t xml:space="preserve">ng interest through December 30, 2019. Pivotal’s Class A common stock ceased to be listed and traded on the NYSE as of the acquisition date, and there was no non-controlling interest in Pivotal as of January 29, 2021 and January 31, 2020. </w:t>
      </w:r>
    </w:p>
    <w:p w14:paraId="7DD00DCF" w14:textId="77777777" w:rsidR="00C1563E" w:rsidRDefault="00C1563E"/>
    <w:p w14:paraId="7DD00DD0" w14:textId="77777777" w:rsidR="00C1563E" w:rsidRDefault="000B648B">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T</w:t>
      </w:r>
      <w:r>
        <w:rPr>
          <w:rFonts w:ascii="Times New Roman" w:eastAsia="宋体" w:hAnsi="Times New Roman"/>
          <w:color w:val="000000"/>
          <w:sz w:val="20"/>
          <w:szCs w:val="20"/>
        </w:rPr>
        <w:t xml:space="preserve">he non-controlling interests’ share of equity in Secureworks is reflected as a component of the non-controlling interests in the Consolidated Statements of Financial Position and was $96 million and $88 million as of January 29, 2021 and January 31, 2020, </w:t>
      </w:r>
      <w:r>
        <w:rPr>
          <w:rFonts w:ascii="Times New Roman" w:eastAsia="宋体" w:hAnsi="Times New Roman"/>
          <w:color w:val="000000"/>
          <w:sz w:val="20"/>
          <w:szCs w:val="20"/>
        </w:rPr>
        <w:t>respectively. As of January 29, 2021 and January 31, 2020, the Company held approximately 85.7% and 86.8%, respectively, of the outstanding equity interest in Secureworks, excluding restricted stock awards (“RSAs”). As of January 29, 2021 and January 31, 2</w:t>
      </w:r>
      <w:r>
        <w:rPr>
          <w:rFonts w:ascii="Times New Roman" w:eastAsia="宋体" w:hAnsi="Times New Roman"/>
          <w:color w:val="000000"/>
          <w:sz w:val="20"/>
          <w:szCs w:val="20"/>
        </w:rPr>
        <w:t>020, the Company held approximately 84.9% and 86.2%, respectively, of the outstanding equity interest in Secureworks, including RSAs.</w:t>
      </w:r>
    </w:p>
    <w:p w14:paraId="7DD00DD1" w14:textId="77777777" w:rsidR="00C1563E" w:rsidRDefault="00C1563E"/>
    <w:p w14:paraId="7DD00DD2" w14:textId="77777777" w:rsidR="00C1563E" w:rsidRDefault="000B648B">
      <w:pPr>
        <w:spacing w:after="120"/>
      </w:pPr>
      <w:r>
        <w:rPr>
          <w:rFonts w:ascii="Times New Roman" w:eastAsia="宋体" w:hAnsi="Times New Roman"/>
          <w:color w:val="000000"/>
          <w:sz w:val="20"/>
          <w:szCs w:val="20"/>
        </w:rPr>
        <w:t>The following table presents the effect of changes in the Company’s ownership interest in VMware, Inc. and Secureworks on</w:t>
      </w:r>
      <w:r>
        <w:rPr>
          <w:rFonts w:ascii="Times New Roman" w:eastAsia="宋体" w:hAnsi="Times New Roman"/>
          <w:color w:val="000000"/>
          <w:sz w:val="20"/>
          <w:szCs w:val="20"/>
        </w:rPr>
        <w:t xml:space="preserve"> the Company’s equity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248"/>
        <w:gridCol w:w="38"/>
        <w:gridCol w:w="121"/>
        <w:gridCol w:w="1440"/>
        <w:gridCol w:w="36"/>
        <w:gridCol w:w="36"/>
        <w:gridCol w:w="36"/>
        <w:gridCol w:w="36"/>
        <w:gridCol w:w="121"/>
        <w:gridCol w:w="1441"/>
        <w:gridCol w:w="36"/>
        <w:gridCol w:w="36"/>
        <w:gridCol w:w="36"/>
        <w:gridCol w:w="36"/>
        <w:gridCol w:w="121"/>
        <w:gridCol w:w="1443"/>
        <w:gridCol w:w="36"/>
      </w:tblGrid>
      <w:tr w:rsidR="00C1563E" w14:paraId="7DD00DE5" w14:textId="77777777">
        <w:tc>
          <w:tcPr>
            <w:tcW w:w="50" w:type="pct"/>
            <w:shd w:val="clear" w:color="auto" w:fill="auto"/>
          </w:tcPr>
          <w:p w14:paraId="7DD00DD3" w14:textId="77777777" w:rsidR="00C1563E" w:rsidRDefault="00C1563E">
            <w:pPr>
              <w:rPr>
                <w:rFonts w:ascii="宋体"/>
              </w:rPr>
            </w:pPr>
          </w:p>
        </w:tc>
        <w:tc>
          <w:tcPr>
            <w:tcW w:w="2004" w:type="pct"/>
            <w:shd w:val="clear" w:color="auto" w:fill="auto"/>
          </w:tcPr>
          <w:p w14:paraId="7DD00DD4" w14:textId="77777777" w:rsidR="00C1563E" w:rsidRDefault="00C1563E">
            <w:pPr>
              <w:rPr>
                <w:rFonts w:ascii="宋体"/>
              </w:rPr>
            </w:pPr>
          </w:p>
        </w:tc>
        <w:tc>
          <w:tcPr>
            <w:tcW w:w="5" w:type="pct"/>
            <w:shd w:val="clear" w:color="auto" w:fill="auto"/>
          </w:tcPr>
          <w:p w14:paraId="7DD00DD5" w14:textId="77777777" w:rsidR="00C1563E" w:rsidRDefault="00C1563E">
            <w:pPr>
              <w:rPr>
                <w:rFonts w:ascii="宋体"/>
              </w:rPr>
            </w:pPr>
          </w:p>
        </w:tc>
        <w:tc>
          <w:tcPr>
            <w:tcW w:w="50" w:type="pct"/>
            <w:shd w:val="clear" w:color="auto" w:fill="auto"/>
          </w:tcPr>
          <w:p w14:paraId="7DD00DD6" w14:textId="77777777" w:rsidR="00C1563E" w:rsidRDefault="00C1563E">
            <w:pPr>
              <w:rPr>
                <w:rFonts w:ascii="宋体"/>
              </w:rPr>
            </w:pPr>
          </w:p>
        </w:tc>
        <w:tc>
          <w:tcPr>
            <w:tcW w:w="905" w:type="pct"/>
            <w:shd w:val="clear" w:color="auto" w:fill="auto"/>
          </w:tcPr>
          <w:p w14:paraId="7DD00DD7" w14:textId="77777777" w:rsidR="00C1563E" w:rsidRDefault="00C1563E">
            <w:pPr>
              <w:rPr>
                <w:rFonts w:ascii="宋体"/>
              </w:rPr>
            </w:pPr>
          </w:p>
        </w:tc>
        <w:tc>
          <w:tcPr>
            <w:tcW w:w="5" w:type="pct"/>
            <w:shd w:val="clear" w:color="auto" w:fill="auto"/>
          </w:tcPr>
          <w:p w14:paraId="7DD00DD8" w14:textId="77777777" w:rsidR="00C1563E" w:rsidRDefault="00C1563E">
            <w:pPr>
              <w:rPr>
                <w:rFonts w:ascii="宋体"/>
              </w:rPr>
            </w:pPr>
          </w:p>
        </w:tc>
        <w:tc>
          <w:tcPr>
            <w:tcW w:w="5" w:type="pct"/>
            <w:shd w:val="clear" w:color="auto" w:fill="auto"/>
          </w:tcPr>
          <w:p w14:paraId="7DD00DD9" w14:textId="77777777" w:rsidR="00C1563E" w:rsidRDefault="00C1563E">
            <w:pPr>
              <w:rPr>
                <w:rFonts w:ascii="宋体"/>
              </w:rPr>
            </w:pPr>
          </w:p>
        </w:tc>
        <w:tc>
          <w:tcPr>
            <w:tcW w:w="18" w:type="pct"/>
            <w:shd w:val="clear" w:color="auto" w:fill="auto"/>
          </w:tcPr>
          <w:p w14:paraId="7DD00DDA" w14:textId="77777777" w:rsidR="00C1563E" w:rsidRDefault="00C1563E">
            <w:pPr>
              <w:rPr>
                <w:rFonts w:ascii="宋体"/>
              </w:rPr>
            </w:pPr>
          </w:p>
        </w:tc>
        <w:tc>
          <w:tcPr>
            <w:tcW w:w="5" w:type="pct"/>
            <w:shd w:val="clear" w:color="auto" w:fill="auto"/>
          </w:tcPr>
          <w:p w14:paraId="7DD00DDB" w14:textId="77777777" w:rsidR="00C1563E" w:rsidRDefault="00C1563E">
            <w:pPr>
              <w:rPr>
                <w:rFonts w:ascii="宋体"/>
              </w:rPr>
            </w:pPr>
          </w:p>
        </w:tc>
        <w:tc>
          <w:tcPr>
            <w:tcW w:w="50" w:type="pct"/>
            <w:shd w:val="clear" w:color="auto" w:fill="auto"/>
          </w:tcPr>
          <w:p w14:paraId="7DD00DDC" w14:textId="77777777" w:rsidR="00C1563E" w:rsidRDefault="00C1563E">
            <w:pPr>
              <w:rPr>
                <w:rFonts w:ascii="宋体"/>
              </w:rPr>
            </w:pPr>
          </w:p>
        </w:tc>
        <w:tc>
          <w:tcPr>
            <w:tcW w:w="905" w:type="pct"/>
            <w:shd w:val="clear" w:color="auto" w:fill="auto"/>
          </w:tcPr>
          <w:p w14:paraId="7DD00DDD" w14:textId="77777777" w:rsidR="00C1563E" w:rsidRDefault="00C1563E">
            <w:pPr>
              <w:rPr>
                <w:rFonts w:ascii="宋体"/>
              </w:rPr>
            </w:pPr>
          </w:p>
        </w:tc>
        <w:tc>
          <w:tcPr>
            <w:tcW w:w="5" w:type="pct"/>
            <w:shd w:val="clear" w:color="auto" w:fill="auto"/>
          </w:tcPr>
          <w:p w14:paraId="7DD00DDE" w14:textId="77777777" w:rsidR="00C1563E" w:rsidRDefault="00C1563E">
            <w:pPr>
              <w:rPr>
                <w:rFonts w:ascii="宋体"/>
              </w:rPr>
            </w:pPr>
          </w:p>
        </w:tc>
        <w:tc>
          <w:tcPr>
            <w:tcW w:w="5" w:type="pct"/>
            <w:shd w:val="clear" w:color="auto" w:fill="auto"/>
          </w:tcPr>
          <w:p w14:paraId="7DD00DDF" w14:textId="77777777" w:rsidR="00C1563E" w:rsidRDefault="00C1563E">
            <w:pPr>
              <w:rPr>
                <w:rFonts w:ascii="宋体"/>
              </w:rPr>
            </w:pPr>
          </w:p>
        </w:tc>
        <w:tc>
          <w:tcPr>
            <w:tcW w:w="18" w:type="pct"/>
            <w:shd w:val="clear" w:color="auto" w:fill="auto"/>
          </w:tcPr>
          <w:p w14:paraId="7DD00DE0" w14:textId="77777777" w:rsidR="00C1563E" w:rsidRDefault="00C1563E">
            <w:pPr>
              <w:rPr>
                <w:rFonts w:ascii="宋体"/>
              </w:rPr>
            </w:pPr>
          </w:p>
        </w:tc>
        <w:tc>
          <w:tcPr>
            <w:tcW w:w="5" w:type="pct"/>
            <w:shd w:val="clear" w:color="auto" w:fill="auto"/>
          </w:tcPr>
          <w:p w14:paraId="7DD00DE1" w14:textId="77777777" w:rsidR="00C1563E" w:rsidRDefault="00C1563E">
            <w:pPr>
              <w:rPr>
                <w:rFonts w:ascii="宋体"/>
              </w:rPr>
            </w:pPr>
          </w:p>
        </w:tc>
        <w:tc>
          <w:tcPr>
            <w:tcW w:w="50" w:type="pct"/>
            <w:shd w:val="clear" w:color="auto" w:fill="auto"/>
          </w:tcPr>
          <w:p w14:paraId="7DD00DE2" w14:textId="77777777" w:rsidR="00C1563E" w:rsidRDefault="00C1563E">
            <w:pPr>
              <w:rPr>
                <w:rFonts w:ascii="宋体"/>
              </w:rPr>
            </w:pPr>
          </w:p>
        </w:tc>
        <w:tc>
          <w:tcPr>
            <w:tcW w:w="906" w:type="pct"/>
            <w:shd w:val="clear" w:color="auto" w:fill="auto"/>
          </w:tcPr>
          <w:p w14:paraId="7DD00DE3" w14:textId="77777777" w:rsidR="00C1563E" w:rsidRDefault="00C1563E">
            <w:pPr>
              <w:rPr>
                <w:rFonts w:ascii="宋体"/>
              </w:rPr>
            </w:pPr>
          </w:p>
        </w:tc>
        <w:tc>
          <w:tcPr>
            <w:tcW w:w="5" w:type="pct"/>
            <w:shd w:val="clear" w:color="auto" w:fill="auto"/>
          </w:tcPr>
          <w:p w14:paraId="7DD00DE4" w14:textId="77777777" w:rsidR="00C1563E" w:rsidRDefault="00C1563E">
            <w:pPr>
              <w:rPr>
                <w:rFonts w:ascii="宋体"/>
              </w:rPr>
            </w:pPr>
          </w:p>
        </w:tc>
      </w:tr>
      <w:tr w:rsidR="00C1563E" w14:paraId="7DD00DE8" w14:textId="77777777">
        <w:tc>
          <w:tcPr>
            <w:tcW w:w="0" w:type="auto"/>
            <w:gridSpan w:val="3"/>
            <w:shd w:val="clear" w:color="auto" w:fill="auto"/>
            <w:tcMar>
              <w:top w:w="0" w:type="dxa"/>
              <w:left w:w="20" w:type="dxa"/>
              <w:bottom w:w="0" w:type="dxa"/>
              <w:right w:w="20" w:type="dxa"/>
            </w:tcMar>
          </w:tcPr>
          <w:p w14:paraId="7DD00DE6"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0DE7"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0DEF" w14:textId="77777777">
        <w:tc>
          <w:tcPr>
            <w:tcW w:w="0" w:type="auto"/>
            <w:gridSpan w:val="3"/>
            <w:shd w:val="clear" w:color="auto" w:fill="auto"/>
            <w:tcMar>
              <w:top w:w="0" w:type="dxa"/>
              <w:left w:w="20" w:type="dxa"/>
              <w:bottom w:w="0" w:type="dxa"/>
              <w:right w:w="20" w:type="dxa"/>
            </w:tcMar>
          </w:tcPr>
          <w:p w14:paraId="7DD00DE9"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DEA"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DEB"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EC"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DE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DEE"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DF2" w14:textId="77777777">
        <w:tc>
          <w:tcPr>
            <w:tcW w:w="0" w:type="auto"/>
            <w:gridSpan w:val="3"/>
            <w:shd w:val="clear" w:color="auto" w:fill="auto"/>
            <w:tcMar>
              <w:top w:w="0" w:type="dxa"/>
              <w:left w:w="20" w:type="dxa"/>
              <w:bottom w:w="0" w:type="dxa"/>
              <w:right w:w="20" w:type="dxa"/>
            </w:tcMar>
          </w:tcPr>
          <w:p w14:paraId="7DD00DF0"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DF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DFF" w14:textId="77777777">
        <w:tc>
          <w:tcPr>
            <w:tcW w:w="0" w:type="auto"/>
            <w:gridSpan w:val="3"/>
            <w:shd w:val="clear" w:color="auto" w:fill="CCEEFF"/>
            <w:tcMar>
              <w:top w:w="40" w:type="dxa"/>
              <w:left w:w="20" w:type="dxa"/>
              <w:bottom w:w="40" w:type="dxa"/>
              <w:right w:w="20" w:type="dxa"/>
            </w:tcMar>
            <w:vAlign w:val="bottom"/>
          </w:tcPr>
          <w:p w14:paraId="7DD00DF3" w14:textId="77777777" w:rsidR="00C1563E" w:rsidRDefault="000B648B">
            <w:pPr>
              <w:textAlignment w:val="bottom"/>
            </w:pPr>
            <w:r>
              <w:rPr>
                <w:rFonts w:ascii="Times New Roman" w:eastAsia="宋体" w:hAnsi="Times New Roman"/>
                <w:color w:val="000000"/>
                <w:sz w:val="20"/>
                <w:szCs w:val="20"/>
              </w:rPr>
              <w:t>Net income attributable to Dell Technologies Inc.</w:t>
            </w:r>
          </w:p>
        </w:tc>
        <w:tc>
          <w:tcPr>
            <w:tcW w:w="0" w:type="auto"/>
            <w:shd w:val="clear" w:color="auto" w:fill="CCEEFF"/>
            <w:tcMar>
              <w:top w:w="40" w:type="dxa"/>
              <w:left w:w="20" w:type="dxa"/>
              <w:bottom w:w="40" w:type="dxa"/>
              <w:right w:w="0" w:type="dxa"/>
            </w:tcMar>
            <w:vAlign w:val="bottom"/>
          </w:tcPr>
          <w:p w14:paraId="7DD00DF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DF5" w14:textId="77777777" w:rsidR="00C1563E" w:rsidRDefault="000B648B">
            <w:pPr>
              <w:jc w:val="right"/>
              <w:textAlignment w:val="bottom"/>
            </w:pPr>
            <w:r>
              <w:rPr>
                <w:rFonts w:ascii="Times New Roman" w:eastAsia="宋体" w:hAnsi="Times New Roman"/>
                <w:color w:val="000000"/>
                <w:sz w:val="20"/>
                <w:szCs w:val="20"/>
              </w:rPr>
              <w:t>3,250 </w:t>
            </w:r>
          </w:p>
        </w:tc>
        <w:tc>
          <w:tcPr>
            <w:tcW w:w="0" w:type="auto"/>
            <w:shd w:val="clear" w:color="auto" w:fill="CCEEFF"/>
            <w:tcMar>
              <w:top w:w="40" w:type="dxa"/>
              <w:left w:w="0" w:type="dxa"/>
              <w:bottom w:w="40" w:type="dxa"/>
              <w:right w:w="20" w:type="dxa"/>
            </w:tcMar>
            <w:vAlign w:val="bottom"/>
          </w:tcPr>
          <w:p w14:paraId="7DD00DF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F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DF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DF9" w14:textId="77777777" w:rsidR="00C1563E" w:rsidRDefault="000B648B">
            <w:pPr>
              <w:jc w:val="right"/>
              <w:textAlignment w:val="bottom"/>
            </w:pPr>
            <w:r>
              <w:rPr>
                <w:rFonts w:ascii="Times New Roman" w:eastAsia="宋体" w:hAnsi="Times New Roman"/>
                <w:color w:val="000000"/>
                <w:sz w:val="20"/>
                <w:szCs w:val="20"/>
              </w:rPr>
              <w:t>4,616 </w:t>
            </w:r>
          </w:p>
        </w:tc>
        <w:tc>
          <w:tcPr>
            <w:tcW w:w="0" w:type="auto"/>
            <w:shd w:val="clear" w:color="auto" w:fill="CCEEFF"/>
            <w:tcMar>
              <w:top w:w="40" w:type="dxa"/>
              <w:left w:w="0" w:type="dxa"/>
              <w:bottom w:w="40" w:type="dxa"/>
              <w:right w:w="20" w:type="dxa"/>
            </w:tcMar>
            <w:vAlign w:val="bottom"/>
          </w:tcPr>
          <w:p w14:paraId="7DD00D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DF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DF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DFD" w14:textId="77777777" w:rsidR="00C1563E" w:rsidRDefault="000B648B">
            <w:pPr>
              <w:jc w:val="right"/>
              <w:textAlignment w:val="bottom"/>
            </w:pPr>
            <w:r>
              <w:rPr>
                <w:rFonts w:ascii="Times New Roman" w:eastAsia="宋体" w:hAnsi="Times New Roman"/>
                <w:color w:val="000000"/>
                <w:sz w:val="20"/>
                <w:szCs w:val="20"/>
              </w:rPr>
              <w:t>(2,310)</w:t>
            </w:r>
          </w:p>
        </w:tc>
        <w:tc>
          <w:tcPr>
            <w:tcW w:w="0" w:type="auto"/>
            <w:shd w:val="clear" w:color="auto" w:fill="CCEEFF"/>
            <w:tcMar>
              <w:top w:w="40" w:type="dxa"/>
              <w:left w:w="0" w:type="dxa"/>
              <w:bottom w:w="40" w:type="dxa"/>
              <w:right w:w="20" w:type="dxa"/>
            </w:tcMar>
            <w:vAlign w:val="bottom"/>
          </w:tcPr>
          <w:p w14:paraId="7DD00DFE" w14:textId="77777777" w:rsidR="00C1563E" w:rsidRDefault="00C1563E">
            <w:pPr>
              <w:jc w:val="right"/>
              <w:rPr>
                <w:rFonts w:ascii="宋体"/>
              </w:rPr>
            </w:pPr>
          </w:p>
        </w:tc>
      </w:tr>
      <w:tr w:rsidR="00C1563E" w14:paraId="7DD00E06" w14:textId="77777777">
        <w:tc>
          <w:tcPr>
            <w:tcW w:w="0" w:type="auto"/>
            <w:gridSpan w:val="3"/>
            <w:shd w:val="clear" w:color="auto" w:fill="FFFFFF"/>
            <w:tcMar>
              <w:top w:w="40" w:type="dxa"/>
              <w:left w:w="20" w:type="dxa"/>
              <w:bottom w:w="40" w:type="dxa"/>
              <w:right w:w="20" w:type="dxa"/>
            </w:tcMar>
            <w:vAlign w:val="bottom"/>
          </w:tcPr>
          <w:p w14:paraId="7DD00E00" w14:textId="77777777" w:rsidR="00C1563E" w:rsidRDefault="000B648B">
            <w:pPr>
              <w:textAlignment w:val="bottom"/>
            </w:pPr>
            <w:r>
              <w:rPr>
                <w:rFonts w:ascii="Times New Roman" w:eastAsia="宋体" w:hAnsi="Times New Roman"/>
                <w:color w:val="000000"/>
                <w:sz w:val="20"/>
                <w:szCs w:val="20"/>
              </w:rPr>
              <w:t>Transfers (to)/from the non-controlling interests:</w:t>
            </w:r>
          </w:p>
        </w:tc>
        <w:tc>
          <w:tcPr>
            <w:tcW w:w="0" w:type="auto"/>
            <w:gridSpan w:val="3"/>
            <w:shd w:val="clear" w:color="auto" w:fill="auto"/>
            <w:tcMar>
              <w:top w:w="0" w:type="dxa"/>
              <w:left w:w="20" w:type="dxa"/>
              <w:bottom w:w="0" w:type="dxa"/>
              <w:right w:w="20" w:type="dxa"/>
            </w:tcMar>
          </w:tcPr>
          <w:p w14:paraId="7DD00E0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E0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E03"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E0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0E05" w14:textId="77777777" w:rsidR="00C1563E" w:rsidRDefault="00C1563E">
            <w:pPr>
              <w:rPr>
                <w:rFonts w:ascii="宋体"/>
              </w:rPr>
            </w:pPr>
          </w:p>
        </w:tc>
      </w:tr>
      <w:tr w:rsidR="00C1563E" w14:paraId="7DD00E10" w14:textId="77777777">
        <w:tc>
          <w:tcPr>
            <w:tcW w:w="0" w:type="auto"/>
            <w:gridSpan w:val="3"/>
            <w:shd w:val="clear" w:color="auto" w:fill="CCEEFF"/>
            <w:tcMar>
              <w:top w:w="40" w:type="dxa"/>
              <w:left w:w="20" w:type="dxa"/>
              <w:bottom w:w="40" w:type="dxa"/>
              <w:right w:w="20" w:type="dxa"/>
            </w:tcMar>
            <w:vAlign w:val="bottom"/>
          </w:tcPr>
          <w:p w14:paraId="7DD00E07" w14:textId="77777777" w:rsidR="00C1563E" w:rsidRDefault="000B648B">
            <w:pPr>
              <w:spacing w:before="100" w:after="100"/>
              <w:textAlignment w:val="bottom"/>
            </w:pPr>
            <w:r>
              <w:rPr>
                <w:rFonts w:ascii="Times New Roman" w:eastAsia="宋体" w:hAnsi="Times New Roman"/>
                <w:color w:val="000000"/>
                <w:sz w:val="20"/>
                <w:szCs w:val="20"/>
              </w:rPr>
              <w:t>Increase in Dell Technologies Inc. additional paid-in-capital for equity issuances and other equity activity</w:t>
            </w:r>
          </w:p>
        </w:tc>
        <w:tc>
          <w:tcPr>
            <w:tcW w:w="0" w:type="auto"/>
            <w:gridSpan w:val="2"/>
            <w:shd w:val="clear" w:color="auto" w:fill="CCEEFF"/>
            <w:tcMar>
              <w:top w:w="40" w:type="dxa"/>
              <w:left w:w="20" w:type="dxa"/>
              <w:bottom w:w="40" w:type="dxa"/>
              <w:right w:w="0" w:type="dxa"/>
            </w:tcMar>
            <w:vAlign w:val="bottom"/>
          </w:tcPr>
          <w:p w14:paraId="7DD00E08" w14:textId="77777777" w:rsidR="00C1563E" w:rsidRDefault="000B648B">
            <w:pPr>
              <w:jc w:val="right"/>
              <w:textAlignment w:val="bottom"/>
            </w:pPr>
            <w:r>
              <w:rPr>
                <w:rFonts w:ascii="Times New Roman" w:eastAsia="宋体" w:hAnsi="Times New Roman"/>
                <w:color w:val="000000"/>
                <w:sz w:val="20"/>
                <w:szCs w:val="20"/>
              </w:rPr>
              <w:t>980 </w:t>
            </w:r>
          </w:p>
        </w:tc>
        <w:tc>
          <w:tcPr>
            <w:tcW w:w="0" w:type="auto"/>
            <w:shd w:val="clear" w:color="auto" w:fill="CCEEFF"/>
            <w:tcMar>
              <w:top w:w="40" w:type="dxa"/>
              <w:left w:w="0" w:type="dxa"/>
              <w:bottom w:w="40" w:type="dxa"/>
              <w:right w:w="20" w:type="dxa"/>
            </w:tcMar>
            <w:vAlign w:val="bottom"/>
          </w:tcPr>
          <w:p w14:paraId="7DD00E0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0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0B" w14:textId="77777777" w:rsidR="00C1563E" w:rsidRDefault="000B648B">
            <w:pPr>
              <w:jc w:val="right"/>
              <w:textAlignment w:val="bottom"/>
            </w:pPr>
            <w:r>
              <w:rPr>
                <w:rFonts w:ascii="Times New Roman" w:eastAsia="宋体" w:hAnsi="Times New Roman"/>
                <w:color w:val="000000"/>
                <w:sz w:val="20"/>
                <w:szCs w:val="20"/>
              </w:rPr>
              <w:t>1,997 </w:t>
            </w:r>
          </w:p>
        </w:tc>
        <w:tc>
          <w:tcPr>
            <w:tcW w:w="0" w:type="auto"/>
            <w:shd w:val="clear" w:color="auto" w:fill="CCEEFF"/>
            <w:tcMar>
              <w:top w:w="40" w:type="dxa"/>
              <w:left w:w="0" w:type="dxa"/>
              <w:bottom w:w="40" w:type="dxa"/>
              <w:right w:w="20" w:type="dxa"/>
            </w:tcMar>
            <w:vAlign w:val="bottom"/>
          </w:tcPr>
          <w:p w14:paraId="7DD00E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0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0E" w14:textId="77777777" w:rsidR="00C1563E" w:rsidRDefault="000B648B">
            <w:pPr>
              <w:jc w:val="right"/>
              <w:textAlignment w:val="bottom"/>
            </w:pPr>
            <w:r>
              <w:rPr>
                <w:rFonts w:ascii="Times New Roman" w:eastAsia="宋体" w:hAnsi="Times New Roman"/>
                <w:color w:val="000000"/>
                <w:sz w:val="20"/>
                <w:szCs w:val="20"/>
              </w:rPr>
              <w:t>954 </w:t>
            </w:r>
          </w:p>
        </w:tc>
        <w:tc>
          <w:tcPr>
            <w:tcW w:w="0" w:type="auto"/>
            <w:shd w:val="clear" w:color="auto" w:fill="CCEEFF"/>
            <w:tcMar>
              <w:top w:w="40" w:type="dxa"/>
              <w:left w:w="0" w:type="dxa"/>
              <w:bottom w:w="40" w:type="dxa"/>
              <w:right w:w="20" w:type="dxa"/>
            </w:tcMar>
            <w:vAlign w:val="bottom"/>
          </w:tcPr>
          <w:p w14:paraId="7DD00E0F" w14:textId="77777777" w:rsidR="00C1563E" w:rsidRDefault="00C1563E">
            <w:pPr>
              <w:jc w:val="right"/>
              <w:rPr>
                <w:rFonts w:ascii="宋体"/>
              </w:rPr>
            </w:pPr>
          </w:p>
        </w:tc>
      </w:tr>
      <w:tr w:rsidR="00C1563E" w14:paraId="7DD00E1A" w14:textId="77777777">
        <w:tc>
          <w:tcPr>
            <w:tcW w:w="0" w:type="auto"/>
            <w:gridSpan w:val="3"/>
            <w:shd w:val="clear" w:color="auto" w:fill="FFFFFF"/>
            <w:tcMar>
              <w:top w:w="40" w:type="dxa"/>
              <w:left w:w="20" w:type="dxa"/>
              <w:bottom w:w="40" w:type="dxa"/>
              <w:right w:w="20" w:type="dxa"/>
            </w:tcMar>
            <w:vAlign w:val="bottom"/>
          </w:tcPr>
          <w:p w14:paraId="7DD00E11" w14:textId="77777777" w:rsidR="00C1563E" w:rsidRDefault="000B648B">
            <w:pPr>
              <w:spacing w:before="100" w:after="100"/>
              <w:textAlignment w:val="bottom"/>
            </w:pPr>
            <w:r>
              <w:rPr>
                <w:rFonts w:ascii="Times New Roman" w:eastAsia="宋体" w:hAnsi="Times New Roman"/>
                <w:color w:val="000000"/>
                <w:sz w:val="20"/>
                <w:szCs w:val="20"/>
              </w:rPr>
              <w:t xml:space="preserve">Decrease in Dell Technologies Inc. </w:t>
            </w:r>
            <w:r>
              <w:rPr>
                <w:rFonts w:ascii="Times New Roman" w:eastAsia="宋体" w:hAnsi="Times New Roman"/>
                <w:color w:val="000000"/>
                <w:sz w:val="20"/>
                <w:szCs w:val="20"/>
              </w:rPr>
              <w:t>additional paid-in-capital for equity issuances and other equity activity</w:t>
            </w:r>
          </w:p>
        </w:tc>
        <w:tc>
          <w:tcPr>
            <w:tcW w:w="0" w:type="auto"/>
            <w:gridSpan w:val="2"/>
            <w:shd w:val="clear" w:color="auto" w:fill="auto"/>
            <w:tcMar>
              <w:top w:w="40" w:type="dxa"/>
              <w:left w:w="20" w:type="dxa"/>
              <w:bottom w:w="40" w:type="dxa"/>
              <w:right w:w="0" w:type="dxa"/>
            </w:tcMar>
            <w:vAlign w:val="bottom"/>
          </w:tcPr>
          <w:p w14:paraId="7DD00E12" w14:textId="77777777" w:rsidR="00C1563E" w:rsidRDefault="000B648B">
            <w:pPr>
              <w:jc w:val="right"/>
              <w:textAlignment w:val="bottom"/>
            </w:pPr>
            <w:r>
              <w:rPr>
                <w:rFonts w:ascii="Times New Roman" w:eastAsia="宋体" w:hAnsi="Times New Roman"/>
                <w:color w:val="000000"/>
                <w:sz w:val="20"/>
                <w:szCs w:val="20"/>
              </w:rPr>
              <w:t>(1,019)</w:t>
            </w:r>
          </w:p>
        </w:tc>
        <w:tc>
          <w:tcPr>
            <w:tcW w:w="0" w:type="auto"/>
            <w:shd w:val="clear" w:color="auto" w:fill="auto"/>
            <w:tcMar>
              <w:top w:w="40" w:type="dxa"/>
              <w:left w:w="0" w:type="dxa"/>
              <w:bottom w:w="40" w:type="dxa"/>
              <w:right w:w="20" w:type="dxa"/>
            </w:tcMar>
            <w:vAlign w:val="bottom"/>
          </w:tcPr>
          <w:p w14:paraId="7DD00E13"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D00E14" w14:textId="77777777" w:rsidR="00C1563E" w:rsidRDefault="00C1563E">
            <w:pPr>
              <w:rPr>
                <w:rFonts w:ascii="宋体"/>
              </w:rPr>
            </w:pPr>
          </w:p>
        </w:tc>
        <w:tc>
          <w:tcPr>
            <w:tcW w:w="0" w:type="auto"/>
            <w:gridSpan w:val="2"/>
            <w:shd w:val="clear" w:color="auto" w:fill="auto"/>
            <w:tcMar>
              <w:top w:w="40" w:type="dxa"/>
              <w:left w:w="20" w:type="dxa"/>
              <w:bottom w:w="40" w:type="dxa"/>
              <w:right w:w="0" w:type="dxa"/>
            </w:tcMar>
            <w:vAlign w:val="bottom"/>
          </w:tcPr>
          <w:p w14:paraId="7DD00E15" w14:textId="77777777" w:rsidR="00C1563E" w:rsidRDefault="000B648B">
            <w:pPr>
              <w:jc w:val="right"/>
              <w:textAlignment w:val="bottom"/>
            </w:pPr>
            <w:r>
              <w:rPr>
                <w:rFonts w:ascii="Times New Roman" w:eastAsia="宋体" w:hAnsi="Times New Roman"/>
                <w:color w:val="000000"/>
                <w:sz w:val="20"/>
                <w:szCs w:val="20"/>
              </w:rPr>
              <w:t>(3,318)</w:t>
            </w:r>
          </w:p>
        </w:tc>
        <w:tc>
          <w:tcPr>
            <w:tcW w:w="0" w:type="auto"/>
            <w:shd w:val="clear" w:color="auto" w:fill="auto"/>
            <w:tcMar>
              <w:top w:w="40" w:type="dxa"/>
              <w:left w:w="0" w:type="dxa"/>
              <w:bottom w:w="40" w:type="dxa"/>
              <w:right w:w="20" w:type="dxa"/>
            </w:tcMar>
            <w:vAlign w:val="bottom"/>
          </w:tcPr>
          <w:p w14:paraId="7DD00E16"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D00E17" w14:textId="77777777" w:rsidR="00C1563E" w:rsidRDefault="00C1563E">
            <w:pPr>
              <w:rPr>
                <w:rFonts w:ascii="宋体"/>
              </w:rPr>
            </w:pPr>
          </w:p>
        </w:tc>
        <w:tc>
          <w:tcPr>
            <w:tcW w:w="0" w:type="auto"/>
            <w:gridSpan w:val="2"/>
            <w:shd w:val="clear" w:color="auto" w:fill="auto"/>
            <w:tcMar>
              <w:top w:w="40" w:type="dxa"/>
              <w:left w:w="20" w:type="dxa"/>
              <w:bottom w:w="40" w:type="dxa"/>
              <w:right w:w="0" w:type="dxa"/>
            </w:tcMar>
            <w:vAlign w:val="bottom"/>
          </w:tcPr>
          <w:p w14:paraId="7DD00E18" w14:textId="77777777" w:rsidR="00C1563E" w:rsidRDefault="000B648B">
            <w:pPr>
              <w:jc w:val="right"/>
              <w:textAlignment w:val="bottom"/>
            </w:pPr>
            <w:r>
              <w:rPr>
                <w:rFonts w:ascii="Times New Roman" w:eastAsia="宋体" w:hAnsi="Times New Roman"/>
                <w:color w:val="000000"/>
                <w:sz w:val="20"/>
                <w:szCs w:val="20"/>
              </w:rPr>
              <w:t>(820)</w:t>
            </w:r>
          </w:p>
        </w:tc>
        <w:tc>
          <w:tcPr>
            <w:tcW w:w="0" w:type="auto"/>
            <w:shd w:val="clear" w:color="auto" w:fill="auto"/>
            <w:tcMar>
              <w:top w:w="40" w:type="dxa"/>
              <w:left w:w="0" w:type="dxa"/>
              <w:bottom w:w="40" w:type="dxa"/>
              <w:right w:w="20" w:type="dxa"/>
            </w:tcMar>
            <w:vAlign w:val="bottom"/>
          </w:tcPr>
          <w:p w14:paraId="7DD00E19" w14:textId="77777777" w:rsidR="00C1563E" w:rsidRDefault="00C1563E">
            <w:pPr>
              <w:jc w:val="right"/>
              <w:rPr>
                <w:rFonts w:ascii="宋体"/>
              </w:rPr>
            </w:pPr>
          </w:p>
        </w:tc>
      </w:tr>
      <w:tr w:rsidR="00C1563E" w14:paraId="7DD00E24" w14:textId="77777777">
        <w:tc>
          <w:tcPr>
            <w:tcW w:w="0" w:type="auto"/>
            <w:gridSpan w:val="3"/>
            <w:shd w:val="clear" w:color="auto" w:fill="CCEEFF"/>
            <w:tcMar>
              <w:top w:w="40" w:type="dxa"/>
              <w:left w:w="20" w:type="dxa"/>
              <w:bottom w:w="40" w:type="dxa"/>
              <w:right w:w="20" w:type="dxa"/>
            </w:tcMar>
            <w:vAlign w:val="bottom"/>
          </w:tcPr>
          <w:p w14:paraId="7DD00E1B" w14:textId="77777777" w:rsidR="00C1563E" w:rsidRDefault="000B648B">
            <w:pPr>
              <w:textAlignment w:val="bottom"/>
            </w:pPr>
            <w:r>
              <w:rPr>
                <w:rFonts w:ascii="Times New Roman" w:eastAsia="宋体" w:hAnsi="Times New Roman"/>
                <w:color w:val="000000"/>
                <w:sz w:val="20"/>
                <w:szCs w:val="20"/>
              </w:rPr>
              <w:t>Net transfers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1C" w14:textId="77777777" w:rsidR="00C1563E" w:rsidRDefault="000B648B">
            <w:pPr>
              <w:jc w:val="right"/>
              <w:textAlignment w:val="bottom"/>
            </w:pPr>
            <w:r>
              <w:rPr>
                <w:rFonts w:ascii="Times New Roman" w:eastAsia="宋体" w:hAnsi="Times New Roman"/>
                <w:color w:val="000000"/>
                <w:sz w:val="20"/>
                <w:szCs w:val="20"/>
              </w:rPr>
              <w:t>(39)</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1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1E"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1F" w14:textId="77777777" w:rsidR="00C1563E" w:rsidRDefault="000B648B">
            <w:pPr>
              <w:jc w:val="right"/>
              <w:textAlignment w:val="bottom"/>
            </w:pPr>
            <w:r>
              <w:rPr>
                <w:rFonts w:ascii="Times New Roman" w:eastAsia="宋体" w:hAnsi="Times New Roman"/>
                <w:color w:val="000000"/>
                <w:sz w:val="20"/>
                <w:szCs w:val="20"/>
              </w:rPr>
              <w:t>(1,321)</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2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21"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22" w14:textId="77777777" w:rsidR="00C1563E" w:rsidRDefault="000B648B">
            <w:pPr>
              <w:jc w:val="right"/>
              <w:textAlignment w:val="bottom"/>
            </w:pPr>
            <w:r>
              <w:rPr>
                <w:rFonts w:ascii="Times New Roman" w:eastAsia="宋体" w:hAnsi="Times New Roman"/>
                <w:color w:val="000000"/>
                <w:sz w:val="20"/>
                <w:szCs w:val="20"/>
              </w:rPr>
              <w:t>134 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23" w14:textId="77777777" w:rsidR="00C1563E" w:rsidRDefault="00C1563E">
            <w:pPr>
              <w:jc w:val="right"/>
              <w:rPr>
                <w:rFonts w:ascii="宋体"/>
              </w:rPr>
            </w:pPr>
          </w:p>
        </w:tc>
      </w:tr>
      <w:tr w:rsidR="00C1563E" w14:paraId="7DD00E31" w14:textId="77777777">
        <w:tc>
          <w:tcPr>
            <w:tcW w:w="0" w:type="auto"/>
            <w:gridSpan w:val="3"/>
            <w:shd w:val="clear" w:color="auto" w:fill="FFFFFF"/>
            <w:tcMar>
              <w:top w:w="40" w:type="dxa"/>
              <w:left w:w="155" w:type="dxa"/>
              <w:bottom w:w="40" w:type="dxa"/>
              <w:right w:w="20" w:type="dxa"/>
            </w:tcMar>
            <w:vAlign w:val="bottom"/>
          </w:tcPr>
          <w:p w14:paraId="7DD00E25" w14:textId="77777777" w:rsidR="00C1563E" w:rsidRDefault="000B648B">
            <w:pPr>
              <w:textAlignment w:val="bottom"/>
            </w:pPr>
            <w:r>
              <w:rPr>
                <w:rFonts w:ascii="Times New Roman" w:eastAsia="宋体" w:hAnsi="Times New Roman"/>
                <w:color w:val="000000"/>
                <w:sz w:val="20"/>
                <w:szCs w:val="20"/>
              </w:rPr>
              <w:t xml:space="preserve">Change from net income attributable to Dell Technologies Inc. and transfers to the </w:t>
            </w:r>
            <w:r>
              <w:rPr>
                <w:rFonts w:ascii="Times New Roman" w:eastAsia="宋体" w:hAnsi="Times New Roman"/>
                <w:color w:val="000000"/>
                <w:sz w:val="20"/>
                <w:szCs w:val="20"/>
              </w:rPr>
              <w:t>non-controlling interests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DD00E2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DD00E27" w14:textId="77777777" w:rsidR="00C1563E" w:rsidRDefault="000B648B">
            <w:pPr>
              <w:jc w:val="right"/>
              <w:textAlignment w:val="bottom"/>
            </w:pPr>
            <w:r>
              <w:rPr>
                <w:rFonts w:ascii="Times New Roman" w:eastAsia="宋体" w:hAnsi="Times New Roman"/>
                <w:color w:val="000000"/>
                <w:sz w:val="20"/>
                <w:szCs w:val="20"/>
              </w:rPr>
              <w:t>3,211 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DD00E28"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D00E29" w14:textId="77777777" w:rsidR="00C1563E" w:rsidRDefault="00C1563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DD00E2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DD00E2B" w14:textId="77777777" w:rsidR="00C1563E" w:rsidRDefault="000B648B">
            <w:pPr>
              <w:jc w:val="right"/>
              <w:textAlignment w:val="bottom"/>
            </w:pPr>
            <w:r>
              <w:rPr>
                <w:rFonts w:ascii="Times New Roman" w:eastAsia="宋体" w:hAnsi="Times New Roman"/>
                <w:color w:val="000000"/>
                <w:sz w:val="20"/>
                <w:szCs w:val="20"/>
              </w:rPr>
              <w:t>3,295 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DD00E2C" w14:textId="77777777" w:rsidR="00C1563E" w:rsidRDefault="00C1563E">
            <w:pPr>
              <w:jc w:val="right"/>
              <w:rPr>
                <w:rFonts w:ascii="宋体"/>
              </w:rPr>
            </w:pPr>
          </w:p>
        </w:tc>
        <w:tc>
          <w:tcPr>
            <w:tcW w:w="0" w:type="auto"/>
            <w:gridSpan w:val="3"/>
            <w:shd w:val="clear" w:color="auto" w:fill="auto"/>
            <w:tcMar>
              <w:top w:w="0" w:type="dxa"/>
              <w:left w:w="20" w:type="dxa"/>
              <w:bottom w:w="0" w:type="dxa"/>
              <w:right w:w="20" w:type="dxa"/>
            </w:tcMar>
          </w:tcPr>
          <w:p w14:paraId="7DD00E2D" w14:textId="77777777" w:rsidR="00C1563E" w:rsidRDefault="00C1563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DD00E2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DD00E2F" w14:textId="77777777" w:rsidR="00C1563E" w:rsidRDefault="000B648B">
            <w:pPr>
              <w:jc w:val="right"/>
              <w:textAlignment w:val="bottom"/>
            </w:pPr>
            <w:r>
              <w:rPr>
                <w:rFonts w:ascii="Times New Roman" w:eastAsia="宋体" w:hAnsi="Times New Roman"/>
                <w:color w:val="000000"/>
                <w:sz w:val="20"/>
                <w:szCs w:val="20"/>
              </w:rPr>
              <w:t>(2,176)</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DD00E30" w14:textId="77777777" w:rsidR="00C1563E" w:rsidRDefault="00C1563E">
            <w:pPr>
              <w:jc w:val="right"/>
              <w:rPr>
                <w:rFonts w:ascii="宋体"/>
              </w:rPr>
            </w:pPr>
          </w:p>
        </w:tc>
      </w:tr>
    </w:tbl>
    <w:p w14:paraId="7DD00E32" w14:textId="77777777" w:rsidR="00C1563E" w:rsidRDefault="00C1563E"/>
    <w:p w14:paraId="7DD00E33" w14:textId="77777777" w:rsidR="00C1563E" w:rsidRDefault="00C1563E">
      <w:pPr>
        <w:jc w:val="center"/>
      </w:pPr>
    </w:p>
    <w:p w14:paraId="7DD00E34" w14:textId="77777777" w:rsidR="00C1563E" w:rsidRDefault="000B648B">
      <w:pPr>
        <w:jc w:val="center"/>
      </w:pPr>
      <w:r>
        <w:rPr>
          <w:rFonts w:ascii="Times New Roman" w:eastAsia="宋体" w:hAnsi="Times New Roman"/>
          <w:color w:val="000000"/>
          <w:sz w:val="20"/>
          <w:szCs w:val="20"/>
        </w:rPr>
        <w:t>136</w:t>
      </w:r>
    </w:p>
    <w:p w14:paraId="7DD00E35" w14:textId="77777777" w:rsidR="00C1563E" w:rsidRDefault="00C1563E">
      <w:pPr>
        <w:jc w:val="center"/>
      </w:pPr>
    </w:p>
    <w:p w14:paraId="7DD00E36" w14:textId="77777777" w:rsidR="00C1563E" w:rsidRDefault="000B648B">
      <w:r>
        <w:pict w14:anchorId="7DD025F2">
          <v:rect id="_x0000_i1160" style="width:415.3pt;height:1.5pt" o:hralign="center" o:hrstd="t" o:hr="t" fillcolor="#a0a0a0" stroked="f"/>
        </w:pict>
      </w:r>
    </w:p>
    <w:p w14:paraId="7DD00E37" w14:textId="77777777" w:rsidR="00C1563E" w:rsidRDefault="000B648B">
      <w:hyperlink r:id="rId319" w:anchor="i418e32e4a35149ffbf7d3a25d66881b8_10" w:history="1">
        <w:r>
          <w:rPr>
            <w:rStyle w:val="a5"/>
            <w:rFonts w:ascii="Times New Roman" w:eastAsia="宋体" w:hAnsi="Times New Roman"/>
            <w:sz w:val="20"/>
            <w:szCs w:val="20"/>
          </w:rPr>
          <w:t>Table of Contents</w:t>
        </w:r>
      </w:hyperlink>
    </w:p>
    <w:p w14:paraId="7DD00E38" w14:textId="77777777" w:rsidR="00C1563E" w:rsidRDefault="000B648B">
      <w:r>
        <w:rPr>
          <w:rFonts w:ascii="Times New Roman" w:eastAsia="宋体" w:hAnsi="Times New Roman"/>
          <w:b/>
          <w:bCs/>
          <w:color w:val="000000"/>
          <w:sz w:val="20"/>
          <w:szCs w:val="20"/>
        </w:rPr>
        <w:t>NOTE 14 — CAPITALIZATION</w:t>
      </w:r>
      <w:r>
        <w:rPr>
          <w:rFonts w:ascii="Times New Roman" w:eastAsia="宋体" w:hAnsi="Times New Roman"/>
          <w:color w:val="000000"/>
          <w:sz w:val="20"/>
          <w:szCs w:val="20"/>
        </w:rPr>
        <w:t xml:space="preserve"> </w:t>
      </w:r>
    </w:p>
    <w:p w14:paraId="7DD00E39" w14:textId="77777777" w:rsidR="00C1563E" w:rsidRDefault="00C1563E"/>
    <w:p w14:paraId="7DD00E3A" w14:textId="77777777" w:rsidR="00C1563E" w:rsidRDefault="000B648B">
      <w:pPr>
        <w:spacing w:after="120"/>
      </w:pPr>
      <w:r>
        <w:rPr>
          <w:rFonts w:ascii="Times New Roman" w:eastAsia="宋体" w:hAnsi="Times New Roman"/>
          <w:color w:val="000000"/>
          <w:sz w:val="20"/>
          <w:szCs w:val="20"/>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61"/>
        <w:gridCol w:w="36"/>
        <w:gridCol w:w="63"/>
        <w:gridCol w:w="1224"/>
        <w:gridCol w:w="36"/>
        <w:gridCol w:w="36"/>
        <w:gridCol w:w="36"/>
        <w:gridCol w:w="36"/>
        <w:gridCol w:w="55"/>
        <w:gridCol w:w="1232"/>
        <w:gridCol w:w="36"/>
        <w:gridCol w:w="36"/>
        <w:gridCol w:w="36"/>
        <w:gridCol w:w="36"/>
        <w:gridCol w:w="69"/>
        <w:gridCol w:w="1218"/>
        <w:gridCol w:w="36"/>
      </w:tblGrid>
      <w:tr w:rsidR="00C1563E" w14:paraId="7DD00E4D" w14:textId="77777777">
        <w:trPr>
          <w:jc w:val="center"/>
        </w:trPr>
        <w:tc>
          <w:tcPr>
            <w:tcW w:w="50" w:type="pct"/>
            <w:shd w:val="clear" w:color="auto" w:fill="auto"/>
          </w:tcPr>
          <w:p w14:paraId="7DD00E3B" w14:textId="77777777" w:rsidR="00C1563E" w:rsidRDefault="00C1563E">
            <w:pPr>
              <w:rPr>
                <w:rFonts w:ascii="宋体"/>
              </w:rPr>
            </w:pPr>
          </w:p>
        </w:tc>
        <w:tc>
          <w:tcPr>
            <w:tcW w:w="2452" w:type="pct"/>
            <w:shd w:val="clear" w:color="auto" w:fill="auto"/>
          </w:tcPr>
          <w:p w14:paraId="7DD00E3C" w14:textId="77777777" w:rsidR="00C1563E" w:rsidRDefault="00C1563E">
            <w:pPr>
              <w:rPr>
                <w:rFonts w:ascii="宋体"/>
              </w:rPr>
            </w:pPr>
          </w:p>
        </w:tc>
        <w:tc>
          <w:tcPr>
            <w:tcW w:w="5" w:type="pct"/>
            <w:shd w:val="clear" w:color="auto" w:fill="auto"/>
          </w:tcPr>
          <w:p w14:paraId="7DD00E3D" w14:textId="77777777" w:rsidR="00C1563E" w:rsidRDefault="00C1563E">
            <w:pPr>
              <w:rPr>
                <w:rFonts w:ascii="宋体"/>
              </w:rPr>
            </w:pPr>
          </w:p>
        </w:tc>
        <w:tc>
          <w:tcPr>
            <w:tcW w:w="50" w:type="pct"/>
            <w:shd w:val="clear" w:color="auto" w:fill="auto"/>
          </w:tcPr>
          <w:p w14:paraId="7DD00E3E" w14:textId="77777777" w:rsidR="00C1563E" w:rsidRDefault="00C1563E">
            <w:pPr>
              <w:rPr>
                <w:rFonts w:ascii="宋体"/>
              </w:rPr>
            </w:pPr>
          </w:p>
        </w:tc>
        <w:tc>
          <w:tcPr>
            <w:tcW w:w="756" w:type="pct"/>
            <w:shd w:val="clear" w:color="auto" w:fill="auto"/>
          </w:tcPr>
          <w:p w14:paraId="7DD00E3F" w14:textId="77777777" w:rsidR="00C1563E" w:rsidRDefault="00C1563E">
            <w:pPr>
              <w:rPr>
                <w:rFonts w:ascii="宋体"/>
              </w:rPr>
            </w:pPr>
          </w:p>
        </w:tc>
        <w:tc>
          <w:tcPr>
            <w:tcW w:w="5" w:type="pct"/>
            <w:shd w:val="clear" w:color="auto" w:fill="auto"/>
          </w:tcPr>
          <w:p w14:paraId="7DD00E40" w14:textId="77777777" w:rsidR="00C1563E" w:rsidRDefault="00C1563E">
            <w:pPr>
              <w:rPr>
                <w:rFonts w:ascii="宋体"/>
              </w:rPr>
            </w:pPr>
          </w:p>
        </w:tc>
        <w:tc>
          <w:tcPr>
            <w:tcW w:w="5" w:type="pct"/>
            <w:shd w:val="clear" w:color="auto" w:fill="auto"/>
          </w:tcPr>
          <w:p w14:paraId="7DD00E41" w14:textId="77777777" w:rsidR="00C1563E" w:rsidRDefault="00C1563E">
            <w:pPr>
              <w:rPr>
                <w:rFonts w:ascii="宋体"/>
              </w:rPr>
            </w:pPr>
          </w:p>
        </w:tc>
        <w:tc>
          <w:tcPr>
            <w:tcW w:w="19" w:type="pct"/>
            <w:shd w:val="clear" w:color="auto" w:fill="auto"/>
          </w:tcPr>
          <w:p w14:paraId="7DD00E42" w14:textId="77777777" w:rsidR="00C1563E" w:rsidRDefault="00C1563E">
            <w:pPr>
              <w:rPr>
                <w:rFonts w:ascii="宋体"/>
              </w:rPr>
            </w:pPr>
          </w:p>
        </w:tc>
        <w:tc>
          <w:tcPr>
            <w:tcW w:w="5" w:type="pct"/>
            <w:shd w:val="clear" w:color="auto" w:fill="auto"/>
          </w:tcPr>
          <w:p w14:paraId="7DD00E43" w14:textId="77777777" w:rsidR="00C1563E" w:rsidRDefault="00C1563E">
            <w:pPr>
              <w:rPr>
                <w:rFonts w:ascii="宋体"/>
              </w:rPr>
            </w:pPr>
          </w:p>
        </w:tc>
        <w:tc>
          <w:tcPr>
            <w:tcW w:w="50" w:type="pct"/>
            <w:shd w:val="clear" w:color="auto" w:fill="auto"/>
          </w:tcPr>
          <w:p w14:paraId="7DD00E44" w14:textId="77777777" w:rsidR="00C1563E" w:rsidRDefault="00C1563E">
            <w:pPr>
              <w:rPr>
                <w:rFonts w:ascii="宋体"/>
              </w:rPr>
            </w:pPr>
          </w:p>
        </w:tc>
        <w:tc>
          <w:tcPr>
            <w:tcW w:w="756" w:type="pct"/>
            <w:shd w:val="clear" w:color="auto" w:fill="auto"/>
          </w:tcPr>
          <w:p w14:paraId="7DD00E45" w14:textId="77777777" w:rsidR="00C1563E" w:rsidRDefault="00C1563E">
            <w:pPr>
              <w:rPr>
                <w:rFonts w:ascii="宋体"/>
              </w:rPr>
            </w:pPr>
          </w:p>
        </w:tc>
        <w:tc>
          <w:tcPr>
            <w:tcW w:w="5" w:type="pct"/>
            <w:shd w:val="clear" w:color="auto" w:fill="auto"/>
          </w:tcPr>
          <w:p w14:paraId="7DD00E46" w14:textId="77777777" w:rsidR="00C1563E" w:rsidRDefault="00C1563E">
            <w:pPr>
              <w:rPr>
                <w:rFonts w:ascii="宋体"/>
              </w:rPr>
            </w:pPr>
          </w:p>
        </w:tc>
        <w:tc>
          <w:tcPr>
            <w:tcW w:w="5" w:type="pct"/>
            <w:shd w:val="clear" w:color="auto" w:fill="auto"/>
          </w:tcPr>
          <w:p w14:paraId="7DD00E47" w14:textId="77777777" w:rsidR="00C1563E" w:rsidRDefault="00C1563E">
            <w:pPr>
              <w:rPr>
                <w:rFonts w:ascii="宋体"/>
              </w:rPr>
            </w:pPr>
          </w:p>
        </w:tc>
        <w:tc>
          <w:tcPr>
            <w:tcW w:w="19" w:type="pct"/>
            <w:shd w:val="clear" w:color="auto" w:fill="auto"/>
          </w:tcPr>
          <w:p w14:paraId="7DD00E48" w14:textId="77777777" w:rsidR="00C1563E" w:rsidRDefault="00C1563E">
            <w:pPr>
              <w:rPr>
                <w:rFonts w:ascii="宋体"/>
              </w:rPr>
            </w:pPr>
          </w:p>
        </w:tc>
        <w:tc>
          <w:tcPr>
            <w:tcW w:w="5" w:type="pct"/>
            <w:shd w:val="clear" w:color="auto" w:fill="auto"/>
          </w:tcPr>
          <w:p w14:paraId="7DD00E49" w14:textId="77777777" w:rsidR="00C1563E" w:rsidRDefault="00C1563E">
            <w:pPr>
              <w:rPr>
                <w:rFonts w:ascii="宋体"/>
              </w:rPr>
            </w:pPr>
          </w:p>
        </w:tc>
        <w:tc>
          <w:tcPr>
            <w:tcW w:w="50" w:type="pct"/>
            <w:shd w:val="clear" w:color="auto" w:fill="auto"/>
          </w:tcPr>
          <w:p w14:paraId="7DD00E4A" w14:textId="77777777" w:rsidR="00C1563E" w:rsidRDefault="00C1563E">
            <w:pPr>
              <w:rPr>
                <w:rFonts w:ascii="宋体"/>
              </w:rPr>
            </w:pPr>
          </w:p>
        </w:tc>
        <w:tc>
          <w:tcPr>
            <w:tcW w:w="756" w:type="pct"/>
            <w:shd w:val="clear" w:color="auto" w:fill="auto"/>
          </w:tcPr>
          <w:p w14:paraId="7DD00E4B" w14:textId="77777777" w:rsidR="00C1563E" w:rsidRDefault="00C1563E">
            <w:pPr>
              <w:rPr>
                <w:rFonts w:ascii="宋体"/>
              </w:rPr>
            </w:pPr>
          </w:p>
        </w:tc>
        <w:tc>
          <w:tcPr>
            <w:tcW w:w="5" w:type="pct"/>
            <w:shd w:val="clear" w:color="auto" w:fill="auto"/>
          </w:tcPr>
          <w:p w14:paraId="7DD00E4C" w14:textId="77777777" w:rsidR="00C1563E" w:rsidRDefault="00C1563E">
            <w:pPr>
              <w:rPr>
                <w:rFonts w:ascii="宋体"/>
              </w:rPr>
            </w:pPr>
          </w:p>
        </w:tc>
      </w:tr>
      <w:tr w:rsidR="00C1563E" w14:paraId="7DD00E54" w14:textId="77777777">
        <w:trPr>
          <w:jc w:val="center"/>
        </w:trPr>
        <w:tc>
          <w:tcPr>
            <w:tcW w:w="0" w:type="auto"/>
            <w:gridSpan w:val="3"/>
            <w:shd w:val="clear" w:color="auto" w:fill="auto"/>
            <w:tcMar>
              <w:top w:w="0" w:type="dxa"/>
              <w:left w:w="20" w:type="dxa"/>
              <w:bottom w:w="0" w:type="dxa"/>
              <w:right w:w="20" w:type="dxa"/>
            </w:tcMar>
          </w:tcPr>
          <w:p w14:paraId="7DD00E4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0E4F" w14:textId="77777777" w:rsidR="00C1563E" w:rsidRDefault="000B648B">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tcPr>
          <w:p w14:paraId="7DD00E50"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E51" w14:textId="77777777" w:rsidR="00C1563E" w:rsidRDefault="000B648B">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tcPr>
          <w:p w14:paraId="7DD00E52"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0E53" w14:textId="77777777" w:rsidR="00C1563E" w:rsidRDefault="000B648B">
            <w:pPr>
              <w:jc w:val="center"/>
              <w:textAlignment w:val="bottom"/>
            </w:pPr>
            <w:r>
              <w:rPr>
                <w:rFonts w:ascii="Times New Roman" w:eastAsia="宋体" w:hAnsi="Times New Roman"/>
                <w:b/>
                <w:bCs/>
                <w:color w:val="000000"/>
                <w:sz w:val="20"/>
                <w:szCs w:val="20"/>
              </w:rPr>
              <w:t>Outstanding</w:t>
            </w:r>
          </w:p>
        </w:tc>
      </w:tr>
      <w:tr w:rsidR="00C1563E" w14:paraId="7DD00E57" w14:textId="77777777">
        <w:trPr>
          <w:jc w:val="center"/>
        </w:trPr>
        <w:tc>
          <w:tcPr>
            <w:tcW w:w="0" w:type="auto"/>
            <w:gridSpan w:val="3"/>
            <w:shd w:val="clear" w:color="auto" w:fill="auto"/>
            <w:tcMar>
              <w:top w:w="0" w:type="dxa"/>
              <w:left w:w="20" w:type="dxa"/>
              <w:bottom w:w="0" w:type="dxa"/>
              <w:right w:w="20" w:type="dxa"/>
            </w:tcMar>
          </w:tcPr>
          <w:p w14:paraId="7DD00E55"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0E56"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0E59" w14:textId="77777777">
        <w:trPr>
          <w:jc w:val="center"/>
        </w:trPr>
        <w:tc>
          <w:tcPr>
            <w:tcW w:w="0" w:type="auto"/>
            <w:gridSpan w:val="18"/>
            <w:shd w:val="clear" w:color="auto" w:fill="CCEEFF"/>
            <w:tcMar>
              <w:top w:w="40" w:type="dxa"/>
              <w:left w:w="20" w:type="dxa"/>
              <w:bottom w:w="40" w:type="dxa"/>
              <w:right w:w="20" w:type="dxa"/>
            </w:tcMar>
            <w:vAlign w:val="bottom"/>
          </w:tcPr>
          <w:p w14:paraId="7DD00E58" w14:textId="77777777" w:rsidR="00C1563E" w:rsidRDefault="000B648B">
            <w:pPr>
              <w:textAlignment w:val="bottom"/>
            </w:pPr>
            <w:r>
              <w:rPr>
                <w:rFonts w:ascii="Times New Roman" w:eastAsia="宋体" w:hAnsi="Times New Roman"/>
                <w:i/>
                <w:iCs/>
                <w:color w:val="000000"/>
                <w:sz w:val="20"/>
                <w:szCs w:val="20"/>
              </w:rPr>
              <w:t>Common stock as of January 29, 2021</w:t>
            </w:r>
          </w:p>
        </w:tc>
      </w:tr>
      <w:tr w:rsidR="00C1563E" w14:paraId="7DD00E63" w14:textId="77777777">
        <w:trPr>
          <w:jc w:val="center"/>
        </w:trPr>
        <w:tc>
          <w:tcPr>
            <w:tcW w:w="0" w:type="auto"/>
            <w:gridSpan w:val="3"/>
            <w:shd w:val="clear" w:color="auto" w:fill="FFFFFF"/>
            <w:tcMar>
              <w:top w:w="40" w:type="dxa"/>
              <w:left w:w="155" w:type="dxa"/>
              <w:bottom w:w="40" w:type="dxa"/>
              <w:right w:w="20" w:type="dxa"/>
            </w:tcMar>
            <w:vAlign w:val="bottom"/>
          </w:tcPr>
          <w:p w14:paraId="7DD00E5A" w14:textId="77777777" w:rsidR="00C1563E" w:rsidRDefault="000B648B">
            <w:pPr>
              <w:textAlignment w:val="bottom"/>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bottom"/>
          </w:tcPr>
          <w:p w14:paraId="7DD00E5B" w14:textId="77777777" w:rsidR="00C1563E" w:rsidRDefault="000B648B">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7DD00E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5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5E" w14:textId="77777777" w:rsidR="00C1563E" w:rsidRDefault="000B648B">
            <w:pPr>
              <w:jc w:val="right"/>
              <w:textAlignment w:val="bottom"/>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bottom"/>
          </w:tcPr>
          <w:p w14:paraId="7DD00E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6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61" w14:textId="77777777" w:rsidR="00C1563E" w:rsidRDefault="000B648B">
            <w:pPr>
              <w:jc w:val="right"/>
              <w:textAlignment w:val="bottom"/>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bottom"/>
          </w:tcPr>
          <w:p w14:paraId="7DD00E62" w14:textId="77777777" w:rsidR="00C1563E" w:rsidRDefault="00C1563E">
            <w:pPr>
              <w:jc w:val="right"/>
              <w:rPr>
                <w:rFonts w:ascii="宋体"/>
              </w:rPr>
            </w:pPr>
          </w:p>
        </w:tc>
      </w:tr>
      <w:tr w:rsidR="00C1563E" w14:paraId="7DD00E6D" w14:textId="77777777">
        <w:trPr>
          <w:jc w:val="center"/>
        </w:trPr>
        <w:tc>
          <w:tcPr>
            <w:tcW w:w="0" w:type="auto"/>
            <w:gridSpan w:val="3"/>
            <w:shd w:val="clear" w:color="auto" w:fill="CCEEFF"/>
            <w:tcMar>
              <w:top w:w="40" w:type="dxa"/>
              <w:left w:w="155" w:type="dxa"/>
              <w:bottom w:w="40" w:type="dxa"/>
              <w:right w:w="20" w:type="dxa"/>
            </w:tcMar>
            <w:vAlign w:val="bottom"/>
          </w:tcPr>
          <w:p w14:paraId="7DD00E64" w14:textId="77777777" w:rsidR="00C1563E" w:rsidRDefault="000B648B">
            <w:pPr>
              <w:textAlignment w:val="bottom"/>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bottom"/>
          </w:tcPr>
          <w:p w14:paraId="7DD00E65" w14:textId="77777777" w:rsidR="00C1563E" w:rsidRDefault="000B648B">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7DD00E6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6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68" w14:textId="77777777" w:rsidR="00C1563E" w:rsidRDefault="000B648B">
            <w:pPr>
              <w:jc w:val="right"/>
              <w:textAlignment w:val="bottom"/>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bottom"/>
          </w:tcPr>
          <w:p w14:paraId="7DD00E6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6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6B" w14:textId="77777777" w:rsidR="00C1563E" w:rsidRDefault="000B648B">
            <w:pPr>
              <w:jc w:val="right"/>
              <w:textAlignment w:val="bottom"/>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bottom"/>
          </w:tcPr>
          <w:p w14:paraId="7DD00E6C" w14:textId="77777777" w:rsidR="00C1563E" w:rsidRDefault="00C1563E">
            <w:pPr>
              <w:jc w:val="right"/>
              <w:rPr>
                <w:rFonts w:ascii="宋体"/>
              </w:rPr>
            </w:pPr>
          </w:p>
        </w:tc>
      </w:tr>
      <w:tr w:rsidR="00C1563E" w14:paraId="7DD00E77" w14:textId="77777777">
        <w:trPr>
          <w:jc w:val="center"/>
        </w:trPr>
        <w:tc>
          <w:tcPr>
            <w:tcW w:w="0" w:type="auto"/>
            <w:gridSpan w:val="3"/>
            <w:shd w:val="clear" w:color="auto" w:fill="FFFFFF"/>
            <w:tcMar>
              <w:top w:w="40" w:type="dxa"/>
              <w:left w:w="155" w:type="dxa"/>
              <w:bottom w:w="40" w:type="dxa"/>
              <w:right w:w="20" w:type="dxa"/>
            </w:tcMar>
            <w:vAlign w:val="bottom"/>
          </w:tcPr>
          <w:p w14:paraId="7DD00E6E" w14:textId="77777777" w:rsidR="00C1563E" w:rsidRDefault="000B648B">
            <w:pPr>
              <w:textAlignment w:val="bottom"/>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bottom"/>
          </w:tcPr>
          <w:p w14:paraId="7DD00E6F" w14:textId="77777777" w:rsidR="00C1563E" w:rsidRDefault="000B648B">
            <w:pPr>
              <w:jc w:val="right"/>
              <w:textAlignment w:val="bottom"/>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bottom"/>
          </w:tcPr>
          <w:p w14:paraId="7DD00E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7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72" w14:textId="77777777" w:rsidR="00C1563E" w:rsidRDefault="000B648B">
            <w:pPr>
              <w:jc w:val="right"/>
              <w:textAlignment w:val="bottom"/>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bottom"/>
          </w:tcPr>
          <w:p w14:paraId="7DD00E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7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75" w14:textId="77777777" w:rsidR="00C1563E" w:rsidRDefault="000B648B">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7DD00E76" w14:textId="77777777" w:rsidR="00C1563E" w:rsidRDefault="00C1563E">
            <w:pPr>
              <w:jc w:val="right"/>
              <w:rPr>
                <w:rFonts w:ascii="宋体"/>
              </w:rPr>
            </w:pPr>
          </w:p>
        </w:tc>
      </w:tr>
      <w:tr w:rsidR="00C1563E" w14:paraId="7DD00E81" w14:textId="77777777">
        <w:trPr>
          <w:jc w:val="center"/>
        </w:trPr>
        <w:tc>
          <w:tcPr>
            <w:tcW w:w="0" w:type="auto"/>
            <w:gridSpan w:val="3"/>
            <w:shd w:val="clear" w:color="auto" w:fill="CCEEFF"/>
            <w:tcMar>
              <w:top w:w="40" w:type="dxa"/>
              <w:left w:w="155" w:type="dxa"/>
              <w:bottom w:w="40" w:type="dxa"/>
              <w:right w:w="20" w:type="dxa"/>
            </w:tcMar>
            <w:vAlign w:val="bottom"/>
          </w:tcPr>
          <w:p w14:paraId="7DD00E78" w14:textId="77777777" w:rsidR="00C1563E" w:rsidRDefault="000B648B">
            <w:pPr>
              <w:textAlignment w:val="bottom"/>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bottom"/>
          </w:tcPr>
          <w:p w14:paraId="7DD00E79" w14:textId="77777777" w:rsidR="00C1563E" w:rsidRDefault="000B648B">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DD00E7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7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7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E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7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7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E80" w14:textId="77777777" w:rsidR="00C1563E" w:rsidRDefault="00C1563E">
            <w:pPr>
              <w:jc w:val="right"/>
              <w:rPr>
                <w:rFonts w:ascii="宋体"/>
              </w:rPr>
            </w:pPr>
          </w:p>
        </w:tc>
      </w:tr>
      <w:tr w:rsidR="00C1563E" w14:paraId="7DD00E8B" w14:textId="77777777">
        <w:trPr>
          <w:jc w:val="center"/>
        </w:trPr>
        <w:tc>
          <w:tcPr>
            <w:tcW w:w="0" w:type="auto"/>
            <w:gridSpan w:val="3"/>
            <w:shd w:val="clear" w:color="auto" w:fill="FFFFFF"/>
            <w:tcMar>
              <w:top w:w="40" w:type="dxa"/>
              <w:left w:w="155" w:type="dxa"/>
              <w:bottom w:w="40" w:type="dxa"/>
              <w:right w:w="20" w:type="dxa"/>
            </w:tcMar>
            <w:vAlign w:val="bottom"/>
          </w:tcPr>
          <w:p w14:paraId="7DD00E82" w14:textId="77777777" w:rsidR="00C1563E" w:rsidRDefault="000B648B">
            <w:pPr>
              <w:textAlignment w:val="bottom"/>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bottom"/>
          </w:tcPr>
          <w:p w14:paraId="7DD00E83" w14:textId="77777777" w:rsidR="00C1563E" w:rsidRDefault="000B648B">
            <w:pPr>
              <w:jc w:val="right"/>
              <w:textAlignment w:val="bottom"/>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bottom"/>
          </w:tcPr>
          <w:p w14:paraId="7DD00E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8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8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E8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8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8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E8A" w14:textId="77777777" w:rsidR="00C1563E" w:rsidRDefault="00C1563E">
            <w:pPr>
              <w:jc w:val="right"/>
              <w:rPr>
                <w:rFonts w:ascii="宋体"/>
              </w:rPr>
            </w:pPr>
          </w:p>
        </w:tc>
      </w:tr>
      <w:tr w:rsidR="00C1563E" w14:paraId="7DD00E95" w14:textId="77777777">
        <w:trPr>
          <w:jc w:val="center"/>
        </w:trPr>
        <w:tc>
          <w:tcPr>
            <w:tcW w:w="0" w:type="auto"/>
            <w:gridSpan w:val="3"/>
            <w:shd w:val="clear" w:color="auto" w:fill="CCEEFF"/>
            <w:tcMar>
              <w:top w:w="0" w:type="dxa"/>
              <w:left w:w="20" w:type="dxa"/>
              <w:bottom w:w="0" w:type="dxa"/>
              <w:right w:w="20" w:type="dxa"/>
            </w:tcMar>
          </w:tcPr>
          <w:p w14:paraId="7DD00E8C"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8D" w14:textId="77777777" w:rsidR="00C1563E" w:rsidRDefault="000B648B">
            <w:pPr>
              <w:jc w:val="right"/>
              <w:textAlignment w:val="bottom"/>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8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90" w14:textId="77777777" w:rsidR="00C1563E" w:rsidRDefault="000B648B">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9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9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0E93" w14:textId="77777777" w:rsidR="00C1563E" w:rsidRDefault="000B648B">
            <w:pPr>
              <w:jc w:val="right"/>
              <w:textAlignment w:val="bottom"/>
            </w:pPr>
            <w:r>
              <w:rPr>
                <w:rFonts w:ascii="Times New Roman" w:eastAsia="宋体" w:hAnsi="Times New Roman"/>
                <w:color w:val="000000"/>
                <w:sz w:val="20"/>
                <w:szCs w:val="20"/>
              </w:rPr>
              <w:t>753 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0E94" w14:textId="77777777" w:rsidR="00C1563E" w:rsidRDefault="00C1563E">
            <w:pPr>
              <w:jc w:val="right"/>
              <w:rPr>
                <w:rFonts w:ascii="宋体"/>
              </w:rPr>
            </w:pPr>
          </w:p>
        </w:tc>
      </w:tr>
      <w:tr w:rsidR="00C1563E" w14:paraId="7DD00E9C" w14:textId="77777777">
        <w:trPr>
          <w:trHeight w:val="300"/>
          <w:jc w:val="center"/>
        </w:trPr>
        <w:tc>
          <w:tcPr>
            <w:tcW w:w="0" w:type="auto"/>
            <w:gridSpan w:val="3"/>
            <w:shd w:val="clear" w:color="auto" w:fill="FFFFFF"/>
            <w:tcMar>
              <w:top w:w="0" w:type="dxa"/>
              <w:left w:w="20" w:type="dxa"/>
              <w:bottom w:w="0" w:type="dxa"/>
              <w:right w:w="20" w:type="dxa"/>
            </w:tcMar>
          </w:tcPr>
          <w:p w14:paraId="7DD00E96"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E9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E98"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E9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E9A"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0E9B" w14:textId="77777777" w:rsidR="00C1563E" w:rsidRDefault="00C1563E">
            <w:pPr>
              <w:rPr>
                <w:rFonts w:ascii="宋体"/>
              </w:rPr>
            </w:pPr>
          </w:p>
        </w:tc>
      </w:tr>
      <w:tr w:rsidR="00C1563E" w14:paraId="7DD00E9E" w14:textId="77777777">
        <w:trPr>
          <w:jc w:val="center"/>
        </w:trPr>
        <w:tc>
          <w:tcPr>
            <w:tcW w:w="0" w:type="auto"/>
            <w:gridSpan w:val="18"/>
            <w:shd w:val="clear" w:color="auto" w:fill="CCEEFF"/>
            <w:tcMar>
              <w:top w:w="40" w:type="dxa"/>
              <w:left w:w="20" w:type="dxa"/>
              <w:bottom w:w="40" w:type="dxa"/>
              <w:right w:w="20" w:type="dxa"/>
            </w:tcMar>
            <w:vAlign w:val="bottom"/>
          </w:tcPr>
          <w:p w14:paraId="7DD00E9D" w14:textId="77777777" w:rsidR="00C1563E" w:rsidRDefault="000B648B">
            <w:pPr>
              <w:textAlignment w:val="bottom"/>
            </w:pPr>
            <w:r>
              <w:rPr>
                <w:rFonts w:ascii="Times New Roman" w:eastAsia="宋体" w:hAnsi="Times New Roman"/>
                <w:i/>
                <w:iCs/>
                <w:color w:val="000000"/>
                <w:sz w:val="20"/>
                <w:szCs w:val="20"/>
              </w:rPr>
              <w:t>Common stock as of January 31, 2020</w:t>
            </w:r>
          </w:p>
        </w:tc>
      </w:tr>
      <w:tr w:rsidR="00C1563E" w14:paraId="7DD00EA8" w14:textId="77777777">
        <w:trPr>
          <w:jc w:val="center"/>
        </w:trPr>
        <w:tc>
          <w:tcPr>
            <w:tcW w:w="0" w:type="auto"/>
            <w:gridSpan w:val="3"/>
            <w:shd w:val="clear" w:color="auto" w:fill="FFFFFF"/>
            <w:tcMar>
              <w:top w:w="40" w:type="dxa"/>
              <w:left w:w="155" w:type="dxa"/>
              <w:bottom w:w="40" w:type="dxa"/>
              <w:right w:w="20" w:type="dxa"/>
            </w:tcMar>
            <w:vAlign w:val="bottom"/>
          </w:tcPr>
          <w:p w14:paraId="7DD00E9F" w14:textId="77777777" w:rsidR="00C1563E" w:rsidRDefault="000B648B">
            <w:pPr>
              <w:textAlignment w:val="bottom"/>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bottom"/>
          </w:tcPr>
          <w:p w14:paraId="7DD00EA0" w14:textId="77777777" w:rsidR="00C1563E" w:rsidRDefault="000B648B">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7DD00EA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A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A3" w14:textId="77777777" w:rsidR="00C1563E" w:rsidRDefault="000B648B">
            <w:pPr>
              <w:jc w:val="right"/>
              <w:textAlignment w:val="bottom"/>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bottom"/>
          </w:tcPr>
          <w:p w14:paraId="7DD00EA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A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A6" w14:textId="77777777" w:rsidR="00C1563E" w:rsidRDefault="000B648B">
            <w:pPr>
              <w:jc w:val="right"/>
              <w:textAlignment w:val="bottom"/>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bottom"/>
          </w:tcPr>
          <w:p w14:paraId="7DD00EA7" w14:textId="77777777" w:rsidR="00C1563E" w:rsidRDefault="00C1563E">
            <w:pPr>
              <w:jc w:val="right"/>
              <w:rPr>
                <w:rFonts w:ascii="宋体"/>
              </w:rPr>
            </w:pPr>
          </w:p>
        </w:tc>
      </w:tr>
      <w:tr w:rsidR="00C1563E" w14:paraId="7DD00EB2" w14:textId="77777777">
        <w:trPr>
          <w:jc w:val="center"/>
        </w:trPr>
        <w:tc>
          <w:tcPr>
            <w:tcW w:w="0" w:type="auto"/>
            <w:gridSpan w:val="3"/>
            <w:shd w:val="clear" w:color="auto" w:fill="CCEEFF"/>
            <w:tcMar>
              <w:top w:w="40" w:type="dxa"/>
              <w:left w:w="155" w:type="dxa"/>
              <w:bottom w:w="40" w:type="dxa"/>
              <w:right w:w="20" w:type="dxa"/>
            </w:tcMar>
            <w:vAlign w:val="bottom"/>
          </w:tcPr>
          <w:p w14:paraId="7DD00EA9" w14:textId="77777777" w:rsidR="00C1563E" w:rsidRDefault="000B648B">
            <w:pPr>
              <w:textAlignment w:val="bottom"/>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bottom"/>
          </w:tcPr>
          <w:p w14:paraId="7DD00EAA" w14:textId="77777777" w:rsidR="00C1563E" w:rsidRDefault="000B648B">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7DD00EA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A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AD" w14:textId="77777777" w:rsidR="00C1563E" w:rsidRDefault="000B648B">
            <w:pPr>
              <w:jc w:val="right"/>
              <w:textAlignment w:val="bottom"/>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bottom"/>
          </w:tcPr>
          <w:p w14:paraId="7DD00EA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A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B0" w14:textId="77777777" w:rsidR="00C1563E" w:rsidRDefault="000B648B">
            <w:pPr>
              <w:jc w:val="right"/>
              <w:textAlignment w:val="bottom"/>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bottom"/>
          </w:tcPr>
          <w:p w14:paraId="7DD00EB1" w14:textId="77777777" w:rsidR="00C1563E" w:rsidRDefault="00C1563E">
            <w:pPr>
              <w:jc w:val="right"/>
              <w:rPr>
                <w:rFonts w:ascii="宋体"/>
              </w:rPr>
            </w:pPr>
          </w:p>
        </w:tc>
      </w:tr>
      <w:tr w:rsidR="00C1563E" w14:paraId="7DD00EBC" w14:textId="77777777">
        <w:trPr>
          <w:jc w:val="center"/>
        </w:trPr>
        <w:tc>
          <w:tcPr>
            <w:tcW w:w="0" w:type="auto"/>
            <w:gridSpan w:val="3"/>
            <w:shd w:val="clear" w:color="auto" w:fill="FFFFFF"/>
            <w:tcMar>
              <w:top w:w="40" w:type="dxa"/>
              <w:left w:w="155" w:type="dxa"/>
              <w:bottom w:w="40" w:type="dxa"/>
              <w:right w:w="20" w:type="dxa"/>
            </w:tcMar>
            <w:vAlign w:val="bottom"/>
          </w:tcPr>
          <w:p w14:paraId="7DD00EB3" w14:textId="77777777" w:rsidR="00C1563E" w:rsidRDefault="000B648B">
            <w:pPr>
              <w:textAlignment w:val="bottom"/>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bottom"/>
          </w:tcPr>
          <w:p w14:paraId="7DD00EB4" w14:textId="77777777" w:rsidR="00C1563E" w:rsidRDefault="000B648B">
            <w:pPr>
              <w:jc w:val="right"/>
              <w:textAlignment w:val="bottom"/>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bottom"/>
          </w:tcPr>
          <w:p w14:paraId="7DD00EB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B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B7" w14:textId="77777777" w:rsidR="00C1563E" w:rsidRDefault="000B648B">
            <w:pPr>
              <w:jc w:val="right"/>
              <w:textAlignment w:val="bottom"/>
            </w:pPr>
            <w:r>
              <w:rPr>
                <w:rFonts w:ascii="Times New Roman" w:eastAsia="宋体" w:hAnsi="Times New Roman"/>
                <w:color w:val="000000"/>
                <w:sz w:val="20"/>
                <w:szCs w:val="20"/>
              </w:rPr>
              <w:t>258 </w:t>
            </w:r>
          </w:p>
        </w:tc>
        <w:tc>
          <w:tcPr>
            <w:tcW w:w="0" w:type="auto"/>
            <w:shd w:val="clear" w:color="auto" w:fill="FFFFFF"/>
            <w:tcMar>
              <w:top w:w="40" w:type="dxa"/>
              <w:left w:w="0" w:type="dxa"/>
              <w:bottom w:w="40" w:type="dxa"/>
              <w:right w:w="20" w:type="dxa"/>
            </w:tcMar>
            <w:vAlign w:val="bottom"/>
          </w:tcPr>
          <w:p w14:paraId="7DD00E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BA" w14:textId="77777777" w:rsidR="00C1563E" w:rsidRDefault="000B648B">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7DD00EBB" w14:textId="77777777" w:rsidR="00C1563E" w:rsidRDefault="00C1563E">
            <w:pPr>
              <w:jc w:val="right"/>
              <w:rPr>
                <w:rFonts w:ascii="宋体"/>
              </w:rPr>
            </w:pPr>
          </w:p>
        </w:tc>
      </w:tr>
      <w:tr w:rsidR="00C1563E" w14:paraId="7DD00EC6" w14:textId="77777777">
        <w:trPr>
          <w:jc w:val="center"/>
        </w:trPr>
        <w:tc>
          <w:tcPr>
            <w:tcW w:w="0" w:type="auto"/>
            <w:gridSpan w:val="3"/>
            <w:shd w:val="clear" w:color="auto" w:fill="CCEEFF"/>
            <w:tcMar>
              <w:top w:w="40" w:type="dxa"/>
              <w:left w:w="155" w:type="dxa"/>
              <w:bottom w:w="40" w:type="dxa"/>
              <w:right w:w="20" w:type="dxa"/>
            </w:tcMar>
            <w:vAlign w:val="bottom"/>
          </w:tcPr>
          <w:p w14:paraId="7DD00EBD" w14:textId="77777777" w:rsidR="00C1563E" w:rsidRDefault="000B648B">
            <w:pPr>
              <w:textAlignment w:val="bottom"/>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bottom"/>
          </w:tcPr>
          <w:p w14:paraId="7DD00EBE" w14:textId="77777777" w:rsidR="00C1563E" w:rsidRDefault="000B648B">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DD00EB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C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C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EC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C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0EC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0EC5" w14:textId="77777777" w:rsidR="00C1563E" w:rsidRDefault="00C1563E">
            <w:pPr>
              <w:jc w:val="right"/>
              <w:rPr>
                <w:rFonts w:ascii="宋体"/>
              </w:rPr>
            </w:pPr>
          </w:p>
        </w:tc>
      </w:tr>
      <w:tr w:rsidR="00C1563E" w14:paraId="7DD00ED0" w14:textId="77777777">
        <w:trPr>
          <w:jc w:val="center"/>
        </w:trPr>
        <w:tc>
          <w:tcPr>
            <w:tcW w:w="0" w:type="auto"/>
            <w:gridSpan w:val="3"/>
            <w:shd w:val="clear" w:color="auto" w:fill="FFFFFF"/>
            <w:tcMar>
              <w:top w:w="40" w:type="dxa"/>
              <w:left w:w="155" w:type="dxa"/>
              <w:bottom w:w="40" w:type="dxa"/>
              <w:right w:w="20" w:type="dxa"/>
            </w:tcMar>
            <w:vAlign w:val="bottom"/>
          </w:tcPr>
          <w:p w14:paraId="7DD00EC7" w14:textId="77777777" w:rsidR="00C1563E" w:rsidRDefault="000B648B">
            <w:pPr>
              <w:textAlignment w:val="bottom"/>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bottom"/>
          </w:tcPr>
          <w:p w14:paraId="7DD00EC8" w14:textId="77777777" w:rsidR="00C1563E" w:rsidRDefault="000B648B">
            <w:pPr>
              <w:jc w:val="right"/>
              <w:textAlignment w:val="bottom"/>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bottom"/>
          </w:tcPr>
          <w:p w14:paraId="7DD00EC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C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C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EC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EC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0EC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0ECF" w14:textId="77777777" w:rsidR="00C1563E" w:rsidRDefault="00C1563E">
            <w:pPr>
              <w:jc w:val="right"/>
              <w:rPr>
                <w:rFonts w:ascii="宋体"/>
              </w:rPr>
            </w:pPr>
          </w:p>
        </w:tc>
      </w:tr>
      <w:tr w:rsidR="00C1563E" w14:paraId="7DD00EDA" w14:textId="77777777">
        <w:trPr>
          <w:jc w:val="center"/>
        </w:trPr>
        <w:tc>
          <w:tcPr>
            <w:tcW w:w="0" w:type="auto"/>
            <w:gridSpan w:val="3"/>
            <w:shd w:val="clear" w:color="auto" w:fill="CCEEFF"/>
            <w:tcMar>
              <w:top w:w="0" w:type="dxa"/>
              <w:left w:w="155" w:type="dxa"/>
              <w:bottom w:w="0" w:type="dxa"/>
              <w:right w:w="20" w:type="dxa"/>
            </w:tcMar>
          </w:tcPr>
          <w:p w14:paraId="7DD00ED1"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ED2" w14:textId="77777777" w:rsidR="00C1563E" w:rsidRDefault="000B648B">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E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D4"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ED5" w14:textId="77777777" w:rsidR="00C1563E" w:rsidRDefault="000B648B">
            <w:pPr>
              <w:jc w:val="right"/>
              <w:textAlignment w:val="bottom"/>
            </w:pPr>
            <w:r>
              <w:rPr>
                <w:rFonts w:ascii="Times New Roman" w:eastAsia="宋体" w:hAnsi="Times New Roman"/>
                <w:color w:val="000000"/>
                <w:sz w:val="20"/>
                <w:szCs w:val="20"/>
              </w:rPr>
              <w:t>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ED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ED7" w14:textId="77777777" w:rsidR="00C1563E" w:rsidRDefault="00C1563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0ED8" w14:textId="77777777" w:rsidR="00C1563E" w:rsidRDefault="000B648B">
            <w:pPr>
              <w:jc w:val="right"/>
              <w:textAlignment w:val="bottom"/>
            </w:pPr>
            <w:r>
              <w:rPr>
                <w:rFonts w:ascii="Times New Roman" w:eastAsia="宋体" w:hAnsi="Times New Roman"/>
                <w:color w:val="000000"/>
                <w:sz w:val="20"/>
                <w:szCs w:val="20"/>
              </w:rPr>
              <w:t>743 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0ED9" w14:textId="77777777" w:rsidR="00C1563E" w:rsidRDefault="00C1563E">
            <w:pPr>
              <w:jc w:val="right"/>
              <w:rPr>
                <w:rFonts w:ascii="宋体"/>
              </w:rPr>
            </w:pPr>
          </w:p>
        </w:tc>
      </w:tr>
    </w:tbl>
    <w:p w14:paraId="7DD00EDB" w14:textId="77777777" w:rsidR="00C1563E" w:rsidRDefault="00C1563E"/>
    <w:p w14:paraId="7DD00EDC" w14:textId="77777777" w:rsidR="00C1563E" w:rsidRDefault="000B648B">
      <w:r>
        <w:rPr>
          <w:rFonts w:ascii="Times New Roman" w:eastAsia="宋体" w:hAnsi="Times New Roman"/>
          <w:color w:val="000000"/>
          <w:sz w:val="20"/>
          <w:szCs w:val="20"/>
        </w:rPr>
        <w:t>Under the Company’s certificate of incorporation as amended and restated upon the completion of the Class V transaction described in Note 1 of the Notes to the Consolidated Financial Statements, the Company is prohibited from issuing any o</w:t>
      </w:r>
      <w:r>
        <w:rPr>
          <w:rFonts w:ascii="Times New Roman" w:eastAsia="宋体" w:hAnsi="Times New Roman"/>
          <w:color w:val="000000"/>
          <w:sz w:val="20"/>
          <w:szCs w:val="20"/>
        </w:rPr>
        <w:t>f the authorized shares of Class V Common Stock.</w:t>
      </w:r>
    </w:p>
    <w:p w14:paraId="7DD00EDD" w14:textId="77777777" w:rsidR="00C1563E" w:rsidRDefault="00C1563E"/>
    <w:p w14:paraId="7DD00EDE" w14:textId="77777777" w:rsidR="00C1563E" w:rsidRDefault="000B648B">
      <w:r>
        <w:rPr>
          <w:rFonts w:ascii="Times New Roman" w:eastAsia="宋体" w:hAnsi="Times New Roman"/>
          <w:b/>
          <w:bCs/>
          <w:color w:val="000000"/>
          <w:sz w:val="20"/>
          <w:szCs w:val="20"/>
        </w:rPr>
        <w:t>Preferred Stock</w:t>
      </w:r>
    </w:p>
    <w:p w14:paraId="7DD00EDF" w14:textId="77777777" w:rsidR="00C1563E" w:rsidRDefault="00C1563E"/>
    <w:p w14:paraId="7DD00EE0" w14:textId="77777777" w:rsidR="00C1563E" w:rsidRDefault="000B648B">
      <w:r>
        <w:rPr>
          <w:rFonts w:ascii="Times New Roman" w:eastAsia="宋体" w:hAnsi="Times New Roman"/>
          <w:color w:val="000000"/>
          <w:sz w:val="20"/>
          <w:szCs w:val="20"/>
        </w:rPr>
        <w:t xml:space="preserve">The Company is authorized to issue one million shares of preferred stock, par value $0.01 per share. As of January 29, 2021 and January 31, 2020, no shares of preferred stock were issued or outstanding. </w:t>
      </w:r>
    </w:p>
    <w:p w14:paraId="7DD00EE1" w14:textId="77777777" w:rsidR="00C1563E" w:rsidRDefault="00C1563E"/>
    <w:p w14:paraId="7DD00EE2" w14:textId="77777777" w:rsidR="00C1563E" w:rsidRDefault="000B648B">
      <w:r>
        <w:rPr>
          <w:rFonts w:ascii="Times New Roman" w:eastAsia="宋体" w:hAnsi="Times New Roman"/>
          <w:b/>
          <w:bCs/>
          <w:color w:val="000000"/>
          <w:sz w:val="20"/>
          <w:szCs w:val="20"/>
        </w:rPr>
        <w:t>Common Stock</w:t>
      </w:r>
    </w:p>
    <w:p w14:paraId="7DD00EE3" w14:textId="77777777" w:rsidR="00C1563E" w:rsidRDefault="00C1563E"/>
    <w:p w14:paraId="7DD00EE4" w14:textId="77777777" w:rsidR="00C1563E" w:rsidRDefault="000B648B">
      <w:r>
        <w:rPr>
          <w:rFonts w:ascii="Times New Roman" w:eastAsia="宋体" w:hAnsi="Times New Roman"/>
          <w:i/>
          <w:iCs/>
          <w:color w:val="000000"/>
          <w:sz w:val="20"/>
          <w:szCs w:val="20"/>
          <w:u w:val="single"/>
        </w:rPr>
        <w:t>Common Stock for Fiscal 2020 and Ther</w:t>
      </w:r>
      <w:r>
        <w:rPr>
          <w:rFonts w:ascii="Times New Roman" w:eastAsia="宋体" w:hAnsi="Times New Roman"/>
          <w:i/>
          <w:iCs/>
          <w:color w:val="000000"/>
          <w:sz w:val="20"/>
          <w:szCs w:val="20"/>
          <w:u w:val="single"/>
        </w:rPr>
        <w:t>eafter</w:t>
      </w:r>
    </w:p>
    <w:p w14:paraId="7DD00EE5" w14:textId="77777777" w:rsidR="00C1563E" w:rsidRDefault="00C1563E"/>
    <w:p w14:paraId="7DD00EE6" w14:textId="77777777" w:rsidR="00C1563E" w:rsidRDefault="000B648B">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For Fiscal 2020 and thereafter, the Class A Common Stock, the Class B Common Stock, the Class C Common Stock, and the Class D Common Stock, formerly collectively referred to as the DHI Group Common Stock, are collec</w:t>
      </w:r>
      <w:r>
        <w:rPr>
          <w:rFonts w:ascii="Times New Roman" w:eastAsia="宋体" w:hAnsi="Times New Roman"/>
          <w:color w:val="000000"/>
          <w:sz w:val="20"/>
          <w:szCs w:val="20"/>
        </w:rPr>
        <w:t>tively referred to as Dell Technologies Common Stock. The redesignation of such classes of common stock from DHI Group Common Stock to Dell Technologies Common Stock is intended to align the Company’s reporting with how such classes are referred to by secu</w:t>
      </w:r>
      <w:r>
        <w:rPr>
          <w:rFonts w:ascii="Times New Roman" w:eastAsia="宋体" w:hAnsi="Times New Roman"/>
          <w:color w:val="000000"/>
          <w:sz w:val="20"/>
          <w:szCs w:val="20"/>
        </w:rPr>
        <w:t>rities analysts, investors, and other users of the financial statements since the completion on December 28, 2018 of the Class V transaction described in Note 1 of the Notes to the Consolidated Financial Statements. As a result of the cancellation of all o</w:t>
      </w:r>
      <w:r>
        <w:rPr>
          <w:rFonts w:ascii="Times New Roman" w:eastAsia="宋体" w:hAnsi="Times New Roman"/>
          <w:color w:val="000000"/>
          <w:sz w:val="20"/>
          <w:szCs w:val="20"/>
        </w:rPr>
        <w:t>utstanding Class V Common Stock upon the closing of that transaction, there is no requirement after the fourth quarter of Fiscal 2019 to allocate net income (loss) between two separate groups of common stock, denoted as DHI Group Common Stock and Class V C</w:t>
      </w:r>
      <w:r>
        <w:rPr>
          <w:rFonts w:ascii="Times New Roman" w:eastAsia="宋体" w:hAnsi="Times New Roman"/>
          <w:color w:val="000000"/>
          <w:sz w:val="20"/>
          <w:szCs w:val="20"/>
        </w:rPr>
        <w:t>ommon Stock, or to report earnings (loss) per share for each such group. Accordingly, net income (loss), earnings (loss) per share and other relevant information are reported for Dell Technologies Common Stock for all fiscal periods beginning with the firs</w:t>
      </w:r>
      <w:r>
        <w:rPr>
          <w:rFonts w:ascii="Times New Roman" w:eastAsia="宋体" w:hAnsi="Times New Roman"/>
          <w:color w:val="000000"/>
          <w:sz w:val="20"/>
          <w:szCs w:val="20"/>
        </w:rPr>
        <w:t>t quarter of Fiscal 2020 and, because of lack of comparability with the new reporting, are reported separately for the DHI Group and the Class V Common Stock, as applicable, for prior fiscal periods. The par value for all classes of Dell Technologies Commo</w:t>
      </w:r>
      <w:r>
        <w:rPr>
          <w:rFonts w:ascii="Times New Roman" w:eastAsia="宋体" w:hAnsi="Times New Roman"/>
          <w:color w:val="000000"/>
          <w:sz w:val="20"/>
          <w:szCs w:val="20"/>
        </w:rPr>
        <w:t>n Stock is $0.01 per share. For purposes of calculating earnings (loss) per share, the Company continues to use the two-class method. The Class A Common Stock, the Class B Common Stock, the Class C Common Stock, and the Class D Common Stock share equally i</w:t>
      </w:r>
      <w:r>
        <w:rPr>
          <w:rFonts w:ascii="Times New Roman" w:eastAsia="宋体" w:hAnsi="Times New Roman"/>
          <w:color w:val="000000"/>
          <w:sz w:val="20"/>
          <w:szCs w:val="20"/>
        </w:rPr>
        <w:t xml:space="preserve">n dividends declared or accumulated and have equal participation rights in undistributed </w:t>
      </w:r>
    </w:p>
    <w:p w14:paraId="7DD00EE7" w14:textId="77777777" w:rsidR="00C1563E" w:rsidRDefault="00C1563E">
      <w:pPr>
        <w:jc w:val="center"/>
      </w:pPr>
    </w:p>
    <w:p w14:paraId="7DD00EE8" w14:textId="77777777" w:rsidR="00C1563E" w:rsidRDefault="000B648B">
      <w:pPr>
        <w:jc w:val="center"/>
      </w:pPr>
      <w:r>
        <w:rPr>
          <w:rFonts w:ascii="Times New Roman" w:eastAsia="宋体" w:hAnsi="Times New Roman"/>
          <w:color w:val="000000"/>
          <w:sz w:val="20"/>
          <w:szCs w:val="20"/>
        </w:rPr>
        <w:t>137</w:t>
      </w:r>
    </w:p>
    <w:p w14:paraId="7DD00EE9" w14:textId="77777777" w:rsidR="00C1563E" w:rsidRDefault="00C1563E">
      <w:pPr>
        <w:jc w:val="center"/>
      </w:pPr>
    </w:p>
    <w:p w14:paraId="7DD00EEA" w14:textId="77777777" w:rsidR="00C1563E" w:rsidRDefault="000B648B">
      <w:r>
        <w:pict w14:anchorId="7DD025F3">
          <v:rect id="_x0000_i1161" style="width:415.3pt;height:1.5pt" o:hralign="center" o:hrstd="t" o:hr="t" fillcolor="#a0a0a0" stroked="f"/>
        </w:pict>
      </w:r>
    </w:p>
    <w:p w14:paraId="7DD00EEB" w14:textId="77777777" w:rsidR="00C1563E" w:rsidRDefault="000B648B">
      <w:hyperlink r:id="rId320" w:anchor="i418e32e4a35149ffbf7d3a25d66881b8_10" w:history="1">
        <w:r>
          <w:rPr>
            <w:rStyle w:val="a5"/>
            <w:rFonts w:ascii="Times New Roman" w:eastAsia="宋体" w:hAnsi="Times New Roman"/>
            <w:sz w:val="20"/>
            <w:szCs w:val="20"/>
          </w:rPr>
          <w:t>Table of Contents</w:t>
        </w:r>
      </w:hyperlink>
    </w:p>
    <w:p w14:paraId="7DD00EEC" w14:textId="77777777" w:rsidR="00C1563E" w:rsidRDefault="000B648B">
      <w:r>
        <w:rPr>
          <w:rFonts w:ascii="Times New Roman" w:eastAsia="宋体" w:hAnsi="Times New Roman"/>
          <w:color w:val="000000"/>
          <w:sz w:val="20"/>
          <w:szCs w:val="20"/>
        </w:rPr>
        <w:t>earnings. As a result, earnings (loss) per share are the same for all classes of Del</w:t>
      </w:r>
      <w:r>
        <w:rPr>
          <w:rFonts w:ascii="Times New Roman" w:eastAsia="宋体" w:hAnsi="Times New Roman"/>
          <w:color w:val="000000"/>
          <w:sz w:val="20"/>
          <w:szCs w:val="20"/>
        </w:rPr>
        <w:t xml:space="preserve">l Technologies Common Stock and are presented together. </w:t>
      </w:r>
    </w:p>
    <w:p w14:paraId="7DD00EED" w14:textId="77777777" w:rsidR="00C1563E" w:rsidRDefault="00C1563E"/>
    <w:p w14:paraId="7DD00EEE" w14:textId="77777777" w:rsidR="00C1563E" w:rsidRDefault="000B648B">
      <w:r>
        <w:rPr>
          <w:rFonts w:ascii="Times New Roman" w:eastAsia="宋体" w:hAnsi="Times New Roman"/>
          <w:i/>
          <w:iCs/>
          <w:color w:val="000000"/>
          <w:sz w:val="20"/>
          <w:szCs w:val="20"/>
          <w:u w:val="single"/>
        </w:rPr>
        <w:t>Common Stock prior to Fiscal 2020</w:t>
      </w:r>
    </w:p>
    <w:p w14:paraId="7DD00EEF" w14:textId="77777777" w:rsidR="00C1563E" w:rsidRDefault="00C1563E"/>
    <w:p w14:paraId="7DD00EF0" w14:textId="77777777" w:rsidR="00C1563E" w:rsidRDefault="000B648B">
      <w:r>
        <w:rPr>
          <w:rFonts w:ascii="Times New Roman" w:eastAsia="宋体" w:hAnsi="Times New Roman"/>
          <w:i/>
          <w:iCs/>
          <w:color w:val="000000"/>
          <w:sz w:val="20"/>
          <w:szCs w:val="20"/>
        </w:rPr>
        <w:t>DHI Group Common Stock</w:t>
      </w:r>
      <w:r>
        <w:rPr>
          <w:rFonts w:ascii="Times New Roman" w:eastAsia="宋体" w:hAnsi="Times New Roman"/>
          <w:color w:val="000000"/>
          <w:sz w:val="20"/>
          <w:szCs w:val="20"/>
        </w:rPr>
        <w:t> </w:t>
      </w:r>
      <w:r>
        <w:rPr>
          <w:rFonts w:ascii="Times New Roman" w:eastAsia="宋体" w:hAnsi="Times New Roman"/>
          <w:i/>
          <w:iCs/>
          <w:color w:val="000000"/>
          <w:sz w:val="20"/>
          <w:szCs w:val="20"/>
        </w:rPr>
        <w:t xml:space="preserve">and DHI Group </w:t>
      </w:r>
      <w:r>
        <w:rPr>
          <w:rFonts w:ascii="Times New Roman" w:eastAsia="宋体" w:hAnsi="Times New Roman"/>
          <w:color w:val="000000"/>
          <w:sz w:val="20"/>
          <w:szCs w:val="20"/>
        </w:rPr>
        <w:t>— For the fiscal periods prior to Fiscal 2020</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the Class A Common Stock, the Class B Common Stock, the Class C Common Stock, a</w:t>
      </w:r>
      <w:r>
        <w:rPr>
          <w:rFonts w:ascii="Times New Roman" w:eastAsia="宋体" w:hAnsi="Times New Roman"/>
          <w:color w:val="000000"/>
          <w:sz w:val="20"/>
          <w:szCs w:val="20"/>
        </w:rPr>
        <w:t>nd the Class D Common Stock were collectively referred to as the DHI Group Common Stock. All classes of DHI Group Common Stock have a par value of $0.01 per share, and the Class A Common Stock, the Class B Common Stock, the Class C Common Stock, and the Cl</w:t>
      </w:r>
      <w:r>
        <w:rPr>
          <w:rFonts w:ascii="Times New Roman" w:eastAsia="宋体" w:hAnsi="Times New Roman"/>
          <w:color w:val="000000"/>
          <w:sz w:val="20"/>
          <w:szCs w:val="20"/>
        </w:rPr>
        <w:t xml:space="preserve">ass D Common Stock share equally in dividends declared or accumulated and have equal participation rights in undistributed earnings. Prior to the completion on December 28, 2018 of the Class V transaction, the DHI Group referred to the direct and indirect </w:t>
      </w:r>
      <w:r>
        <w:rPr>
          <w:rFonts w:ascii="Times New Roman" w:eastAsia="宋体" w:hAnsi="Times New Roman"/>
          <w:color w:val="000000"/>
          <w:sz w:val="20"/>
          <w:szCs w:val="20"/>
        </w:rPr>
        <w:t>interest of Dell Technologies in all of Del</w:t>
      </w:r>
      <w:r>
        <w:rPr>
          <w:rFonts w:ascii="Times New Roman" w:eastAsia="宋体" w:hAnsi="Times New Roman"/>
          <w:color w:val="000000"/>
          <w:sz w:val="20"/>
          <w:szCs w:val="20"/>
          <w:shd w:val="clear" w:color="auto" w:fill="FFFFFF"/>
        </w:rPr>
        <w:t>l Technologies’ business, assets, properties, liabilities, and preferred stock other than those attributable to the Class V Group, as well as the DHI Group’s retained interest in the Class V Group. Subsequent to t</w:t>
      </w:r>
      <w:r>
        <w:rPr>
          <w:rFonts w:ascii="Times New Roman" w:eastAsia="宋体" w:hAnsi="Times New Roman"/>
          <w:color w:val="000000"/>
          <w:sz w:val="20"/>
          <w:szCs w:val="20"/>
          <w:shd w:val="clear" w:color="auto" w:fill="FFFFFF"/>
        </w:rPr>
        <w:t>he completion of the Class V transaction, the DHI Group refers to all classes of issued and outstanding DHI G</w:t>
      </w:r>
      <w:r>
        <w:rPr>
          <w:rFonts w:ascii="Times New Roman" w:eastAsia="宋体" w:hAnsi="Times New Roman"/>
          <w:color w:val="000000"/>
          <w:sz w:val="20"/>
          <w:szCs w:val="20"/>
        </w:rPr>
        <w:t>roup Common Stock.</w:t>
      </w:r>
    </w:p>
    <w:p w14:paraId="7DD00EF1" w14:textId="77777777" w:rsidR="00C1563E" w:rsidRDefault="00C1563E"/>
    <w:p w14:paraId="7DD00EF2" w14:textId="77777777" w:rsidR="00C1563E" w:rsidRDefault="000B648B">
      <w:r>
        <w:rPr>
          <w:rFonts w:ascii="Times New Roman" w:eastAsia="宋体" w:hAnsi="Times New Roman"/>
          <w:i/>
          <w:iCs/>
          <w:color w:val="000000"/>
          <w:sz w:val="20"/>
          <w:szCs w:val="20"/>
        </w:rPr>
        <w:t>Class V Common Stock and Class V Group</w:t>
      </w:r>
      <w:r>
        <w:rPr>
          <w:rFonts w:ascii="Times New Roman" w:eastAsia="宋体" w:hAnsi="Times New Roman"/>
          <w:color w:val="000000"/>
          <w:sz w:val="20"/>
          <w:szCs w:val="20"/>
        </w:rPr>
        <w:t xml:space="preserve"> — The Class V Common Stock was a class of common stock intended to track the performance of a portion of Dell Technologies’ economic interest in the Class V Group. The Class V Group consisted solely of VMware, Inc. common stock held by the Company. As of </w:t>
      </w:r>
      <w:r>
        <w:rPr>
          <w:rFonts w:ascii="Times New Roman" w:eastAsia="宋体" w:hAnsi="Times New Roman"/>
          <w:color w:val="000000"/>
          <w:sz w:val="20"/>
          <w:szCs w:val="20"/>
        </w:rPr>
        <w:t>January 29, 2021 and January 31, 2020, no shares of Class V Common Stock remained outstanding.</w:t>
      </w:r>
    </w:p>
    <w:p w14:paraId="7DD00EF3" w14:textId="77777777" w:rsidR="00C1563E" w:rsidRDefault="00C1563E"/>
    <w:p w14:paraId="7DD00EF4" w14:textId="77777777" w:rsidR="00C1563E" w:rsidRDefault="000B648B">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 A Common Stock is entitled to ten votes per share of Class A Common Stock; (b) Class B Common Stock is entitl</w:t>
      </w:r>
      <w:r>
        <w:rPr>
          <w:rFonts w:ascii="Times New Roman" w:eastAsia="宋体" w:hAnsi="Times New Roman"/>
          <w:color w:val="000000"/>
          <w:sz w:val="20"/>
          <w:szCs w:val="20"/>
        </w:rPr>
        <w:t>ed to ten votes per share of Class B Common Stock; (c) Class C Common Stock is entitled to one vote per share of Class C Common Stock; and (d) Class D Common Stock is not entitled to any vote on any matter except to the extent required by provisions of Del</w:t>
      </w:r>
      <w:r>
        <w:rPr>
          <w:rFonts w:ascii="Times New Roman" w:eastAsia="宋体" w:hAnsi="Times New Roman"/>
          <w:color w:val="000000"/>
          <w:sz w:val="20"/>
          <w:szCs w:val="20"/>
        </w:rPr>
        <w:t>aware law (in which case such holder is entitled to one vote per share of Class D Common Stock).</w:t>
      </w:r>
    </w:p>
    <w:p w14:paraId="7DD00EF5" w14:textId="77777777" w:rsidR="00C1563E" w:rsidRDefault="00C1563E"/>
    <w:p w14:paraId="7DD00EF6" w14:textId="77777777" w:rsidR="00C1563E" w:rsidRDefault="000B648B">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certificate of incorporation, at any time and from time to time, any holder of Class A Common Stock or Class B Common </w:t>
      </w:r>
      <w:r>
        <w:rPr>
          <w:rFonts w:ascii="Times New Roman" w:eastAsia="宋体" w:hAnsi="Times New Roman"/>
          <w:color w:val="000000"/>
          <w:sz w:val="20"/>
          <w:szCs w:val="20"/>
        </w:rPr>
        <w:t xml:space="preserve">Stock has the right to convert all or any of the shares of Class A Common Stock or Class B Common Stock, as applicable, held by such holder into shares of Class C Common Stock on a one-to-one basis.  </w:t>
      </w:r>
    </w:p>
    <w:p w14:paraId="7DD00EF7" w14:textId="77777777" w:rsidR="00C1563E" w:rsidRDefault="00C1563E"/>
    <w:p w14:paraId="7DD00EF8" w14:textId="77777777" w:rsidR="00C1563E" w:rsidRDefault="000B648B">
      <w:r>
        <w:rPr>
          <w:rFonts w:ascii="Times New Roman" w:eastAsia="宋体" w:hAnsi="Times New Roman"/>
          <w:color w:val="000000"/>
          <w:sz w:val="20"/>
          <w:szCs w:val="20"/>
        </w:rPr>
        <w:t>During the fiscal year ended January 29, 2021, the Com</w:t>
      </w:r>
      <w:r>
        <w:rPr>
          <w:rFonts w:ascii="Times New Roman" w:eastAsia="宋体" w:hAnsi="Times New Roman"/>
          <w:color w:val="000000"/>
          <w:sz w:val="20"/>
          <w:szCs w:val="20"/>
        </w:rPr>
        <w:t xml:space="preserve">pany issued an aggregate of 72,727 shares of Class C Common Stock to stockholders upon their conversion of the same number of shares of Class A Common Stock into Class C Common Stock in accordance with the Company’s certificate of incorporation. </w:t>
      </w:r>
    </w:p>
    <w:p w14:paraId="7DD00EF9" w14:textId="77777777" w:rsidR="00C1563E" w:rsidRDefault="00C1563E"/>
    <w:p w14:paraId="7DD00EFA" w14:textId="77777777" w:rsidR="00C1563E" w:rsidRDefault="000B648B">
      <w:r>
        <w:rPr>
          <w:rFonts w:ascii="Times New Roman" w:eastAsia="宋体" w:hAnsi="Times New Roman"/>
          <w:color w:val="000000"/>
          <w:sz w:val="20"/>
          <w:szCs w:val="20"/>
        </w:rPr>
        <w:t>During t</w:t>
      </w:r>
      <w:r>
        <w:rPr>
          <w:rFonts w:ascii="Times New Roman" w:eastAsia="宋体" w:hAnsi="Times New Roman"/>
          <w:color w:val="000000"/>
          <w:sz w:val="20"/>
          <w:szCs w:val="20"/>
        </w:rPr>
        <w:t>he fiscal year ended January 31, 2020, the Company issued 35,822,123 shares of Class C Common Stock to stockholders upon their conversion of the same number of shares of Class A Common Stock into Class C Common Stock in accordance with the Company’s certif</w:t>
      </w:r>
      <w:r>
        <w:rPr>
          <w:rFonts w:ascii="Times New Roman" w:eastAsia="宋体" w:hAnsi="Times New Roman"/>
          <w:color w:val="000000"/>
          <w:sz w:val="20"/>
          <w:szCs w:val="20"/>
        </w:rPr>
        <w:t>icate of incorporation. During the fiscal year ended January 31, 2020, the Company issued 35,301,641 shares of Class C Common Stock to stockholders upon their conversion of the same number of shares of Class B Common Stock into Class C Common Stock in acco</w:t>
      </w:r>
      <w:r>
        <w:rPr>
          <w:rFonts w:ascii="Times New Roman" w:eastAsia="宋体" w:hAnsi="Times New Roman"/>
          <w:color w:val="000000"/>
          <w:sz w:val="20"/>
          <w:szCs w:val="20"/>
        </w:rPr>
        <w:t>rdance with the Company’s certificate of incorporation.</w:t>
      </w:r>
    </w:p>
    <w:p w14:paraId="7DD00EFB" w14:textId="77777777" w:rsidR="00C1563E" w:rsidRDefault="00C1563E"/>
    <w:p w14:paraId="7DD00EFC" w14:textId="77777777" w:rsidR="00C1563E" w:rsidRDefault="000B648B">
      <w:r>
        <w:rPr>
          <w:rFonts w:ascii="Times New Roman" w:eastAsia="宋体" w:hAnsi="Times New Roman"/>
          <w:b/>
          <w:bCs/>
          <w:color w:val="000000"/>
          <w:sz w:val="20"/>
          <w:szCs w:val="20"/>
        </w:rPr>
        <w:t>Class V Transaction</w:t>
      </w:r>
    </w:p>
    <w:p w14:paraId="7DD00EFD" w14:textId="77777777" w:rsidR="00C1563E" w:rsidRDefault="00C1563E"/>
    <w:p w14:paraId="7DD00EFE" w14:textId="77777777" w:rsidR="00C1563E" w:rsidRDefault="000B648B">
      <w:r>
        <w:rPr>
          <w:rFonts w:ascii="Times New Roman" w:eastAsia="宋体" w:hAnsi="Times New Roman"/>
          <w:color w:val="000000"/>
          <w:sz w:val="20"/>
          <w:szCs w:val="20"/>
        </w:rPr>
        <w:t>On December 28, 2018, the Company completed the Class V transaction in which Dell Technologies paid $14.0 billion in cash and issued 149,387,617 shares of its Class C Common Stoc</w:t>
      </w:r>
      <w:r>
        <w:rPr>
          <w:rFonts w:ascii="Times New Roman" w:eastAsia="宋体" w:hAnsi="Times New Roman"/>
          <w:color w:val="000000"/>
          <w:sz w:val="20"/>
          <w:szCs w:val="20"/>
        </w:rPr>
        <w:t xml:space="preserve">k to holders of its Class V Common Stock in exchange for all outstanding shares of Class V Common Stock. The non-cash consideration portion of the Class V transaction totaled $6.9 billion. As a result of the Class V transaction, the tracking stock feature </w:t>
      </w:r>
      <w:r>
        <w:rPr>
          <w:rFonts w:ascii="Times New Roman" w:eastAsia="宋体" w:hAnsi="Times New Roman"/>
          <w:color w:val="000000"/>
          <w:sz w:val="20"/>
          <w:szCs w:val="20"/>
        </w:rPr>
        <w:t>of Dell Technologies’ capital structure was terminated. The Class C Common Stock is traded on the New York Stock Exchange. See Note 1 of the Notes to the Consolidated Financial Statements for more information about the Class V transaction.</w:t>
      </w:r>
    </w:p>
    <w:p w14:paraId="7DD00EFF" w14:textId="77777777" w:rsidR="00C1563E" w:rsidRDefault="00C1563E"/>
    <w:p w14:paraId="7DD00F00" w14:textId="77777777" w:rsidR="00C1563E" w:rsidRDefault="00C1563E">
      <w:pPr>
        <w:jc w:val="center"/>
      </w:pPr>
    </w:p>
    <w:p w14:paraId="7DD00F01" w14:textId="77777777" w:rsidR="00C1563E" w:rsidRDefault="000B648B">
      <w:pPr>
        <w:jc w:val="center"/>
      </w:pPr>
      <w:r>
        <w:rPr>
          <w:rFonts w:ascii="Times New Roman" w:eastAsia="宋体" w:hAnsi="Times New Roman"/>
          <w:color w:val="000000"/>
          <w:sz w:val="20"/>
          <w:szCs w:val="20"/>
        </w:rPr>
        <w:t>138</w:t>
      </w:r>
    </w:p>
    <w:p w14:paraId="7DD00F02" w14:textId="77777777" w:rsidR="00C1563E" w:rsidRDefault="00C1563E">
      <w:pPr>
        <w:jc w:val="center"/>
      </w:pPr>
    </w:p>
    <w:p w14:paraId="7DD00F03" w14:textId="77777777" w:rsidR="00C1563E" w:rsidRDefault="000B648B">
      <w:r>
        <w:pict w14:anchorId="7DD025F4">
          <v:rect id="_x0000_i1162" style="width:415.3pt;height:1.5pt" o:hralign="center" o:hrstd="t" o:hr="t" fillcolor="#a0a0a0" stroked="f"/>
        </w:pict>
      </w:r>
    </w:p>
    <w:p w14:paraId="7DD00F04" w14:textId="77777777" w:rsidR="00C1563E" w:rsidRDefault="000B648B">
      <w:hyperlink r:id="rId321" w:anchor="i418e32e4a35149ffbf7d3a25d66881b8_10" w:history="1">
        <w:r>
          <w:rPr>
            <w:rStyle w:val="a5"/>
            <w:rFonts w:ascii="Times New Roman" w:eastAsia="宋体" w:hAnsi="Times New Roman"/>
            <w:sz w:val="20"/>
            <w:szCs w:val="20"/>
          </w:rPr>
          <w:t>Table of Contents</w:t>
        </w:r>
      </w:hyperlink>
    </w:p>
    <w:p w14:paraId="7DD00F05" w14:textId="77777777" w:rsidR="00C1563E" w:rsidRDefault="000B648B">
      <w:r>
        <w:rPr>
          <w:rFonts w:ascii="Times New Roman" w:eastAsia="宋体" w:hAnsi="Times New Roman"/>
          <w:b/>
          <w:bCs/>
          <w:color w:val="000000"/>
          <w:sz w:val="20"/>
          <w:szCs w:val="20"/>
        </w:rPr>
        <w:t>Repurchases of Common Stock and Treasury Stock</w:t>
      </w:r>
    </w:p>
    <w:p w14:paraId="7DD00F06" w14:textId="77777777" w:rsidR="00C1563E" w:rsidRDefault="00C1563E"/>
    <w:p w14:paraId="7DD00F07" w14:textId="77777777" w:rsidR="00C1563E" w:rsidRDefault="000B648B">
      <w:r>
        <w:rPr>
          <w:rFonts w:ascii="Times New Roman" w:eastAsia="宋体" w:hAnsi="Times New Roman"/>
          <w:i/>
          <w:iCs/>
          <w:color w:val="000000"/>
          <w:sz w:val="20"/>
          <w:szCs w:val="20"/>
          <w:u w:val="single"/>
        </w:rPr>
        <w:t>Dell Technologies Common Stock Repur</w:t>
      </w:r>
      <w:r>
        <w:rPr>
          <w:rFonts w:ascii="Times New Roman" w:eastAsia="宋体" w:hAnsi="Times New Roman"/>
          <w:i/>
          <w:iCs/>
          <w:color w:val="000000"/>
          <w:sz w:val="20"/>
          <w:szCs w:val="20"/>
          <w:u w:val="single"/>
        </w:rPr>
        <w:t>chases by Dell Technologies</w:t>
      </w:r>
    </w:p>
    <w:p w14:paraId="7DD00F08" w14:textId="77777777" w:rsidR="00C1563E" w:rsidRDefault="00C1563E"/>
    <w:p w14:paraId="7DD00F09" w14:textId="77777777" w:rsidR="00C1563E" w:rsidRDefault="000B648B">
      <w:r>
        <w:rPr>
          <w:rFonts w:ascii="Times New Roman" w:eastAsia="宋体" w:hAnsi="Times New Roman"/>
          <w:color w:val="000000"/>
          <w:sz w:val="20"/>
          <w:szCs w:val="20"/>
        </w:rPr>
        <w:t xml:space="preserve">On February 24, 2020, the Company’s board of directors approved a stock repurchase program under which the Company is authorized to repurchase up to $1.0 billion of shares of the Class C Common Stock over a 24-month </w:t>
      </w:r>
      <w:r>
        <w:rPr>
          <w:rFonts w:ascii="Times New Roman" w:eastAsia="宋体" w:hAnsi="Times New Roman"/>
          <w:color w:val="000000"/>
          <w:sz w:val="20"/>
          <w:szCs w:val="20"/>
        </w:rPr>
        <w:t>period expiring on February 28, 2022, of which approximately $760 million remained available as of January 29, 2021. During the fiscal year ended January 29, 2021, the Company repurchased approximately 6 million shares of Class C Common Stock for approxima</w:t>
      </w:r>
      <w:r>
        <w:rPr>
          <w:rFonts w:ascii="Times New Roman" w:eastAsia="宋体" w:hAnsi="Times New Roman"/>
          <w:color w:val="000000"/>
          <w:sz w:val="20"/>
          <w:szCs w:val="20"/>
        </w:rPr>
        <w:t>tely $240 million. During the three months ended May 1, 2020, the Company suspended activity under its stock repurchase program. During the fiscal year ended January 31, 2020, Dell Technologies Common Stock repurchases were immaterial.</w:t>
      </w:r>
    </w:p>
    <w:p w14:paraId="7DD00F0A" w14:textId="77777777" w:rsidR="00C1563E" w:rsidRDefault="00C1563E"/>
    <w:p w14:paraId="7DD00F0B" w14:textId="77777777" w:rsidR="00C1563E" w:rsidRDefault="000B648B">
      <w:r>
        <w:rPr>
          <w:rFonts w:ascii="Times New Roman" w:eastAsia="宋体" w:hAnsi="Times New Roman"/>
          <w:color w:val="000000"/>
          <w:sz w:val="20"/>
          <w:szCs w:val="20"/>
        </w:rPr>
        <w:t>To the extent not r</w:t>
      </w:r>
      <w:r>
        <w:rPr>
          <w:rFonts w:ascii="Times New Roman" w:eastAsia="宋体" w:hAnsi="Times New Roman"/>
          <w:color w:val="000000"/>
          <w:sz w:val="20"/>
          <w:szCs w:val="20"/>
        </w:rPr>
        <w:t>etired, shares repurchased under the repurchase program are placed in the Company’s treasury.</w:t>
      </w:r>
    </w:p>
    <w:p w14:paraId="7DD00F0C" w14:textId="77777777" w:rsidR="00C1563E" w:rsidRDefault="00C1563E"/>
    <w:p w14:paraId="7DD00F0D" w14:textId="77777777" w:rsidR="00C1563E" w:rsidRDefault="000B648B">
      <w:r>
        <w:rPr>
          <w:rFonts w:ascii="Times New Roman" w:eastAsia="宋体" w:hAnsi="Times New Roman"/>
          <w:i/>
          <w:iCs/>
          <w:color w:val="000000"/>
          <w:sz w:val="20"/>
          <w:szCs w:val="20"/>
          <w:u w:val="single"/>
        </w:rPr>
        <w:t>Class V Common Stock Repurchases by Dell Technologies</w:t>
      </w:r>
    </w:p>
    <w:p w14:paraId="7DD00F0E" w14:textId="77777777" w:rsidR="00C1563E" w:rsidRDefault="00C1563E"/>
    <w:p w14:paraId="7DD00F0F" w14:textId="77777777" w:rsidR="00C1563E" w:rsidRDefault="000B648B">
      <w:r>
        <w:rPr>
          <w:rFonts w:ascii="Times New Roman" w:eastAsia="宋体" w:hAnsi="Times New Roman"/>
          <w:color w:val="000000"/>
          <w:sz w:val="20"/>
          <w:szCs w:val="20"/>
        </w:rPr>
        <w:t xml:space="preserve">Prior to the Class V transaction and since the date of the EMC merger transaction, the Company authorized </w:t>
      </w:r>
      <w:r>
        <w:rPr>
          <w:rFonts w:ascii="Times New Roman" w:eastAsia="宋体" w:hAnsi="Times New Roman"/>
          <w:color w:val="000000"/>
          <w:sz w:val="20"/>
          <w:szCs w:val="20"/>
        </w:rPr>
        <w:t xml:space="preserve">several programs to repurchase shares of its Class V Common Stock. The Company did not repurchase any shares of Class V Common Stock during the fiscal year ended February 1, 2019 under the repurchase programs. </w:t>
      </w:r>
    </w:p>
    <w:p w14:paraId="7DD00F10" w14:textId="77777777" w:rsidR="00C1563E" w:rsidRDefault="00C1563E"/>
    <w:p w14:paraId="7DD00F11" w14:textId="77777777" w:rsidR="00C1563E" w:rsidRDefault="000B648B">
      <w:r>
        <w:rPr>
          <w:rFonts w:ascii="Times New Roman" w:eastAsia="宋体" w:hAnsi="Times New Roman"/>
          <w:color w:val="000000"/>
          <w:sz w:val="20"/>
          <w:szCs w:val="20"/>
        </w:rPr>
        <w:t>As a result of the Class V transaction, purs</w:t>
      </w:r>
      <w:r>
        <w:rPr>
          <w:rFonts w:ascii="Times New Roman" w:eastAsia="宋体" w:hAnsi="Times New Roman"/>
          <w:color w:val="000000"/>
          <w:sz w:val="20"/>
          <w:szCs w:val="20"/>
        </w:rPr>
        <w:t xml:space="preserve">uant to which all of the approximately 199 million outstanding shares of Class V Common Stock ceased to be outstanding, the tracking stock feature of the Company’s capital structure was terminated. Additionally, as a result of the Class V transaction, all </w:t>
      </w:r>
      <w:r>
        <w:rPr>
          <w:rFonts w:ascii="Times New Roman" w:eastAsia="宋体" w:hAnsi="Times New Roman"/>
          <w:color w:val="000000"/>
          <w:sz w:val="20"/>
          <w:szCs w:val="20"/>
        </w:rPr>
        <w:t>of the approximately 127 million shares of DHI Group retained interest shares ceased to be outstanding.</w:t>
      </w:r>
    </w:p>
    <w:p w14:paraId="7DD00F12" w14:textId="77777777" w:rsidR="00C1563E" w:rsidRDefault="00C1563E">
      <w:pPr>
        <w:jc w:val="center"/>
      </w:pPr>
    </w:p>
    <w:p w14:paraId="7DD00F13" w14:textId="77777777" w:rsidR="00C1563E" w:rsidRDefault="000B648B">
      <w:r>
        <w:rPr>
          <w:rFonts w:ascii="Times New Roman" w:eastAsia="宋体" w:hAnsi="Times New Roman"/>
          <w:i/>
          <w:iCs/>
          <w:color w:val="000000"/>
          <w:sz w:val="20"/>
          <w:szCs w:val="20"/>
          <w:u w:val="single"/>
        </w:rPr>
        <w:t>DHI Group Common Stock Repurchases by Dell Technologies</w:t>
      </w:r>
    </w:p>
    <w:p w14:paraId="7DD00F14" w14:textId="77777777" w:rsidR="00C1563E" w:rsidRDefault="00C1563E"/>
    <w:p w14:paraId="7DD00F15" w14:textId="77777777" w:rsidR="00C1563E" w:rsidRDefault="000B648B">
      <w:r>
        <w:rPr>
          <w:rFonts w:ascii="Times New Roman" w:eastAsia="宋体" w:hAnsi="Times New Roman"/>
          <w:color w:val="000000"/>
          <w:sz w:val="20"/>
          <w:szCs w:val="20"/>
        </w:rPr>
        <w:t>Prior to the Class V transaction during the fiscal year ended February 1, 2019, the Company re</w:t>
      </w:r>
      <w:r>
        <w:rPr>
          <w:rFonts w:ascii="Times New Roman" w:eastAsia="宋体" w:hAnsi="Times New Roman"/>
          <w:color w:val="000000"/>
          <w:sz w:val="20"/>
          <w:szCs w:val="20"/>
        </w:rPr>
        <w:t>purchased approximately one million shares of DHI Group Common Stock for approximately $47 million. All shares of DHI Group Common Stock repurchased by the Company were held as treasury stock at cost.</w:t>
      </w:r>
    </w:p>
    <w:p w14:paraId="7DD00F16" w14:textId="77777777" w:rsidR="00C1563E" w:rsidRDefault="00C1563E"/>
    <w:p w14:paraId="7DD00F17" w14:textId="77777777" w:rsidR="00C1563E" w:rsidRDefault="000B648B">
      <w:r>
        <w:rPr>
          <w:rFonts w:ascii="Times New Roman" w:eastAsia="宋体" w:hAnsi="Times New Roman"/>
          <w:i/>
          <w:iCs/>
          <w:color w:val="000000"/>
          <w:sz w:val="20"/>
          <w:szCs w:val="20"/>
          <w:u w:val="single"/>
        </w:rPr>
        <w:t>VMware, Inc. Class A Common Stock Repurchases by VMwar</w:t>
      </w:r>
      <w:r>
        <w:rPr>
          <w:rFonts w:ascii="Times New Roman" w:eastAsia="宋体" w:hAnsi="Times New Roman"/>
          <w:i/>
          <w:iCs/>
          <w:color w:val="000000"/>
          <w:sz w:val="20"/>
          <w:szCs w:val="20"/>
          <w:u w:val="single"/>
        </w:rPr>
        <w:t>e, Inc.</w:t>
      </w:r>
      <w:r>
        <w:rPr>
          <w:rFonts w:ascii="Times New Roman" w:eastAsia="宋体" w:hAnsi="Times New Roman"/>
          <w:color w:val="000000"/>
          <w:sz w:val="20"/>
          <w:szCs w:val="20"/>
          <w:u w:val="single"/>
        </w:rPr>
        <w:t xml:space="preserve"> </w:t>
      </w:r>
    </w:p>
    <w:p w14:paraId="7DD00F18" w14:textId="77777777" w:rsidR="00C1563E" w:rsidRDefault="00C1563E"/>
    <w:p w14:paraId="7DD00F19" w14:textId="77777777" w:rsidR="00C1563E" w:rsidRDefault="000B648B">
      <w:r>
        <w:rPr>
          <w:rFonts w:ascii="Times New Roman" w:eastAsia="宋体" w:hAnsi="Times New Roman"/>
          <w:color w:val="000000"/>
          <w:sz w:val="20"/>
          <w:szCs w:val="20"/>
        </w:rPr>
        <w:t>In August 2017, VMware, Inc.’s board of directors authorized the repurchase of up to $1.0 billion shares of VMware, Inc. Class A common stock through August 31, 2018 and subsequently, in July 2018, extended that authorization through August 31, 2</w:t>
      </w:r>
      <w:r>
        <w:rPr>
          <w:rFonts w:ascii="Times New Roman" w:eastAsia="宋体" w:hAnsi="Times New Roman"/>
          <w:color w:val="000000"/>
          <w:sz w:val="20"/>
          <w:szCs w:val="20"/>
        </w:rPr>
        <w:t>019. On May 29, 2019, VMware, Inc.’s board of directors authorized the repurchase of an additional $1.5 billion of VMware, Inc.’s Class A common stock through January 29, 2021. On July 15, 2020, VMware, Inc.’s board of directors extended authorization of V</w:t>
      </w:r>
      <w:r>
        <w:rPr>
          <w:rFonts w:ascii="Times New Roman" w:eastAsia="宋体" w:hAnsi="Times New Roman"/>
          <w:color w:val="000000"/>
          <w:sz w:val="20"/>
          <w:szCs w:val="20"/>
        </w:rPr>
        <w:t>Mware, Inc.’s existing repurchase program and authorized the repurchase of up to an additional $1.0 billion of VMware, Inc.’s Class A common stock through January 28, 2022. As of January 29, 2021, the cumulative authorized amount remaining for stock repurc</w:t>
      </w:r>
      <w:r>
        <w:rPr>
          <w:rFonts w:ascii="Times New Roman" w:eastAsia="宋体" w:hAnsi="Times New Roman"/>
          <w:color w:val="000000"/>
          <w:sz w:val="20"/>
          <w:szCs w:val="20"/>
        </w:rPr>
        <w:t xml:space="preserve">hases was $1.1 billion. </w:t>
      </w:r>
    </w:p>
    <w:p w14:paraId="7DD00F1A" w14:textId="77777777" w:rsidR="00C1563E" w:rsidRDefault="00C1563E"/>
    <w:p w14:paraId="7DD00F1B" w14:textId="77777777" w:rsidR="00C1563E" w:rsidRDefault="000B648B">
      <w:r>
        <w:rPr>
          <w:rFonts w:ascii="Times New Roman" w:eastAsia="宋体" w:hAnsi="Times New Roman"/>
          <w:color w:val="000000"/>
          <w:sz w:val="20"/>
          <w:szCs w:val="20"/>
        </w:rPr>
        <w:t xml:space="preserve">During the fiscal year ended January 29, 2021, VMware, Inc. repurchased 6.9 million shares of its Class A common stock in the open market for approximately $945 million. During the fiscal year ended January 31, 2020, VMware, Inc. </w:t>
      </w:r>
      <w:r>
        <w:rPr>
          <w:rFonts w:ascii="Times New Roman" w:eastAsia="宋体" w:hAnsi="Times New Roman"/>
          <w:color w:val="000000"/>
          <w:sz w:val="20"/>
          <w:szCs w:val="20"/>
        </w:rPr>
        <w:t>repurchased 7.7 million shares of its Class A common stock in the open market for approximately $1.3 billion, of which approximately $0.2 billion impacted Dell Technologies’ accumulated deficit balance as of January 31, 2020 as a result of the full depleti</w:t>
      </w:r>
      <w:r>
        <w:rPr>
          <w:rFonts w:ascii="Times New Roman" w:eastAsia="宋体" w:hAnsi="Times New Roman"/>
          <w:color w:val="000000"/>
          <w:sz w:val="20"/>
          <w:szCs w:val="20"/>
        </w:rPr>
        <w:t>on of VMware, Inc’s additional paid-in capital in the same period. During the fiscal year ended February 1, 2019, VMware, Inc. repurchased 0.3 million shares of its Class A common stock in the open market for approximately $42 million.</w:t>
      </w:r>
    </w:p>
    <w:p w14:paraId="7DD00F1C" w14:textId="77777777" w:rsidR="00C1563E" w:rsidRDefault="00C1563E">
      <w:pPr>
        <w:ind w:hanging="360"/>
      </w:pPr>
    </w:p>
    <w:p w14:paraId="7DD00F1D" w14:textId="77777777" w:rsidR="00C1563E" w:rsidRDefault="000B648B">
      <w:r>
        <w:rPr>
          <w:rFonts w:ascii="Times New Roman" w:eastAsia="宋体" w:hAnsi="Times New Roman"/>
          <w:color w:val="000000"/>
          <w:sz w:val="20"/>
          <w:szCs w:val="20"/>
        </w:rPr>
        <w:t>All shares repurcha</w:t>
      </w:r>
      <w:r>
        <w:rPr>
          <w:rFonts w:ascii="Times New Roman" w:eastAsia="宋体" w:hAnsi="Times New Roman"/>
          <w:color w:val="000000"/>
          <w:sz w:val="20"/>
          <w:szCs w:val="20"/>
        </w:rPr>
        <w:t>sed under VMware, Inc.’s stock repurchase programs are retired.</w:t>
      </w:r>
    </w:p>
    <w:p w14:paraId="7DD00F1E" w14:textId="77777777" w:rsidR="00C1563E" w:rsidRDefault="00C1563E"/>
    <w:p w14:paraId="7DD00F1F" w14:textId="77777777" w:rsidR="00C1563E" w:rsidRDefault="000B648B">
      <w:r>
        <w:rPr>
          <w:rFonts w:ascii="Times New Roman" w:eastAsia="宋体" w:hAnsi="Times New Roman"/>
          <w:color w:val="000000"/>
          <w:sz w:val="20"/>
          <w:szCs w:val="20"/>
        </w:rPr>
        <w:t>The above VMware, Inc. Class A common stock repurchases for the fiscal years ended January 29, 2021, January 31, 2020, and February 1, 2019 exclude shares repurchased to settle employee tax w</w:t>
      </w:r>
      <w:r>
        <w:rPr>
          <w:rFonts w:ascii="Times New Roman" w:eastAsia="宋体" w:hAnsi="Times New Roman"/>
          <w:color w:val="000000"/>
          <w:sz w:val="20"/>
          <w:szCs w:val="20"/>
        </w:rPr>
        <w:t xml:space="preserve">ithholding related to the vesting of VMware, Inc. stock awards of $413 million, $521 million, and $373 million, respectively. </w:t>
      </w:r>
    </w:p>
    <w:p w14:paraId="7DD00F20" w14:textId="77777777" w:rsidR="00C1563E" w:rsidRDefault="00C1563E">
      <w:pPr>
        <w:jc w:val="center"/>
      </w:pPr>
    </w:p>
    <w:p w14:paraId="7DD00F21" w14:textId="77777777" w:rsidR="00C1563E" w:rsidRDefault="000B648B">
      <w:pPr>
        <w:jc w:val="center"/>
      </w:pPr>
      <w:r>
        <w:rPr>
          <w:rFonts w:ascii="Times New Roman" w:eastAsia="宋体" w:hAnsi="Times New Roman"/>
          <w:color w:val="000000"/>
          <w:sz w:val="20"/>
          <w:szCs w:val="20"/>
        </w:rPr>
        <w:t>139</w:t>
      </w:r>
    </w:p>
    <w:p w14:paraId="7DD00F22" w14:textId="77777777" w:rsidR="00C1563E" w:rsidRDefault="00C1563E">
      <w:pPr>
        <w:jc w:val="center"/>
      </w:pPr>
    </w:p>
    <w:p w14:paraId="7DD00F23" w14:textId="77777777" w:rsidR="00C1563E" w:rsidRDefault="000B648B">
      <w:r>
        <w:pict w14:anchorId="7DD025F5">
          <v:rect id="_x0000_i1163" style="width:415.3pt;height:1.5pt" o:hralign="center" o:hrstd="t" o:hr="t" fillcolor="#a0a0a0" stroked="f"/>
        </w:pict>
      </w:r>
    </w:p>
    <w:p w14:paraId="7DD00F24" w14:textId="77777777" w:rsidR="00C1563E" w:rsidRDefault="000B648B">
      <w:hyperlink r:id="rId322" w:anchor="i418e32e4a35149ffbf7d3a25d66881b8_10" w:history="1">
        <w:r>
          <w:rPr>
            <w:rStyle w:val="a5"/>
            <w:rFonts w:ascii="Times New Roman" w:eastAsia="宋体" w:hAnsi="Times New Roman"/>
            <w:sz w:val="20"/>
            <w:szCs w:val="20"/>
          </w:rPr>
          <w:t>Table of Contents</w:t>
        </w:r>
      </w:hyperlink>
    </w:p>
    <w:p w14:paraId="7DD00F25" w14:textId="77777777" w:rsidR="00C1563E" w:rsidRDefault="000B648B">
      <w:r>
        <w:rPr>
          <w:rFonts w:ascii="Times New Roman" w:eastAsia="宋体" w:hAnsi="Times New Roman"/>
          <w:b/>
          <w:bCs/>
          <w:color w:val="000000"/>
          <w:sz w:val="20"/>
          <w:szCs w:val="20"/>
        </w:rPr>
        <w:t>NOTE 15 — EARNINGS PER SHARE</w:t>
      </w:r>
    </w:p>
    <w:p w14:paraId="7DD00F26" w14:textId="77777777" w:rsidR="00C1563E" w:rsidRDefault="00C1563E">
      <w:pPr>
        <w:jc w:val="both"/>
      </w:pPr>
    </w:p>
    <w:p w14:paraId="7DD00F27" w14:textId="77777777" w:rsidR="00C1563E" w:rsidRDefault="000B648B">
      <w:r>
        <w:rPr>
          <w:rFonts w:ascii="Times New Roman" w:eastAsia="宋体" w:hAnsi="Times New Roman"/>
          <w:color w:val="000000"/>
          <w:sz w:val="20"/>
          <w:szCs w:val="20"/>
        </w:rPr>
        <w:t xml:space="preserve">Basic earnings (loss) per share is based on the </w:t>
      </w:r>
      <w:r>
        <w:rPr>
          <w:rFonts w:ascii="Times New Roman" w:eastAsia="宋体" w:hAnsi="Times New Roman"/>
          <w:color w:val="000000"/>
          <w:sz w:val="20"/>
          <w:szCs w:val="20"/>
        </w:rPr>
        <w:t xml:space="preserve">weighted-average effect of all common shares issued and outstanding and is calculated by dividing net income (loss) by the weighted-average shares outstanding during the period. Diluted earnings (loss) per share is calculated by dividing net income (loss) </w:t>
      </w:r>
      <w:r>
        <w:rPr>
          <w:rFonts w:ascii="Times New Roman" w:eastAsia="宋体" w:hAnsi="Times New Roman"/>
          <w:color w:val="000000"/>
          <w:sz w:val="20"/>
          <w:szCs w:val="20"/>
        </w:rPr>
        <w:t>by the weighted-average number of common shares used in the basic earnings (loss) per share calculation plus the number of common shares that would be issued assuming exercise or conversion of all potentially dilutive instruments. The Company excludes equi</w:t>
      </w:r>
      <w:r>
        <w:rPr>
          <w:rFonts w:ascii="Times New Roman" w:eastAsia="宋体" w:hAnsi="Times New Roman"/>
          <w:color w:val="000000"/>
          <w:sz w:val="20"/>
          <w:szCs w:val="20"/>
        </w:rPr>
        <w:t>ty instruments from the calculation of diluted earnings (loss) per share if the effect of including such instruments is antidilutive.</w:t>
      </w:r>
    </w:p>
    <w:p w14:paraId="7DD00F28" w14:textId="77777777" w:rsidR="00C1563E" w:rsidRDefault="00C1563E"/>
    <w:p w14:paraId="7DD00F29" w14:textId="77777777" w:rsidR="00C1563E" w:rsidRDefault="000B648B">
      <w:r>
        <w:rPr>
          <w:rFonts w:ascii="Times New Roman" w:eastAsia="宋体" w:hAnsi="Times New Roman"/>
          <w:color w:val="000000"/>
          <w:sz w:val="20"/>
          <w:szCs w:val="20"/>
        </w:rPr>
        <w:t>Until the completion on December 28, 2018 of the Class V transaction described in Note 1 of the Notes to the Consolidated</w:t>
      </w:r>
      <w:r>
        <w:rPr>
          <w:rFonts w:ascii="Times New Roman" w:eastAsia="宋体" w:hAnsi="Times New Roman"/>
          <w:color w:val="000000"/>
          <w:sz w:val="20"/>
          <w:szCs w:val="20"/>
        </w:rPr>
        <w:t xml:space="preserve"> Financial Statements, the Company had two groups of common stock, denoted as the DHI Group Common Stock and the Class V Common Stock. </w:t>
      </w:r>
    </w:p>
    <w:p w14:paraId="7DD00F2A" w14:textId="77777777" w:rsidR="00C1563E" w:rsidRDefault="00C1563E"/>
    <w:p w14:paraId="7DD00F2B" w14:textId="77777777" w:rsidR="00C1563E" w:rsidRDefault="000B648B">
      <w:r>
        <w:rPr>
          <w:rFonts w:ascii="Times New Roman" w:eastAsia="宋体" w:hAnsi="Times New Roman"/>
          <w:color w:val="000000"/>
          <w:sz w:val="20"/>
          <w:szCs w:val="20"/>
        </w:rPr>
        <w:t>The Class V Common Stock was a class of common stock intended to track the economic performance of 61% of the Company’s</w:t>
      </w:r>
      <w:r>
        <w:rPr>
          <w:rFonts w:ascii="Times New Roman" w:eastAsia="宋体" w:hAnsi="Times New Roman"/>
          <w:color w:val="000000"/>
          <w:sz w:val="20"/>
          <w:szCs w:val="20"/>
        </w:rPr>
        <w:t xml:space="preserve"> interest in the Class V Group, which consisted solely of VMware, Inc. common stock held by the Company as of immediately before the completion of the Class V transaction. Upon the completion of the Class V transaction, all outstanding shares of Class V Co</w:t>
      </w:r>
      <w:r>
        <w:rPr>
          <w:rFonts w:ascii="Times New Roman" w:eastAsia="宋体" w:hAnsi="Times New Roman"/>
          <w:color w:val="000000"/>
          <w:sz w:val="20"/>
          <w:szCs w:val="20"/>
        </w:rPr>
        <w:t>mmon Stock ceased to be outstanding, and the tracking stock structure was terminated. The Class C Common Stock issued to former holders of the Class V Common Stock in the Class V transaction represents an interest in the Company’s entire business and, unli</w:t>
      </w:r>
      <w:r>
        <w:rPr>
          <w:rFonts w:ascii="Times New Roman" w:eastAsia="宋体" w:hAnsi="Times New Roman"/>
          <w:color w:val="000000"/>
          <w:sz w:val="20"/>
          <w:szCs w:val="20"/>
        </w:rPr>
        <w:t xml:space="preserve">ke the Class V Common Stock, is not intended to track the performance of any distinct assets or business. </w:t>
      </w:r>
    </w:p>
    <w:p w14:paraId="7DD00F2C" w14:textId="77777777" w:rsidR="00C1563E" w:rsidRDefault="00C1563E"/>
    <w:p w14:paraId="7DD00F2D" w14:textId="77777777" w:rsidR="00C1563E" w:rsidRDefault="000B648B">
      <w:r>
        <w:rPr>
          <w:rFonts w:ascii="Times New Roman" w:eastAsia="宋体" w:hAnsi="Times New Roman"/>
          <w:color w:val="000000"/>
          <w:sz w:val="20"/>
          <w:szCs w:val="20"/>
        </w:rPr>
        <w:t xml:space="preserve">Prior to the fiscal year ended </w:t>
      </w:r>
      <w:r>
        <w:rPr>
          <w:rFonts w:ascii="Times New Roman" w:eastAsia="宋体" w:hAnsi="Times New Roman"/>
          <w:color w:val="000000"/>
          <w:sz w:val="20"/>
          <w:szCs w:val="20"/>
          <w:shd w:val="clear" w:color="auto" w:fill="FFFFFF"/>
        </w:rPr>
        <w:t>January 31, 2020</w:t>
      </w:r>
      <w:r>
        <w:rPr>
          <w:rFonts w:ascii="Times New Roman" w:eastAsia="宋体" w:hAnsi="Times New Roman"/>
          <w:color w:val="000000"/>
          <w:sz w:val="20"/>
          <w:szCs w:val="20"/>
        </w:rPr>
        <w:t xml:space="preserve">, the DHI Group Common Stock consisted of four classes of common stock, including the Class A Common </w:t>
      </w:r>
      <w:r>
        <w:rPr>
          <w:rFonts w:ascii="Times New Roman" w:eastAsia="宋体" w:hAnsi="Times New Roman"/>
          <w:color w:val="000000"/>
          <w:sz w:val="20"/>
          <w:szCs w:val="20"/>
        </w:rPr>
        <w:t>Stock, the Class B Common Stock, the Class C Common Stock, and the Class D Common Stock. Prior to the completion of the Class V transaction, the DHI Group referred to the direct and indirect interest of Dell Technologies in all of Del</w:t>
      </w:r>
      <w:r>
        <w:rPr>
          <w:rFonts w:ascii="Times New Roman" w:eastAsia="宋体" w:hAnsi="Times New Roman"/>
          <w:color w:val="000000"/>
          <w:sz w:val="20"/>
          <w:szCs w:val="20"/>
          <w:shd w:val="clear" w:color="auto" w:fill="FFFFFF"/>
        </w:rPr>
        <w:t>l Technologies’ busine</w:t>
      </w:r>
      <w:r>
        <w:rPr>
          <w:rFonts w:ascii="Times New Roman" w:eastAsia="宋体" w:hAnsi="Times New Roman"/>
          <w:color w:val="000000"/>
          <w:sz w:val="20"/>
          <w:szCs w:val="20"/>
          <w:shd w:val="clear" w:color="auto" w:fill="FFFFFF"/>
        </w:rPr>
        <w:t>ss, assets, properties, liabilities, and preferred stock other than those attributable to the Class V Group, as well as the DHI Group’s retained interest in the Class V Group. Subsequent to the completion of the Class V transaction, the DHI Group refers to</w:t>
      </w:r>
      <w:r>
        <w:rPr>
          <w:rFonts w:ascii="Times New Roman" w:eastAsia="宋体" w:hAnsi="Times New Roman"/>
          <w:color w:val="000000"/>
          <w:sz w:val="20"/>
          <w:szCs w:val="20"/>
          <w:shd w:val="clear" w:color="auto" w:fill="FFFFFF"/>
        </w:rPr>
        <w:t xml:space="preserve"> all classes of issued and outstanding DHI G</w:t>
      </w:r>
      <w:r>
        <w:rPr>
          <w:rFonts w:ascii="Times New Roman" w:eastAsia="宋体" w:hAnsi="Times New Roman"/>
          <w:color w:val="000000"/>
          <w:sz w:val="20"/>
          <w:szCs w:val="20"/>
        </w:rPr>
        <w:t>roup Common Stock.</w:t>
      </w:r>
    </w:p>
    <w:p w14:paraId="7DD00F2E" w14:textId="77777777" w:rsidR="00C1563E" w:rsidRDefault="00C1563E"/>
    <w:p w14:paraId="7DD00F2F" w14:textId="77777777" w:rsidR="00C1563E" w:rsidRDefault="000B648B">
      <w:r>
        <w:rPr>
          <w:rFonts w:ascii="Times New Roman" w:eastAsia="宋体" w:hAnsi="Times New Roman"/>
          <w:color w:val="000000"/>
          <w:sz w:val="20"/>
          <w:szCs w:val="20"/>
        </w:rPr>
        <w:t xml:space="preserve">For purposes of calculating earnings (loss) per share, the Company continues to use the two-class method. The Class A Common Stock, the Class B Common Stock, the Class C Common Stock, and the </w:t>
      </w:r>
      <w:r>
        <w:rPr>
          <w:rFonts w:ascii="Times New Roman" w:eastAsia="宋体" w:hAnsi="Times New Roman"/>
          <w:color w:val="000000"/>
          <w:sz w:val="20"/>
          <w:szCs w:val="20"/>
        </w:rPr>
        <w:t>Class D Common Stock share equally in dividends declared or accumulated and have equal participation rights in undistributed earnings. As a result, earnings (loss) per share are the same for all classes of Dell Technologies Common Stock and are presented t</w:t>
      </w:r>
      <w:r>
        <w:rPr>
          <w:rFonts w:ascii="Times New Roman" w:eastAsia="宋体" w:hAnsi="Times New Roman"/>
          <w:color w:val="000000"/>
          <w:sz w:val="20"/>
          <w:szCs w:val="20"/>
        </w:rPr>
        <w:t>ogether.</w:t>
      </w:r>
    </w:p>
    <w:p w14:paraId="7DD00F30" w14:textId="77777777" w:rsidR="00C1563E" w:rsidRDefault="00C1563E"/>
    <w:p w14:paraId="7DD00F31" w14:textId="77777777" w:rsidR="00C1563E" w:rsidRDefault="000B648B">
      <w:r>
        <w:rPr>
          <w:rFonts w:ascii="Times New Roman" w:eastAsia="宋体" w:hAnsi="Times New Roman"/>
          <w:color w:val="000000"/>
          <w:sz w:val="20"/>
          <w:szCs w:val="20"/>
        </w:rPr>
        <w:t>The Company accounted for the VMware, Inc. acquisition of the controlling interest in Pivotal from Dell Technologies described in Note 1 of the Notes to the Consolidated Financial Statements as a transaction by entities under common control. Cons</w:t>
      </w:r>
      <w:r>
        <w:rPr>
          <w:rFonts w:ascii="Times New Roman" w:eastAsia="宋体" w:hAnsi="Times New Roman"/>
          <w:color w:val="000000"/>
          <w:sz w:val="20"/>
          <w:szCs w:val="20"/>
        </w:rPr>
        <w:t xml:space="preserve">equently, the Pivotal acquisition had no net effect on the Company’s consolidated financial statements or earnings (loss) per share as previously reported, which includes the period in which the Class V Common Stock was outstanding. </w:t>
      </w:r>
    </w:p>
    <w:p w14:paraId="7DD00F32" w14:textId="77777777" w:rsidR="00C1563E" w:rsidRDefault="00C1563E"/>
    <w:p w14:paraId="7DD00F33" w14:textId="77777777" w:rsidR="00C1563E" w:rsidRDefault="000B648B">
      <w:pPr>
        <w:spacing w:after="120"/>
      </w:pPr>
      <w:r>
        <w:rPr>
          <w:rFonts w:ascii="Times New Roman" w:eastAsia="宋体" w:hAnsi="Times New Roman"/>
          <w:color w:val="000000"/>
          <w:sz w:val="20"/>
          <w:szCs w:val="20"/>
        </w:rPr>
        <w:t>The following table p</w:t>
      </w:r>
      <w:r>
        <w:rPr>
          <w:rFonts w:ascii="Times New Roman" w:eastAsia="宋体" w:hAnsi="Times New Roman"/>
          <w:color w:val="000000"/>
          <w:sz w:val="20"/>
          <w:szCs w:val="20"/>
        </w:rPr>
        <w:t>resents basic and diluted earnings (loss)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948"/>
        <w:gridCol w:w="36"/>
        <w:gridCol w:w="36"/>
        <w:gridCol w:w="36"/>
        <w:gridCol w:w="36"/>
        <w:gridCol w:w="36"/>
        <w:gridCol w:w="121"/>
        <w:gridCol w:w="1157"/>
        <w:gridCol w:w="36"/>
        <w:gridCol w:w="36"/>
        <w:gridCol w:w="36"/>
        <w:gridCol w:w="36"/>
        <w:gridCol w:w="121"/>
        <w:gridCol w:w="1157"/>
        <w:gridCol w:w="36"/>
        <w:gridCol w:w="36"/>
        <w:gridCol w:w="36"/>
        <w:gridCol w:w="36"/>
        <w:gridCol w:w="121"/>
        <w:gridCol w:w="1170"/>
        <w:gridCol w:w="36"/>
      </w:tblGrid>
      <w:tr w:rsidR="00C1563E" w14:paraId="7DD00F4A" w14:textId="77777777">
        <w:tc>
          <w:tcPr>
            <w:tcW w:w="50" w:type="pct"/>
            <w:shd w:val="clear" w:color="auto" w:fill="auto"/>
          </w:tcPr>
          <w:p w14:paraId="7DD00F34" w14:textId="77777777" w:rsidR="00C1563E" w:rsidRDefault="00C1563E">
            <w:pPr>
              <w:rPr>
                <w:rFonts w:ascii="宋体"/>
              </w:rPr>
            </w:pPr>
          </w:p>
        </w:tc>
        <w:tc>
          <w:tcPr>
            <w:tcW w:w="2466" w:type="pct"/>
            <w:shd w:val="clear" w:color="auto" w:fill="auto"/>
          </w:tcPr>
          <w:p w14:paraId="7DD00F35" w14:textId="77777777" w:rsidR="00C1563E" w:rsidRDefault="00C1563E">
            <w:pPr>
              <w:rPr>
                <w:rFonts w:ascii="宋体"/>
              </w:rPr>
            </w:pPr>
          </w:p>
        </w:tc>
        <w:tc>
          <w:tcPr>
            <w:tcW w:w="5" w:type="pct"/>
            <w:shd w:val="clear" w:color="auto" w:fill="auto"/>
          </w:tcPr>
          <w:p w14:paraId="7DD00F36" w14:textId="77777777" w:rsidR="00C1563E" w:rsidRDefault="00C1563E">
            <w:pPr>
              <w:rPr>
                <w:rFonts w:ascii="宋体"/>
              </w:rPr>
            </w:pPr>
          </w:p>
        </w:tc>
        <w:tc>
          <w:tcPr>
            <w:tcW w:w="0" w:type="auto"/>
            <w:shd w:val="clear" w:color="auto" w:fill="auto"/>
          </w:tcPr>
          <w:p w14:paraId="7DD00F37" w14:textId="77777777" w:rsidR="00C1563E" w:rsidRDefault="00C1563E">
            <w:pPr>
              <w:rPr>
                <w:rFonts w:ascii="宋体"/>
                <w:vanish/>
              </w:rPr>
            </w:pPr>
          </w:p>
        </w:tc>
        <w:tc>
          <w:tcPr>
            <w:tcW w:w="0" w:type="auto"/>
            <w:shd w:val="clear" w:color="auto" w:fill="auto"/>
          </w:tcPr>
          <w:p w14:paraId="7DD00F38" w14:textId="77777777" w:rsidR="00C1563E" w:rsidRDefault="00C1563E">
            <w:pPr>
              <w:rPr>
                <w:rFonts w:ascii="宋体"/>
                <w:vanish/>
              </w:rPr>
            </w:pPr>
          </w:p>
        </w:tc>
        <w:tc>
          <w:tcPr>
            <w:tcW w:w="0" w:type="auto"/>
            <w:shd w:val="clear" w:color="auto" w:fill="auto"/>
          </w:tcPr>
          <w:p w14:paraId="7DD00F39" w14:textId="77777777" w:rsidR="00C1563E" w:rsidRDefault="00C1563E">
            <w:pPr>
              <w:rPr>
                <w:rFonts w:ascii="宋体"/>
                <w:vanish/>
              </w:rPr>
            </w:pPr>
          </w:p>
        </w:tc>
        <w:tc>
          <w:tcPr>
            <w:tcW w:w="0" w:type="auto"/>
            <w:shd w:val="clear" w:color="auto" w:fill="auto"/>
          </w:tcPr>
          <w:p w14:paraId="7DD00F3A" w14:textId="77777777" w:rsidR="00C1563E" w:rsidRDefault="00C1563E">
            <w:pPr>
              <w:rPr>
                <w:rFonts w:ascii="宋体"/>
                <w:vanish/>
              </w:rPr>
            </w:pPr>
          </w:p>
        </w:tc>
        <w:tc>
          <w:tcPr>
            <w:tcW w:w="50" w:type="pct"/>
            <w:shd w:val="clear" w:color="auto" w:fill="auto"/>
          </w:tcPr>
          <w:p w14:paraId="7DD00F3B" w14:textId="77777777" w:rsidR="00C1563E" w:rsidRDefault="00C1563E">
            <w:pPr>
              <w:rPr>
                <w:rFonts w:ascii="宋体"/>
              </w:rPr>
            </w:pPr>
          </w:p>
        </w:tc>
        <w:tc>
          <w:tcPr>
            <w:tcW w:w="749" w:type="pct"/>
            <w:shd w:val="clear" w:color="auto" w:fill="auto"/>
          </w:tcPr>
          <w:p w14:paraId="7DD00F3C" w14:textId="77777777" w:rsidR="00C1563E" w:rsidRDefault="00C1563E">
            <w:pPr>
              <w:rPr>
                <w:rFonts w:ascii="宋体"/>
              </w:rPr>
            </w:pPr>
          </w:p>
        </w:tc>
        <w:tc>
          <w:tcPr>
            <w:tcW w:w="5" w:type="pct"/>
            <w:shd w:val="clear" w:color="auto" w:fill="auto"/>
          </w:tcPr>
          <w:p w14:paraId="7DD00F3D" w14:textId="77777777" w:rsidR="00C1563E" w:rsidRDefault="00C1563E">
            <w:pPr>
              <w:rPr>
                <w:rFonts w:ascii="宋体"/>
              </w:rPr>
            </w:pPr>
          </w:p>
        </w:tc>
        <w:tc>
          <w:tcPr>
            <w:tcW w:w="5" w:type="pct"/>
            <w:shd w:val="clear" w:color="auto" w:fill="auto"/>
          </w:tcPr>
          <w:p w14:paraId="7DD00F3E" w14:textId="77777777" w:rsidR="00C1563E" w:rsidRDefault="00C1563E">
            <w:pPr>
              <w:rPr>
                <w:rFonts w:ascii="宋体"/>
              </w:rPr>
            </w:pPr>
          </w:p>
        </w:tc>
        <w:tc>
          <w:tcPr>
            <w:tcW w:w="19" w:type="pct"/>
            <w:shd w:val="clear" w:color="auto" w:fill="auto"/>
          </w:tcPr>
          <w:p w14:paraId="7DD00F3F" w14:textId="77777777" w:rsidR="00C1563E" w:rsidRDefault="00C1563E">
            <w:pPr>
              <w:rPr>
                <w:rFonts w:ascii="宋体"/>
              </w:rPr>
            </w:pPr>
          </w:p>
        </w:tc>
        <w:tc>
          <w:tcPr>
            <w:tcW w:w="5" w:type="pct"/>
            <w:shd w:val="clear" w:color="auto" w:fill="auto"/>
          </w:tcPr>
          <w:p w14:paraId="7DD00F40" w14:textId="77777777" w:rsidR="00C1563E" w:rsidRDefault="00C1563E">
            <w:pPr>
              <w:rPr>
                <w:rFonts w:ascii="宋体"/>
              </w:rPr>
            </w:pPr>
          </w:p>
        </w:tc>
        <w:tc>
          <w:tcPr>
            <w:tcW w:w="50" w:type="pct"/>
            <w:shd w:val="clear" w:color="auto" w:fill="auto"/>
          </w:tcPr>
          <w:p w14:paraId="7DD00F41" w14:textId="77777777" w:rsidR="00C1563E" w:rsidRDefault="00C1563E">
            <w:pPr>
              <w:rPr>
                <w:rFonts w:ascii="宋体"/>
              </w:rPr>
            </w:pPr>
          </w:p>
        </w:tc>
        <w:tc>
          <w:tcPr>
            <w:tcW w:w="749" w:type="pct"/>
            <w:shd w:val="clear" w:color="auto" w:fill="auto"/>
          </w:tcPr>
          <w:p w14:paraId="7DD00F42" w14:textId="77777777" w:rsidR="00C1563E" w:rsidRDefault="00C1563E">
            <w:pPr>
              <w:rPr>
                <w:rFonts w:ascii="宋体"/>
              </w:rPr>
            </w:pPr>
          </w:p>
        </w:tc>
        <w:tc>
          <w:tcPr>
            <w:tcW w:w="5" w:type="pct"/>
            <w:shd w:val="clear" w:color="auto" w:fill="auto"/>
          </w:tcPr>
          <w:p w14:paraId="7DD00F43" w14:textId="77777777" w:rsidR="00C1563E" w:rsidRDefault="00C1563E">
            <w:pPr>
              <w:rPr>
                <w:rFonts w:ascii="宋体"/>
              </w:rPr>
            </w:pPr>
          </w:p>
        </w:tc>
        <w:tc>
          <w:tcPr>
            <w:tcW w:w="5" w:type="pct"/>
            <w:shd w:val="clear" w:color="auto" w:fill="auto"/>
          </w:tcPr>
          <w:p w14:paraId="7DD00F44" w14:textId="77777777" w:rsidR="00C1563E" w:rsidRDefault="00C1563E">
            <w:pPr>
              <w:rPr>
                <w:rFonts w:ascii="宋体"/>
              </w:rPr>
            </w:pPr>
          </w:p>
        </w:tc>
        <w:tc>
          <w:tcPr>
            <w:tcW w:w="19" w:type="pct"/>
            <w:shd w:val="clear" w:color="auto" w:fill="auto"/>
          </w:tcPr>
          <w:p w14:paraId="7DD00F45" w14:textId="77777777" w:rsidR="00C1563E" w:rsidRDefault="00C1563E">
            <w:pPr>
              <w:rPr>
                <w:rFonts w:ascii="宋体"/>
              </w:rPr>
            </w:pPr>
          </w:p>
        </w:tc>
        <w:tc>
          <w:tcPr>
            <w:tcW w:w="5" w:type="pct"/>
            <w:shd w:val="clear" w:color="auto" w:fill="auto"/>
          </w:tcPr>
          <w:p w14:paraId="7DD00F46" w14:textId="77777777" w:rsidR="00C1563E" w:rsidRDefault="00C1563E">
            <w:pPr>
              <w:rPr>
                <w:rFonts w:ascii="宋体"/>
              </w:rPr>
            </w:pPr>
          </w:p>
        </w:tc>
        <w:tc>
          <w:tcPr>
            <w:tcW w:w="50" w:type="pct"/>
            <w:shd w:val="clear" w:color="auto" w:fill="auto"/>
          </w:tcPr>
          <w:p w14:paraId="7DD00F47" w14:textId="77777777" w:rsidR="00C1563E" w:rsidRDefault="00C1563E">
            <w:pPr>
              <w:rPr>
                <w:rFonts w:ascii="宋体"/>
              </w:rPr>
            </w:pPr>
          </w:p>
        </w:tc>
        <w:tc>
          <w:tcPr>
            <w:tcW w:w="756" w:type="pct"/>
            <w:shd w:val="clear" w:color="auto" w:fill="auto"/>
          </w:tcPr>
          <w:p w14:paraId="7DD00F48" w14:textId="77777777" w:rsidR="00C1563E" w:rsidRDefault="00C1563E">
            <w:pPr>
              <w:rPr>
                <w:rFonts w:ascii="宋体"/>
              </w:rPr>
            </w:pPr>
          </w:p>
        </w:tc>
        <w:tc>
          <w:tcPr>
            <w:tcW w:w="5" w:type="pct"/>
            <w:shd w:val="clear" w:color="auto" w:fill="auto"/>
          </w:tcPr>
          <w:p w14:paraId="7DD00F49" w14:textId="77777777" w:rsidR="00C1563E" w:rsidRDefault="00C1563E">
            <w:pPr>
              <w:rPr>
                <w:rFonts w:ascii="宋体"/>
              </w:rPr>
            </w:pPr>
          </w:p>
        </w:tc>
      </w:tr>
      <w:tr w:rsidR="00C1563E" w14:paraId="7DD00F55" w14:textId="77777777">
        <w:tc>
          <w:tcPr>
            <w:tcW w:w="0" w:type="auto"/>
            <w:gridSpan w:val="3"/>
            <w:shd w:val="clear" w:color="auto" w:fill="auto"/>
            <w:tcMar>
              <w:top w:w="40" w:type="dxa"/>
              <w:left w:w="20" w:type="dxa"/>
              <w:bottom w:w="40" w:type="dxa"/>
              <w:right w:w="20" w:type="dxa"/>
            </w:tcMar>
            <w:vAlign w:val="bottom"/>
          </w:tcPr>
          <w:p w14:paraId="7DD00F4B" w14:textId="77777777" w:rsidR="00C1563E" w:rsidRDefault="000B648B">
            <w:pPr>
              <w:textAlignment w:val="bottom"/>
            </w:pPr>
            <w:r>
              <w:rPr>
                <w:rFonts w:ascii="Times New Roman" w:eastAsia="宋体" w:hAnsi="Times New Roman"/>
                <w:color w:val="000000"/>
                <w:sz w:val="20"/>
                <w:szCs w:val="20"/>
              </w:rPr>
              <w:t> </w:t>
            </w:r>
          </w:p>
        </w:tc>
        <w:tc>
          <w:tcPr>
            <w:tcW w:w="0" w:type="auto"/>
            <w:shd w:val="clear" w:color="auto" w:fill="auto"/>
          </w:tcPr>
          <w:p w14:paraId="7DD00F4C" w14:textId="77777777" w:rsidR="00C1563E" w:rsidRDefault="00C1563E">
            <w:pPr>
              <w:rPr>
                <w:rFonts w:ascii="宋体"/>
                <w:vanish/>
              </w:rPr>
            </w:pPr>
          </w:p>
        </w:tc>
        <w:tc>
          <w:tcPr>
            <w:tcW w:w="0" w:type="auto"/>
            <w:shd w:val="clear" w:color="auto" w:fill="auto"/>
          </w:tcPr>
          <w:p w14:paraId="7DD00F4D"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D00F4E"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D00F4F" w14:textId="77777777" w:rsidR="00C1563E" w:rsidRDefault="00C1563E">
            <w:pPr>
              <w:rPr>
                <w:rFonts w:ascii="宋体"/>
              </w:rPr>
            </w:pPr>
          </w:p>
        </w:tc>
        <w:tc>
          <w:tcPr>
            <w:tcW w:w="0" w:type="auto"/>
            <w:shd w:val="clear" w:color="auto" w:fill="auto"/>
          </w:tcPr>
          <w:p w14:paraId="7DD00F50" w14:textId="77777777" w:rsidR="00C1563E" w:rsidRDefault="00C1563E">
            <w:pPr>
              <w:rPr>
                <w:rFonts w:ascii="宋体"/>
              </w:rPr>
            </w:pPr>
          </w:p>
        </w:tc>
        <w:tc>
          <w:tcPr>
            <w:tcW w:w="0" w:type="auto"/>
            <w:shd w:val="clear" w:color="auto" w:fill="auto"/>
          </w:tcPr>
          <w:p w14:paraId="7DD00F51" w14:textId="77777777" w:rsidR="00C1563E" w:rsidRDefault="00C1563E">
            <w:pPr>
              <w:rPr>
                <w:rFonts w:ascii="宋体"/>
              </w:rPr>
            </w:pPr>
          </w:p>
        </w:tc>
        <w:tc>
          <w:tcPr>
            <w:tcW w:w="0" w:type="auto"/>
            <w:shd w:val="clear" w:color="auto" w:fill="auto"/>
          </w:tcPr>
          <w:p w14:paraId="7DD00F52" w14:textId="77777777" w:rsidR="00C1563E" w:rsidRDefault="00C1563E">
            <w:pPr>
              <w:rPr>
                <w:rFonts w:ascii="宋体"/>
              </w:rPr>
            </w:pPr>
          </w:p>
        </w:tc>
        <w:tc>
          <w:tcPr>
            <w:tcW w:w="0" w:type="auto"/>
            <w:shd w:val="clear" w:color="auto" w:fill="auto"/>
          </w:tcPr>
          <w:p w14:paraId="7DD00F53" w14:textId="77777777" w:rsidR="00C1563E" w:rsidRDefault="00C1563E">
            <w:pPr>
              <w:rPr>
                <w:rFonts w:ascii="宋体"/>
              </w:rPr>
            </w:pPr>
          </w:p>
        </w:tc>
        <w:tc>
          <w:tcPr>
            <w:tcW w:w="0" w:type="auto"/>
            <w:shd w:val="clear" w:color="auto" w:fill="auto"/>
          </w:tcPr>
          <w:p w14:paraId="7DD00F54" w14:textId="77777777" w:rsidR="00C1563E" w:rsidRDefault="00C1563E">
            <w:pPr>
              <w:rPr>
                <w:rFonts w:ascii="宋体"/>
              </w:rPr>
            </w:pPr>
          </w:p>
        </w:tc>
      </w:tr>
      <w:tr w:rsidR="00C1563E" w14:paraId="7DD00F60" w14:textId="77777777">
        <w:tc>
          <w:tcPr>
            <w:tcW w:w="0" w:type="auto"/>
            <w:gridSpan w:val="3"/>
            <w:shd w:val="clear" w:color="auto" w:fill="auto"/>
            <w:tcMar>
              <w:top w:w="40" w:type="dxa"/>
              <w:left w:w="20" w:type="dxa"/>
              <w:bottom w:w="40" w:type="dxa"/>
              <w:right w:w="20" w:type="dxa"/>
            </w:tcMar>
            <w:vAlign w:val="bottom"/>
          </w:tcPr>
          <w:p w14:paraId="7DD00F56" w14:textId="77777777" w:rsidR="00C1563E" w:rsidRDefault="000B648B">
            <w:pPr>
              <w:textAlignment w:val="bottom"/>
            </w:pPr>
            <w:r>
              <w:rPr>
                <w:rFonts w:ascii="Times New Roman" w:eastAsia="宋体" w:hAnsi="Times New Roman"/>
                <w:color w:val="000000"/>
                <w:sz w:val="20"/>
                <w:szCs w:val="20"/>
              </w:rPr>
              <w:t> </w:t>
            </w:r>
          </w:p>
        </w:tc>
        <w:tc>
          <w:tcPr>
            <w:tcW w:w="0" w:type="auto"/>
            <w:shd w:val="clear" w:color="auto" w:fill="auto"/>
          </w:tcPr>
          <w:p w14:paraId="7DD00F57" w14:textId="77777777" w:rsidR="00C1563E" w:rsidRDefault="00C1563E">
            <w:pPr>
              <w:rPr>
                <w:rFonts w:ascii="宋体"/>
                <w:vanish/>
              </w:rPr>
            </w:pPr>
          </w:p>
        </w:tc>
        <w:tc>
          <w:tcPr>
            <w:tcW w:w="0" w:type="auto"/>
            <w:shd w:val="clear" w:color="auto" w:fill="auto"/>
          </w:tcPr>
          <w:p w14:paraId="7DD00F58" w14:textId="77777777" w:rsidR="00C1563E" w:rsidRDefault="00C1563E">
            <w:pPr>
              <w:rPr>
                <w:rFonts w:ascii="宋体"/>
                <w:vanish/>
              </w:rPr>
            </w:pPr>
          </w:p>
        </w:tc>
        <w:tc>
          <w:tcPr>
            <w:tcW w:w="0" w:type="auto"/>
            <w:shd w:val="clear" w:color="auto" w:fill="auto"/>
          </w:tcPr>
          <w:p w14:paraId="7DD00F59" w14:textId="77777777" w:rsidR="00C1563E" w:rsidRDefault="00C1563E">
            <w:pPr>
              <w:rPr>
                <w:rFonts w:ascii="宋体"/>
                <w:vanish/>
              </w:rPr>
            </w:pPr>
          </w:p>
        </w:tc>
        <w:tc>
          <w:tcPr>
            <w:tcW w:w="0" w:type="auto"/>
            <w:shd w:val="clear" w:color="auto" w:fill="auto"/>
          </w:tcPr>
          <w:p w14:paraId="7DD00F5A" w14:textId="77777777" w:rsidR="00C1563E" w:rsidRDefault="00C1563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F5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0F5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F5D"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0F5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F5F"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0F6E" w14:textId="77777777">
        <w:tc>
          <w:tcPr>
            <w:tcW w:w="0" w:type="auto"/>
            <w:gridSpan w:val="10"/>
            <w:shd w:val="clear" w:color="auto" w:fill="CCEEFF"/>
            <w:tcMar>
              <w:top w:w="40" w:type="dxa"/>
              <w:left w:w="20" w:type="dxa"/>
              <w:bottom w:w="40" w:type="dxa"/>
              <w:right w:w="20" w:type="dxa"/>
            </w:tcMar>
            <w:vAlign w:val="bottom"/>
          </w:tcPr>
          <w:p w14:paraId="7DD00F61" w14:textId="77777777" w:rsidR="00C1563E" w:rsidRDefault="000B648B">
            <w:pPr>
              <w:textAlignment w:val="bottom"/>
            </w:pPr>
            <w:r>
              <w:rPr>
                <w:rFonts w:ascii="Times New Roman" w:eastAsia="宋体" w:hAnsi="Times New Roman"/>
                <w:i/>
                <w:iCs/>
                <w:color w:val="000000"/>
                <w:sz w:val="20"/>
                <w:szCs w:val="20"/>
              </w:rPr>
              <w:t xml:space="preserve">Earnings (loss) per share attributable to Dell </w:t>
            </w:r>
            <w:r>
              <w:rPr>
                <w:rFonts w:ascii="Times New Roman" w:eastAsia="宋体" w:hAnsi="Times New Roman"/>
                <w:i/>
                <w:iCs/>
                <w:color w:val="000000"/>
                <w:sz w:val="20"/>
                <w:szCs w:val="20"/>
              </w:rPr>
              <w:t>Technologies Inc. — basic:</w:t>
            </w:r>
          </w:p>
        </w:tc>
        <w:tc>
          <w:tcPr>
            <w:tcW w:w="0" w:type="auto"/>
            <w:shd w:val="clear" w:color="auto" w:fill="auto"/>
          </w:tcPr>
          <w:p w14:paraId="7DD00F62" w14:textId="77777777" w:rsidR="00C1563E" w:rsidRDefault="00C1563E">
            <w:pPr>
              <w:rPr>
                <w:rFonts w:ascii="宋体"/>
              </w:rPr>
            </w:pPr>
          </w:p>
        </w:tc>
        <w:tc>
          <w:tcPr>
            <w:tcW w:w="0" w:type="auto"/>
            <w:shd w:val="clear" w:color="auto" w:fill="auto"/>
          </w:tcPr>
          <w:p w14:paraId="7DD00F63" w14:textId="77777777" w:rsidR="00C1563E" w:rsidRDefault="00C1563E">
            <w:pPr>
              <w:rPr>
                <w:rFonts w:ascii="宋体"/>
              </w:rPr>
            </w:pPr>
          </w:p>
        </w:tc>
        <w:tc>
          <w:tcPr>
            <w:tcW w:w="0" w:type="auto"/>
            <w:shd w:val="clear" w:color="auto" w:fill="auto"/>
          </w:tcPr>
          <w:p w14:paraId="7DD00F64" w14:textId="77777777" w:rsidR="00C1563E" w:rsidRDefault="00C1563E">
            <w:pPr>
              <w:rPr>
                <w:rFonts w:ascii="宋体"/>
              </w:rPr>
            </w:pPr>
          </w:p>
        </w:tc>
        <w:tc>
          <w:tcPr>
            <w:tcW w:w="0" w:type="auto"/>
            <w:shd w:val="clear" w:color="auto" w:fill="auto"/>
          </w:tcPr>
          <w:p w14:paraId="7DD00F65" w14:textId="77777777" w:rsidR="00C1563E" w:rsidRDefault="00C1563E">
            <w:pPr>
              <w:rPr>
                <w:rFonts w:ascii="宋体"/>
              </w:rPr>
            </w:pPr>
          </w:p>
        </w:tc>
        <w:tc>
          <w:tcPr>
            <w:tcW w:w="0" w:type="auto"/>
            <w:shd w:val="clear" w:color="auto" w:fill="auto"/>
          </w:tcPr>
          <w:p w14:paraId="7DD00F66" w14:textId="77777777" w:rsidR="00C1563E" w:rsidRDefault="00C1563E">
            <w:pPr>
              <w:rPr>
                <w:rFonts w:ascii="宋体"/>
              </w:rPr>
            </w:pPr>
          </w:p>
        </w:tc>
        <w:tc>
          <w:tcPr>
            <w:tcW w:w="0" w:type="auto"/>
            <w:shd w:val="clear" w:color="auto" w:fill="auto"/>
          </w:tcPr>
          <w:p w14:paraId="7DD00F67" w14:textId="77777777" w:rsidR="00C1563E" w:rsidRDefault="00C1563E">
            <w:pPr>
              <w:rPr>
                <w:rFonts w:ascii="宋体"/>
              </w:rPr>
            </w:pPr>
          </w:p>
        </w:tc>
        <w:tc>
          <w:tcPr>
            <w:tcW w:w="0" w:type="auto"/>
            <w:shd w:val="clear" w:color="auto" w:fill="auto"/>
          </w:tcPr>
          <w:p w14:paraId="7DD00F68" w14:textId="77777777" w:rsidR="00C1563E" w:rsidRDefault="00C1563E">
            <w:pPr>
              <w:rPr>
                <w:rFonts w:ascii="宋体"/>
              </w:rPr>
            </w:pPr>
          </w:p>
        </w:tc>
        <w:tc>
          <w:tcPr>
            <w:tcW w:w="0" w:type="auto"/>
            <w:shd w:val="clear" w:color="auto" w:fill="auto"/>
          </w:tcPr>
          <w:p w14:paraId="7DD00F69" w14:textId="77777777" w:rsidR="00C1563E" w:rsidRDefault="00C1563E">
            <w:pPr>
              <w:rPr>
                <w:rFonts w:ascii="宋体"/>
              </w:rPr>
            </w:pPr>
          </w:p>
        </w:tc>
        <w:tc>
          <w:tcPr>
            <w:tcW w:w="0" w:type="auto"/>
            <w:shd w:val="clear" w:color="auto" w:fill="auto"/>
          </w:tcPr>
          <w:p w14:paraId="7DD00F6A" w14:textId="77777777" w:rsidR="00C1563E" w:rsidRDefault="00C1563E">
            <w:pPr>
              <w:rPr>
                <w:rFonts w:ascii="宋体"/>
              </w:rPr>
            </w:pPr>
          </w:p>
        </w:tc>
        <w:tc>
          <w:tcPr>
            <w:tcW w:w="0" w:type="auto"/>
            <w:shd w:val="clear" w:color="auto" w:fill="auto"/>
          </w:tcPr>
          <w:p w14:paraId="7DD00F6B" w14:textId="77777777" w:rsidR="00C1563E" w:rsidRDefault="00C1563E">
            <w:pPr>
              <w:rPr>
                <w:rFonts w:ascii="宋体"/>
              </w:rPr>
            </w:pPr>
          </w:p>
        </w:tc>
        <w:tc>
          <w:tcPr>
            <w:tcW w:w="0" w:type="auto"/>
            <w:shd w:val="clear" w:color="auto" w:fill="auto"/>
          </w:tcPr>
          <w:p w14:paraId="7DD00F6C" w14:textId="77777777" w:rsidR="00C1563E" w:rsidRDefault="00C1563E">
            <w:pPr>
              <w:rPr>
                <w:rFonts w:ascii="宋体"/>
              </w:rPr>
            </w:pPr>
          </w:p>
        </w:tc>
        <w:tc>
          <w:tcPr>
            <w:tcW w:w="0" w:type="auto"/>
            <w:shd w:val="clear" w:color="auto" w:fill="auto"/>
          </w:tcPr>
          <w:p w14:paraId="7DD00F6D" w14:textId="77777777" w:rsidR="00C1563E" w:rsidRDefault="00C1563E">
            <w:pPr>
              <w:rPr>
                <w:rFonts w:ascii="宋体"/>
              </w:rPr>
            </w:pPr>
          </w:p>
        </w:tc>
      </w:tr>
      <w:tr w:rsidR="00C1563E" w14:paraId="7DD00F7D" w14:textId="77777777">
        <w:tc>
          <w:tcPr>
            <w:tcW w:w="0" w:type="auto"/>
            <w:gridSpan w:val="3"/>
            <w:shd w:val="clear" w:color="auto" w:fill="FFFFFF"/>
            <w:tcMar>
              <w:top w:w="40" w:type="dxa"/>
              <w:left w:w="155" w:type="dxa"/>
              <w:bottom w:w="40" w:type="dxa"/>
              <w:right w:w="20" w:type="dxa"/>
            </w:tcMar>
            <w:vAlign w:val="bottom"/>
          </w:tcPr>
          <w:p w14:paraId="7DD00F6F" w14:textId="77777777" w:rsidR="00C1563E" w:rsidRDefault="000B648B">
            <w:pPr>
              <w:textAlignment w:val="bottom"/>
            </w:pPr>
            <w:r>
              <w:rPr>
                <w:rFonts w:ascii="Times New Roman" w:eastAsia="宋体" w:hAnsi="Times New Roman"/>
                <w:color w:val="000000"/>
                <w:sz w:val="20"/>
                <w:szCs w:val="20"/>
              </w:rPr>
              <w:t>Dell Technologies Common Stock</w:t>
            </w:r>
          </w:p>
        </w:tc>
        <w:tc>
          <w:tcPr>
            <w:tcW w:w="0" w:type="auto"/>
            <w:shd w:val="clear" w:color="auto" w:fill="auto"/>
          </w:tcPr>
          <w:p w14:paraId="7DD00F70" w14:textId="77777777" w:rsidR="00C1563E" w:rsidRDefault="00C1563E">
            <w:pPr>
              <w:rPr>
                <w:rFonts w:ascii="宋体"/>
                <w:vanish/>
              </w:rPr>
            </w:pPr>
          </w:p>
        </w:tc>
        <w:tc>
          <w:tcPr>
            <w:tcW w:w="0" w:type="auto"/>
            <w:shd w:val="clear" w:color="auto" w:fill="auto"/>
          </w:tcPr>
          <w:p w14:paraId="7DD00F71" w14:textId="77777777" w:rsidR="00C1563E" w:rsidRDefault="00C1563E">
            <w:pPr>
              <w:rPr>
                <w:rFonts w:ascii="宋体"/>
                <w:vanish/>
              </w:rPr>
            </w:pPr>
          </w:p>
        </w:tc>
        <w:tc>
          <w:tcPr>
            <w:tcW w:w="0" w:type="auto"/>
            <w:shd w:val="clear" w:color="auto" w:fill="auto"/>
          </w:tcPr>
          <w:p w14:paraId="7DD00F72" w14:textId="77777777" w:rsidR="00C1563E" w:rsidRDefault="00C1563E">
            <w:pPr>
              <w:rPr>
                <w:rFonts w:ascii="宋体"/>
                <w:vanish/>
              </w:rPr>
            </w:pPr>
          </w:p>
        </w:tc>
        <w:tc>
          <w:tcPr>
            <w:tcW w:w="0" w:type="auto"/>
            <w:shd w:val="clear" w:color="auto" w:fill="auto"/>
          </w:tcPr>
          <w:p w14:paraId="7DD00F73"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D00F7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F75" w14:textId="77777777" w:rsidR="00C1563E" w:rsidRDefault="000B648B">
            <w:pPr>
              <w:jc w:val="right"/>
              <w:textAlignment w:val="bottom"/>
            </w:pPr>
            <w:r>
              <w:rPr>
                <w:rFonts w:ascii="Times New Roman" w:eastAsia="宋体" w:hAnsi="Times New Roman"/>
                <w:color w:val="000000"/>
                <w:sz w:val="20"/>
                <w:szCs w:val="20"/>
              </w:rPr>
              <w:t>4.37 </w:t>
            </w:r>
          </w:p>
        </w:tc>
        <w:tc>
          <w:tcPr>
            <w:tcW w:w="0" w:type="auto"/>
            <w:shd w:val="clear" w:color="auto" w:fill="FFFFFF"/>
            <w:tcMar>
              <w:top w:w="40" w:type="dxa"/>
              <w:left w:w="0" w:type="dxa"/>
              <w:bottom w:w="40" w:type="dxa"/>
              <w:right w:w="20" w:type="dxa"/>
            </w:tcMar>
            <w:vAlign w:val="bottom"/>
          </w:tcPr>
          <w:p w14:paraId="7DD00F7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F7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F7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F79" w14:textId="77777777" w:rsidR="00C1563E" w:rsidRDefault="000B648B">
            <w:pPr>
              <w:jc w:val="right"/>
              <w:textAlignment w:val="bottom"/>
            </w:pPr>
            <w:r>
              <w:rPr>
                <w:rFonts w:ascii="Times New Roman" w:eastAsia="宋体" w:hAnsi="Times New Roman"/>
                <w:color w:val="000000"/>
                <w:sz w:val="20"/>
                <w:szCs w:val="20"/>
              </w:rPr>
              <w:t>6.38 </w:t>
            </w:r>
          </w:p>
        </w:tc>
        <w:tc>
          <w:tcPr>
            <w:tcW w:w="0" w:type="auto"/>
            <w:shd w:val="clear" w:color="auto" w:fill="FFFFFF"/>
            <w:tcMar>
              <w:top w:w="40" w:type="dxa"/>
              <w:left w:w="0" w:type="dxa"/>
              <w:bottom w:w="40" w:type="dxa"/>
              <w:right w:w="20" w:type="dxa"/>
            </w:tcMar>
            <w:vAlign w:val="bottom"/>
          </w:tcPr>
          <w:p w14:paraId="7DD00F7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0F7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7C" w14:textId="77777777" w:rsidR="00C1563E" w:rsidRDefault="00C1563E">
            <w:pPr>
              <w:rPr>
                <w:rFonts w:ascii="宋体"/>
              </w:rPr>
            </w:pPr>
          </w:p>
        </w:tc>
      </w:tr>
      <w:tr w:rsidR="00C1563E" w14:paraId="7DD00F8A" w14:textId="77777777">
        <w:tc>
          <w:tcPr>
            <w:tcW w:w="0" w:type="auto"/>
            <w:gridSpan w:val="3"/>
            <w:shd w:val="clear" w:color="auto" w:fill="CCEEFF"/>
            <w:tcMar>
              <w:top w:w="40" w:type="dxa"/>
              <w:left w:w="155" w:type="dxa"/>
              <w:bottom w:w="40" w:type="dxa"/>
              <w:right w:w="20" w:type="dxa"/>
            </w:tcMar>
            <w:vAlign w:val="bottom"/>
          </w:tcPr>
          <w:p w14:paraId="7DD00F7E" w14:textId="77777777" w:rsidR="00C1563E" w:rsidRDefault="000B648B">
            <w:pPr>
              <w:textAlignment w:val="bottom"/>
            </w:pPr>
            <w:r>
              <w:rPr>
                <w:rFonts w:ascii="Times New Roman" w:eastAsia="宋体" w:hAnsi="Times New Roman"/>
                <w:color w:val="000000"/>
                <w:sz w:val="20"/>
                <w:szCs w:val="20"/>
              </w:rPr>
              <w:t xml:space="preserve">Class </w:t>
            </w:r>
            <w:r>
              <w:rPr>
                <w:rFonts w:ascii="Times New Roman" w:eastAsia="宋体" w:hAnsi="Times New Roman"/>
                <w:color w:val="000000"/>
                <w:sz w:val="20"/>
                <w:szCs w:val="20"/>
              </w:rPr>
              <w:t>V Common Stock</w:t>
            </w:r>
          </w:p>
        </w:tc>
        <w:tc>
          <w:tcPr>
            <w:tcW w:w="0" w:type="auto"/>
            <w:shd w:val="clear" w:color="auto" w:fill="auto"/>
          </w:tcPr>
          <w:p w14:paraId="7DD00F7F" w14:textId="77777777" w:rsidR="00C1563E" w:rsidRDefault="00C1563E">
            <w:pPr>
              <w:rPr>
                <w:rFonts w:ascii="宋体"/>
                <w:vanish/>
              </w:rPr>
            </w:pPr>
          </w:p>
        </w:tc>
        <w:tc>
          <w:tcPr>
            <w:tcW w:w="0" w:type="auto"/>
            <w:shd w:val="clear" w:color="auto" w:fill="auto"/>
          </w:tcPr>
          <w:p w14:paraId="7DD00F80" w14:textId="77777777" w:rsidR="00C1563E" w:rsidRDefault="00C1563E">
            <w:pPr>
              <w:rPr>
                <w:rFonts w:ascii="宋体"/>
                <w:vanish/>
              </w:rPr>
            </w:pPr>
          </w:p>
        </w:tc>
        <w:tc>
          <w:tcPr>
            <w:tcW w:w="0" w:type="auto"/>
            <w:shd w:val="clear" w:color="auto" w:fill="auto"/>
          </w:tcPr>
          <w:p w14:paraId="7DD00F81" w14:textId="77777777" w:rsidR="00C1563E" w:rsidRDefault="00C1563E">
            <w:pPr>
              <w:rPr>
                <w:rFonts w:ascii="宋体"/>
                <w:vanish/>
              </w:rPr>
            </w:pPr>
          </w:p>
        </w:tc>
        <w:tc>
          <w:tcPr>
            <w:tcW w:w="0" w:type="auto"/>
            <w:shd w:val="clear" w:color="auto" w:fill="auto"/>
          </w:tcPr>
          <w:p w14:paraId="7DD00F82"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0F8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8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8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8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F8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F88" w14:textId="77777777" w:rsidR="00C1563E" w:rsidRDefault="000B648B">
            <w:pPr>
              <w:jc w:val="right"/>
              <w:textAlignment w:val="bottom"/>
            </w:pPr>
            <w:r>
              <w:rPr>
                <w:rFonts w:ascii="Times New Roman" w:eastAsia="宋体" w:hAnsi="Times New Roman"/>
                <w:color w:val="000000"/>
                <w:sz w:val="20"/>
                <w:szCs w:val="20"/>
              </w:rPr>
              <w:t>6.01 </w:t>
            </w:r>
          </w:p>
        </w:tc>
        <w:tc>
          <w:tcPr>
            <w:tcW w:w="0" w:type="auto"/>
            <w:shd w:val="clear" w:color="auto" w:fill="CCEEFF"/>
            <w:tcMar>
              <w:top w:w="40" w:type="dxa"/>
              <w:left w:w="0" w:type="dxa"/>
              <w:bottom w:w="40" w:type="dxa"/>
              <w:right w:w="20" w:type="dxa"/>
            </w:tcMar>
            <w:vAlign w:val="bottom"/>
          </w:tcPr>
          <w:p w14:paraId="7DD00F89" w14:textId="77777777" w:rsidR="00C1563E" w:rsidRDefault="00C1563E">
            <w:pPr>
              <w:jc w:val="right"/>
              <w:rPr>
                <w:rFonts w:ascii="宋体"/>
              </w:rPr>
            </w:pPr>
          </w:p>
        </w:tc>
      </w:tr>
      <w:tr w:rsidR="00C1563E" w14:paraId="7DD00F97" w14:textId="77777777">
        <w:tc>
          <w:tcPr>
            <w:tcW w:w="0" w:type="auto"/>
            <w:gridSpan w:val="3"/>
            <w:shd w:val="clear" w:color="auto" w:fill="FFFFFF"/>
            <w:tcMar>
              <w:top w:w="40" w:type="dxa"/>
              <w:left w:w="155" w:type="dxa"/>
              <w:bottom w:w="40" w:type="dxa"/>
              <w:right w:w="20" w:type="dxa"/>
            </w:tcMar>
            <w:vAlign w:val="bottom"/>
          </w:tcPr>
          <w:p w14:paraId="7DD00F8B" w14:textId="77777777" w:rsidR="00C1563E" w:rsidRDefault="000B648B">
            <w:pPr>
              <w:textAlignment w:val="bottom"/>
            </w:pPr>
            <w:r>
              <w:rPr>
                <w:rFonts w:ascii="Times New Roman" w:eastAsia="宋体" w:hAnsi="Times New Roman"/>
                <w:color w:val="000000"/>
                <w:sz w:val="20"/>
                <w:szCs w:val="20"/>
              </w:rPr>
              <w:t>DHI Group</w:t>
            </w:r>
          </w:p>
        </w:tc>
        <w:tc>
          <w:tcPr>
            <w:tcW w:w="0" w:type="auto"/>
            <w:shd w:val="clear" w:color="auto" w:fill="auto"/>
          </w:tcPr>
          <w:p w14:paraId="7DD00F8C" w14:textId="77777777" w:rsidR="00C1563E" w:rsidRDefault="00C1563E">
            <w:pPr>
              <w:rPr>
                <w:rFonts w:ascii="宋体"/>
                <w:vanish/>
              </w:rPr>
            </w:pPr>
          </w:p>
        </w:tc>
        <w:tc>
          <w:tcPr>
            <w:tcW w:w="0" w:type="auto"/>
            <w:shd w:val="clear" w:color="auto" w:fill="auto"/>
          </w:tcPr>
          <w:p w14:paraId="7DD00F8D" w14:textId="77777777" w:rsidR="00C1563E" w:rsidRDefault="00C1563E">
            <w:pPr>
              <w:rPr>
                <w:rFonts w:ascii="宋体"/>
                <w:vanish/>
              </w:rPr>
            </w:pPr>
          </w:p>
        </w:tc>
        <w:tc>
          <w:tcPr>
            <w:tcW w:w="0" w:type="auto"/>
            <w:shd w:val="clear" w:color="auto" w:fill="auto"/>
          </w:tcPr>
          <w:p w14:paraId="7DD00F8E" w14:textId="77777777" w:rsidR="00C1563E" w:rsidRDefault="00C1563E">
            <w:pPr>
              <w:rPr>
                <w:rFonts w:ascii="宋体"/>
                <w:vanish/>
              </w:rPr>
            </w:pPr>
          </w:p>
        </w:tc>
        <w:tc>
          <w:tcPr>
            <w:tcW w:w="0" w:type="auto"/>
            <w:shd w:val="clear" w:color="auto" w:fill="auto"/>
          </w:tcPr>
          <w:p w14:paraId="7DD00F8F"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D00F9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9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9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9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F9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F95" w14:textId="77777777" w:rsidR="00C1563E" w:rsidRDefault="000B648B">
            <w:pPr>
              <w:jc w:val="right"/>
              <w:textAlignment w:val="bottom"/>
            </w:pPr>
            <w:r>
              <w:rPr>
                <w:rFonts w:ascii="Times New Roman" w:eastAsia="宋体" w:hAnsi="Times New Roman"/>
                <w:color w:val="000000"/>
                <w:sz w:val="20"/>
                <w:szCs w:val="20"/>
              </w:rPr>
              <w:t>(6.02)</w:t>
            </w:r>
          </w:p>
        </w:tc>
        <w:tc>
          <w:tcPr>
            <w:tcW w:w="0" w:type="auto"/>
            <w:shd w:val="clear" w:color="auto" w:fill="FFFFFF"/>
            <w:tcMar>
              <w:top w:w="40" w:type="dxa"/>
              <w:left w:w="0" w:type="dxa"/>
              <w:bottom w:w="40" w:type="dxa"/>
              <w:right w:w="20" w:type="dxa"/>
            </w:tcMar>
            <w:vAlign w:val="bottom"/>
          </w:tcPr>
          <w:p w14:paraId="7DD00F96" w14:textId="77777777" w:rsidR="00C1563E" w:rsidRDefault="00C1563E">
            <w:pPr>
              <w:jc w:val="right"/>
              <w:rPr>
                <w:rFonts w:ascii="宋体"/>
              </w:rPr>
            </w:pPr>
          </w:p>
        </w:tc>
      </w:tr>
      <w:tr w:rsidR="00C1563E" w14:paraId="7DD00FA2" w14:textId="77777777">
        <w:trPr>
          <w:trHeight w:val="280"/>
        </w:trPr>
        <w:tc>
          <w:tcPr>
            <w:tcW w:w="0" w:type="auto"/>
            <w:gridSpan w:val="3"/>
            <w:shd w:val="clear" w:color="auto" w:fill="CCEEFF"/>
            <w:tcMar>
              <w:top w:w="0" w:type="dxa"/>
              <w:left w:w="20" w:type="dxa"/>
              <w:bottom w:w="0" w:type="dxa"/>
              <w:right w:w="20" w:type="dxa"/>
            </w:tcMar>
          </w:tcPr>
          <w:p w14:paraId="7DD00F98" w14:textId="77777777" w:rsidR="00C1563E" w:rsidRDefault="00C1563E">
            <w:pPr>
              <w:rPr>
                <w:rFonts w:ascii="宋体"/>
              </w:rPr>
            </w:pPr>
          </w:p>
        </w:tc>
        <w:tc>
          <w:tcPr>
            <w:tcW w:w="0" w:type="auto"/>
            <w:shd w:val="clear" w:color="auto" w:fill="auto"/>
          </w:tcPr>
          <w:p w14:paraId="7DD00F99" w14:textId="77777777" w:rsidR="00C1563E" w:rsidRDefault="00C1563E">
            <w:pPr>
              <w:rPr>
                <w:rFonts w:ascii="宋体"/>
                <w:vanish/>
              </w:rPr>
            </w:pPr>
          </w:p>
        </w:tc>
        <w:tc>
          <w:tcPr>
            <w:tcW w:w="0" w:type="auto"/>
            <w:shd w:val="clear" w:color="auto" w:fill="auto"/>
          </w:tcPr>
          <w:p w14:paraId="7DD00F9A" w14:textId="77777777" w:rsidR="00C1563E" w:rsidRDefault="00C1563E">
            <w:pPr>
              <w:rPr>
                <w:rFonts w:ascii="宋体"/>
                <w:vanish/>
              </w:rPr>
            </w:pPr>
          </w:p>
        </w:tc>
        <w:tc>
          <w:tcPr>
            <w:tcW w:w="0" w:type="auto"/>
            <w:shd w:val="clear" w:color="auto" w:fill="auto"/>
          </w:tcPr>
          <w:p w14:paraId="7DD00F9B" w14:textId="77777777" w:rsidR="00C1563E" w:rsidRDefault="00C1563E">
            <w:pPr>
              <w:rPr>
                <w:rFonts w:ascii="宋体"/>
                <w:vanish/>
              </w:rPr>
            </w:pPr>
          </w:p>
        </w:tc>
        <w:tc>
          <w:tcPr>
            <w:tcW w:w="0" w:type="auto"/>
            <w:shd w:val="clear" w:color="auto" w:fill="auto"/>
          </w:tcPr>
          <w:p w14:paraId="7DD00F9C"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0F9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9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9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A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A1" w14:textId="77777777" w:rsidR="00C1563E" w:rsidRDefault="00C1563E">
            <w:pPr>
              <w:rPr>
                <w:rFonts w:ascii="宋体"/>
              </w:rPr>
            </w:pPr>
          </w:p>
        </w:tc>
      </w:tr>
      <w:tr w:rsidR="00C1563E" w14:paraId="7DD00FB0" w14:textId="77777777">
        <w:tc>
          <w:tcPr>
            <w:tcW w:w="0" w:type="auto"/>
            <w:gridSpan w:val="10"/>
            <w:shd w:val="clear" w:color="auto" w:fill="FFFFFF"/>
            <w:tcMar>
              <w:top w:w="40" w:type="dxa"/>
              <w:left w:w="20" w:type="dxa"/>
              <w:bottom w:w="40" w:type="dxa"/>
              <w:right w:w="20" w:type="dxa"/>
            </w:tcMar>
            <w:vAlign w:val="bottom"/>
          </w:tcPr>
          <w:p w14:paraId="7DD00FA3" w14:textId="77777777" w:rsidR="00C1563E" w:rsidRDefault="000B648B">
            <w:pPr>
              <w:textAlignment w:val="bottom"/>
            </w:pPr>
            <w:r>
              <w:rPr>
                <w:rFonts w:ascii="Times New Roman" w:eastAsia="宋体" w:hAnsi="Times New Roman"/>
                <w:i/>
                <w:iCs/>
                <w:color w:val="000000"/>
                <w:sz w:val="20"/>
                <w:szCs w:val="20"/>
              </w:rPr>
              <w:t>Earnings (loss) per share attributable to Dell Technologies Inc. — diluted:</w:t>
            </w:r>
          </w:p>
        </w:tc>
        <w:tc>
          <w:tcPr>
            <w:tcW w:w="0" w:type="auto"/>
            <w:shd w:val="clear" w:color="auto" w:fill="auto"/>
          </w:tcPr>
          <w:p w14:paraId="7DD00FA4" w14:textId="77777777" w:rsidR="00C1563E" w:rsidRDefault="00C1563E">
            <w:pPr>
              <w:rPr>
                <w:rFonts w:ascii="宋体"/>
              </w:rPr>
            </w:pPr>
          </w:p>
        </w:tc>
        <w:tc>
          <w:tcPr>
            <w:tcW w:w="0" w:type="auto"/>
            <w:shd w:val="clear" w:color="auto" w:fill="auto"/>
          </w:tcPr>
          <w:p w14:paraId="7DD00FA5" w14:textId="77777777" w:rsidR="00C1563E" w:rsidRDefault="00C1563E">
            <w:pPr>
              <w:rPr>
                <w:rFonts w:ascii="宋体"/>
              </w:rPr>
            </w:pPr>
          </w:p>
        </w:tc>
        <w:tc>
          <w:tcPr>
            <w:tcW w:w="0" w:type="auto"/>
            <w:shd w:val="clear" w:color="auto" w:fill="auto"/>
          </w:tcPr>
          <w:p w14:paraId="7DD00FA6" w14:textId="77777777" w:rsidR="00C1563E" w:rsidRDefault="00C1563E">
            <w:pPr>
              <w:rPr>
                <w:rFonts w:ascii="宋体"/>
              </w:rPr>
            </w:pPr>
          </w:p>
        </w:tc>
        <w:tc>
          <w:tcPr>
            <w:tcW w:w="0" w:type="auto"/>
            <w:shd w:val="clear" w:color="auto" w:fill="auto"/>
          </w:tcPr>
          <w:p w14:paraId="7DD00FA7" w14:textId="77777777" w:rsidR="00C1563E" w:rsidRDefault="00C1563E">
            <w:pPr>
              <w:rPr>
                <w:rFonts w:ascii="宋体"/>
              </w:rPr>
            </w:pPr>
          </w:p>
        </w:tc>
        <w:tc>
          <w:tcPr>
            <w:tcW w:w="0" w:type="auto"/>
            <w:shd w:val="clear" w:color="auto" w:fill="auto"/>
          </w:tcPr>
          <w:p w14:paraId="7DD00FA8" w14:textId="77777777" w:rsidR="00C1563E" w:rsidRDefault="00C1563E">
            <w:pPr>
              <w:rPr>
                <w:rFonts w:ascii="宋体"/>
              </w:rPr>
            </w:pPr>
          </w:p>
        </w:tc>
        <w:tc>
          <w:tcPr>
            <w:tcW w:w="0" w:type="auto"/>
            <w:shd w:val="clear" w:color="auto" w:fill="auto"/>
          </w:tcPr>
          <w:p w14:paraId="7DD00FA9" w14:textId="77777777" w:rsidR="00C1563E" w:rsidRDefault="00C1563E">
            <w:pPr>
              <w:rPr>
                <w:rFonts w:ascii="宋体"/>
              </w:rPr>
            </w:pPr>
          </w:p>
        </w:tc>
        <w:tc>
          <w:tcPr>
            <w:tcW w:w="0" w:type="auto"/>
            <w:shd w:val="clear" w:color="auto" w:fill="auto"/>
          </w:tcPr>
          <w:p w14:paraId="7DD00FAA" w14:textId="77777777" w:rsidR="00C1563E" w:rsidRDefault="00C1563E">
            <w:pPr>
              <w:rPr>
                <w:rFonts w:ascii="宋体"/>
              </w:rPr>
            </w:pPr>
          </w:p>
        </w:tc>
        <w:tc>
          <w:tcPr>
            <w:tcW w:w="0" w:type="auto"/>
            <w:shd w:val="clear" w:color="auto" w:fill="auto"/>
          </w:tcPr>
          <w:p w14:paraId="7DD00FAB" w14:textId="77777777" w:rsidR="00C1563E" w:rsidRDefault="00C1563E">
            <w:pPr>
              <w:rPr>
                <w:rFonts w:ascii="宋体"/>
              </w:rPr>
            </w:pPr>
          </w:p>
        </w:tc>
        <w:tc>
          <w:tcPr>
            <w:tcW w:w="0" w:type="auto"/>
            <w:shd w:val="clear" w:color="auto" w:fill="auto"/>
          </w:tcPr>
          <w:p w14:paraId="7DD00FAC" w14:textId="77777777" w:rsidR="00C1563E" w:rsidRDefault="00C1563E">
            <w:pPr>
              <w:rPr>
                <w:rFonts w:ascii="宋体"/>
              </w:rPr>
            </w:pPr>
          </w:p>
        </w:tc>
        <w:tc>
          <w:tcPr>
            <w:tcW w:w="0" w:type="auto"/>
            <w:shd w:val="clear" w:color="auto" w:fill="auto"/>
          </w:tcPr>
          <w:p w14:paraId="7DD00FAD" w14:textId="77777777" w:rsidR="00C1563E" w:rsidRDefault="00C1563E">
            <w:pPr>
              <w:rPr>
                <w:rFonts w:ascii="宋体"/>
              </w:rPr>
            </w:pPr>
          </w:p>
        </w:tc>
        <w:tc>
          <w:tcPr>
            <w:tcW w:w="0" w:type="auto"/>
            <w:shd w:val="clear" w:color="auto" w:fill="auto"/>
          </w:tcPr>
          <w:p w14:paraId="7DD00FAE" w14:textId="77777777" w:rsidR="00C1563E" w:rsidRDefault="00C1563E">
            <w:pPr>
              <w:rPr>
                <w:rFonts w:ascii="宋体"/>
              </w:rPr>
            </w:pPr>
          </w:p>
        </w:tc>
        <w:tc>
          <w:tcPr>
            <w:tcW w:w="0" w:type="auto"/>
            <w:shd w:val="clear" w:color="auto" w:fill="auto"/>
          </w:tcPr>
          <w:p w14:paraId="7DD00FAF" w14:textId="77777777" w:rsidR="00C1563E" w:rsidRDefault="00C1563E">
            <w:pPr>
              <w:rPr>
                <w:rFonts w:ascii="宋体"/>
              </w:rPr>
            </w:pPr>
          </w:p>
        </w:tc>
      </w:tr>
      <w:tr w:rsidR="00C1563E" w14:paraId="7DD00FBF" w14:textId="77777777">
        <w:tc>
          <w:tcPr>
            <w:tcW w:w="0" w:type="auto"/>
            <w:gridSpan w:val="3"/>
            <w:shd w:val="clear" w:color="auto" w:fill="CCEEFF"/>
            <w:tcMar>
              <w:top w:w="40" w:type="dxa"/>
              <w:left w:w="155" w:type="dxa"/>
              <w:bottom w:w="40" w:type="dxa"/>
              <w:right w:w="20" w:type="dxa"/>
            </w:tcMar>
            <w:vAlign w:val="bottom"/>
          </w:tcPr>
          <w:p w14:paraId="7DD00FB1" w14:textId="77777777" w:rsidR="00C1563E" w:rsidRDefault="000B648B">
            <w:pPr>
              <w:textAlignment w:val="bottom"/>
            </w:pPr>
            <w:r>
              <w:rPr>
                <w:rFonts w:ascii="Times New Roman" w:eastAsia="宋体" w:hAnsi="Times New Roman"/>
                <w:color w:val="000000"/>
                <w:sz w:val="20"/>
                <w:szCs w:val="20"/>
              </w:rPr>
              <w:t>Dell Technologies Common Stock</w:t>
            </w:r>
          </w:p>
        </w:tc>
        <w:tc>
          <w:tcPr>
            <w:tcW w:w="0" w:type="auto"/>
            <w:shd w:val="clear" w:color="auto" w:fill="auto"/>
          </w:tcPr>
          <w:p w14:paraId="7DD00FB2" w14:textId="77777777" w:rsidR="00C1563E" w:rsidRDefault="00C1563E">
            <w:pPr>
              <w:rPr>
                <w:rFonts w:ascii="宋体"/>
                <w:vanish/>
              </w:rPr>
            </w:pPr>
          </w:p>
        </w:tc>
        <w:tc>
          <w:tcPr>
            <w:tcW w:w="0" w:type="auto"/>
            <w:shd w:val="clear" w:color="auto" w:fill="auto"/>
          </w:tcPr>
          <w:p w14:paraId="7DD00FB3" w14:textId="77777777" w:rsidR="00C1563E" w:rsidRDefault="00C1563E">
            <w:pPr>
              <w:rPr>
                <w:rFonts w:ascii="宋体"/>
                <w:vanish/>
              </w:rPr>
            </w:pPr>
          </w:p>
        </w:tc>
        <w:tc>
          <w:tcPr>
            <w:tcW w:w="0" w:type="auto"/>
            <w:shd w:val="clear" w:color="auto" w:fill="auto"/>
          </w:tcPr>
          <w:p w14:paraId="7DD00FB4" w14:textId="77777777" w:rsidR="00C1563E" w:rsidRDefault="00C1563E">
            <w:pPr>
              <w:rPr>
                <w:rFonts w:ascii="宋体"/>
                <w:vanish/>
              </w:rPr>
            </w:pPr>
          </w:p>
        </w:tc>
        <w:tc>
          <w:tcPr>
            <w:tcW w:w="0" w:type="auto"/>
            <w:shd w:val="clear" w:color="auto" w:fill="auto"/>
          </w:tcPr>
          <w:p w14:paraId="7DD00FB5"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D00FB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FB7" w14:textId="77777777" w:rsidR="00C1563E" w:rsidRDefault="000B648B">
            <w:pPr>
              <w:jc w:val="right"/>
              <w:textAlignment w:val="bottom"/>
            </w:pPr>
            <w:r>
              <w:rPr>
                <w:rFonts w:ascii="Times New Roman" w:eastAsia="宋体" w:hAnsi="Times New Roman"/>
                <w:color w:val="000000"/>
                <w:sz w:val="20"/>
                <w:szCs w:val="20"/>
              </w:rPr>
              <w:t>4.22 </w:t>
            </w:r>
          </w:p>
        </w:tc>
        <w:tc>
          <w:tcPr>
            <w:tcW w:w="0" w:type="auto"/>
            <w:shd w:val="clear" w:color="auto" w:fill="CCEEFF"/>
            <w:tcMar>
              <w:top w:w="40" w:type="dxa"/>
              <w:left w:w="0" w:type="dxa"/>
              <w:bottom w:w="40" w:type="dxa"/>
              <w:right w:w="20" w:type="dxa"/>
            </w:tcMar>
            <w:vAlign w:val="bottom"/>
          </w:tcPr>
          <w:p w14:paraId="7DD00F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FB9"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FB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FBB" w14:textId="77777777" w:rsidR="00C1563E" w:rsidRDefault="000B648B">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7DD00FB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0FB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BE" w14:textId="77777777" w:rsidR="00C1563E" w:rsidRDefault="00C1563E">
            <w:pPr>
              <w:rPr>
                <w:rFonts w:ascii="宋体"/>
              </w:rPr>
            </w:pPr>
          </w:p>
        </w:tc>
      </w:tr>
      <w:tr w:rsidR="00C1563E" w14:paraId="7DD00FCC" w14:textId="77777777">
        <w:tc>
          <w:tcPr>
            <w:tcW w:w="0" w:type="auto"/>
            <w:gridSpan w:val="3"/>
            <w:shd w:val="clear" w:color="auto" w:fill="FFFFFF"/>
            <w:tcMar>
              <w:top w:w="40" w:type="dxa"/>
              <w:left w:w="155" w:type="dxa"/>
              <w:bottom w:w="40" w:type="dxa"/>
              <w:right w:w="20" w:type="dxa"/>
            </w:tcMar>
            <w:vAlign w:val="bottom"/>
          </w:tcPr>
          <w:p w14:paraId="7DD00FC0" w14:textId="77777777" w:rsidR="00C1563E" w:rsidRDefault="000B648B">
            <w:pPr>
              <w:textAlignment w:val="bottom"/>
            </w:pPr>
            <w:r>
              <w:rPr>
                <w:rFonts w:ascii="Times New Roman" w:eastAsia="宋体" w:hAnsi="Times New Roman"/>
                <w:color w:val="000000"/>
                <w:sz w:val="20"/>
                <w:szCs w:val="20"/>
              </w:rPr>
              <w:t xml:space="preserve">Class </w:t>
            </w:r>
            <w:r>
              <w:rPr>
                <w:rFonts w:ascii="Times New Roman" w:eastAsia="宋体" w:hAnsi="Times New Roman"/>
                <w:color w:val="000000"/>
                <w:sz w:val="20"/>
                <w:szCs w:val="20"/>
              </w:rPr>
              <w:t>V Common Stock</w:t>
            </w:r>
          </w:p>
        </w:tc>
        <w:tc>
          <w:tcPr>
            <w:tcW w:w="0" w:type="auto"/>
            <w:shd w:val="clear" w:color="auto" w:fill="auto"/>
          </w:tcPr>
          <w:p w14:paraId="7DD00FC1" w14:textId="77777777" w:rsidR="00C1563E" w:rsidRDefault="00C1563E">
            <w:pPr>
              <w:rPr>
                <w:rFonts w:ascii="宋体"/>
                <w:vanish/>
              </w:rPr>
            </w:pPr>
          </w:p>
        </w:tc>
        <w:tc>
          <w:tcPr>
            <w:tcW w:w="0" w:type="auto"/>
            <w:shd w:val="clear" w:color="auto" w:fill="auto"/>
          </w:tcPr>
          <w:p w14:paraId="7DD00FC2" w14:textId="77777777" w:rsidR="00C1563E" w:rsidRDefault="00C1563E">
            <w:pPr>
              <w:rPr>
                <w:rFonts w:ascii="宋体"/>
                <w:vanish/>
              </w:rPr>
            </w:pPr>
          </w:p>
        </w:tc>
        <w:tc>
          <w:tcPr>
            <w:tcW w:w="0" w:type="auto"/>
            <w:shd w:val="clear" w:color="auto" w:fill="auto"/>
          </w:tcPr>
          <w:p w14:paraId="7DD00FC3" w14:textId="77777777" w:rsidR="00C1563E" w:rsidRDefault="00C1563E">
            <w:pPr>
              <w:rPr>
                <w:rFonts w:ascii="宋体"/>
                <w:vanish/>
              </w:rPr>
            </w:pPr>
          </w:p>
        </w:tc>
        <w:tc>
          <w:tcPr>
            <w:tcW w:w="0" w:type="auto"/>
            <w:shd w:val="clear" w:color="auto" w:fill="auto"/>
          </w:tcPr>
          <w:p w14:paraId="7DD00FC4"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D00FC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C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C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0FC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0FC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0FCA" w14:textId="77777777" w:rsidR="00C1563E" w:rsidRDefault="000B648B">
            <w:pPr>
              <w:jc w:val="right"/>
              <w:textAlignment w:val="bottom"/>
            </w:pPr>
            <w:r>
              <w:rPr>
                <w:rFonts w:ascii="Times New Roman" w:eastAsia="宋体" w:hAnsi="Times New Roman"/>
                <w:color w:val="000000"/>
                <w:sz w:val="20"/>
                <w:szCs w:val="20"/>
              </w:rPr>
              <w:t>5.91 </w:t>
            </w:r>
          </w:p>
        </w:tc>
        <w:tc>
          <w:tcPr>
            <w:tcW w:w="0" w:type="auto"/>
            <w:shd w:val="clear" w:color="auto" w:fill="FFFFFF"/>
            <w:tcMar>
              <w:top w:w="40" w:type="dxa"/>
              <w:left w:w="0" w:type="dxa"/>
              <w:bottom w:w="40" w:type="dxa"/>
              <w:right w:w="20" w:type="dxa"/>
            </w:tcMar>
            <w:vAlign w:val="bottom"/>
          </w:tcPr>
          <w:p w14:paraId="7DD00FCB" w14:textId="77777777" w:rsidR="00C1563E" w:rsidRDefault="00C1563E">
            <w:pPr>
              <w:jc w:val="right"/>
              <w:rPr>
                <w:rFonts w:ascii="宋体"/>
              </w:rPr>
            </w:pPr>
          </w:p>
        </w:tc>
      </w:tr>
      <w:tr w:rsidR="00C1563E" w14:paraId="7DD00FD9" w14:textId="77777777">
        <w:tc>
          <w:tcPr>
            <w:tcW w:w="0" w:type="auto"/>
            <w:gridSpan w:val="3"/>
            <w:shd w:val="clear" w:color="auto" w:fill="CCEEFF"/>
            <w:tcMar>
              <w:top w:w="40" w:type="dxa"/>
              <w:left w:w="155" w:type="dxa"/>
              <w:bottom w:w="40" w:type="dxa"/>
              <w:right w:w="20" w:type="dxa"/>
            </w:tcMar>
            <w:vAlign w:val="bottom"/>
          </w:tcPr>
          <w:p w14:paraId="7DD00FCD" w14:textId="77777777" w:rsidR="00C1563E" w:rsidRDefault="000B648B">
            <w:pPr>
              <w:textAlignment w:val="bottom"/>
            </w:pPr>
            <w:r>
              <w:rPr>
                <w:rFonts w:ascii="Times New Roman" w:eastAsia="宋体" w:hAnsi="Times New Roman"/>
                <w:color w:val="000000"/>
                <w:sz w:val="20"/>
                <w:szCs w:val="20"/>
              </w:rPr>
              <w:t>DHI Group</w:t>
            </w:r>
          </w:p>
        </w:tc>
        <w:tc>
          <w:tcPr>
            <w:tcW w:w="0" w:type="auto"/>
            <w:shd w:val="clear" w:color="auto" w:fill="auto"/>
          </w:tcPr>
          <w:p w14:paraId="7DD00FCE" w14:textId="77777777" w:rsidR="00C1563E" w:rsidRDefault="00C1563E">
            <w:pPr>
              <w:rPr>
                <w:rFonts w:ascii="宋体"/>
                <w:vanish/>
              </w:rPr>
            </w:pPr>
          </w:p>
        </w:tc>
        <w:tc>
          <w:tcPr>
            <w:tcW w:w="0" w:type="auto"/>
            <w:shd w:val="clear" w:color="auto" w:fill="auto"/>
          </w:tcPr>
          <w:p w14:paraId="7DD00FCF" w14:textId="77777777" w:rsidR="00C1563E" w:rsidRDefault="00C1563E">
            <w:pPr>
              <w:rPr>
                <w:rFonts w:ascii="宋体"/>
                <w:vanish/>
              </w:rPr>
            </w:pPr>
          </w:p>
        </w:tc>
        <w:tc>
          <w:tcPr>
            <w:tcW w:w="0" w:type="auto"/>
            <w:shd w:val="clear" w:color="auto" w:fill="auto"/>
          </w:tcPr>
          <w:p w14:paraId="7DD00FD0" w14:textId="77777777" w:rsidR="00C1563E" w:rsidRDefault="00C1563E">
            <w:pPr>
              <w:rPr>
                <w:rFonts w:ascii="宋体"/>
                <w:vanish/>
              </w:rPr>
            </w:pPr>
          </w:p>
        </w:tc>
        <w:tc>
          <w:tcPr>
            <w:tcW w:w="0" w:type="auto"/>
            <w:shd w:val="clear" w:color="auto" w:fill="auto"/>
          </w:tcPr>
          <w:p w14:paraId="7DD00FD1"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0FD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D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D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0FD5"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0FD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0FD7" w14:textId="77777777" w:rsidR="00C1563E" w:rsidRDefault="000B648B">
            <w:pPr>
              <w:jc w:val="right"/>
              <w:textAlignment w:val="bottom"/>
            </w:pPr>
            <w:r>
              <w:rPr>
                <w:rFonts w:ascii="Times New Roman" w:eastAsia="宋体" w:hAnsi="Times New Roman"/>
                <w:color w:val="000000"/>
                <w:sz w:val="20"/>
                <w:szCs w:val="20"/>
              </w:rPr>
              <w:t>(6.04)</w:t>
            </w:r>
          </w:p>
        </w:tc>
        <w:tc>
          <w:tcPr>
            <w:tcW w:w="0" w:type="auto"/>
            <w:shd w:val="clear" w:color="auto" w:fill="CCEEFF"/>
            <w:tcMar>
              <w:top w:w="40" w:type="dxa"/>
              <w:left w:w="0" w:type="dxa"/>
              <w:bottom w:w="40" w:type="dxa"/>
              <w:right w:w="20" w:type="dxa"/>
            </w:tcMar>
            <w:vAlign w:val="bottom"/>
          </w:tcPr>
          <w:p w14:paraId="7DD00FD8" w14:textId="77777777" w:rsidR="00C1563E" w:rsidRDefault="00C1563E">
            <w:pPr>
              <w:jc w:val="right"/>
              <w:rPr>
                <w:rFonts w:ascii="宋体"/>
              </w:rPr>
            </w:pPr>
          </w:p>
        </w:tc>
      </w:tr>
    </w:tbl>
    <w:p w14:paraId="7DD00FDA" w14:textId="77777777" w:rsidR="00C1563E" w:rsidRDefault="00C1563E"/>
    <w:p w14:paraId="7DD00FDB" w14:textId="77777777" w:rsidR="00C1563E" w:rsidRDefault="00C1563E">
      <w:pPr>
        <w:jc w:val="center"/>
      </w:pPr>
    </w:p>
    <w:p w14:paraId="7DD00FDC" w14:textId="77777777" w:rsidR="00C1563E" w:rsidRDefault="000B648B">
      <w:pPr>
        <w:jc w:val="center"/>
      </w:pPr>
      <w:r>
        <w:rPr>
          <w:rFonts w:ascii="Times New Roman" w:eastAsia="宋体" w:hAnsi="Times New Roman"/>
          <w:color w:val="000000"/>
          <w:sz w:val="20"/>
          <w:szCs w:val="20"/>
        </w:rPr>
        <w:t>140</w:t>
      </w:r>
    </w:p>
    <w:p w14:paraId="7DD00FDD" w14:textId="77777777" w:rsidR="00C1563E" w:rsidRDefault="00C1563E">
      <w:pPr>
        <w:jc w:val="center"/>
      </w:pPr>
    </w:p>
    <w:p w14:paraId="7DD00FDE" w14:textId="77777777" w:rsidR="00C1563E" w:rsidRDefault="000B648B">
      <w:r>
        <w:pict w14:anchorId="7DD025F6">
          <v:rect id="_x0000_i1164" style="width:415.3pt;height:1.5pt" o:hralign="center" o:hrstd="t" o:hr="t" fillcolor="#a0a0a0" stroked="f"/>
        </w:pict>
      </w:r>
    </w:p>
    <w:p w14:paraId="7DD00FDF" w14:textId="77777777" w:rsidR="00C1563E" w:rsidRDefault="000B648B">
      <w:hyperlink r:id="rId323" w:anchor="i418e32e4a35149ffbf7d3a25d66881b8_10" w:history="1">
        <w:r>
          <w:rPr>
            <w:rStyle w:val="a5"/>
            <w:rFonts w:ascii="Times New Roman" w:eastAsia="宋体" w:hAnsi="Times New Roman"/>
            <w:sz w:val="20"/>
            <w:szCs w:val="20"/>
          </w:rPr>
          <w:t>Table of Contents</w:t>
        </w:r>
      </w:hyperlink>
    </w:p>
    <w:p w14:paraId="7DD00FE0" w14:textId="77777777" w:rsidR="00C1563E" w:rsidRDefault="000B648B">
      <w:pPr>
        <w:spacing w:after="120"/>
      </w:pPr>
      <w:r>
        <w:rPr>
          <w:rFonts w:ascii="Times New Roman" w:eastAsia="宋体" w:hAnsi="Times New Roman"/>
          <w:color w:val="000000"/>
          <w:sz w:val="20"/>
          <w:szCs w:val="20"/>
        </w:rPr>
        <w:t xml:space="preserve">The following table presents the computation of basic and diluted earnings per </w:t>
      </w:r>
      <w:r>
        <w:rPr>
          <w:rFonts w:ascii="Times New Roman" w:eastAsia="宋体" w:hAnsi="Times New Roman"/>
          <w:color w:val="000000"/>
          <w:sz w:val="20"/>
          <w:szCs w:val="20"/>
        </w:rPr>
        <w:t>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351"/>
        <w:gridCol w:w="38"/>
        <w:gridCol w:w="121"/>
        <w:gridCol w:w="1188"/>
        <w:gridCol w:w="37"/>
        <w:gridCol w:w="36"/>
        <w:gridCol w:w="36"/>
        <w:gridCol w:w="36"/>
        <w:gridCol w:w="121"/>
        <w:gridCol w:w="1188"/>
        <w:gridCol w:w="37"/>
        <w:gridCol w:w="36"/>
        <w:gridCol w:w="36"/>
        <w:gridCol w:w="36"/>
      </w:tblGrid>
      <w:tr w:rsidR="00C1563E" w14:paraId="7DD00FF0" w14:textId="77777777">
        <w:tc>
          <w:tcPr>
            <w:tcW w:w="50" w:type="pct"/>
            <w:shd w:val="clear" w:color="auto" w:fill="auto"/>
          </w:tcPr>
          <w:p w14:paraId="7DD00FE1" w14:textId="77777777" w:rsidR="00C1563E" w:rsidRDefault="00C1563E">
            <w:pPr>
              <w:rPr>
                <w:rFonts w:ascii="宋体"/>
              </w:rPr>
            </w:pPr>
          </w:p>
        </w:tc>
        <w:tc>
          <w:tcPr>
            <w:tcW w:w="3292" w:type="pct"/>
            <w:shd w:val="clear" w:color="auto" w:fill="auto"/>
          </w:tcPr>
          <w:p w14:paraId="7DD00FE2" w14:textId="77777777" w:rsidR="00C1563E" w:rsidRDefault="00C1563E">
            <w:pPr>
              <w:rPr>
                <w:rFonts w:ascii="宋体"/>
              </w:rPr>
            </w:pPr>
          </w:p>
        </w:tc>
        <w:tc>
          <w:tcPr>
            <w:tcW w:w="5" w:type="pct"/>
            <w:shd w:val="clear" w:color="auto" w:fill="auto"/>
          </w:tcPr>
          <w:p w14:paraId="7DD00FE3" w14:textId="77777777" w:rsidR="00C1563E" w:rsidRDefault="00C1563E">
            <w:pPr>
              <w:rPr>
                <w:rFonts w:ascii="宋体"/>
              </w:rPr>
            </w:pPr>
          </w:p>
        </w:tc>
        <w:tc>
          <w:tcPr>
            <w:tcW w:w="50" w:type="pct"/>
            <w:shd w:val="clear" w:color="auto" w:fill="auto"/>
          </w:tcPr>
          <w:p w14:paraId="7DD00FE4" w14:textId="77777777" w:rsidR="00C1563E" w:rsidRDefault="00C1563E">
            <w:pPr>
              <w:rPr>
                <w:rFonts w:ascii="宋体"/>
              </w:rPr>
            </w:pPr>
          </w:p>
        </w:tc>
        <w:tc>
          <w:tcPr>
            <w:tcW w:w="756" w:type="pct"/>
            <w:shd w:val="clear" w:color="auto" w:fill="auto"/>
          </w:tcPr>
          <w:p w14:paraId="7DD00FE5" w14:textId="77777777" w:rsidR="00C1563E" w:rsidRDefault="00C1563E">
            <w:pPr>
              <w:rPr>
                <w:rFonts w:ascii="宋体"/>
              </w:rPr>
            </w:pPr>
          </w:p>
        </w:tc>
        <w:tc>
          <w:tcPr>
            <w:tcW w:w="5" w:type="pct"/>
            <w:shd w:val="clear" w:color="auto" w:fill="auto"/>
          </w:tcPr>
          <w:p w14:paraId="7DD00FE6" w14:textId="77777777" w:rsidR="00C1563E" w:rsidRDefault="00C1563E">
            <w:pPr>
              <w:rPr>
                <w:rFonts w:ascii="宋体"/>
              </w:rPr>
            </w:pPr>
          </w:p>
        </w:tc>
        <w:tc>
          <w:tcPr>
            <w:tcW w:w="5" w:type="pct"/>
            <w:shd w:val="clear" w:color="auto" w:fill="auto"/>
          </w:tcPr>
          <w:p w14:paraId="7DD00FE7" w14:textId="77777777" w:rsidR="00C1563E" w:rsidRDefault="00C1563E">
            <w:pPr>
              <w:rPr>
                <w:rFonts w:ascii="宋体"/>
              </w:rPr>
            </w:pPr>
          </w:p>
        </w:tc>
        <w:tc>
          <w:tcPr>
            <w:tcW w:w="19" w:type="pct"/>
            <w:shd w:val="clear" w:color="auto" w:fill="auto"/>
          </w:tcPr>
          <w:p w14:paraId="7DD00FE8" w14:textId="77777777" w:rsidR="00C1563E" w:rsidRDefault="00C1563E">
            <w:pPr>
              <w:rPr>
                <w:rFonts w:ascii="宋体"/>
              </w:rPr>
            </w:pPr>
          </w:p>
        </w:tc>
        <w:tc>
          <w:tcPr>
            <w:tcW w:w="5" w:type="pct"/>
            <w:shd w:val="clear" w:color="auto" w:fill="auto"/>
          </w:tcPr>
          <w:p w14:paraId="7DD00FE9" w14:textId="77777777" w:rsidR="00C1563E" w:rsidRDefault="00C1563E">
            <w:pPr>
              <w:rPr>
                <w:rFonts w:ascii="宋体"/>
              </w:rPr>
            </w:pPr>
          </w:p>
        </w:tc>
        <w:tc>
          <w:tcPr>
            <w:tcW w:w="50" w:type="pct"/>
            <w:shd w:val="clear" w:color="auto" w:fill="auto"/>
          </w:tcPr>
          <w:p w14:paraId="7DD00FEA" w14:textId="77777777" w:rsidR="00C1563E" w:rsidRDefault="00C1563E">
            <w:pPr>
              <w:rPr>
                <w:rFonts w:ascii="宋体"/>
              </w:rPr>
            </w:pPr>
          </w:p>
        </w:tc>
        <w:tc>
          <w:tcPr>
            <w:tcW w:w="756" w:type="pct"/>
            <w:shd w:val="clear" w:color="auto" w:fill="auto"/>
          </w:tcPr>
          <w:p w14:paraId="7DD00FEB" w14:textId="77777777" w:rsidR="00C1563E" w:rsidRDefault="00C1563E">
            <w:pPr>
              <w:rPr>
                <w:rFonts w:ascii="宋体"/>
              </w:rPr>
            </w:pPr>
          </w:p>
        </w:tc>
        <w:tc>
          <w:tcPr>
            <w:tcW w:w="5" w:type="pct"/>
            <w:shd w:val="clear" w:color="auto" w:fill="auto"/>
          </w:tcPr>
          <w:p w14:paraId="7DD00FEC" w14:textId="77777777" w:rsidR="00C1563E" w:rsidRDefault="00C1563E">
            <w:pPr>
              <w:rPr>
                <w:rFonts w:ascii="宋体"/>
              </w:rPr>
            </w:pPr>
          </w:p>
        </w:tc>
        <w:tc>
          <w:tcPr>
            <w:tcW w:w="0" w:type="auto"/>
            <w:shd w:val="clear" w:color="auto" w:fill="auto"/>
          </w:tcPr>
          <w:p w14:paraId="7DD00FED" w14:textId="77777777" w:rsidR="00C1563E" w:rsidRDefault="00C1563E">
            <w:pPr>
              <w:rPr>
                <w:rFonts w:ascii="宋体"/>
                <w:vanish/>
              </w:rPr>
            </w:pPr>
          </w:p>
        </w:tc>
        <w:tc>
          <w:tcPr>
            <w:tcW w:w="0" w:type="auto"/>
            <w:shd w:val="clear" w:color="auto" w:fill="auto"/>
          </w:tcPr>
          <w:p w14:paraId="7DD00FEE" w14:textId="77777777" w:rsidR="00C1563E" w:rsidRDefault="00C1563E">
            <w:pPr>
              <w:rPr>
                <w:rFonts w:ascii="宋体"/>
                <w:vanish/>
              </w:rPr>
            </w:pPr>
          </w:p>
        </w:tc>
        <w:tc>
          <w:tcPr>
            <w:tcW w:w="0" w:type="auto"/>
            <w:shd w:val="clear" w:color="auto" w:fill="auto"/>
          </w:tcPr>
          <w:p w14:paraId="7DD00FEF" w14:textId="77777777" w:rsidR="00C1563E" w:rsidRDefault="00C1563E">
            <w:pPr>
              <w:rPr>
                <w:rFonts w:ascii="宋体"/>
                <w:vanish/>
              </w:rPr>
            </w:pPr>
          </w:p>
        </w:tc>
      </w:tr>
      <w:tr w:rsidR="00C1563E" w14:paraId="7DD00FF6" w14:textId="77777777">
        <w:tc>
          <w:tcPr>
            <w:tcW w:w="0" w:type="auto"/>
            <w:gridSpan w:val="3"/>
            <w:shd w:val="clear" w:color="auto" w:fill="auto"/>
            <w:tcMar>
              <w:top w:w="0" w:type="dxa"/>
              <w:left w:w="20" w:type="dxa"/>
              <w:bottom w:w="0" w:type="dxa"/>
              <w:right w:w="20" w:type="dxa"/>
            </w:tcMar>
          </w:tcPr>
          <w:p w14:paraId="7DD00FF1"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D00FF2"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D00FF3" w14:textId="77777777" w:rsidR="00C1563E" w:rsidRDefault="00C1563E">
            <w:pPr>
              <w:rPr>
                <w:rFonts w:ascii="宋体"/>
                <w:vanish/>
              </w:rPr>
            </w:pPr>
          </w:p>
        </w:tc>
        <w:tc>
          <w:tcPr>
            <w:tcW w:w="0" w:type="auto"/>
            <w:shd w:val="clear" w:color="auto" w:fill="auto"/>
          </w:tcPr>
          <w:p w14:paraId="7DD00FF4" w14:textId="77777777" w:rsidR="00C1563E" w:rsidRDefault="00C1563E">
            <w:pPr>
              <w:rPr>
                <w:rFonts w:ascii="宋体"/>
                <w:vanish/>
              </w:rPr>
            </w:pPr>
          </w:p>
        </w:tc>
        <w:tc>
          <w:tcPr>
            <w:tcW w:w="0" w:type="auto"/>
            <w:shd w:val="clear" w:color="auto" w:fill="auto"/>
          </w:tcPr>
          <w:p w14:paraId="7DD00FF5" w14:textId="77777777" w:rsidR="00C1563E" w:rsidRDefault="00C1563E">
            <w:pPr>
              <w:rPr>
                <w:rFonts w:ascii="宋体"/>
                <w:vanish/>
              </w:rPr>
            </w:pPr>
          </w:p>
        </w:tc>
      </w:tr>
      <w:tr w:rsidR="00C1563E" w14:paraId="7DD00FFE" w14:textId="77777777">
        <w:tc>
          <w:tcPr>
            <w:tcW w:w="0" w:type="auto"/>
            <w:gridSpan w:val="3"/>
            <w:shd w:val="clear" w:color="auto" w:fill="auto"/>
            <w:tcMar>
              <w:top w:w="0" w:type="dxa"/>
              <w:left w:w="20" w:type="dxa"/>
              <w:bottom w:w="0" w:type="dxa"/>
              <w:right w:w="20" w:type="dxa"/>
            </w:tcMar>
          </w:tcPr>
          <w:p w14:paraId="7DD00FF7"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0FF8"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0FF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0FFA"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shd w:val="clear" w:color="auto" w:fill="auto"/>
          </w:tcPr>
          <w:p w14:paraId="7DD00FFB" w14:textId="77777777" w:rsidR="00C1563E" w:rsidRDefault="00C1563E">
            <w:pPr>
              <w:rPr>
                <w:rFonts w:ascii="宋体"/>
                <w:vanish/>
              </w:rPr>
            </w:pPr>
          </w:p>
        </w:tc>
        <w:tc>
          <w:tcPr>
            <w:tcW w:w="0" w:type="auto"/>
            <w:shd w:val="clear" w:color="auto" w:fill="auto"/>
          </w:tcPr>
          <w:p w14:paraId="7DD00FFC" w14:textId="77777777" w:rsidR="00C1563E" w:rsidRDefault="00C1563E">
            <w:pPr>
              <w:rPr>
                <w:rFonts w:ascii="宋体"/>
                <w:vanish/>
              </w:rPr>
            </w:pPr>
          </w:p>
        </w:tc>
        <w:tc>
          <w:tcPr>
            <w:tcW w:w="0" w:type="auto"/>
            <w:shd w:val="clear" w:color="auto" w:fill="auto"/>
          </w:tcPr>
          <w:p w14:paraId="7DD00FFD" w14:textId="77777777" w:rsidR="00C1563E" w:rsidRDefault="00C1563E">
            <w:pPr>
              <w:rPr>
                <w:rFonts w:ascii="宋体"/>
                <w:vanish/>
              </w:rPr>
            </w:pPr>
          </w:p>
        </w:tc>
      </w:tr>
      <w:tr w:rsidR="00C1563E" w14:paraId="7DD01004" w14:textId="77777777">
        <w:tc>
          <w:tcPr>
            <w:tcW w:w="0" w:type="auto"/>
            <w:gridSpan w:val="3"/>
            <w:shd w:val="clear" w:color="auto" w:fill="FFFFFF"/>
            <w:tcMar>
              <w:top w:w="0" w:type="dxa"/>
              <w:left w:w="20" w:type="dxa"/>
              <w:bottom w:w="0" w:type="dxa"/>
              <w:right w:w="20" w:type="dxa"/>
            </w:tcMar>
          </w:tcPr>
          <w:p w14:paraId="7DD00FFF"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1000"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shd w:val="clear" w:color="auto" w:fill="auto"/>
          </w:tcPr>
          <w:p w14:paraId="7DD01001" w14:textId="77777777" w:rsidR="00C1563E" w:rsidRDefault="00C1563E">
            <w:pPr>
              <w:rPr>
                <w:rFonts w:ascii="宋体"/>
                <w:vanish/>
              </w:rPr>
            </w:pPr>
          </w:p>
        </w:tc>
        <w:tc>
          <w:tcPr>
            <w:tcW w:w="0" w:type="auto"/>
            <w:shd w:val="clear" w:color="auto" w:fill="auto"/>
          </w:tcPr>
          <w:p w14:paraId="7DD01002" w14:textId="77777777" w:rsidR="00C1563E" w:rsidRDefault="00C1563E">
            <w:pPr>
              <w:rPr>
                <w:rFonts w:ascii="宋体"/>
                <w:vanish/>
              </w:rPr>
            </w:pPr>
          </w:p>
        </w:tc>
        <w:tc>
          <w:tcPr>
            <w:tcW w:w="0" w:type="auto"/>
            <w:shd w:val="clear" w:color="auto" w:fill="auto"/>
          </w:tcPr>
          <w:p w14:paraId="7DD01003" w14:textId="77777777" w:rsidR="00C1563E" w:rsidRDefault="00C1563E">
            <w:pPr>
              <w:rPr>
                <w:rFonts w:ascii="宋体"/>
                <w:vanish/>
              </w:rPr>
            </w:pPr>
          </w:p>
        </w:tc>
      </w:tr>
      <w:tr w:rsidR="00C1563E" w14:paraId="7DD0100C" w14:textId="77777777">
        <w:tc>
          <w:tcPr>
            <w:tcW w:w="0" w:type="auto"/>
            <w:gridSpan w:val="3"/>
            <w:shd w:val="clear" w:color="auto" w:fill="CCEEFF"/>
            <w:tcMar>
              <w:top w:w="40" w:type="dxa"/>
              <w:left w:w="20" w:type="dxa"/>
              <w:bottom w:w="40" w:type="dxa"/>
              <w:right w:w="20" w:type="dxa"/>
            </w:tcMar>
            <w:vAlign w:val="bottom"/>
          </w:tcPr>
          <w:p w14:paraId="7DD01005" w14:textId="77777777" w:rsidR="00C1563E" w:rsidRDefault="000B648B">
            <w:pPr>
              <w:textAlignment w:val="bottom"/>
            </w:pPr>
            <w:r>
              <w:rPr>
                <w:rFonts w:ascii="Times New Roman" w:eastAsia="宋体" w:hAnsi="Times New Roman"/>
                <w:i/>
                <w:iCs/>
                <w:color w:val="000000"/>
                <w:sz w:val="20"/>
                <w:szCs w:val="20"/>
              </w:rPr>
              <w:t>Numerator: Dell Technologies Common Stock</w:t>
            </w:r>
          </w:p>
        </w:tc>
        <w:tc>
          <w:tcPr>
            <w:tcW w:w="0" w:type="auto"/>
            <w:gridSpan w:val="3"/>
            <w:shd w:val="clear" w:color="auto" w:fill="CCEEFF"/>
            <w:tcMar>
              <w:top w:w="0" w:type="dxa"/>
              <w:left w:w="20" w:type="dxa"/>
              <w:bottom w:w="0" w:type="dxa"/>
              <w:right w:w="20" w:type="dxa"/>
            </w:tcMar>
          </w:tcPr>
          <w:p w14:paraId="7DD0100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00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008" w14:textId="77777777" w:rsidR="00C1563E" w:rsidRDefault="00C1563E">
            <w:pPr>
              <w:rPr>
                <w:rFonts w:ascii="宋体"/>
              </w:rPr>
            </w:pPr>
          </w:p>
        </w:tc>
        <w:tc>
          <w:tcPr>
            <w:tcW w:w="0" w:type="auto"/>
            <w:shd w:val="clear" w:color="auto" w:fill="auto"/>
          </w:tcPr>
          <w:p w14:paraId="7DD01009" w14:textId="77777777" w:rsidR="00C1563E" w:rsidRDefault="00C1563E">
            <w:pPr>
              <w:rPr>
                <w:rFonts w:ascii="宋体"/>
                <w:vanish/>
              </w:rPr>
            </w:pPr>
          </w:p>
        </w:tc>
        <w:tc>
          <w:tcPr>
            <w:tcW w:w="0" w:type="auto"/>
            <w:shd w:val="clear" w:color="auto" w:fill="auto"/>
          </w:tcPr>
          <w:p w14:paraId="7DD0100A" w14:textId="77777777" w:rsidR="00C1563E" w:rsidRDefault="00C1563E">
            <w:pPr>
              <w:rPr>
                <w:rFonts w:ascii="宋体"/>
                <w:vanish/>
              </w:rPr>
            </w:pPr>
          </w:p>
        </w:tc>
        <w:tc>
          <w:tcPr>
            <w:tcW w:w="0" w:type="auto"/>
            <w:shd w:val="clear" w:color="auto" w:fill="auto"/>
          </w:tcPr>
          <w:p w14:paraId="7DD0100B" w14:textId="77777777" w:rsidR="00C1563E" w:rsidRDefault="00C1563E">
            <w:pPr>
              <w:rPr>
                <w:rFonts w:ascii="宋体"/>
                <w:vanish/>
              </w:rPr>
            </w:pPr>
          </w:p>
        </w:tc>
      </w:tr>
      <w:tr w:rsidR="00C1563E" w14:paraId="7DD01018" w14:textId="77777777">
        <w:tc>
          <w:tcPr>
            <w:tcW w:w="0" w:type="auto"/>
            <w:gridSpan w:val="3"/>
            <w:shd w:val="clear" w:color="auto" w:fill="FFFFFF"/>
            <w:tcMar>
              <w:top w:w="40" w:type="dxa"/>
              <w:left w:w="20" w:type="dxa"/>
              <w:bottom w:w="40" w:type="dxa"/>
              <w:right w:w="20" w:type="dxa"/>
            </w:tcMar>
            <w:vAlign w:val="bottom"/>
          </w:tcPr>
          <w:p w14:paraId="7DD0100D" w14:textId="77777777" w:rsidR="00C1563E" w:rsidRDefault="000B648B">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shd w:val="clear" w:color="auto" w:fill="FFFFFF"/>
            <w:tcMar>
              <w:top w:w="40" w:type="dxa"/>
              <w:left w:w="20" w:type="dxa"/>
              <w:bottom w:w="40" w:type="dxa"/>
              <w:right w:w="0" w:type="dxa"/>
            </w:tcMar>
            <w:vAlign w:val="bottom"/>
          </w:tcPr>
          <w:p w14:paraId="7DD0100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00F" w14:textId="77777777" w:rsidR="00C1563E" w:rsidRDefault="000B648B">
            <w:pPr>
              <w:jc w:val="right"/>
              <w:textAlignment w:val="bottom"/>
            </w:pPr>
            <w:r>
              <w:rPr>
                <w:rFonts w:ascii="Times New Roman" w:eastAsia="宋体" w:hAnsi="Times New Roman"/>
                <w:color w:val="000000"/>
                <w:sz w:val="20"/>
                <w:szCs w:val="20"/>
              </w:rPr>
              <w:t>3,250 </w:t>
            </w:r>
          </w:p>
        </w:tc>
        <w:tc>
          <w:tcPr>
            <w:tcW w:w="0" w:type="auto"/>
            <w:shd w:val="clear" w:color="auto" w:fill="FFFFFF"/>
            <w:tcMar>
              <w:top w:w="40" w:type="dxa"/>
              <w:left w:w="0" w:type="dxa"/>
              <w:bottom w:w="40" w:type="dxa"/>
              <w:right w:w="20" w:type="dxa"/>
            </w:tcMar>
            <w:vAlign w:val="bottom"/>
          </w:tcPr>
          <w:p w14:paraId="7DD0101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01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01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013" w14:textId="77777777" w:rsidR="00C1563E" w:rsidRDefault="000B648B">
            <w:pPr>
              <w:jc w:val="right"/>
              <w:textAlignment w:val="bottom"/>
            </w:pPr>
            <w:r>
              <w:rPr>
                <w:rFonts w:ascii="Times New Roman" w:eastAsia="宋体" w:hAnsi="Times New Roman"/>
                <w:color w:val="000000"/>
                <w:sz w:val="20"/>
                <w:szCs w:val="20"/>
              </w:rPr>
              <w:t>4,616 </w:t>
            </w:r>
          </w:p>
        </w:tc>
        <w:tc>
          <w:tcPr>
            <w:tcW w:w="0" w:type="auto"/>
            <w:shd w:val="clear" w:color="auto" w:fill="FFFFFF"/>
            <w:tcMar>
              <w:top w:w="40" w:type="dxa"/>
              <w:left w:w="0" w:type="dxa"/>
              <w:bottom w:w="40" w:type="dxa"/>
              <w:right w:w="20" w:type="dxa"/>
            </w:tcMar>
            <w:vAlign w:val="bottom"/>
          </w:tcPr>
          <w:p w14:paraId="7DD01014" w14:textId="77777777" w:rsidR="00C1563E" w:rsidRDefault="00C1563E">
            <w:pPr>
              <w:jc w:val="right"/>
              <w:rPr>
                <w:rFonts w:ascii="宋体"/>
              </w:rPr>
            </w:pPr>
          </w:p>
        </w:tc>
        <w:tc>
          <w:tcPr>
            <w:tcW w:w="0" w:type="auto"/>
            <w:shd w:val="clear" w:color="auto" w:fill="auto"/>
          </w:tcPr>
          <w:p w14:paraId="7DD01015" w14:textId="77777777" w:rsidR="00C1563E" w:rsidRDefault="00C1563E">
            <w:pPr>
              <w:rPr>
                <w:rFonts w:ascii="宋体"/>
                <w:vanish/>
              </w:rPr>
            </w:pPr>
          </w:p>
        </w:tc>
        <w:tc>
          <w:tcPr>
            <w:tcW w:w="0" w:type="auto"/>
            <w:shd w:val="clear" w:color="auto" w:fill="auto"/>
          </w:tcPr>
          <w:p w14:paraId="7DD01016" w14:textId="77777777" w:rsidR="00C1563E" w:rsidRDefault="00C1563E">
            <w:pPr>
              <w:rPr>
                <w:rFonts w:ascii="宋体"/>
                <w:vanish/>
              </w:rPr>
            </w:pPr>
          </w:p>
        </w:tc>
        <w:tc>
          <w:tcPr>
            <w:tcW w:w="0" w:type="auto"/>
            <w:shd w:val="clear" w:color="auto" w:fill="auto"/>
          </w:tcPr>
          <w:p w14:paraId="7DD01017" w14:textId="77777777" w:rsidR="00C1563E" w:rsidRDefault="00C1563E">
            <w:pPr>
              <w:rPr>
                <w:rFonts w:ascii="宋体"/>
                <w:vanish/>
              </w:rPr>
            </w:pPr>
          </w:p>
        </w:tc>
      </w:tr>
      <w:tr w:rsidR="00C1563E" w14:paraId="7DD01022" w14:textId="77777777">
        <w:tc>
          <w:tcPr>
            <w:tcW w:w="0" w:type="auto"/>
            <w:gridSpan w:val="3"/>
            <w:shd w:val="clear" w:color="auto" w:fill="CCEEFF"/>
            <w:tcMar>
              <w:top w:w="40" w:type="dxa"/>
              <w:left w:w="245" w:type="dxa"/>
              <w:bottom w:w="40" w:type="dxa"/>
              <w:right w:w="20" w:type="dxa"/>
            </w:tcMar>
            <w:vAlign w:val="bottom"/>
          </w:tcPr>
          <w:p w14:paraId="7DD01019" w14:textId="77777777" w:rsidR="00C1563E" w:rsidRDefault="000B648B">
            <w:pPr>
              <w:textAlignment w:val="bottom"/>
            </w:pPr>
            <w:r>
              <w:rPr>
                <w:rFonts w:ascii="Times New Roman" w:eastAsia="宋体" w:hAnsi="Times New Roman"/>
                <w:color w:val="000000"/>
                <w:sz w:val="20"/>
                <w:szCs w:val="20"/>
              </w:rPr>
              <w:t>Incremental dilution from VMware, Inc. attributable to Dell Technologies (a)</w:t>
            </w:r>
          </w:p>
        </w:tc>
        <w:tc>
          <w:tcPr>
            <w:tcW w:w="0" w:type="auto"/>
            <w:gridSpan w:val="2"/>
            <w:shd w:val="clear" w:color="auto" w:fill="CCEEFF"/>
            <w:tcMar>
              <w:top w:w="40" w:type="dxa"/>
              <w:left w:w="20" w:type="dxa"/>
              <w:bottom w:w="40" w:type="dxa"/>
              <w:right w:w="0" w:type="dxa"/>
            </w:tcMar>
            <w:vAlign w:val="bottom"/>
          </w:tcPr>
          <w:p w14:paraId="7DD0101A" w14:textId="77777777" w:rsidR="00C1563E" w:rsidRDefault="000B648B">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7DD0101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01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01D" w14:textId="77777777" w:rsidR="00C1563E" w:rsidRDefault="000B648B">
            <w:pPr>
              <w:jc w:val="right"/>
              <w:textAlignment w:val="bottom"/>
            </w:pPr>
            <w:r>
              <w:rPr>
                <w:rFonts w:ascii="Times New Roman" w:eastAsia="宋体" w:hAnsi="Times New Roman"/>
                <w:color w:val="000000"/>
                <w:sz w:val="20"/>
                <w:szCs w:val="20"/>
              </w:rPr>
              <w:t>(84)</w:t>
            </w:r>
          </w:p>
        </w:tc>
        <w:tc>
          <w:tcPr>
            <w:tcW w:w="0" w:type="auto"/>
            <w:shd w:val="clear" w:color="auto" w:fill="CCEEFF"/>
            <w:tcMar>
              <w:top w:w="40" w:type="dxa"/>
              <w:left w:w="0" w:type="dxa"/>
              <w:bottom w:w="40" w:type="dxa"/>
              <w:right w:w="20" w:type="dxa"/>
            </w:tcMar>
            <w:vAlign w:val="bottom"/>
          </w:tcPr>
          <w:p w14:paraId="7DD0101E" w14:textId="77777777" w:rsidR="00C1563E" w:rsidRDefault="00C1563E">
            <w:pPr>
              <w:jc w:val="right"/>
              <w:rPr>
                <w:rFonts w:ascii="宋体"/>
              </w:rPr>
            </w:pPr>
          </w:p>
        </w:tc>
        <w:tc>
          <w:tcPr>
            <w:tcW w:w="0" w:type="auto"/>
            <w:shd w:val="clear" w:color="auto" w:fill="auto"/>
          </w:tcPr>
          <w:p w14:paraId="7DD0101F" w14:textId="77777777" w:rsidR="00C1563E" w:rsidRDefault="00C1563E">
            <w:pPr>
              <w:rPr>
                <w:rFonts w:ascii="宋体"/>
                <w:vanish/>
              </w:rPr>
            </w:pPr>
          </w:p>
        </w:tc>
        <w:tc>
          <w:tcPr>
            <w:tcW w:w="0" w:type="auto"/>
            <w:shd w:val="clear" w:color="auto" w:fill="auto"/>
          </w:tcPr>
          <w:p w14:paraId="7DD01020" w14:textId="77777777" w:rsidR="00C1563E" w:rsidRDefault="00C1563E">
            <w:pPr>
              <w:rPr>
                <w:rFonts w:ascii="宋体"/>
                <w:vanish/>
              </w:rPr>
            </w:pPr>
          </w:p>
        </w:tc>
        <w:tc>
          <w:tcPr>
            <w:tcW w:w="0" w:type="auto"/>
            <w:shd w:val="clear" w:color="auto" w:fill="auto"/>
          </w:tcPr>
          <w:p w14:paraId="7DD01021" w14:textId="77777777" w:rsidR="00C1563E" w:rsidRDefault="00C1563E">
            <w:pPr>
              <w:rPr>
                <w:rFonts w:ascii="宋体"/>
                <w:vanish/>
              </w:rPr>
            </w:pPr>
          </w:p>
        </w:tc>
      </w:tr>
      <w:tr w:rsidR="00C1563E" w14:paraId="7DD0102E" w14:textId="77777777">
        <w:tc>
          <w:tcPr>
            <w:tcW w:w="0" w:type="auto"/>
            <w:gridSpan w:val="3"/>
            <w:shd w:val="clear" w:color="auto" w:fill="FFFFFF"/>
            <w:tcMar>
              <w:top w:w="40" w:type="dxa"/>
              <w:left w:w="20" w:type="dxa"/>
              <w:bottom w:w="40" w:type="dxa"/>
              <w:right w:w="20" w:type="dxa"/>
            </w:tcMar>
            <w:vAlign w:val="bottom"/>
          </w:tcPr>
          <w:p w14:paraId="7DD01023" w14:textId="77777777" w:rsidR="00C1563E" w:rsidRDefault="000B648B">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02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025" w14:textId="77777777" w:rsidR="00C1563E" w:rsidRDefault="000B648B">
            <w:pPr>
              <w:jc w:val="right"/>
              <w:textAlignment w:val="bottom"/>
            </w:pPr>
            <w:r>
              <w:rPr>
                <w:rFonts w:ascii="Times New Roman" w:eastAsia="宋体" w:hAnsi="Times New Roman"/>
                <w:color w:val="000000"/>
                <w:sz w:val="20"/>
                <w:szCs w:val="20"/>
              </w:rPr>
              <w:t>3,237 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02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027"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02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029" w14:textId="77777777" w:rsidR="00C1563E" w:rsidRDefault="000B648B">
            <w:pPr>
              <w:jc w:val="right"/>
              <w:textAlignment w:val="bottom"/>
            </w:pPr>
            <w:r>
              <w:rPr>
                <w:rFonts w:ascii="Times New Roman" w:eastAsia="宋体" w:hAnsi="Times New Roman"/>
                <w:color w:val="000000"/>
                <w:sz w:val="20"/>
                <w:szCs w:val="20"/>
              </w:rPr>
              <w:t>4,532 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02A" w14:textId="77777777" w:rsidR="00C1563E" w:rsidRDefault="00C1563E">
            <w:pPr>
              <w:jc w:val="right"/>
              <w:rPr>
                <w:rFonts w:ascii="宋体"/>
              </w:rPr>
            </w:pPr>
          </w:p>
        </w:tc>
        <w:tc>
          <w:tcPr>
            <w:tcW w:w="0" w:type="auto"/>
            <w:shd w:val="clear" w:color="auto" w:fill="auto"/>
          </w:tcPr>
          <w:p w14:paraId="7DD0102B" w14:textId="77777777" w:rsidR="00C1563E" w:rsidRDefault="00C1563E">
            <w:pPr>
              <w:rPr>
                <w:rFonts w:ascii="宋体"/>
                <w:vanish/>
              </w:rPr>
            </w:pPr>
          </w:p>
        </w:tc>
        <w:tc>
          <w:tcPr>
            <w:tcW w:w="0" w:type="auto"/>
            <w:shd w:val="clear" w:color="auto" w:fill="auto"/>
          </w:tcPr>
          <w:p w14:paraId="7DD0102C" w14:textId="77777777" w:rsidR="00C1563E" w:rsidRDefault="00C1563E">
            <w:pPr>
              <w:rPr>
                <w:rFonts w:ascii="宋体"/>
                <w:vanish/>
              </w:rPr>
            </w:pPr>
          </w:p>
        </w:tc>
        <w:tc>
          <w:tcPr>
            <w:tcW w:w="0" w:type="auto"/>
            <w:shd w:val="clear" w:color="auto" w:fill="auto"/>
          </w:tcPr>
          <w:p w14:paraId="7DD0102D" w14:textId="77777777" w:rsidR="00C1563E" w:rsidRDefault="00C1563E">
            <w:pPr>
              <w:rPr>
                <w:rFonts w:ascii="宋体"/>
                <w:vanish/>
              </w:rPr>
            </w:pPr>
          </w:p>
        </w:tc>
      </w:tr>
      <w:tr w:rsidR="00C1563E" w14:paraId="7DD01036" w14:textId="77777777">
        <w:trPr>
          <w:trHeight w:val="280"/>
        </w:trPr>
        <w:tc>
          <w:tcPr>
            <w:tcW w:w="0" w:type="auto"/>
            <w:gridSpan w:val="3"/>
            <w:shd w:val="clear" w:color="auto" w:fill="CCEEFF"/>
            <w:tcMar>
              <w:top w:w="0" w:type="dxa"/>
              <w:left w:w="20" w:type="dxa"/>
              <w:bottom w:w="0" w:type="dxa"/>
              <w:right w:w="20" w:type="dxa"/>
            </w:tcMar>
          </w:tcPr>
          <w:p w14:paraId="7DD0102F"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103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031"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1032" w14:textId="77777777" w:rsidR="00C1563E" w:rsidRDefault="00C1563E">
            <w:pPr>
              <w:rPr>
                <w:rFonts w:ascii="宋体"/>
              </w:rPr>
            </w:pPr>
          </w:p>
        </w:tc>
        <w:tc>
          <w:tcPr>
            <w:tcW w:w="0" w:type="auto"/>
            <w:shd w:val="clear" w:color="auto" w:fill="auto"/>
          </w:tcPr>
          <w:p w14:paraId="7DD01033" w14:textId="77777777" w:rsidR="00C1563E" w:rsidRDefault="00C1563E">
            <w:pPr>
              <w:rPr>
                <w:rFonts w:ascii="宋体"/>
                <w:vanish/>
              </w:rPr>
            </w:pPr>
          </w:p>
        </w:tc>
        <w:tc>
          <w:tcPr>
            <w:tcW w:w="0" w:type="auto"/>
            <w:shd w:val="clear" w:color="auto" w:fill="auto"/>
          </w:tcPr>
          <w:p w14:paraId="7DD01034" w14:textId="77777777" w:rsidR="00C1563E" w:rsidRDefault="00C1563E">
            <w:pPr>
              <w:rPr>
                <w:rFonts w:ascii="宋体"/>
                <w:vanish/>
              </w:rPr>
            </w:pPr>
          </w:p>
        </w:tc>
        <w:tc>
          <w:tcPr>
            <w:tcW w:w="0" w:type="auto"/>
            <w:shd w:val="clear" w:color="auto" w:fill="auto"/>
          </w:tcPr>
          <w:p w14:paraId="7DD01035" w14:textId="77777777" w:rsidR="00C1563E" w:rsidRDefault="00C1563E">
            <w:pPr>
              <w:rPr>
                <w:rFonts w:ascii="宋体"/>
                <w:vanish/>
              </w:rPr>
            </w:pPr>
          </w:p>
        </w:tc>
      </w:tr>
      <w:tr w:rsidR="00C1563E" w14:paraId="7DD0103E" w14:textId="77777777">
        <w:tc>
          <w:tcPr>
            <w:tcW w:w="0" w:type="auto"/>
            <w:gridSpan w:val="3"/>
            <w:shd w:val="clear" w:color="auto" w:fill="auto"/>
            <w:tcMar>
              <w:top w:w="40" w:type="dxa"/>
              <w:left w:w="20" w:type="dxa"/>
              <w:bottom w:w="40" w:type="dxa"/>
              <w:right w:w="20" w:type="dxa"/>
            </w:tcMar>
            <w:vAlign w:val="bottom"/>
          </w:tcPr>
          <w:p w14:paraId="7DD01037" w14:textId="77777777" w:rsidR="00C1563E" w:rsidRDefault="000B648B">
            <w:pPr>
              <w:textAlignment w:val="bottom"/>
            </w:pPr>
            <w:r>
              <w:rPr>
                <w:rFonts w:ascii="Times New Roman" w:eastAsia="宋体" w:hAnsi="Times New Roman"/>
                <w:i/>
                <w:iCs/>
                <w:color w:val="000000"/>
                <w:sz w:val="20"/>
                <w:szCs w:val="20"/>
              </w:rPr>
              <w:t>Denominator: Dell Technologies Common Stock weighted-average shares outstanding</w:t>
            </w:r>
          </w:p>
        </w:tc>
        <w:tc>
          <w:tcPr>
            <w:tcW w:w="0" w:type="auto"/>
            <w:gridSpan w:val="3"/>
            <w:shd w:val="clear" w:color="auto" w:fill="FFFFFF"/>
            <w:tcMar>
              <w:top w:w="0" w:type="dxa"/>
              <w:left w:w="20" w:type="dxa"/>
              <w:bottom w:w="0" w:type="dxa"/>
              <w:right w:w="20" w:type="dxa"/>
            </w:tcMar>
          </w:tcPr>
          <w:p w14:paraId="7DD0103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03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03A" w14:textId="77777777" w:rsidR="00C1563E" w:rsidRDefault="00C1563E">
            <w:pPr>
              <w:rPr>
                <w:rFonts w:ascii="宋体"/>
              </w:rPr>
            </w:pPr>
          </w:p>
        </w:tc>
        <w:tc>
          <w:tcPr>
            <w:tcW w:w="0" w:type="auto"/>
            <w:shd w:val="clear" w:color="auto" w:fill="auto"/>
          </w:tcPr>
          <w:p w14:paraId="7DD0103B" w14:textId="77777777" w:rsidR="00C1563E" w:rsidRDefault="00C1563E">
            <w:pPr>
              <w:rPr>
                <w:rFonts w:ascii="宋体"/>
                <w:vanish/>
              </w:rPr>
            </w:pPr>
          </w:p>
        </w:tc>
        <w:tc>
          <w:tcPr>
            <w:tcW w:w="0" w:type="auto"/>
            <w:shd w:val="clear" w:color="auto" w:fill="auto"/>
          </w:tcPr>
          <w:p w14:paraId="7DD0103C" w14:textId="77777777" w:rsidR="00C1563E" w:rsidRDefault="00C1563E">
            <w:pPr>
              <w:rPr>
                <w:rFonts w:ascii="宋体"/>
                <w:vanish/>
              </w:rPr>
            </w:pPr>
          </w:p>
        </w:tc>
        <w:tc>
          <w:tcPr>
            <w:tcW w:w="0" w:type="auto"/>
            <w:shd w:val="clear" w:color="auto" w:fill="auto"/>
          </w:tcPr>
          <w:p w14:paraId="7DD0103D" w14:textId="77777777" w:rsidR="00C1563E" w:rsidRDefault="00C1563E">
            <w:pPr>
              <w:rPr>
                <w:rFonts w:ascii="宋体"/>
                <w:vanish/>
              </w:rPr>
            </w:pPr>
          </w:p>
        </w:tc>
      </w:tr>
      <w:tr w:rsidR="00C1563E" w14:paraId="7DD01048" w14:textId="77777777">
        <w:tc>
          <w:tcPr>
            <w:tcW w:w="0" w:type="auto"/>
            <w:gridSpan w:val="3"/>
            <w:shd w:val="clear" w:color="auto" w:fill="CCEEFF"/>
            <w:tcMar>
              <w:top w:w="40" w:type="dxa"/>
              <w:left w:w="20" w:type="dxa"/>
              <w:bottom w:w="40" w:type="dxa"/>
              <w:right w:w="20" w:type="dxa"/>
            </w:tcMar>
            <w:vAlign w:val="bottom"/>
          </w:tcPr>
          <w:p w14:paraId="7DD0103F"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CCEEFF"/>
            <w:tcMar>
              <w:top w:w="40" w:type="dxa"/>
              <w:left w:w="20" w:type="dxa"/>
              <w:bottom w:w="40" w:type="dxa"/>
              <w:right w:w="0" w:type="dxa"/>
            </w:tcMar>
            <w:vAlign w:val="bottom"/>
          </w:tcPr>
          <w:p w14:paraId="7DD01040" w14:textId="77777777" w:rsidR="00C1563E" w:rsidRDefault="000B648B">
            <w:pPr>
              <w:jc w:val="right"/>
              <w:textAlignment w:val="bottom"/>
            </w:pPr>
            <w:r>
              <w:rPr>
                <w:rFonts w:ascii="Times New Roman" w:eastAsia="宋体" w:hAnsi="Times New Roman"/>
                <w:color w:val="000000"/>
                <w:sz w:val="20"/>
                <w:szCs w:val="20"/>
              </w:rPr>
              <w:t>744 </w:t>
            </w:r>
          </w:p>
        </w:tc>
        <w:tc>
          <w:tcPr>
            <w:tcW w:w="0" w:type="auto"/>
            <w:shd w:val="clear" w:color="auto" w:fill="CCEEFF"/>
            <w:tcMar>
              <w:top w:w="40" w:type="dxa"/>
              <w:left w:w="0" w:type="dxa"/>
              <w:bottom w:w="40" w:type="dxa"/>
              <w:right w:w="20" w:type="dxa"/>
            </w:tcMar>
            <w:vAlign w:val="bottom"/>
          </w:tcPr>
          <w:p w14:paraId="7DD0104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04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043" w14:textId="77777777" w:rsidR="00C1563E" w:rsidRDefault="000B648B">
            <w:pPr>
              <w:jc w:val="right"/>
              <w:textAlignment w:val="bottom"/>
            </w:pPr>
            <w:r>
              <w:rPr>
                <w:rFonts w:ascii="Times New Roman" w:eastAsia="宋体" w:hAnsi="Times New Roman"/>
                <w:color w:val="000000"/>
                <w:sz w:val="20"/>
                <w:szCs w:val="20"/>
              </w:rPr>
              <w:t>724 </w:t>
            </w:r>
          </w:p>
        </w:tc>
        <w:tc>
          <w:tcPr>
            <w:tcW w:w="0" w:type="auto"/>
            <w:shd w:val="clear" w:color="auto" w:fill="CCEEFF"/>
            <w:tcMar>
              <w:top w:w="40" w:type="dxa"/>
              <w:left w:w="0" w:type="dxa"/>
              <w:bottom w:w="40" w:type="dxa"/>
              <w:right w:w="20" w:type="dxa"/>
            </w:tcMar>
            <w:vAlign w:val="bottom"/>
          </w:tcPr>
          <w:p w14:paraId="7DD01044" w14:textId="77777777" w:rsidR="00C1563E" w:rsidRDefault="00C1563E">
            <w:pPr>
              <w:jc w:val="right"/>
              <w:rPr>
                <w:rFonts w:ascii="宋体"/>
              </w:rPr>
            </w:pPr>
          </w:p>
        </w:tc>
        <w:tc>
          <w:tcPr>
            <w:tcW w:w="0" w:type="auto"/>
            <w:shd w:val="clear" w:color="auto" w:fill="auto"/>
          </w:tcPr>
          <w:p w14:paraId="7DD01045" w14:textId="77777777" w:rsidR="00C1563E" w:rsidRDefault="00C1563E">
            <w:pPr>
              <w:rPr>
                <w:rFonts w:ascii="宋体"/>
                <w:vanish/>
              </w:rPr>
            </w:pPr>
          </w:p>
        </w:tc>
        <w:tc>
          <w:tcPr>
            <w:tcW w:w="0" w:type="auto"/>
            <w:shd w:val="clear" w:color="auto" w:fill="auto"/>
          </w:tcPr>
          <w:p w14:paraId="7DD01046" w14:textId="77777777" w:rsidR="00C1563E" w:rsidRDefault="00C1563E">
            <w:pPr>
              <w:rPr>
                <w:rFonts w:ascii="宋体"/>
                <w:vanish/>
              </w:rPr>
            </w:pPr>
          </w:p>
        </w:tc>
        <w:tc>
          <w:tcPr>
            <w:tcW w:w="0" w:type="auto"/>
            <w:shd w:val="clear" w:color="auto" w:fill="auto"/>
          </w:tcPr>
          <w:p w14:paraId="7DD01047" w14:textId="77777777" w:rsidR="00C1563E" w:rsidRDefault="00C1563E">
            <w:pPr>
              <w:rPr>
                <w:rFonts w:ascii="宋体"/>
                <w:vanish/>
              </w:rPr>
            </w:pPr>
          </w:p>
        </w:tc>
      </w:tr>
      <w:tr w:rsidR="00C1563E" w14:paraId="7DD01052" w14:textId="77777777">
        <w:tc>
          <w:tcPr>
            <w:tcW w:w="0" w:type="auto"/>
            <w:gridSpan w:val="3"/>
            <w:shd w:val="clear" w:color="auto" w:fill="FFFFFF"/>
            <w:tcMar>
              <w:top w:w="40" w:type="dxa"/>
              <w:left w:w="245" w:type="dxa"/>
              <w:bottom w:w="40" w:type="dxa"/>
              <w:right w:w="20" w:type="dxa"/>
            </w:tcMar>
            <w:vAlign w:val="bottom"/>
          </w:tcPr>
          <w:p w14:paraId="7DD01049" w14:textId="77777777" w:rsidR="00C1563E" w:rsidRDefault="000B648B">
            <w:pPr>
              <w:textAlignment w:val="bottom"/>
            </w:pPr>
            <w:r>
              <w:rPr>
                <w:rFonts w:ascii="Times New Roman" w:eastAsia="宋体" w:hAnsi="Times New Roman"/>
                <w:color w:val="000000"/>
                <w:sz w:val="20"/>
                <w:szCs w:val="20"/>
              </w:rPr>
              <w:t xml:space="preserve">Dilutive </w:t>
            </w:r>
            <w:r>
              <w:rPr>
                <w:rFonts w:ascii="Times New Roman" w:eastAsia="宋体" w:hAnsi="Times New Roman"/>
                <w:color w:val="000000"/>
                <w:sz w:val="20"/>
                <w:szCs w:val="20"/>
              </w:rPr>
              <w:t>effect of options, restricted stock units, restricted stock, and other</w:t>
            </w:r>
          </w:p>
        </w:tc>
        <w:tc>
          <w:tcPr>
            <w:tcW w:w="0" w:type="auto"/>
            <w:gridSpan w:val="2"/>
            <w:shd w:val="clear" w:color="auto" w:fill="FFFFFF"/>
            <w:tcMar>
              <w:top w:w="40" w:type="dxa"/>
              <w:left w:w="20" w:type="dxa"/>
              <w:bottom w:w="40" w:type="dxa"/>
              <w:right w:w="0" w:type="dxa"/>
            </w:tcMar>
            <w:vAlign w:val="bottom"/>
          </w:tcPr>
          <w:p w14:paraId="7DD0104A" w14:textId="77777777" w:rsidR="00C1563E" w:rsidRDefault="000B648B">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7DD0104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04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04D" w14:textId="77777777" w:rsidR="00C1563E" w:rsidRDefault="000B648B">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7DD0104E" w14:textId="77777777" w:rsidR="00C1563E" w:rsidRDefault="00C1563E">
            <w:pPr>
              <w:jc w:val="right"/>
              <w:rPr>
                <w:rFonts w:ascii="宋体"/>
              </w:rPr>
            </w:pPr>
          </w:p>
        </w:tc>
        <w:tc>
          <w:tcPr>
            <w:tcW w:w="0" w:type="auto"/>
            <w:shd w:val="clear" w:color="auto" w:fill="auto"/>
          </w:tcPr>
          <w:p w14:paraId="7DD0104F" w14:textId="77777777" w:rsidR="00C1563E" w:rsidRDefault="00C1563E">
            <w:pPr>
              <w:rPr>
                <w:rFonts w:ascii="宋体"/>
                <w:vanish/>
              </w:rPr>
            </w:pPr>
          </w:p>
        </w:tc>
        <w:tc>
          <w:tcPr>
            <w:tcW w:w="0" w:type="auto"/>
            <w:shd w:val="clear" w:color="auto" w:fill="auto"/>
          </w:tcPr>
          <w:p w14:paraId="7DD01050" w14:textId="77777777" w:rsidR="00C1563E" w:rsidRDefault="00C1563E">
            <w:pPr>
              <w:rPr>
                <w:rFonts w:ascii="宋体"/>
                <w:vanish/>
              </w:rPr>
            </w:pPr>
          </w:p>
        </w:tc>
        <w:tc>
          <w:tcPr>
            <w:tcW w:w="0" w:type="auto"/>
            <w:shd w:val="clear" w:color="auto" w:fill="auto"/>
          </w:tcPr>
          <w:p w14:paraId="7DD01051" w14:textId="77777777" w:rsidR="00C1563E" w:rsidRDefault="00C1563E">
            <w:pPr>
              <w:rPr>
                <w:rFonts w:ascii="宋体"/>
                <w:vanish/>
              </w:rPr>
            </w:pPr>
          </w:p>
        </w:tc>
      </w:tr>
      <w:tr w:rsidR="00C1563E" w14:paraId="7DD0105C" w14:textId="77777777">
        <w:tc>
          <w:tcPr>
            <w:tcW w:w="0" w:type="auto"/>
            <w:gridSpan w:val="3"/>
            <w:shd w:val="clear" w:color="auto" w:fill="CCEEFF"/>
            <w:tcMar>
              <w:top w:w="40" w:type="dxa"/>
              <w:left w:w="20" w:type="dxa"/>
              <w:bottom w:w="40" w:type="dxa"/>
              <w:right w:w="20" w:type="dxa"/>
            </w:tcMar>
            <w:vAlign w:val="bottom"/>
          </w:tcPr>
          <w:p w14:paraId="7DD01053"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054" w14:textId="77777777" w:rsidR="00C1563E" w:rsidRDefault="000B648B">
            <w:pPr>
              <w:jc w:val="right"/>
              <w:textAlignment w:val="bottom"/>
            </w:pPr>
            <w:r>
              <w:rPr>
                <w:rFonts w:ascii="Times New Roman" w:eastAsia="宋体" w:hAnsi="Times New Roman"/>
                <w:color w:val="000000"/>
                <w:sz w:val="20"/>
                <w:szCs w:val="20"/>
              </w:rPr>
              <w:t>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05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05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057" w14:textId="77777777" w:rsidR="00C1563E" w:rsidRDefault="000B648B">
            <w:pPr>
              <w:jc w:val="right"/>
              <w:textAlignment w:val="bottom"/>
            </w:pPr>
            <w:r>
              <w:rPr>
                <w:rFonts w:ascii="Times New Roman" w:eastAsia="宋体" w:hAnsi="Times New Roman"/>
                <w:color w:val="000000"/>
                <w:sz w:val="20"/>
                <w:szCs w:val="20"/>
              </w:rPr>
              <w:t>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058" w14:textId="77777777" w:rsidR="00C1563E" w:rsidRDefault="00C1563E">
            <w:pPr>
              <w:jc w:val="right"/>
              <w:rPr>
                <w:rFonts w:ascii="宋体"/>
              </w:rPr>
            </w:pPr>
          </w:p>
        </w:tc>
        <w:tc>
          <w:tcPr>
            <w:tcW w:w="0" w:type="auto"/>
            <w:shd w:val="clear" w:color="auto" w:fill="auto"/>
          </w:tcPr>
          <w:p w14:paraId="7DD01059" w14:textId="77777777" w:rsidR="00C1563E" w:rsidRDefault="00C1563E">
            <w:pPr>
              <w:rPr>
                <w:rFonts w:ascii="宋体"/>
                <w:vanish/>
              </w:rPr>
            </w:pPr>
          </w:p>
        </w:tc>
        <w:tc>
          <w:tcPr>
            <w:tcW w:w="0" w:type="auto"/>
            <w:shd w:val="clear" w:color="auto" w:fill="auto"/>
          </w:tcPr>
          <w:p w14:paraId="7DD0105A" w14:textId="77777777" w:rsidR="00C1563E" w:rsidRDefault="00C1563E">
            <w:pPr>
              <w:rPr>
                <w:rFonts w:ascii="宋体"/>
                <w:vanish/>
              </w:rPr>
            </w:pPr>
          </w:p>
        </w:tc>
        <w:tc>
          <w:tcPr>
            <w:tcW w:w="0" w:type="auto"/>
            <w:shd w:val="clear" w:color="auto" w:fill="auto"/>
          </w:tcPr>
          <w:p w14:paraId="7DD0105B" w14:textId="77777777" w:rsidR="00C1563E" w:rsidRDefault="00C1563E">
            <w:pPr>
              <w:rPr>
                <w:rFonts w:ascii="宋体"/>
                <w:vanish/>
              </w:rPr>
            </w:pPr>
          </w:p>
        </w:tc>
      </w:tr>
      <w:tr w:rsidR="00C1563E" w14:paraId="7DD01066" w14:textId="77777777">
        <w:tc>
          <w:tcPr>
            <w:tcW w:w="0" w:type="auto"/>
            <w:gridSpan w:val="3"/>
            <w:shd w:val="clear" w:color="auto" w:fill="FFFFFF"/>
            <w:tcMar>
              <w:top w:w="40" w:type="dxa"/>
              <w:left w:w="20" w:type="dxa"/>
              <w:bottom w:w="40" w:type="dxa"/>
              <w:right w:w="20" w:type="dxa"/>
            </w:tcMar>
            <w:vAlign w:val="bottom"/>
          </w:tcPr>
          <w:p w14:paraId="7DD0105D"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105E"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0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060" w14:textId="77777777" w:rsidR="00C1563E" w:rsidRDefault="00C1563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1061"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062" w14:textId="77777777" w:rsidR="00C1563E" w:rsidRDefault="00C1563E">
            <w:pPr>
              <w:jc w:val="right"/>
              <w:rPr>
                <w:rFonts w:ascii="宋体"/>
              </w:rPr>
            </w:pPr>
          </w:p>
        </w:tc>
        <w:tc>
          <w:tcPr>
            <w:tcW w:w="0" w:type="auto"/>
            <w:shd w:val="clear" w:color="auto" w:fill="auto"/>
          </w:tcPr>
          <w:p w14:paraId="7DD01063" w14:textId="77777777" w:rsidR="00C1563E" w:rsidRDefault="00C1563E">
            <w:pPr>
              <w:rPr>
                <w:rFonts w:ascii="宋体"/>
                <w:vanish/>
              </w:rPr>
            </w:pPr>
          </w:p>
        </w:tc>
        <w:tc>
          <w:tcPr>
            <w:tcW w:w="0" w:type="auto"/>
            <w:shd w:val="clear" w:color="auto" w:fill="auto"/>
          </w:tcPr>
          <w:p w14:paraId="7DD01064" w14:textId="77777777" w:rsidR="00C1563E" w:rsidRDefault="00C1563E">
            <w:pPr>
              <w:rPr>
                <w:rFonts w:ascii="宋体"/>
                <w:vanish/>
              </w:rPr>
            </w:pPr>
          </w:p>
        </w:tc>
        <w:tc>
          <w:tcPr>
            <w:tcW w:w="0" w:type="auto"/>
            <w:shd w:val="clear" w:color="auto" w:fill="auto"/>
          </w:tcPr>
          <w:p w14:paraId="7DD01065" w14:textId="77777777" w:rsidR="00C1563E" w:rsidRDefault="00C1563E">
            <w:pPr>
              <w:rPr>
                <w:rFonts w:ascii="宋体"/>
                <w:vanish/>
              </w:rPr>
            </w:pPr>
          </w:p>
        </w:tc>
      </w:tr>
    </w:tbl>
    <w:p w14:paraId="7DD01067" w14:textId="77777777" w:rsidR="00C1563E" w:rsidRDefault="000B648B">
      <w:r>
        <w:rPr>
          <w:rFonts w:ascii="Times New Roman" w:eastAsia="宋体" w:hAnsi="Times New Roman"/>
          <w:color w:val="000000"/>
          <w:sz w:val="20"/>
          <w:szCs w:val="20"/>
        </w:rPr>
        <w:t>____________________</w:t>
      </w:r>
    </w:p>
    <w:p w14:paraId="7DD01068" w14:textId="77777777" w:rsidR="00C1563E" w:rsidRDefault="000B648B">
      <w:pPr>
        <w:ind w:hanging="360"/>
      </w:pPr>
      <w:r>
        <w:rPr>
          <w:rFonts w:ascii="Times New Roman" w:eastAsia="宋体" w:hAnsi="Times New Roman"/>
          <w:color w:val="000000"/>
          <w:sz w:val="20"/>
          <w:szCs w:val="20"/>
        </w:rPr>
        <w:t>(a)The incremental dilution from VMware, Inc. represents the impact of VMware, Inc.’s dilutive securities on diluted earnings (loss) per share of Dell Technologies Common Stock, and is calculated by multiplying the difference between VMware, Inc.’s basic a</w:t>
      </w:r>
      <w:r>
        <w:rPr>
          <w:rFonts w:ascii="Times New Roman" w:eastAsia="宋体" w:hAnsi="Times New Roman"/>
          <w:color w:val="000000"/>
          <w:sz w:val="20"/>
          <w:szCs w:val="20"/>
        </w:rPr>
        <w:t xml:space="preserve">nd diluted earnings (loss) per share by the number of shares of VMware, Inc. common stock held by the Company. For the fiscal year ended </w:t>
      </w:r>
      <w:r>
        <w:rPr>
          <w:rFonts w:ascii="Times New Roman" w:eastAsia="宋体" w:hAnsi="Times New Roman"/>
          <w:color w:val="000000"/>
          <w:sz w:val="20"/>
          <w:szCs w:val="20"/>
          <w:shd w:val="clear" w:color="auto" w:fill="FFFFFF"/>
        </w:rPr>
        <w:t>January 31, 2020</w:t>
      </w:r>
      <w:r>
        <w:rPr>
          <w:rFonts w:ascii="Times New Roman" w:eastAsia="宋体" w:hAnsi="Times New Roman"/>
          <w:color w:val="000000"/>
          <w:sz w:val="20"/>
          <w:szCs w:val="20"/>
        </w:rPr>
        <w:t xml:space="preserve">, incremental dilution from VMware, Inc. was calculated by the Company without regard to VMware </w:t>
      </w:r>
      <w:r>
        <w:rPr>
          <w:rFonts w:ascii="Times New Roman" w:eastAsia="宋体" w:hAnsi="Times New Roman"/>
          <w:color w:val="000000"/>
          <w:sz w:val="20"/>
          <w:szCs w:val="20"/>
        </w:rPr>
        <w:t>Inc.’s required retrospective adjustments for the Pivotal acquisition in its stand-alone financial statements. There is no incremental dilution from Secureworks due to its net loss position for the periods presented.</w:t>
      </w:r>
    </w:p>
    <w:p w14:paraId="7DD01069" w14:textId="77777777" w:rsidR="00C1563E" w:rsidRDefault="00C1563E">
      <w:pPr>
        <w:spacing w:before="120"/>
      </w:pPr>
    </w:p>
    <w:p w14:paraId="7DD0106A" w14:textId="77777777" w:rsidR="00C1563E" w:rsidRDefault="00C1563E">
      <w:pPr>
        <w:jc w:val="center"/>
      </w:pPr>
    </w:p>
    <w:p w14:paraId="7DD0106B" w14:textId="77777777" w:rsidR="00C1563E" w:rsidRDefault="000B648B">
      <w:pPr>
        <w:jc w:val="center"/>
      </w:pPr>
      <w:r>
        <w:rPr>
          <w:rFonts w:ascii="Times New Roman" w:eastAsia="宋体" w:hAnsi="Times New Roman"/>
          <w:color w:val="000000"/>
          <w:sz w:val="20"/>
          <w:szCs w:val="20"/>
        </w:rPr>
        <w:t>141</w:t>
      </w:r>
    </w:p>
    <w:p w14:paraId="7DD0106C" w14:textId="77777777" w:rsidR="00C1563E" w:rsidRDefault="00C1563E">
      <w:pPr>
        <w:jc w:val="center"/>
      </w:pPr>
    </w:p>
    <w:p w14:paraId="7DD0106D" w14:textId="77777777" w:rsidR="00C1563E" w:rsidRDefault="000B648B">
      <w:r>
        <w:pict w14:anchorId="7DD025F7">
          <v:rect id="_x0000_i1165" style="width:415.3pt;height:1.5pt" o:hralign="center" o:hrstd="t" o:hr="t" fillcolor="#a0a0a0" stroked="f"/>
        </w:pict>
      </w:r>
    </w:p>
    <w:p w14:paraId="7DD0106E" w14:textId="77777777" w:rsidR="00C1563E" w:rsidRDefault="000B648B">
      <w:hyperlink r:id="rId324" w:anchor="i418e32e4a35149ffbf7d3a25d66881b8_10" w:history="1">
        <w:r>
          <w:rPr>
            <w:rStyle w:val="a5"/>
            <w:rFonts w:ascii="Times New Roman" w:eastAsia="宋体" w:hAnsi="Times New Roman"/>
            <w:sz w:val="20"/>
            <w:szCs w:val="20"/>
          </w:rPr>
          <w:t>Table of Contents</w:t>
        </w:r>
      </w:hyperlink>
    </w:p>
    <w:p w14:paraId="7DD0106F" w14:textId="77777777" w:rsidR="00C1563E" w:rsidRDefault="000B648B">
      <w:pPr>
        <w:spacing w:before="120" w:after="120"/>
      </w:pPr>
      <w:r>
        <w:rPr>
          <w:rFonts w:ascii="Times New Roman" w:eastAsia="宋体" w:hAnsi="Times New Roman"/>
          <w:color w:val="000000"/>
          <w:sz w:val="20"/>
          <w:szCs w:val="20"/>
        </w:rPr>
        <w:t>The following table presents the computation of basic and diluted earnings (loss) pe</w:t>
      </w:r>
      <w:r>
        <w:rPr>
          <w:rFonts w:ascii="Times New Roman" w:eastAsia="宋体" w:hAnsi="Times New Roman"/>
          <w:color w:val="000000"/>
          <w:sz w:val="20"/>
          <w:szCs w:val="20"/>
        </w:rPr>
        <w:t xml:space="preserve">r share prior to the fiscal year ended </w:t>
      </w:r>
      <w:r>
        <w:rPr>
          <w:rFonts w:ascii="Times New Roman" w:eastAsia="宋体" w:hAnsi="Times New Roman"/>
          <w:color w:val="000000"/>
          <w:sz w:val="20"/>
          <w:szCs w:val="20"/>
          <w:shd w:val="clear" w:color="auto" w:fill="FFFFFF"/>
        </w:rPr>
        <w:t xml:space="preserve">January 31, 2020 </w:t>
      </w:r>
      <w:r>
        <w:rPr>
          <w:rFonts w:ascii="Times New Roman" w:eastAsia="宋体" w:hAnsi="Times New Roman"/>
          <w:color w:val="000000"/>
          <w:sz w:val="20"/>
          <w:szCs w:val="20"/>
        </w:rPr>
        <w:t>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50"/>
        <w:gridCol w:w="6592"/>
        <w:gridCol w:w="39"/>
        <w:gridCol w:w="121"/>
        <w:gridCol w:w="1497"/>
        <w:gridCol w:w="37"/>
      </w:tblGrid>
      <w:tr w:rsidR="00C1563E" w14:paraId="7DD01076" w14:textId="77777777">
        <w:tc>
          <w:tcPr>
            <w:tcW w:w="50" w:type="pct"/>
            <w:shd w:val="clear" w:color="auto" w:fill="auto"/>
          </w:tcPr>
          <w:p w14:paraId="7DD01070" w14:textId="77777777" w:rsidR="00C1563E" w:rsidRDefault="00C1563E">
            <w:pPr>
              <w:rPr>
                <w:rFonts w:ascii="宋体"/>
              </w:rPr>
            </w:pPr>
          </w:p>
        </w:tc>
        <w:tc>
          <w:tcPr>
            <w:tcW w:w="3972" w:type="pct"/>
            <w:shd w:val="clear" w:color="auto" w:fill="auto"/>
          </w:tcPr>
          <w:p w14:paraId="7DD01071" w14:textId="77777777" w:rsidR="00C1563E" w:rsidRDefault="00C1563E">
            <w:pPr>
              <w:rPr>
                <w:rFonts w:ascii="宋体"/>
              </w:rPr>
            </w:pPr>
          </w:p>
        </w:tc>
        <w:tc>
          <w:tcPr>
            <w:tcW w:w="5" w:type="pct"/>
            <w:shd w:val="clear" w:color="auto" w:fill="auto"/>
          </w:tcPr>
          <w:p w14:paraId="7DD01072" w14:textId="77777777" w:rsidR="00C1563E" w:rsidRDefault="00C1563E">
            <w:pPr>
              <w:rPr>
                <w:rFonts w:ascii="宋体"/>
              </w:rPr>
            </w:pPr>
          </w:p>
        </w:tc>
        <w:tc>
          <w:tcPr>
            <w:tcW w:w="50" w:type="pct"/>
            <w:shd w:val="clear" w:color="auto" w:fill="auto"/>
          </w:tcPr>
          <w:p w14:paraId="7DD01073" w14:textId="77777777" w:rsidR="00C1563E" w:rsidRDefault="00C1563E">
            <w:pPr>
              <w:rPr>
                <w:rFonts w:ascii="宋体"/>
              </w:rPr>
            </w:pPr>
          </w:p>
        </w:tc>
        <w:tc>
          <w:tcPr>
            <w:tcW w:w="917" w:type="pct"/>
            <w:shd w:val="clear" w:color="auto" w:fill="auto"/>
          </w:tcPr>
          <w:p w14:paraId="7DD01074" w14:textId="77777777" w:rsidR="00C1563E" w:rsidRDefault="00C1563E">
            <w:pPr>
              <w:rPr>
                <w:rFonts w:ascii="宋体"/>
              </w:rPr>
            </w:pPr>
          </w:p>
        </w:tc>
        <w:tc>
          <w:tcPr>
            <w:tcW w:w="5" w:type="pct"/>
            <w:shd w:val="clear" w:color="auto" w:fill="auto"/>
          </w:tcPr>
          <w:p w14:paraId="7DD01075" w14:textId="77777777" w:rsidR="00C1563E" w:rsidRDefault="00C1563E">
            <w:pPr>
              <w:rPr>
                <w:rFonts w:ascii="宋体"/>
              </w:rPr>
            </w:pPr>
          </w:p>
        </w:tc>
      </w:tr>
      <w:tr w:rsidR="00C1563E" w14:paraId="7DD01079" w14:textId="77777777">
        <w:tc>
          <w:tcPr>
            <w:tcW w:w="0" w:type="auto"/>
            <w:gridSpan w:val="3"/>
            <w:shd w:val="clear" w:color="auto" w:fill="auto"/>
            <w:tcMar>
              <w:top w:w="0" w:type="dxa"/>
              <w:left w:w="20" w:type="dxa"/>
              <w:bottom w:w="0" w:type="dxa"/>
              <w:right w:w="20" w:type="dxa"/>
            </w:tcMar>
          </w:tcPr>
          <w:p w14:paraId="7DD0107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078"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07C" w14:textId="77777777">
        <w:tc>
          <w:tcPr>
            <w:tcW w:w="0" w:type="auto"/>
            <w:gridSpan w:val="3"/>
            <w:shd w:val="clear" w:color="auto" w:fill="auto"/>
            <w:tcMar>
              <w:top w:w="0" w:type="dxa"/>
              <w:left w:w="20" w:type="dxa"/>
              <w:bottom w:w="0" w:type="dxa"/>
              <w:right w:w="20" w:type="dxa"/>
            </w:tcMar>
          </w:tcPr>
          <w:p w14:paraId="7DD0107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07B"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07F" w14:textId="77777777">
        <w:trPr>
          <w:trHeight w:val="300"/>
        </w:trPr>
        <w:tc>
          <w:tcPr>
            <w:tcW w:w="0" w:type="auto"/>
            <w:gridSpan w:val="3"/>
            <w:shd w:val="clear" w:color="auto" w:fill="FFFFFF"/>
            <w:tcMar>
              <w:top w:w="0" w:type="dxa"/>
              <w:left w:w="20" w:type="dxa"/>
              <w:bottom w:w="0" w:type="dxa"/>
              <w:right w:w="20" w:type="dxa"/>
            </w:tcMar>
          </w:tcPr>
          <w:p w14:paraId="7DD0107D"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107E" w14:textId="77777777" w:rsidR="00C1563E" w:rsidRDefault="00C1563E">
            <w:pPr>
              <w:rPr>
                <w:rFonts w:ascii="宋体"/>
              </w:rPr>
            </w:pPr>
          </w:p>
        </w:tc>
      </w:tr>
      <w:tr w:rsidR="00C1563E" w14:paraId="7DD01082" w14:textId="77777777">
        <w:tc>
          <w:tcPr>
            <w:tcW w:w="0" w:type="auto"/>
            <w:gridSpan w:val="3"/>
            <w:shd w:val="clear" w:color="auto" w:fill="CCEEFF"/>
            <w:tcMar>
              <w:top w:w="40" w:type="dxa"/>
              <w:left w:w="20" w:type="dxa"/>
              <w:bottom w:w="40" w:type="dxa"/>
              <w:right w:w="20" w:type="dxa"/>
            </w:tcMar>
            <w:vAlign w:val="bottom"/>
          </w:tcPr>
          <w:p w14:paraId="7DD01080" w14:textId="77777777" w:rsidR="00C1563E" w:rsidRDefault="000B648B">
            <w:pPr>
              <w:textAlignment w:val="bottom"/>
            </w:pPr>
            <w:r>
              <w:rPr>
                <w:rFonts w:ascii="Times New Roman" w:eastAsia="宋体" w:hAnsi="Times New Roman"/>
                <w:i/>
                <w:iCs/>
                <w:color w:val="000000"/>
                <w:sz w:val="20"/>
                <w:szCs w:val="20"/>
              </w:rPr>
              <w:t>Numerator: Class V Common Stock</w:t>
            </w:r>
          </w:p>
        </w:tc>
        <w:tc>
          <w:tcPr>
            <w:tcW w:w="0" w:type="auto"/>
            <w:gridSpan w:val="3"/>
            <w:shd w:val="clear" w:color="auto" w:fill="CCEEFF"/>
            <w:tcMar>
              <w:top w:w="0" w:type="dxa"/>
              <w:left w:w="20" w:type="dxa"/>
              <w:bottom w:w="0" w:type="dxa"/>
              <w:right w:w="20" w:type="dxa"/>
            </w:tcMar>
          </w:tcPr>
          <w:p w14:paraId="7DD01081" w14:textId="77777777" w:rsidR="00C1563E" w:rsidRDefault="00C1563E">
            <w:pPr>
              <w:rPr>
                <w:rFonts w:ascii="宋体"/>
              </w:rPr>
            </w:pPr>
          </w:p>
        </w:tc>
      </w:tr>
      <w:tr w:rsidR="00C1563E" w14:paraId="7DD01087" w14:textId="77777777">
        <w:tc>
          <w:tcPr>
            <w:tcW w:w="0" w:type="auto"/>
            <w:gridSpan w:val="3"/>
            <w:shd w:val="clear" w:color="auto" w:fill="FFFFFF"/>
            <w:tcMar>
              <w:top w:w="40" w:type="dxa"/>
              <w:left w:w="155" w:type="dxa"/>
              <w:bottom w:w="40" w:type="dxa"/>
              <w:right w:w="20" w:type="dxa"/>
            </w:tcMar>
            <w:vAlign w:val="bottom"/>
          </w:tcPr>
          <w:p w14:paraId="7DD01083" w14:textId="77777777" w:rsidR="00C1563E" w:rsidRDefault="000B648B">
            <w:pPr>
              <w:textAlignment w:val="bottom"/>
            </w:pPr>
            <w:r>
              <w:rPr>
                <w:rFonts w:ascii="Times New Roman" w:eastAsia="宋体" w:hAnsi="Times New Roman"/>
                <w:color w:val="000000"/>
                <w:sz w:val="20"/>
                <w:szCs w:val="20"/>
              </w:rPr>
              <w:t>Net income attributable to Class V Common Stock — basic (a)</w:t>
            </w:r>
          </w:p>
        </w:tc>
        <w:tc>
          <w:tcPr>
            <w:tcW w:w="0" w:type="auto"/>
            <w:shd w:val="clear" w:color="auto" w:fill="FFFFFF"/>
            <w:tcMar>
              <w:top w:w="40" w:type="dxa"/>
              <w:left w:w="20" w:type="dxa"/>
              <w:bottom w:w="40" w:type="dxa"/>
              <w:right w:w="0" w:type="dxa"/>
            </w:tcMar>
            <w:vAlign w:val="bottom"/>
          </w:tcPr>
          <w:p w14:paraId="7DD0108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085" w14:textId="77777777" w:rsidR="00C1563E" w:rsidRDefault="000B648B">
            <w:pPr>
              <w:jc w:val="right"/>
              <w:textAlignment w:val="bottom"/>
            </w:pPr>
            <w:r>
              <w:rPr>
                <w:rFonts w:ascii="Times New Roman" w:eastAsia="宋体" w:hAnsi="Times New Roman"/>
                <w:color w:val="000000"/>
                <w:sz w:val="20"/>
                <w:szCs w:val="20"/>
              </w:rPr>
              <w:t>1,195 </w:t>
            </w:r>
          </w:p>
        </w:tc>
        <w:tc>
          <w:tcPr>
            <w:tcW w:w="0" w:type="auto"/>
            <w:shd w:val="clear" w:color="auto" w:fill="FFFFFF"/>
            <w:tcMar>
              <w:top w:w="40" w:type="dxa"/>
              <w:left w:w="0" w:type="dxa"/>
              <w:bottom w:w="40" w:type="dxa"/>
              <w:right w:w="20" w:type="dxa"/>
            </w:tcMar>
            <w:vAlign w:val="bottom"/>
          </w:tcPr>
          <w:p w14:paraId="7DD01086" w14:textId="77777777" w:rsidR="00C1563E" w:rsidRDefault="00C1563E">
            <w:pPr>
              <w:jc w:val="right"/>
              <w:rPr>
                <w:rFonts w:ascii="宋体"/>
              </w:rPr>
            </w:pPr>
          </w:p>
        </w:tc>
      </w:tr>
      <w:tr w:rsidR="00C1563E" w14:paraId="7DD0108B" w14:textId="77777777">
        <w:tc>
          <w:tcPr>
            <w:tcW w:w="0" w:type="auto"/>
            <w:gridSpan w:val="3"/>
            <w:shd w:val="clear" w:color="auto" w:fill="CCEEFF"/>
            <w:tcMar>
              <w:top w:w="40" w:type="dxa"/>
              <w:left w:w="245" w:type="dxa"/>
              <w:bottom w:w="40" w:type="dxa"/>
              <w:right w:w="20" w:type="dxa"/>
            </w:tcMar>
            <w:vAlign w:val="bottom"/>
          </w:tcPr>
          <w:p w14:paraId="7DD01088" w14:textId="77777777" w:rsidR="00C1563E" w:rsidRDefault="000B648B">
            <w:pPr>
              <w:textAlignment w:val="bottom"/>
            </w:pPr>
            <w:r>
              <w:rPr>
                <w:rFonts w:ascii="Times New Roman" w:eastAsia="宋体" w:hAnsi="Times New Roman"/>
                <w:color w:val="000000"/>
                <w:sz w:val="20"/>
                <w:szCs w:val="20"/>
              </w:rPr>
              <w:t>Incremental dilution from VMware, Inc. attributable to Class V Common Stock (b)</w:t>
            </w:r>
          </w:p>
        </w:tc>
        <w:tc>
          <w:tcPr>
            <w:tcW w:w="0" w:type="auto"/>
            <w:gridSpan w:val="2"/>
            <w:shd w:val="clear" w:color="auto" w:fill="CCEEFF"/>
            <w:tcMar>
              <w:top w:w="40" w:type="dxa"/>
              <w:left w:w="20" w:type="dxa"/>
              <w:bottom w:w="40" w:type="dxa"/>
              <w:right w:w="0" w:type="dxa"/>
            </w:tcMar>
            <w:vAlign w:val="bottom"/>
          </w:tcPr>
          <w:p w14:paraId="7DD01089" w14:textId="77777777" w:rsidR="00C1563E" w:rsidRDefault="000B648B">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7DD0108A" w14:textId="77777777" w:rsidR="00C1563E" w:rsidRDefault="00C1563E">
            <w:pPr>
              <w:jc w:val="right"/>
              <w:rPr>
                <w:rFonts w:ascii="宋体"/>
              </w:rPr>
            </w:pPr>
          </w:p>
        </w:tc>
      </w:tr>
      <w:tr w:rsidR="00C1563E" w14:paraId="7DD01090" w14:textId="77777777">
        <w:tc>
          <w:tcPr>
            <w:tcW w:w="0" w:type="auto"/>
            <w:gridSpan w:val="3"/>
            <w:shd w:val="clear" w:color="auto" w:fill="FFFFFF"/>
            <w:tcMar>
              <w:top w:w="40" w:type="dxa"/>
              <w:left w:w="155" w:type="dxa"/>
              <w:bottom w:w="40" w:type="dxa"/>
              <w:right w:w="20" w:type="dxa"/>
            </w:tcMar>
            <w:vAlign w:val="bottom"/>
          </w:tcPr>
          <w:p w14:paraId="7DD0108C" w14:textId="77777777" w:rsidR="00C1563E" w:rsidRDefault="000B648B">
            <w:pPr>
              <w:textAlignment w:val="bottom"/>
            </w:pPr>
            <w:r>
              <w:rPr>
                <w:rFonts w:ascii="Times New Roman" w:eastAsia="宋体" w:hAnsi="Times New Roman"/>
                <w:color w:val="000000"/>
                <w:sz w:val="20"/>
                <w:szCs w:val="20"/>
              </w:rPr>
              <w:t>Net income attributable to Class V Common Stock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08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08E" w14:textId="77777777" w:rsidR="00C1563E" w:rsidRDefault="000B648B">
            <w:pPr>
              <w:jc w:val="right"/>
              <w:textAlignment w:val="bottom"/>
            </w:pPr>
            <w:r>
              <w:rPr>
                <w:rFonts w:ascii="Times New Roman" w:eastAsia="宋体" w:hAnsi="Times New Roman"/>
                <w:color w:val="000000"/>
                <w:sz w:val="20"/>
                <w:szCs w:val="20"/>
              </w:rPr>
              <w:t>1,177 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08F" w14:textId="77777777" w:rsidR="00C1563E" w:rsidRDefault="00C1563E">
            <w:pPr>
              <w:jc w:val="right"/>
              <w:rPr>
                <w:rFonts w:ascii="宋体"/>
              </w:rPr>
            </w:pPr>
          </w:p>
        </w:tc>
      </w:tr>
      <w:tr w:rsidR="00C1563E" w14:paraId="7DD01093" w14:textId="77777777">
        <w:trPr>
          <w:trHeight w:val="300"/>
        </w:trPr>
        <w:tc>
          <w:tcPr>
            <w:tcW w:w="0" w:type="auto"/>
            <w:gridSpan w:val="3"/>
            <w:shd w:val="clear" w:color="auto" w:fill="CCEEFF"/>
            <w:tcMar>
              <w:top w:w="0" w:type="dxa"/>
              <w:left w:w="20" w:type="dxa"/>
              <w:bottom w:w="0" w:type="dxa"/>
              <w:right w:w="20" w:type="dxa"/>
            </w:tcMar>
          </w:tcPr>
          <w:p w14:paraId="7DD01091" w14:textId="77777777" w:rsidR="00C1563E" w:rsidRDefault="00C1563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1092" w14:textId="77777777" w:rsidR="00C1563E" w:rsidRDefault="00C1563E">
            <w:pPr>
              <w:rPr>
                <w:rFonts w:ascii="宋体"/>
              </w:rPr>
            </w:pPr>
          </w:p>
        </w:tc>
      </w:tr>
      <w:tr w:rsidR="00C1563E" w14:paraId="7DD01096" w14:textId="77777777">
        <w:tc>
          <w:tcPr>
            <w:tcW w:w="0" w:type="auto"/>
            <w:gridSpan w:val="3"/>
            <w:shd w:val="clear" w:color="auto" w:fill="FFFFFF"/>
            <w:tcMar>
              <w:top w:w="40" w:type="dxa"/>
              <w:left w:w="20" w:type="dxa"/>
              <w:bottom w:w="40" w:type="dxa"/>
              <w:right w:w="20" w:type="dxa"/>
            </w:tcMar>
            <w:vAlign w:val="bottom"/>
          </w:tcPr>
          <w:p w14:paraId="7DD01094" w14:textId="77777777" w:rsidR="00C1563E" w:rsidRDefault="000B648B">
            <w:pPr>
              <w:textAlignment w:val="bottom"/>
            </w:pPr>
            <w:r>
              <w:rPr>
                <w:rFonts w:ascii="Times New Roman" w:eastAsia="宋体" w:hAnsi="Times New Roman"/>
                <w:i/>
                <w:iCs/>
                <w:color w:val="000000"/>
                <w:sz w:val="20"/>
                <w:szCs w:val="20"/>
              </w:rPr>
              <w:t>Numerator: DHI Group</w:t>
            </w:r>
          </w:p>
        </w:tc>
        <w:tc>
          <w:tcPr>
            <w:tcW w:w="0" w:type="auto"/>
            <w:gridSpan w:val="3"/>
            <w:shd w:val="clear" w:color="auto" w:fill="FFFFFF"/>
            <w:tcMar>
              <w:top w:w="0" w:type="dxa"/>
              <w:left w:w="20" w:type="dxa"/>
              <w:bottom w:w="0" w:type="dxa"/>
              <w:right w:w="20" w:type="dxa"/>
            </w:tcMar>
          </w:tcPr>
          <w:p w14:paraId="7DD01095" w14:textId="77777777" w:rsidR="00C1563E" w:rsidRDefault="00C1563E">
            <w:pPr>
              <w:rPr>
                <w:rFonts w:ascii="宋体"/>
              </w:rPr>
            </w:pPr>
          </w:p>
        </w:tc>
      </w:tr>
      <w:tr w:rsidR="00C1563E" w14:paraId="7DD0109B" w14:textId="77777777">
        <w:tc>
          <w:tcPr>
            <w:tcW w:w="0" w:type="auto"/>
            <w:gridSpan w:val="3"/>
            <w:shd w:val="clear" w:color="auto" w:fill="CCEEFF"/>
            <w:tcMar>
              <w:top w:w="40" w:type="dxa"/>
              <w:left w:w="155" w:type="dxa"/>
              <w:bottom w:w="40" w:type="dxa"/>
              <w:right w:w="20" w:type="dxa"/>
            </w:tcMar>
            <w:vAlign w:val="bottom"/>
          </w:tcPr>
          <w:p w14:paraId="7DD01097" w14:textId="77777777" w:rsidR="00C1563E" w:rsidRDefault="000B648B">
            <w:pPr>
              <w:textAlignment w:val="bottom"/>
            </w:pPr>
            <w:r>
              <w:rPr>
                <w:rFonts w:ascii="Times New Roman" w:eastAsia="宋体" w:hAnsi="Times New Roman"/>
                <w:color w:val="000000"/>
                <w:sz w:val="20"/>
                <w:szCs w:val="20"/>
              </w:rPr>
              <w:t>Net loss attributable to DHI Group — basic</w:t>
            </w:r>
          </w:p>
        </w:tc>
        <w:tc>
          <w:tcPr>
            <w:tcW w:w="0" w:type="auto"/>
            <w:shd w:val="clear" w:color="auto" w:fill="CCEEFF"/>
            <w:tcMar>
              <w:top w:w="40" w:type="dxa"/>
              <w:left w:w="20" w:type="dxa"/>
              <w:bottom w:w="40" w:type="dxa"/>
              <w:right w:w="0" w:type="dxa"/>
            </w:tcMar>
            <w:vAlign w:val="bottom"/>
          </w:tcPr>
          <w:p w14:paraId="7DD0109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099" w14:textId="77777777" w:rsidR="00C1563E" w:rsidRDefault="000B648B">
            <w:pPr>
              <w:jc w:val="right"/>
              <w:textAlignment w:val="bottom"/>
            </w:pPr>
            <w:r>
              <w:rPr>
                <w:rFonts w:ascii="Times New Roman" w:eastAsia="宋体" w:hAnsi="Times New Roman"/>
                <w:color w:val="000000"/>
                <w:sz w:val="20"/>
                <w:szCs w:val="20"/>
              </w:rPr>
              <w:t>(3,505)</w:t>
            </w:r>
          </w:p>
        </w:tc>
        <w:tc>
          <w:tcPr>
            <w:tcW w:w="0" w:type="auto"/>
            <w:shd w:val="clear" w:color="auto" w:fill="CCEEFF"/>
            <w:tcMar>
              <w:top w:w="40" w:type="dxa"/>
              <w:left w:w="0" w:type="dxa"/>
              <w:bottom w:w="40" w:type="dxa"/>
              <w:right w:w="20" w:type="dxa"/>
            </w:tcMar>
            <w:vAlign w:val="bottom"/>
          </w:tcPr>
          <w:p w14:paraId="7DD0109A" w14:textId="77777777" w:rsidR="00C1563E" w:rsidRDefault="00C1563E">
            <w:pPr>
              <w:jc w:val="right"/>
              <w:rPr>
                <w:rFonts w:ascii="宋体"/>
              </w:rPr>
            </w:pPr>
          </w:p>
        </w:tc>
      </w:tr>
      <w:tr w:rsidR="00C1563E" w14:paraId="7DD0109F" w14:textId="77777777">
        <w:tc>
          <w:tcPr>
            <w:tcW w:w="0" w:type="auto"/>
            <w:gridSpan w:val="3"/>
            <w:shd w:val="clear" w:color="auto" w:fill="FFFFFF"/>
            <w:tcMar>
              <w:top w:w="40" w:type="dxa"/>
              <w:left w:w="245" w:type="dxa"/>
              <w:bottom w:w="40" w:type="dxa"/>
              <w:right w:w="20" w:type="dxa"/>
            </w:tcMar>
            <w:vAlign w:val="bottom"/>
          </w:tcPr>
          <w:p w14:paraId="7DD0109C" w14:textId="77777777" w:rsidR="00C1563E" w:rsidRDefault="000B648B">
            <w:pPr>
              <w:textAlignment w:val="bottom"/>
            </w:pPr>
            <w:r>
              <w:rPr>
                <w:rFonts w:ascii="Times New Roman" w:eastAsia="宋体" w:hAnsi="Times New Roman"/>
                <w:color w:val="000000"/>
                <w:sz w:val="20"/>
                <w:szCs w:val="20"/>
              </w:rPr>
              <w:t>Incremental dilution from VMware, Inc. attributable to DHI Group (b)</w:t>
            </w:r>
          </w:p>
        </w:tc>
        <w:tc>
          <w:tcPr>
            <w:tcW w:w="0" w:type="auto"/>
            <w:gridSpan w:val="2"/>
            <w:shd w:val="clear" w:color="auto" w:fill="FFFFFF"/>
            <w:tcMar>
              <w:top w:w="40" w:type="dxa"/>
              <w:left w:w="20" w:type="dxa"/>
              <w:bottom w:w="40" w:type="dxa"/>
              <w:right w:w="0" w:type="dxa"/>
            </w:tcMar>
            <w:vAlign w:val="bottom"/>
          </w:tcPr>
          <w:p w14:paraId="7DD0109D" w14:textId="77777777" w:rsidR="00C1563E" w:rsidRDefault="000B648B">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DD0109E" w14:textId="77777777" w:rsidR="00C1563E" w:rsidRDefault="00C1563E">
            <w:pPr>
              <w:jc w:val="right"/>
              <w:rPr>
                <w:rFonts w:ascii="宋体"/>
              </w:rPr>
            </w:pPr>
          </w:p>
        </w:tc>
      </w:tr>
      <w:tr w:rsidR="00C1563E" w14:paraId="7DD010A4" w14:textId="77777777">
        <w:tc>
          <w:tcPr>
            <w:tcW w:w="0" w:type="auto"/>
            <w:gridSpan w:val="3"/>
            <w:shd w:val="clear" w:color="auto" w:fill="CCEEFF"/>
            <w:tcMar>
              <w:top w:w="40" w:type="dxa"/>
              <w:left w:w="155" w:type="dxa"/>
              <w:bottom w:w="40" w:type="dxa"/>
              <w:right w:w="20" w:type="dxa"/>
            </w:tcMar>
            <w:vAlign w:val="bottom"/>
          </w:tcPr>
          <w:p w14:paraId="7DD010A0" w14:textId="77777777" w:rsidR="00C1563E" w:rsidRDefault="000B648B">
            <w:pPr>
              <w:textAlignment w:val="bottom"/>
            </w:pPr>
            <w:r>
              <w:rPr>
                <w:rFonts w:ascii="Times New Roman" w:eastAsia="宋体" w:hAnsi="Times New Roman"/>
                <w:color w:val="000000"/>
                <w:sz w:val="20"/>
                <w:szCs w:val="20"/>
              </w:rPr>
              <w:t>Net loss attributable to DHI Group — diluted</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10A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0A2" w14:textId="77777777" w:rsidR="00C1563E" w:rsidRDefault="000B648B">
            <w:pPr>
              <w:jc w:val="right"/>
              <w:textAlignment w:val="bottom"/>
            </w:pPr>
            <w:r>
              <w:rPr>
                <w:rFonts w:ascii="Times New Roman" w:eastAsia="宋体" w:hAnsi="Times New Roman"/>
                <w:color w:val="000000"/>
                <w:sz w:val="20"/>
                <w:szCs w:val="20"/>
              </w:rPr>
              <w:t>(3,518)</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0A3" w14:textId="77777777" w:rsidR="00C1563E" w:rsidRDefault="00C1563E">
            <w:pPr>
              <w:jc w:val="right"/>
              <w:rPr>
                <w:rFonts w:ascii="宋体"/>
              </w:rPr>
            </w:pPr>
          </w:p>
        </w:tc>
      </w:tr>
      <w:tr w:rsidR="00C1563E" w14:paraId="7DD010A7" w14:textId="77777777">
        <w:trPr>
          <w:trHeight w:val="300"/>
        </w:trPr>
        <w:tc>
          <w:tcPr>
            <w:tcW w:w="0" w:type="auto"/>
            <w:gridSpan w:val="3"/>
            <w:shd w:val="clear" w:color="auto" w:fill="FFFFFF"/>
            <w:tcMar>
              <w:top w:w="0" w:type="dxa"/>
              <w:left w:w="20" w:type="dxa"/>
              <w:bottom w:w="0" w:type="dxa"/>
              <w:right w:w="20" w:type="dxa"/>
            </w:tcMar>
          </w:tcPr>
          <w:p w14:paraId="7DD010A5"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10A6" w14:textId="77777777" w:rsidR="00C1563E" w:rsidRDefault="00C1563E">
            <w:pPr>
              <w:rPr>
                <w:rFonts w:ascii="宋体"/>
              </w:rPr>
            </w:pPr>
          </w:p>
        </w:tc>
      </w:tr>
      <w:tr w:rsidR="00C1563E" w14:paraId="7DD010AA" w14:textId="77777777">
        <w:tc>
          <w:tcPr>
            <w:tcW w:w="0" w:type="auto"/>
            <w:gridSpan w:val="3"/>
            <w:shd w:val="clear" w:color="auto" w:fill="CCEEFF"/>
            <w:tcMar>
              <w:top w:w="40" w:type="dxa"/>
              <w:left w:w="20" w:type="dxa"/>
              <w:bottom w:w="40" w:type="dxa"/>
              <w:right w:w="20" w:type="dxa"/>
            </w:tcMar>
            <w:vAlign w:val="bottom"/>
          </w:tcPr>
          <w:p w14:paraId="7DD010A8" w14:textId="77777777" w:rsidR="00C1563E" w:rsidRDefault="000B648B">
            <w:pPr>
              <w:textAlignment w:val="bottom"/>
            </w:pPr>
            <w:r>
              <w:rPr>
                <w:rFonts w:ascii="Times New Roman" w:eastAsia="宋体" w:hAnsi="Times New Roman"/>
                <w:i/>
                <w:iCs/>
                <w:color w:val="000000"/>
                <w:sz w:val="20"/>
                <w:szCs w:val="20"/>
              </w:rPr>
              <w:t>Denominator: Class V Common Stock weighted-average shares outstanding</w:t>
            </w:r>
          </w:p>
        </w:tc>
        <w:tc>
          <w:tcPr>
            <w:tcW w:w="0" w:type="auto"/>
            <w:gridSpan w:val="3"/>
            <w:shd w:val="clear" w:color="auto" w:fill="CCEEFF"/>
            <w:tcMar>
              <w:top w:w="0" w:type="dxa"/>
              <w:left w:w="20" w:type="dxa"/>
              <w:bottom w:w="0" w:type="dxa"/>
              <w:right w:w="20" w:type="dxa"/>
            </w:tcMar>
          </w:tcPr>
          <w:p w14:paraId="7DD010A9" w14:textId="77777777" w:rsidR="00C1563E" w:rsidRDefault="00C1563E">
            <w:pPr>
              <w:rPr>
                <w:rFonts w:ascii="宋体"/>
              </w:rPr>
            </w:pPr>
          </w:p>
        </w:tc>
      </w:tr>
      <w:tr w:rsidR="00C1563E" w14:paraId="7DD010AE" w14:textId="77777777">
        <w:tc>
          <w:tcPr>
            <w:tcW w:w="0" w:type="auto"/>
            <w:gridSpan w:val="3"/>
            <w:shd w:val="clear" w:color="auto" w:fill="FFFFFF"/>
            <w:tcMar>
              <w:top w:w="40" w:type="dxa"/>
              <w:left w:w="20" w:type="dxa"/>
              <w:bottom w:w="40" w:type="dxa"/>
              <w:right w:w="20" w:type="dxa"/>
            </w:tcMar>
            <w:vAlign w:val="bottom"/>
          </w:tcPr>
          <w:p w14:paraId="7DD010AB"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 (c)</w:t>
            </w:r>
          </w:p>
        </w:tc>
        <w:tc>
          <w:tcPr>
            <w:tcW w:w="0" w:type="auto"/>
            <w:gridSpan w:val="2"/>
            <w:shd w:val="clear" w:color="auto" w:fill="FFFFFF"/>
            <w:tcMar>
              <w:top w:w="40" w:type="dxa"/>
              <w:left w:w="20" w:type="dxa"/>
              <w:bottom w:w="40" w:type="dxa"/>
              <w:right w:w="0" w:type="dxa"/>
            </w:tcMar>
            <w:vAlign w:val="bottom"/>
          </w:tcPr>
          <w:p w14:paraId="7DD010AC" w14:textId="77777777" w:rsidR="00C1563E" w:rsidRDefault="000B648B">
            <w:pPr>
              <w:jc w:val="right"/>
              <w:textAlignment w:val="bottom"/>
            </w:pPr>
            <w:r>
              <w:rPr>
                <w:rFonts w:ascii="Times New Roman" w:eastAsia="宋体" w:hAnsi="Times New Roman"/>
                <w:color w:val="000000"/>
                <w:sz w:val="20"/>
                <w:szCs w:val="20"/>
              </w:rPr>
              <w:t>199 </w:t>
            </w:r>
          </w:p>
        </w:tc>
        <w:tc>
          <w:tcPr>
            <w:tcW w:w="0" w:type="auto"/>
            <w:shd w:val="clear" w:color="auto" w:fill="FFFFFF"/>
            <w:tcMar>
              <w:top w:w="40" w:type="dxa"/>
              <w:left w:w="0" w:type="dxa"/>
              <w:bottom w:w="40" w:type="dxa"/>
              <w:right w:w="20" w:type="dxa"/>
            </w:tcMar>
            <w:vAlign w:val="bottom"/>
          </w:tcPr>
          <w:p w14:paraId="7DD010AD" w14:textId="77777777" w:rsidR="00C1563E" w:rsidRDefault="00C1563E">
            <w:pPr>
              <w:jc w:val="right"/>
              <w:rPr>
                <w:rFonts w:ascii="宋体"/>
              </w:rPr>
            </w:pPr>
          </w:p>
        </w:tc>
      </w:tr>
      <w:tr w:rsidR="00C1563E" w14:paraId="7DD010B2" w14:textId="77777777">
        <w:tc>
          <w:tcPr>
            <w:tcW w:w="0" w:type="auto"/>
            <w:gridSpan w:val="3"/>
            <w:shd w:val="clear" w:color="auto" w:fill="CCEEFF"/>
            <w:tcMar>
              <w:top w:w="40" w:type="dxa"/>
              <w:left w:w="245" w:type="dxa"/>
              <w:bottom w:w="40" w:type="dxa"/>
              <w:right w:w="20" w:type="dxa"/>
            </w:tcMar>
            <w:vAlign w:val="bottom"/>
          </w:tcPr>
          <w:p w14:paraId="7DD010AF" w14:textId="77777777" w:rsidR="00C1563E" w:rsidRDefault="000B648B">
            <w:pPr>
              <w:textAlignment w:val="bottom"/>
            </w:pPr>
            <w:r>
              <w:rPr>
                <w:rFonts w:ascii="Times New Roman" w:eastAsia="宋体" w:hAnsi="Times New Roman"/>
                <w:color w:val="000000"/>
                <w:sz w:val="20"/>
                <w:szCs w:val="20"/>
              </w:rPr>
              <w:t>Dilutive effect of options, restricted stock units, restricted stock, and other (d)</w:t>
            </w:r>
          </w:p>
        </w:tc>
        <w:tc>
          <w:tcPr>
            <w:tcW w:w="0" w:type="auto"/>
            <w:gridSpan w:val="2"/>
            <w:shd w:val="clear" w:color="auto" w:fill="CCEEFF"/>
            <w:tcMar>
              <w:top w:w="40" w:type="dxa"/>
              <w:left w:w="20" w:type="dxa"/>
              <w:bottom w:w="40" w:type="dxa"/>
              <w:right w:w="0" w:type="dxa"/>
            </w:tcMar>
            <w:vAlign w:val="bottom"/>
          </w:tcPr>
          <w:p w14:paraId="7DD010B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0B1" w14:textId="77777777" w:rsidR="00C1563E" w:rsidRDefault="00C1563E">
            <w:pPr>
              <w:jc w:val="right"/>
              <w:rPr>
                <w:rFonts w:ascii="宋体"/>
              </w:rPr>
            </w:pPr>
          </w:p>
        </w:tc>
      </w:tr>
      <w:tr w:rsidR="00C1563E" w14:paraId="7DD010B6" w14:textId="77777777">
        <w:tc>
          <w:tcPr>
            <w:tcW w:w="0" w:type="auto"/>
            <w:gridSpan w:val="3"/>
            <w:shd w:val="clear" w:color="auto" w:fill="FFFFFF"/>
            <w:tcMar>
              <w:top w:w="40" w:type="dxa"/>
              <w:left w:w="20" w:type="dxa"/>
              <w:bottom w:w="40" w:type="dxa"/>
              <w:right w:w="20" w:type="dxa"/>
            </w:tcMar>
            <w:vAlign w:val="bottom"/>
          </w:tcPr>
          <w:p w14:paraId="7DD010B3"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0B4" w14:textId="77777777" w:rsidR="00C1563E" w:rsidRDefault="000B648B">
            <w:pPr>
              <w:jc w:val="right"/>
              <w:textAlignment w:val="bottom"/>
            </w:pPr>
            <w:r>
              <w:rPr>
                <w:rFonts w:ascii="Times New Roman" w:eastAsia="宋体" w:hAnsi="Times New Roman"/>
                <w:color w:val="000000"/>
                <w:sz w:val="20"/>
                <w:szCs w:val="20"/>
              </w:rPr>
              <w:t>199 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0B5" w14:textId="77777777" w:rsidR="00C1563E" w:rsidRDefault="00C1563E">
            <w:pPr>
              <w:jc w:val="right"/>
              <w:rPr>
                <w:rFonts w:ascii="宋体"/>
              </w:rPr>
            </w:pPr>
          </w:p>
        </w:tc>
      </w:tr>
      <w:tr w:rsidR="00C1563E" w14:paraId="7DD010BA" w14:textId="77777777">
        <w:tc>
          <w:tcPr>
            <w:tcW w:w="0" w:type="auto"/>
            <w:gridSpan w:val="3"/>
            <w:shd w:val="clear" w:color="auto" w:fill="CCEEFF"/>
            <w:tcMar>
              <w:top w:w="40" w:type="dxa"/>
              <w:left w:w="20" w:type="dxa"/>
              <w:bottom w:w="40" w:type="dxa"/>
              <w:right w:w="20" w:type="dxa"/>
            </w:tcMar>
            <w:vAlign w:val="bottom"/>
          </w:tcPr>
          <w:p w14:paraId="7DD010B7"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 (d)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10B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10B9" w14:textId="77777777" w:rsidR="00C1563E" w:rsidRDefault="00C1563E">
            <w:pPr>
              <w:jc w:val="right"/>
              <w:rPr>
                <w:rFonts w:ascii="宋体"/>
              </w:rPr>
            </w:pPr>
          </w:p>
        </w:tc>
      </w:tr>
      <w:tr w:rsidR="00C1563E" w14:paraId="7DD010BD" w14:textId="77777777">
        <w:trPr>
          <w:trHeight w:val="300"/>
        </w:trPr>
        <w:tc>
          <w:tcPr>
            <w:tcW w:w="0" w:type="auto"/>
            <w:gridSpan w:val="3"/>
            <w:shd w:val="clear" w:color="auto" w:fill="FFFFFF"/>
            <w:tcMar>
              <w:top w:w="0" w:type="dxa"/>
              <w:left w:w="20" w:type="dxa"/>
              <w:bottom w:w="0" w:type="dxa"/>
              <w:right w:w="20" w:type="dxa"/>
            </w:tcMar>
          </w:tcPr>
          <w:p w14:paraId="7DD010B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0BC" w14:textId="77777777" w:rsidR="00C1563E" w:rsidRDefault="00C1563E">
            <w:pPr>
              <w:rPr>
                <w:rFonts w:ascii="宋体"/>
              </w:rPr>
            </w:pPr>
          </w:p>
        </w:tc>
      </w:tr>
      <w:tr w:rsidR="00C1563E" w14:paraId="7DD010C0" w14:textId="77777777">
        <w:tc>
          <w:tcPr>
            <w:tcW w:w="0" w:type="auto"/>
            <w:gridSpan w:val="3"/>
            <w:shd w:val="clear" w:color="auto" w:fill="CCEEFF"/>
            <w:tcMar>
              <w:top w:w="40" w:type="dxa"/>
              <w:left w:w="20" w:type="dxa"/>
              <w:bottom w:w="40" w:type="dxa"/>
              <w:right w:w="20" w:type="dxa"/>
            </w:tcMar>
            <w:vAlign w:val="bottom"/>
          </w:tcPr>
          <w:p w14:paraId="7DD010BE" w14:textId="77777777" w:rsidR="00C1563E" w:rsidRDefault="000B648B">
            <w:pPr>
              <w:textAlignment w:val="bottom"/>
            </w:pPr>
            <w:r>
              <w:rPr>
                <w:rFonts w:ascii="Times New Roman" w:eastAsia="宋体" w:hAnsi="Times New Roman"/>
                <w:i/>
                <w:iCs/>
                <w:color w:val="000000"/>
                <w:sz w:val="20"/>
                <w:szCs w:val="20"/>
              </w:rPr>
              <w:t>Denominator: DHI Group weighted-average shares outstanding</w:t>
            </w:r>
          </w:p>
        </w:tc>
        <w:tc>
          <w:tcPr>
            <w:tcW w:w="0" w:type="auto"/>
            <w:gridSpan w:val="3"/>
            <w:shd w:val="clear" w:color="auto" w:fill="CCEEFF"/>
            <w:tcMar>
              <w:top w:w="0" w:type="dxa"/>
              <w:left w:w="20" w:type="dxa"/>
              <w:bottom w:w="0" w:type="dxa"/>
              <w:right w:w="20" w:type="dxa"/>
            </w:tcMar>
          </w:tcPr>
          <w:p w14:paraId="7DD010BF" w14:textId="77777777" w:rsidR="00C1563E" w:rsidRDefault="00C1563E">
            <w:pPr>
              <w:rPr>
                <w:rFonts w:ascii="宋体"/>
              </w:rPr>
            </w:pPr>
          </w:p>
        </w:tc>
      </w:tr>
      <w:tr w:rsidR="00C1563E" w14:paraId="7DD010C4" w14:textId="77777777">
        <w:tc>
          <w:tcPr>
            <w:tcW w:w="0" w:type="auto"/>
            <w:gridSpan w:val="3"/>
            <w:shd w:val="clear" w:color="auto" w:fill="FFFFFF"/>
            <w:tcMar>
              <w:top w:w="40" w:type="dxa"/>
              <w:left w:w="20" w:type="dxa"/>
              <w:bottom w:w="40" w:type="dxa"/>
              <w:right w:w="20" w:type="dxa"/>
            </w:tcMar>
            <w:vAlign w:val="bottom"/>
          </w:tcPr>
          <w:p w14:paraId="7DD010C1"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 (e)</w:t>
            </w:r>
          </w:p>
        </w:tc>
        <w:tc>
          <w:tcPr>
            <w:tcW w:w="0" w:type="auto"/>
            <w:gridSpan w:val="2"/>
            <w:shd w:val="clear" w:color="auto" w:fill="FFFFFF"/>
            <w:tcMar>
              <w:top w:w="40" w:type="dxa"/>
              <w:left w:w="20" w:type="dxa"/>
              <w:bottom w:w="40" w:type="dxa"/>
              <w:right w:w="0" w:type="dxa"/>
            </w:tcMar>
            <w:vAlign w:val="bottom"/>
          </w:tcPr>
          <w:p w14:paraId="7DD010C2"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7DD010C3" w14:textId="77777777" w:rsidR="00C1563E" w:rsidRDefault="00C1563E">
            <w:pPr>
              <w:jc w:val="right"/>
              <w:rPr>
                <w:rFonts w:ascii="宋体"/>
              </w:rPr>
            </w:pPr>
          </w:p>
        </w:tc>
      </w:tr>
      <w:tr w:rsidR="00C1563E" w14:paraId="7DD010C8" w14:textId="77777777">
        <w:tc>
          <w:tcPr>
            <w:tcW w:w="0" w:type="auto"/>
            <w:gridSpan w:val="3"/>
            <w:shd w:val="clear" w:color="auto" w:fill="CCEEFF"/>
            <w:tcMar>
              <w:top w:w="40" w:type="dxa"/>
              <w:left w:w="245" w:type="dxa"/>
              <w:bottom w:w="40" w:type="dxa"/>
              <w:right w:w="20" w:type="dxa"/>
            </w:tcMar>
            <w:vAlign w:val="bottom"/>
          </w:tcPr>
          <w:p w14:paraId="7DD010C5" w14:textId="77777777" w:rsidR="00C1563E" w:rsidRDefault="000B648B">
            <w:pPr>
              <w:textAlignment w:val="bottom"/>
            </w:pPr>
            <w:r>
              <w:rPr>
                <w:rFonts w:ascii="Times New Roman" w:eastAsia="宋体" w:hAnsi="Times New Roman"/>
                <w:color w:val="000000"/>
                <w:sz w:val="20"/>
                <w:szCs w:val="20"/>
              </w:rPr>
              <w:t xml:space="preserve">Dilutive effect of options, restricted stock units, restricted stock, and </w:t>
            </w: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10C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0C7" w14:textId="77777777" w:rsidR="00C1563E" w:rsidRDefault="00C1563E">
            <w:pPr>
              <w:jc w:val="right"/>
              <w:rPr>
                <w:rFonts w:ascii="宋体"/>
              </w:rPr>
            </w:pPr>
          </w:p>
        </w:tc>
      </w:tr>
      <w:tr w:rsidR="00C1563E" w14:paraId="7DD010CC" w14:textId="77777777">
        <w:tc>
          <w:tcPr>
            <w:tcW w:w="0" w:type="auto"/>
            <w:gridSpan w:val="3"/>
            <w:shd w:val="clear" w:color="auto" w:fill="FFFFFF"/>
            <w:tcMar>
              <w:top w:w="40" w:type="dxa"/>
              <w:left w:w="20" w:type="dxa"/>
              <w:bottom w:w="40" w:type="dxa"/>
              <w:right w:w="20" w:type="dxa"/>
            </w:tcMar>
            <w:vAlign w:val="bottom"/>
          </w:tcPr>
          <w:p w14:paraId="7DD010C9"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0CA" w14:textId="77777777" w:rsidR="00C1563E" w:rsidRDefault="000B648B">
            <w:pPr>
              <w:jc w:val="right"/>
              <w:textAlignment w:val="bottom"/>
            </w:pPr>
            <w:r>
              <w:rPr>
                <w:rFonts w:ascii="Times New Roman" w:eastAsia="宋体" w:hAnsi="Times New Roman"/>
                <w:color w:val="000000"/>
                <w:sz w:val="20"/>
                <w:szCs w:val="20"/>
              </w:rPr>
              <w:t>582 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0CB" w14:textId="77777777" w:rsidR="00C1563E" w:rsidRDefault="00C1563E">
            <w:pPr>
              <w:jc w:val="right"/>
              <w:rPr>
                <w:rFonts w:ascii="宋体"/>
              </w:rPr>
            </w:pPr>
          </w:p>
        </w:tc>
      </w:tr>
      <w:tr w:rsidR="00C1563E" w14:paraId="7DD010D0" w14:textId="77777777">
        <w:tc>
          <w:tcPr>
            <w:tcW w:w="0" w:type="auto"/>
            <w:gridSpan w:val="3"/>
            <w:shd w:val="clear" w:color="auto" w:fill="CCEEFF"/>
            <w:tcMar>
              <w:top w:w="40" w:type="dxa"/>
              <w:left w:w="20" w:type="dxa"/>
              <w:bottom w:w="40" w:type="dxa"/>
              <w:right w:w="20" w:type="dxa"/>
            </w:tcMar>
            <w:vAlign w:val="bottom"/>
          </w:tcPr>
          <w:p w14:paraId="7DD010CD" w14:textId="77777777" w:rsidR="00C1563E" w:rsidRDefault="000B648B">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 (f)</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10CE" w14:textId="77777777" w:rsidR="00C1563E" w:rsidRDefault="000B648B">
            <w:pPr>
              <w:jc w:val="right"/>
              <w:textAlignment w:val="bottom"/>
            </w:pPr>
            <w:r>
              <w:rPr>
                <w:rFonts w:ascii="Times New Roman" w:eastAsia="宋体" w:hAnsi="Times New Roman"/>
                <w:color w:val="000000"/>
                <w:sz w:val="20"/>
                <w:szCs w:val="20"/>
              </w:rPr>
              <w:t>44 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10CF" w14:textId="77777777" w:rsidR="00C1563E" w:rsidRDefault="00C1563E">
            <w:pPr>
              <w:jc w:val="right"/>
              <w:rPr>
                <w:rFonts w:ascii="宋体"/>
              </w:rPr>
            </w:pPr>
          </w:p>
        </w:tc>
      </w:tr>
    </w:tbl>
    <w:p w14:paraId="7DD010D1" w14:textId="77777777" w:rsidR="00C1563E" w:rsidRDefault="000B648B">
      <w:r>
        <w:rPr>
          <w:rFonts w:ascii="Times New Roman" w:eastAsia="宋体" w:hAnsi="Times New Roman"/>
          <w:color w:val="000000"/>
          <w:sz w:val="20"/>
          <w:szCs w:val="20"/>
        </w:rPr>
        <w:t>____________________</w:t>
      </w:r>
    </w:p>
    <w:p w14:paraId="7DD010D2" w14:textId="77777777" w:rsidR="00C1563E" w:rsidRDefault="000B648B">
      <w:pPr>
        <w:ind w:hanging="360"/>
      </w:pPr>
      <w:r>
        <w:rPr>
          <w:rFonts w:ascii="Times New Roman" w:eastAsia="宋体" w:hAnsi="Times New Roman"/>
          <w:color w:val="000000"/>
          <w:sz w:val="20"/>
          <w:szCs w:val="20"/>
        </w:rPr>
        <w:t xml:space="preserve">(a)For the fiscal year ended February 1, 2019, net income attributable to the Class V Common Stock - </w:t>
      </w:r>
      <w:r>
        <w:rPr>
          <w:rFonts w:ascii="Times New Roman" w:eastAsia="宋体" w:hAnsi="Times New Roman"/>
          <w:color w:val="000000"/>
          <w:sz w:val="20"/>
          <w:szCs w:val="20"/>
        </w:rPr>
        <w:t>basic represents net income attributable to the Class V Group for the period ended December 27, 2018, the last date on which the Class V Common Stock was traded on the NYSE.</w:t>
      </w:r>
    </w:p>
    <w:p w14:paraId="7DD010D3" w14:textId="77777777" w:rsidR="00C1563E" w:rsidRDefault="000B648B">
      <w:pPr>
        <w:ind w:hanging="360"/>
      </w:pPr>
      <w:r>
        <w:rPr>
          <w:rFonts w:ascii="Times New Roman" w:eastAsia="宋体" w:hAnsi="Times New Roman"/>
          <w:color w:val="000000"/>
          <w:sz w:val="20"/>
          <w:szCs w:val="20"/>
        </w:rPr>
        <w:t>(b)The incremental dilution from VMware, Inc. represents the impact of VMware, Inc</w:t>
      </w:r>
      <w:r>
        <w:rPr>
          <w:rFonts w:ascii="Times New Roman" w:eastAsia="宋体" w:hAnsi="Times New Roman"/>
          <w:color w:val="000000"/>
          <w:sz w:val="20"/>
          <w:szCs w:val="20"/>
        </w:rPr>
        <w:t>.’s dilutive securities on the diluted earnings (loss) per share of the DHI Group and the Class V Common Stock, respectively, and is calculated by multiplying the difference between VMware, Inc.’s basic and diluted earnings (loss) per share by the number o</w:t>
      </w:r>
      <w:r>
        <w:rPr>
          <w:rFonts w:ascii="Times New Roman" w:eastAsia="宋体" w:hAnsi="Times New Roman"/>
          <w:color w:val="000000"/>
          <w:sz w:val="20"/>
          <w:szCs w:val="20"/>
        </w:rPr>
        <w:t>f shares of VMware, Inc. common stock held by the Company.</w:t>
      </w:r>
    </w:p>
    <w:p w14:paraId="7DD010D4" w14:textId="77777777" w:rsidR="00C1563E" w:rsidRDefault="000B648B">
      <w:pPr>
        <w:ind w:hanging="360"/>
      </w:pPr>
      <w:r>
        <w:rPr>
          <w:rFonts w:ascii="Times New Roman" w:eastAsia="宋体" w:hAnsi="Times New Roman"/>
          <w:color w:val="000000"/>
          <w:sz w:val="20"/>
          <w:szCs w:val="20"/>
        </w:rPr>
        <w:t xml:space="preserve">(c)For the fiscal year ended February 1, 2019, the Class V Common Stock weighted-average shares outstanding - basic represents the weighted-average for the period ended December 27, 2018, the last </w:t>
      </w:r>
      <w:r>
        <w:rPr>
          <w:rFonts w:ascii="Times New Roman" w:eastAsia="宋体" w:hAnsi="Times New Roman"/>
          <w:color w:val="000000"/>
          <w:sz w:val="20"/>
          <w:szCs w:val="20"/>
        </w:rPr>
        <w:t>date on which the Class V Common Stock was traded on the NYSE.</w:t>
      </w:r>
    </w:p>
    <w:p w14:paraId="7DD010D5" w14:textId="77777777" w:rsidR="00C1563E" w:rsidRDefault="000B648B">
      <w:pPr>
        <w:ind w:hanging="360"/>
      </w:pPr>
      <w:r>
        <w:rPr>
          <w:rFonts w:ascii="Times New Roman" w:eastAsia="宋体" w:hAnsi="Times New Roman"/>
          <w:color w:val="000000"/>
          <w:sz w:val="20"/>
          <w:szCs w:val="20"/>
        </w:rPr>
        <w:t>(d)The dilutive effect of Class V Common Stock-based incentive awards was not material to the calculation of the weighted-average Class V Common Stock shares outstanding. The antidilutive effec</w:t>
      </w:r>
      <w:r>
        <w:rPr>
          <w:rFonts w:ascii="Times New Roman" w:eastAsia="宋体" w:hAnsi="Times New Roman"/>
          <w:color w:val="000000"/>
          <w:sz w:val="20"/>
          <w:szCs w:val="20"/>
        </w:rPr>
        <w:t>t of these awards was also not material.</w:t>
      </w:r>
    </w:p>
    <w:p w14:paraId="7DD010D6" w14:textId="77777777" w:rsidR="00C1563E" w:rsidRDefault="000B648B">
      <w:pPr>
        <w:ind w:hanging="360"/>
      </w:pPr>
      <w:r>
        <w:rPr>
          <w:rFonts w:ascii="Times New Roman" w:eastAsia="宋体" w:hAnsi="Times New Roman"/>
          <w:color w:val="000000"/>
          <w:sz w:val="20"/>
          <w:szCs w:val="20"/>
        </w:rPr>
        <w:t xml:space="preserve">(e)For the fiscal year ended February 1, 2019, the DHI Group weighted-average shares outstanding - basic represents the weighted-average shares over the twelve month period, with the Class C shares weighted for the </w:t>
      </w:r>
      <w:r>
        <w:rPr>
          <w:rFonts w:ascii="Times New Roman" w:eastAsia="宋体" w:hAnsi="Times New Roman"/>
          <w:color w:val="000000"/>
          <w:sz w:val="20"/>
          <w:szCs w:val="20"/>
        </w:rPr>
        <w:t xml:space="preserve">number of days outstanding before and after the completion of the Class V transaction. </w:t>
      </w:r>
    </w:p>
    <w:p w14:paraId="7DD010D7" w14:textId="77777777" w:rsidR="00C1563E" w:rsidRDefault="000B648B">
      <w:pPr>
        <w:ind w:hanging="360"/>
      </w:pPr>
      <w:r>
        <w:rPr>
          <w:rFonts w:ascii="Times New Roman" w:eastAsia="宋体" w:hAnsi="Times New Roman"/>
          <w:color w:val="000000"/>
          <w:sz w:val="20"/>
          <w:szCs w:val="20"/>
        </w:rPr>
        <w:t xml:space="preserve">(f)Stock-based incentive awards have been excluded from the calculation of the DHI Group’s diluted loss per share because their effect would have been antidilutive, as </w:t>
      </w:r>
      <w:r>
        <w:rPr>
          <w:rFonts w:ascii="Times New Roman" w:eastAsia="宋体" w:hAnsi="Times New Roman"/>
          <w:color w:val="000000"/>
          <w:sz w:val="20"/>
          <w:szCs w:val="20"/>
        </w:rPr>
        <w:t>the Company had a net loss attributable to the DHI Group for the period presented.</w:t>
      </w:r>
    </w:p>
    <w:p w14:paraId="7DD010D8" w14:textId="77777777" w:rsidR="00C1563E" w:rsidRDefault="00C1563E">
      <w:pPr>
        <w:jc w:val="center"/>
      </w:pPr>
    </w:p>
    <w:p w14:paraId="7DD010D9" w14:textId="77777777" w:rsidR="00C1563E" w:rsidRDefault="000B648B">
      <w:pPr>
        <w:jc w:val="center"/>
      </w:pPr>
      <w:r>
        <w:rPr>
          <w:rFonts w:ascii="Times New Roman" w:eastAsia="宋体" w:hAnsi="Times New Roman"/>
          <w:color w:val="000000"/>
          <w:sz w:val="20"/>
          <w:szCs w:val="20"/>
        </w:rPr>
        <w:t>142</w:t>
      </w:r>
    </w:p>
    <w:p w14:paraId="7DD010DA" w14:textId="77777777" w:rsidR="00C1563E" w:rsidRDefault="00C1563E">
      <w:pPr>
        <w:jc w:val="center"/>
      </w:pPr>
    </w:p>
    <w:p w14:paraId="7DD010DB" w14:textId="77777777" w:rsidR="00C1563E" w:rsidRDefault="000B648B">
      <w:r>
        <w:pict w14:anchorId="7DD025F8">
          <v:rect id="_x0000_i1166" style="width:415.3pt;height:1.5pt" o:hralign="center" o:hrstd="t" o:hr="t" fillcolor="#a0a0a0" stroked="f"/>
        </w:pict>
      </w:r>
    </w:p>
    <w:p w14:paraId="7DD010DC" w14:textId="77777777" w:rsidR="00C1563E" w:rsidRDefault="000B648B">
      <w:hyperlink r:id="rId325" w:anchor="i418e32e4a35149ffbf7d3a25d66881b8_10"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7DD010DD" w14:textId="77777777" w:rsidR="00C1563E" w:rsidRDefault="000B648B">
      <w:pPr>
        <w:spacing w:after="120"/>
      </w:pPr>
      <w:r>
        <w:rPr>
          <w:rFonts w:ascii="Times New Roman" w:eastAsia="宋体" w:hAnsi="Times New Roman"/>
          <w:color w:val="000000"/>
          <w:sz w:val="20"/>
          <w:szCs w:val="20"/>
        </w:rPr>
        <w:t>The income allocation and earnings per share for the fiscal year ended February 1, 2019 were not impacted by the acquisition of Pivotal by VMware, Inc., because shares of Class V Common Stock were no longer outstanding. The following table presents a summa</w:t>
      </w:r>
      <w:r>
        <w:rPr>
          <w:rFonts w:ascii="Times New Roman" w:eastAsia="宋体" w:hAnsi="Times New Roman"/>
          <w:color w:val="000000"/>
          <w:sz w:val="20"/>
          <w:szCs w:val="20"/>
        </w:rPr>
        <w:t xml:space="preserve">ry of the net loss attributable to Dell Technologies Inc. for the period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2"/>
        <w:gridCol w:w="37"/>
        <w:gridCol w:w="121"/>
        <w:gridCol w:w="1498"/>
        <w:gridCol w:w="37"/>
      </w:tblGrid>
      <w:tr w:rsidR="00C1563E" w14:paraId="7DD010E4" w14:textId="77777777">
        <w:trPr>
          <w:jc w:val="center"/>
        </w:trPr>
        <w:tc>
          <w:tcPr>
            <w:tcW w:w="50" w:type="pct"/>
            <w:shd w:val="clear" w:color="auto" w:fill="auto"/>
          </w:tcPr>
          <w:p w14:paraId="7DD010DE" w14:textId="77777777" w:rsidR="00C1563E" w:rsidRDefault="00C1563E">
            <w:pPr>
              <w:rPr>
                <w:rFonts w:ascii="宋体"/>
              </w:rPr>
            </w:pPr>
          </w:p>
        </w:tc>
        <w:tc>
          <w:tcPr>
            <w:tcW w:w="3972" w:type="pct"/>
            <w:shd w:val="clear" w:color="auto" w:fill="auto"/>
          </w:tcPr>
          <w:p w14:paraId="7DD010DF" w14:textId="77777777" w:rsidR="00C1563E" w:rsidRDefault="00C1563E">
            <w:pPr>
              <w:rPr>
                <w:rFonts w:ascii="宋体"/>
              </w:rPr>
            </w:pPr>
          </w:p>
        </w:tc>
        <w:tc>
          <w:tcPr>
            <w:tcW w:w="5" w:type="pct"/>
            <w:shd w:val="clear" w:color="auto" w:fill="auto"/>
          </w:tcPr>
          <w:p w14:paraId="7DD010E0" w14:textId="77777777" w:rsidR="00C1563E" w:rsidRDefault="00C1563E">
            <w:pPr>
              <w:rPr>
                <w:rFonts w:ascii="宋体"/>
              </w:rPr>
            </w:pPr>
          </w:p>
        </w:tc>
        <w:tc>
          <w:tcPr>
            <w:tcW w:w="50" w:type="pct"/>
            <w:shd w:val="clear" w:color="auto" w:fill="auto"/>
          </w:tcPr>
          <w:p w14:paraId="7DD010E1" w14:textId="77777777" w:rsidR="00C1563E" w:rsidRDefault="00C1563E">
            <w:pPr>
              <w:rPr>
                <w:rFonts w:ascii="宋体"/>
              </w:rPr>
            </w:pPr>
          </w:p>
        </w:tc>
        <w:tc>
          <w:tcPr>
            <w:tcW w:w="917" w:type="pct"/>
            <w:shd w:val="clear" w:color="auto" w:fill="auto"/>
          </w:tcPr>
          <w:p w14:paraId="7DD010E2" w14:textId="77777777" w:rsidR="00C1563E" w:rsidRDefault="00C1563E">
            <w:pPr>
              <w:rPr>
                <w:rFonts w:ascii="宋体"/>
              </w:rPr>
            </w:pPr>
          </w:p>
        </w:tc>
        <w:tc>
          <w:tcPr>
            <w:tcW w:w="5" w:type="pct"/>
            <w:shd w:val="clear" w:color="auto" w:fill="auto"/>
          </w:tcPr>
          <w:p w14:paraId="7DD010E3" w14:textId="77777777" w:rsidR="00C1563E" w:rsidRDefault="00C1563E">
            <w:pPr>
              <w:rPr>
                <w:rFonts w:ascii="宋体"/>
              </w:rPr>
            </w:pPr>
          </w:p>
        </w:tc>
      </w:tr>
      <w:tr w:rsidR="00C1563E" w14:paraId="7DD010E7" w14:textId="77777777">
        <w:trPr>
          <w:jc w:val="center"/>
        </w:trPr>
        <w:tc>
          <w:tcPr>
            <w:tcW w:w="0" w:type="auto"/>
            <w:gridSpan w:val="3"/>
            <w:shd w:val="clear" w:color="auto" w:fill="auto"/>
            <w:tcMar>
              <w:top w:w="0" w:type="dxa"/>
              <w:left w:w="20" w:type="dxa"/>
              <w:bottom w:w="0" w:type="dxa"/>
              <w:right w:w="20" w:type="dxa"/>
            </w:tcMar>
          </w:tcPr>
          <w:p w14:paraId="7DD010E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0E6"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0EA" w14:textId="77777777">
        <w:trPr>
          <w:jc w:val="center"/>
        </w:trPr>
        <w:tc>
          <w:tcPr>
            <w:tcW w:w="0" w:type="auto"/>
            <w:gridSpan w:val="3"/>
            <w:shd w:val="clear" w:color="auto" w:fill="auto"/>
            <w:tcMar>
              <w:top w:w="0" w:type="dxa"/>
              <w:left w:w="20" w:type="dxa"/>
              <w:bottom w:w="0" w:type="dxa"/>
              <w:right w:w="20" w:type="dxa"/>
            </w:tcMar>
          </w:tcPr>
          <w:p w14:paraId="7DD010E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0E9"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0ED" w14:textId="77777777">
        <w:trPr>
          <w:jc w:val="center"/>
        </w:trPr>
        <w:tc>
          <w:tcPr>
            <w:tcW w:w="0" w:type="auto"/>
            <w:gridSpan w:val="3"/>
            <w:shd w:val="clear" w:color="auto" w:fill="auto"/>
            <w:tcMar>
              <w:top w:w="0" w:type="dxa"/>
              <w:left w:w="20" w:type="dxa"/>
              <w:bottom w:w="0" w:type="dxa"/>
              <w:right w:w="20" w:type="dxa"/>
            </w:tcMar>
          </w:tcPr>
          <w:p w14:paraId="7DD010E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0E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0F2" w14:textId="77777777">
        <w:trPr>
          <w:jc w:val="center"/>
        </w:trPr>
        <w:tc>
          <w:tcPr>
            <w:tcW w:w="0" w:type="auto"/>
            <w:gridSpan w:val="3"/>
            <w:shd w:val="clear" w:color="auto" w:fill="CCEEFF"/>
            <w:tcMar>
              <w:top w:w="40" w:type="dxa"/>
              <w:left w:w="20" w:type="dxa"/>
              <w:bottom w:w="40" w:type="dxa"/>
              <w:right w:w="20" w:type="dxa"/>
            </w:tcMar>
            <w:vAlign w:val="bottom"/>
          </w:tcPr>
          <w:p w14:paraId="7DD010EE" w14:textId="77777777" w:rsidR="00C1563E" w:rsidRDefault="000B648B">
            <w:pPr>
              <w:textAlignment w:val="bottom"/>
            </w:pPr>
            <w:r>
              <w:rPr>
                <w:rFonts w:ascii="Times New Roman" w:eastAsia="宋体" w:hAnsi="Times New Roman"/>
                <w:color w:val="000000"/>
                <w:sz w:val="20"/>
                <w:szCs w:val="20"/>
              </w:rPr>
              <w:t>Net income attributable to Class V Common Stock</w:t>
            </w:r>
          </w:p>
        </w:tc>
        <w:tc>
          <w:tcPr>
            <w:tcW w:w="0" w:type="auto"/>
            <w:shd w:val="clear" w:color="auto" w:fill="CCEEFF"/>
            <w:tcMar>
              <w:top w:w="40" w:type="dxa"/>
              <w:left w:w="20" w:type="dxa"/>
              <w:bottom w:w="40" w:type="dxa"/>
              <w:right w:w="0" w:type="dxa"/>
            </w:tcMar>
            <w:vAlign w:val="bottom"/>
          </w:tcPr>
          <w:p w14:paraId="7DD010E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0F0" w14:textId="77777777" w:rsidR="00C1563E" w:rsidRDefault="000B648B">
            <w:pPr>
              <w:jc w:val="right"/>
              <w:textAlignment w:val="bottom"/>
            </w:pPr>
            <w:r>
              <w:rPr>
                <w:rFonts w:ascii="Times New Roman" w:eastAsia="宋体" w:hAnsi="Times New Roman"/>
                <w:color w:val="000000"/>
                <w:sz w:val="20"/>
                <w:szCs w:val="20"/>
              </w:rPr>
              <w:t>1,195 </w:t>
            </w:r>
          </w:p>
        </w:tc>
        <w:tc>
          <w:tcPr>
            <w:tcW w:w="0" w:type="auto"/>
            <w:shd w:val="clear" w:color="auto" w:fill="CCEEFF"/>
            <w:tcMar>
              <w:top w:w="40" w:type="dxa"/>
              <w:left w:w="0" w:type="dxa"/>
              <w:bottom w:w="40" w:type="dxa"/>
              <w:right w:w="20" w:type="dxa"/>
            </w:tcMar>
            <w:vAlign w:val="bottom"/>
          </w:tcPr>
          <w:p w14:paraId="7DD010F1" w14:textId="77777777" w:rsidR="00C1563E" w:rsidRDefault="00C1563E">
            <w:pPr>
              <w:jc w:val="right"/>
              <w:rPr>
                <w:rFonts w:ascii="宋体"/>
              </w:rPr>
            </w:pPr>
          </w:p>
        </w:tc>
      </w:tr>
      <w:tr w:rsidR="00C1563E" w14:paraId="7DD010F6" w14:textId="77777777">
        <w:trPr>
          <w:jc w:val="center"/>
        </w:trPr>
        <w:tc>
          <w:tcPr>
            <w:tcW w:w="0" w:type="auto"/>
            <w:gridSpan w:val="3"/>
            <w:shd w:val="clear" w:color="auto" w:fill="FFFFFF"/>
            <w:tcMar>
              <w:top w:w="40" w:type="dxa"/>
              <w:left w:w="20" w:type="dxa"/>
              <w:bottom w:w="40" w:type="dxa"/>
              <w:right w:w="20" w:type="dxa"/>
            </w:tcMar>
            <w:vAlign w:val="bottom"/>
          </w:tcPr>
          <w:p w14:paraId="7DD010F3" w14:textId="77777777" w:rsidR="00C1563E" w:rsidRDefault="000B648B">
            <w:pPr>
              <w:textAlignment w:val="bottom"/>
            </w:pPr>
            <w:r>
              <w:rPr>
                <w:rFonts w:ascii="Times New Roman" w:eastAsia="宋体" w:hAnsi="Times New Roman"/>
                <w:color w:val="000000"/>
                <w:sz w:val="20"/>
                <w:szCs w:val="20"/>
              </w:rPr>
              <w:t>Net loss attributable to DHI Group</w:t>
            </w:r>
          </w:p>
        </w:tc>
        <w:tc>
          <w:tcPr>
            <w:tcW w:w="0" w:type="auto"/>
            <w:gridSpan w:val="2"/>
            <w:shd w:val="clear" w:color="auto" w:fill="FFFFFF"/>
            <w:tcMar>
              <w:top w:w="40" w:type="dxa"/>
              <w:left w:w="20" w:type="dxa"/>
              <w:bottom w:w="40" w:type="dxa"/>
              <w:right w:w="0" w:type="dxa"/>
            </w:tcMar>
            <w:vAlign w:val="bottom"/>
          </w:tcPr>
          <w:p w14:paraId="7DD010F4" w14:textId="77777777" w:rsidR="00C1563E" w:rsidRDefault="000B648B">
            <w:pPr>
              <w:jc w:val="right"/>
              <w:textAlignment w:val="bottom"/>
            </w:pPr>
            <w:r>
              <w:rPr>
                <w:rFonts w:ascii="Times New Roman" w:eastAsia="宋体" w:hAnsi="Times New Roman"/>
                <w:color w:val="000000"/>
                <w:sz w:val="20"/>
                <w:szCs w:val="20"/>
              </w:rPr>
              <w:t>(3,505)</w:t>
            </w:r>
          </w:p>
        </w:tc>
        <w:tc>
          <w:tcPr>
            <w:tcW w:w="0" w:type="auto"/>
            <w:shd w:val="clear" w:color="auto" w:fill="FFFFFF"/>
            <w:tcMar>
              <w:top w:w="40" w:type="dxa"/>
              <w:left w:w="0" w:type="dxa"/>
              <w:bottom w:w="40" w:type="dxa"/>
              <w:right w:w="20" w:type="dxa"/>
            </w:tcMar>
            <w:vAlign w:val="bottom"/>
          </w:tcPr>
          <w:p w14:paraId="7DD010F5" w14:textId="77777777" w:rsidR="00C1563E" w:rsidRDefault="00C1563E">
            <w:pPr>
              <w:jc w:val="right"/>
              <w:rPr>
                <w:rFonts w:ascii="宋体"/>
              </w:rPr>
            </w:pPr>
          </w:p>
        </w:tc>
      </w:tr>
      <w:tr w:rsidR="00C1563E" w14:paraId="7DD010FB" w14:textId="77777777">
        <w:trPr>
          <w:jc w:val="center"/>
        </w:trPr>
        <w:tc>
          <w:tcPr>
            <w:tcW w:w="0" w:type="auto"/>
            <w:gridSpan w:val="3"/>
            <w:shd w:val="clear" w:color="auto" w:fill="CCEEFF"/>
            <w:tcMar>
              <w:top w:w="40" w:type="dxa"/>
              <w:left w:w="245" w:type="dxa"/>
              <w:bottom w:w="40" w:type="dxa"/>
              <w:right w:w="20" w:type="dxa"/>
            </w:tcMar>
            <w:vAlign w:val="bottom"/>
          </w:tcPr>
          <w:p w14:paraId="7DD010F7" w14:textId="77777777" w:rsidR="00C1563E" w:rsidRDefault="000B648B">
            <w:pPr>
              <w:textAlignment w:val="bottom"/>
            </w:pPr>
            <w:r>
              <w:rPr>
                <w:rFonts w:ascii="Times New Roman" w:eastAsia="宋体" w:hAnsi="Times New Roman"/>
                <w:color w:val="000000"/>
                <w:sz w:val="20"/>
                <w:szCs w:val="20"/>
              </w:rPr>
              <w:t>Net loss attributable to Dell Technologies Inc.</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0F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0F9" w14:textId="77777777" w:rsidR="00C1563E" w:rsidRDefault="000B648B">
            <w:pPr>
              <w:jc w:val="right"/>
              <w:textAlignment w:val="bottom"/>
            </w:pPr>
            <w:r>
              <w:rPr>
                <w:rFonts w:ascii="Times New Roman" w:eastAsia="宋体" w:hAnsi="Times New Roman"/>
                <w:color w:val="000000"/>
                <w:sz w:val="20"/>
                <w:szCs w:val="20"/>
              </w:rPr>
              <w:t>(2,310)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0FA" w14:textId="77777777" w:rsidR="00C1563E" w:rsidRDefault="00C1563E">
            <w:pPr>
              <w:jc w:val="right"/>
              <w:rPr>
                <w:rFonts w:ascii="宋体"/>
              </w:rPr>
            </w:pPr>
          </w:p>
        </w:tc>
      </w:tr>
    </w:tbl>
    <w:p w14:paraId="7DD010FC" w14:textId="77777777" w:rsidR="00C1563E" w:rsidRDefault="00C1563E"/>
    <w:p w14:paraId="7DD010FD" w14:textId="77777777" w:rsidR="00C1563E" w:rsidRDefault="000B648B">
      <w:pPr>
        <w:spacing w:after="120"/>
      </w:pPr>
      <w:r>
        <w:rPr>
          <w:rFonts w:ascii="Times New Roman" w:eastAsia="宋体" w:hAnsi="Times New Roman"/>
          <w:color w:val="000000"/>
          <w:sz w:val="20"/>
          <w:szCs w:val="20"/>
        </w:rPr>
        <w:t>The following table presents the basis of allocation of net income attributable to the Class V Group for the period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617"/>
        <w:gridCol w:w="38"/>
        <w:gridCol w:w="121"/>
        <w:gridCol w:w="1472"/>
        <w:gridCol w:w="37"/>
      </w:tblGrid>
      <w:tr w:rsidR="00C1563E" w14:paraId="7DD01104" w14:textId="77777777">
        <w:trPr>
          <w:jc w:val="center"/>
        </w:trPr>
        <w:tc>
          <w:tcPr>
            <w:tcW w:w="50" w:type="pct"/>
            <w:shd w:val="clear" w:color="auto" w:fill="auto"/>
          </w:tcPr>
          <w:p w14:paraId="7DD010FE" w14:textId="77777777" w:rsidR="00C1563E" w:rsidRDefault="00C1563E">
            <w:pPr>
              <w:rPr>
                <w:rFonts w:ascii="宋体"/>
              </w:rPr>
            </w:pPr>
          </w:p>
        </w:tc>
        <w:tc>
          <w:tcPr>
            <w:tcW w:w="3987" w:type="pct"/>
            <w:shd w:val="clear" w:color="auto" w:fill="auto"/>
          </w:tcPr>
          <w:p w14:paraId="7DD010FF" w14:textId="77777777" w:rsidR="00C1563E" w:rsidRDefault="00C1563E">
            <w:pPr>
              <w:rPr>
                <w:rFonts w:ascii="宋体"/>
              </w:rPr>
            </w:pPr>
          </w:p>
        </w:tc>
        <w:tc>
          <w:tcPr>
            <w:tcW w:w="5" w:type="pct"/>
            <w:shd w:val="clear" w:color="auto" w:fill="auto"/>
          </w:tcPr>
          <w:p w14:paraId="7DD01100" w14:textId="77777777" w:rsidR="00C1563E" w:rsidRDefault="00C1563E">
            <w:pPr>
              <w:rPr>
                <w:rFonts w:ascii="宋体"/>
              </w:rPr>
            </w:pPr>
          </w:p>
        </w:tc>
        <w:tc>
          <w:tcPr>
            <w:tcW w:w="50" w:type="pct"/>
            <w:shd w:val="clear" w:color="auto" w:fill="auto"/>
          </w:tcPr>
          <w:p w14:paraId="7DD01101" w14:textId="77777777" w:rsidR="00C1563E" w:rsidRDefault="00C1563E">
            <w:pPr>
              <w:rPr>
                <w:rFonts w:ascii="宋体"/>
              </w:rPr>
            </w:pPr>
          </w:p>
        </w:tc>
        <w:tc>
          <w:tcPr>
            <w:tcW w:w="902" w:type="pct"/>
            <w:shd w:val="clear" w:color="auto" w:fill="auto"/>
          </w:tcPr>
          <w:p w14:paraId="7DD01102" w14:textId="77777777" w:rsidR="00C1563E" w:rsidRDefault="00C1563E">
            <w:pPr>
              <w:rPr>
                <w:rFonts w:ascii="宋体"/>
              </w:rPr>
            </w:pPr>
          </w:p>
        </w:tc>
        <w:tc>
          <w:tcPr>
            <w:tcW w:w="5" w:type="pct"/>
            <w:shd w:val="clear" w:color="auto" w:fill="auto"/>
          </w:tcPr>
          <w:p w14:paraId="7DD01103" w14:textId="77777777" w:rsidR="00C1563E" w:rsidRDefault="00C1563E">
            <w:pPr>
              <w:rPr>
                <w:rFonts w:ascii="宋体"/>
              </w:rPr>
            </w:pPr>
          </w:p>
        </w:tc>
      </w:tr>
      <w:tr w:rsidR="00C1563E" w14:paraId="7DD01107" w14:textId="77777777">
        <w:trPr>
          <w:jc w:val="center"/>
        </w:trPr>
        <w:tc>
          <w:tcPr>
            <w:tcW w:w="0" w:type="auto"/>
            <w:gridSpan w:val="3"/>
            <w:shd w:val="clear" w:color="auto" w:fill="auto"/>
            <w:tcMar>
              <w:top w:w="0" w:type="dxa"/>
              <w:left w:w="20" w:type="dxa"/>
              <w:bottom w:w="0" w:type="dxa"/>
              <w:right w:w="20" w:type="dxa"/>
            </w:tcMar>
          </w:tcPr>
          <w:p w14:paraId="7DD0110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106"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10A" w14:textId="77777777">
        <w:trPr>
          <w:jc w:val="center"/>
        </w:trPr>
        <w:tc>
          <w:tcPr>
            <w:tcW w:w="0" w:type="auto"/>
            <w:gridSpan w:val="3"/>
            <w:shd w:val="clear" w:color="auto" w:fill="auto"/>
            <w:tcMar>
              <w:top w:w="0" w:type="dxa"/>
              <w:left w:w="20" w:type="dxa"/>
              <w:bottom w:w="0" w:type="dxa"/>
              <w:right w:w="20" w:type="dxa"/>
            </w:tcMar>
          </w:tcPr>
          <w:p w14:paraId="7DD0110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109"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10D" w14:textId="77777777">
        <w:trPr>
          <w:jc w:val="center"/>
        </w:trPr>
        <w:tc>
          <w:tcPr>
            <w:tcW w:w="0" w:type="auto"/>
            <w:gridSpan w:val="3"/>
            <w:shd w:val="clear" w:color="auto" w:fill="auto"/>
            <w:tcMar>
              <w:top w:w="0" w:type="dxa"/>
              <w:left w:w="20" w:type="dxa"/>
              <w:bottom w:w="0" w:type="dxa"/>
              <w:right w:w="20" w:type="dxa"/>
            </w:tcMar>
          </w:tcPr>
          <w:p w14:paraId="7DD0110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10C" w14:textId="77777777" w:rsidR="00C1563E" w:rsidRDefault="000B648B">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C1563E" w14:paraId="7DD01112" w14:textId="77777777">
        <w:trPr>
          <w:jc w:val="center"/>
        </w:trPr>
        <w:tc>
          <w:tcPr>
            <w:tcW w:w="0" w:type="auto"/>
            <w:gridSpan w:val="3"/>
            <w:shd w:val="clear" w:color="auto" w:fill="CCEEFF"/>
            <w:tcMar>
              <w:top w:w="40" w:type="dxa"/>
              <w:left w:w="20" w:type="dxa"/>
              <w:bottom w:w="40" w:type="dxa"/>
              <w:right w:w="20" w:type="dxa"/>
            </w:tcMar>
            <w:vAlign w:val="bottom"/>
          </w:tcPr>
          <w:p w14:paraId="7DD0110E" w14:textId="77777777" w:rsidR="00C1563E" w:rsidRDefault="000B648B">
            <w:pPr>
              <w:textAlignment w:val="bottom"/>
            </w:pPr>
            <w:r>
              <w:rPr>
                <w:rFonts w:ascii="Times New Roman" w:eastAsia="宋体" w:hAnsi="Times New Roman"/>
                <w:color w:val="000000"/>
                <w:sz w:val="20"/>
                <w:szCs w:val="20"/>
              </w:rPr>
              <w:t>Net income attributable to VMware</w:t>
            </w:r>
          </w:p>
        </w:tc>
        <w:tc>
          <w:tcPr>
            <w:tcW w:w="0" w:type="auto"/>
            <w:shd w:val="clear" w:color="auto" w:fill="CCEEFF"/>
            <w:tcMar>
              <w:top w:w="40" w:type="dxa"/>
              <w:left w:w="20" w:type="dxa"/>
              <w:bottom w:w="40" w:type="dxa"/>
              <w:right w:w="0" w:type="dxa"/>
            </w:tcMar>
            <w:vAlign w:val="bottom"/>
          </w:tcPr>
          <w:p w14:paraId="7DD0110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110" w14:textId="77777777" w:rsidR="00C1563E" w:rsidRDefault="000B648B">
            <w:pPr>
              <w:jc w:val="right"/>
              <w:textAlignment w:val="bottom"/>
            </w:pPr>
            <w:r>
              <w:rPr>
                <w:rFonts w:ascii="Times New Roman" w:eastAsia="宋体" w:hAnsi="Times New Roman"/>
                <w:color w:val="000000"/>
                <w:sz w:val="20"/>
                <w:szCs w:val="20"/>
              </w:rPr>
              <w:t>2,422 </w:t>
            </w:r>
          </w:p>
        </w:tc>
        <w:tc>
          <w:tcPr>
            <w:tcW w:w="0" w:type="auto"/>
            <w:shd w:val="clear" w:color="auto" w:fill="CCEEFF"/>
            <w:tcMar>
              <w:top w:w="40" w:type="dxa"/>
              <w:left w:w="0" w:type="dxa"/>
              <w:bottom w:w="40" w:type="dxa"/>
              <w:right w:w="20" w:type="dxa"/>
            </w:tcMar>
            <w:vAlign w:val="bottom"/>
          </w:tcPr>
          <w:p w14:paraId="7DD01111" w14:textId="77777777" w:rsidR="00C1563E" w:rsidRDefault="00C1563E">
            <w:pPr>
              <w:jc w:val="right"/>
              <w:rPr>
                <w:rFonts w:ascii="宋体"/>
              </w:rPr>
            </w:pPr>
          </w:p>
        </w:tc>
      </w:tr>
      <w:tr w:rsidR="00C1563E" w14:paraId="7DD01116" w14:textId="77777777">
        <w:trPr>
          <w:jc w:val="center"/>
        </w:trPr>
        <w:tc>
          <w:tcPr>
            <w:tcW w:w="0" w:type="auto"/>
            <w:gridSpan w:val="3"/>
            <w:shd w:val="clear" w:color="auto" w:fill="FFFFFF"/>
            <w:tcMar>
              <w:top w:w="40" w:type="dxa"/>
              <w:left w:w="140" w:type="dxa"/>
              <w:bottom w:w="40" w:type="dxa"/>
              <w:right w:w="20" w:type="dxa"/>
            </w:tcMar>
            <w:vAlign w:val="bottom"/>
          </w:tcPr>
          <w:p w14:paraId="7DD01113" w14:textId="77777777" w:rsidR="00C1563E" w:rsidRDefault="000B648B">
            <w:pPr>
              <w:textAlignment w:val="bottom"/>
            </w:pPr>
            <w:r>
              <w:rPr>
                <w:rFonts w:ascii="Times New Roman" w:eastAsia="宋体" w:hAnsi="Times New Roman"/>
                <w:color w:val="000000"/>
                <w:sz w:val="20"/>
                <w:szCs w:val="20"/>
              </w:rPr>
              <w:t>Less: Net income attributable to VMware for the period from December 28, 2018 to February 1, 2019</w:t>
            </w:r>
          </w:p>
        </w:tc>
        <w:tc>
          <w:tcPr>
            <w:tcW w:w="0" w:type="auto"/>
            <w:gridSpan w:val="2"/>
            <w:shd w:val="clear" w:color="auto" w:fill="FFFFFF"/>
            <w:tcMar>
              <w:top w:w="40" w:type="dxa"/>
              <w:left w:w="20" w:type="dxa"/>
              <w:bottom w:w="40" w:type="dxa"/>
              <w:right w:w="0" w:type="dxa"/>
            </w:tcMar>
            <w:vAlign w:val="bottom"/>
          </w:tcPr>
          <w:p w14:paraId="7DD01114" w14:textId="77777777" w:rsidR="00C1563E" w:rsidRDefault="000B648B">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7DD01115" w14:textId="77777777" w:rsidR="00C1563E" w:rsidRDefault="00C1563E">
            <w:pPr>
              <w:jc w:val="right"/>
              <w:rPr>
                <w:rFonts w:ascii="宋体"/>
              </w:rPr>
            </w:pPr>
          </w:p>
        </w:tc>
      </w:tr>
      <w:tr w:rsidR="00C1563E" w14:paraId="7DD0111A" w14:textId="77777777">
        <w:trPr>
          <w:jc w:val="center"/>
        </w:trPr>
        <w:tc>
          <w:tcPr>
            <w:tcW w:w="0" w:type="auto"/>
            <w:gridSpan w:val="3"/>
            <w:shd w:val="clear" w:color="auto" w:fill="CCEEFF"/>
            <w:tcMar>
              <w:top w:w="40" w:type="dxa"/>
              <w:left w:w="140" w:type="dxa"/>
              <w:bottom w:w="40" w:type="dxa"/>
              <w:right w:w="20" w:type="dxa"/>
            </w:tcMar>
            <w:vAlign w:val="bottom"/>
          </w:tcPr>
          <w:p w14:paraId="7DD01117" w14:textId="77777777" w:rsidR="00C1563E" w:rsidRDefault="000B648B">
            <w:pPr>
              <w:textAlignment w:val="bottom"/>
            </w:pPr>
            <w:r>
              <w:rPr>
                <w:rFonts w:ascii="Times New Roman" w:eastAsia="宋体" w:hAnsi="Times New Roman"/>
                <w:color w:val="000000"/>
                <w:sz w:val="20"/>
                <w:szCs w:val="20"/>
              </w:rPr>
              <w:t>Less: Net income attributable to non-controlling interests</w:t>
            </w:r>
          </w:p>
        </w:tc>
        <w:tc>
          <w:tcPr>
            <w:tcW w:w="0" w:type="auto"/>
            <w:gridSpan w:val="2"/>
            <w:shd w:val="clear" w:color="auto" w:fill="CCEEFF"/>
            <w:tcMar>
              <w:top w:w="40" w:type="dxa"/>
              <w:left w:w="20" w:type="dxa"/>
              <w:bottom w:w="40" w:type="dxa"/>
              <w:right w:w="0" w:type="dxa"/>
            </w:tcMar>
            <w:vAlign w:val="bottom"/>
          </w:tcPr>
          <w:p w14:paraId="7DD01118" w14:textId="77777777" w:rsidR="00C1563E" w:rsidRDefault="000B648B">
            <w:pPr>
              <w:jc w:val="right"/>
              <w:textAlignment w:val="bottom"/>
            </w:pPr>
            <w:r>
              <w:rPr>
                <w:rFonts w:ascii="Times New Roman" w:eastAsia="宋体" w:hAnsi="Times New Roman"/>
                <w:color w:val="000000"/>
                <w:sz w:val="20"/>
                <w:szCs w:val="20"/>
              </w:rPr>
              <w:t>(452)</w:t>
            </w:r>
          </w:p>
        </w:tc>
        <w:tc>
          <w:tcPr>
            <w:tcW w:w="0" w:type="auto"/>
            <w:shd w:val="clear" w:color="auto" w:fill="CCEEFF"/>
            <w:tcMar>
              <w:top w:w="40" w:type="dxa"/>
              <w:left w:w="0" w:type="dxa"/>
              <w:bottom w:w="40" w:type="dxa"/>
              <w:right w:w="20" w:type="dxa"/>
            </w:tcMar>
            <w:vAlign w:val="bottom"/>
          </w:tcPr>
          <w:p w14:paraId="7DD01119" w14:textId="77777777" w:rsidR="00C1563E" w:rsidRDefault="00C1563E">
            <w:pPr>
              <w:jc w:val="right"/>
              <w:rPr>
                <w:rFonts w:ascii="宋体"/>
              </w:rPr>
            </w:pPr>
          </w:p>
        </w:tc>
      </w:tr>
      <w:tr w:rsidR="00C1563E" w14:paraId="7DD0111E" w14:textId="77777777">
        <w:trPr>
          <w:jc w:val="center"/>
        </w:trPr>
        <w:tc>
          <w:tcPr>
            <w:tcW w:w="0" w:type="auto"/>
            <w:gridSpan w:val="3"/>
            <w:shd w:val="clear" w:color="auto" w:fill="FFFFFF"/>
            <w:tcMar>
              <w:top w:w="40" w:type="dxa"/>
              <w:left w:w="20" w:type="dxa"/>
              <w:bottom w:w="40" w:type="dxa"/>
              <w:right w:w="20" w:type="dxa"/>
            </w:tcMar>
            <w:vAlign w:val="bottom"/>
          </w:tcPr>
          <w:p w14:paraId="7DD0111B" w14:textId="77777777" w:rsidR="00C1563E" w:rsidRDefault="000B648B">
            <w:pPr>
              <w:textAlignment w:val="bottom"/>
            </w:pPr>
            <w:r>
              <w:rPr>
                <w:rFonts w:ascii="Times New Roman" w:eastAsia="宋体" w:hAnsi="Times New Roman"/>
                <w:color w:val="000000"/>
                <w:sz w:val="20"/>
                <w:szCs w:val="20"/>
              </w:rPr>
              <w:t xml:space="preserve">Net income </w:t>
            </w:r>
            <w:r>
              <w:rPr>
                <w:rFonts w:ascii="Times New Roman" w:eastAsia="宋体" w:hAnsi="Times New Roman"/>
                <w:color w:val="000000"/>
                <w:sz w:val="20"/>
                <w:szCs w:val="20"/>
              </w:rPr>
              <w:t>attributable to Class V Group</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11C" w14:textId="77777777" w:rsidR="00C1563E" w:rsidRDefault="000B648B">
            <w:pPr>
              <w:jc w:val="right"/>
              <w:textAlignment w:val="bottom"/>
            </w:pPr>
            <w:r>
              <w:rPr>
                <w:rFonts w:ascii="Times New Roman" w:eastAsia="宋体" w:hAnsi="Times New Roman"/>
                <w:color w:val="000000"/>
                <w:sz w:val="20"/>
                <w:szCs w:val="20"/>
              </w:rPr>
              <w:t>1,955 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11D" w14:textId="77777777" w:rsidR="00C1563E" w:rsidRDefault="00C1563E">
            <w:pPr>
              <w:jc w:val="right"/>
              <w:rPr>
                <w:rFonts w:ascii="宋体"/>
              </w:rPr>
            </w:pPr>
          </w:p>
        </w:tc>
      </w:tr>
      <w:tr w:rsidR="00C1563E" w14:paraId="7DD01122" w14:textId="77777777">
        <w:trPr>
          <w:jc w:val="center"/>
        </w:trPr>
        <w:tc>
          <w:tcPr>
            <w:tcW w:w="0" w:type="auto"/>
            <w:gridSpan w:val="3"/>
            <w:shd w:val="clear" w:color="auto" w:fill="CCEEFF"/>
            <w:tcMar>
              <w:top w:w="40" w:type="dxa"/>
              <w:left w:w="20" w:type="dxa"/>
              <w:bottom w:w="40" w:type="dxa"/>
              <w:right w:w="20" w:type="dxa"/>
            </w:tcMar>
            <w:vAlign w:val="bottom"/>
          </w:tcPr>
          <w:p w14:paraId="7DD0111F" w14:textId="77777777" w:rsidR="00C1563E" w:rsidRDefault="000B648B">
            <w:pPr>
              <w:textAlignment w:val="bottom"/>
            </w:pPr>
            <w:r>
              <w:rPr>
                <w:rFonts w:ascii="Times New Roman" w:eastAsia="宋体" w:hAnsi="Times New Roman"/>
                <w:color w:val="000000"/>
                <w:sz w:val="20"/>
                <w:szCs w:val="20"/>
              </w:rPr>
              <w:t>Less: DHI Group's 38.90% weighted average retained interest in Class V Group</w:t>
            </w:r>
          </w:p>
        </w:tc>
        <w:tc>
          <w:tcPr>
            <w:tcW w:w="0" w:type="auto"/>
            <w:gridSpan w:val="2"/>
            <w:shd w:val="clear" w:color="auto" w:fill="CCEEFF"/>
            <w:tcMar>
              <w:top w:w="40" w:type="dxa"/>
              <w:left w:w="20" w:type="dxa"/>
              <w:bottom w:w="40" w:type="dxa"/>
              <w:right w:w="0" w:type="dxa"/>
            </w:tcMar>
            <w:vAlign w:val="bottom"/>
          </w:tcPr>
          <w:p w14:paraId="7DD01120" w14:textId="77777777" w:rsidR="00C1563E" w:rsidRDefault="000B648B">
            <w:pPr>
              <w:jc w:val="right"/>
              <w:textAlignment w:val="bottom"/>
            </w:pPr>
            <w:r>
              <w:rPr>
                <w:rFonts w:ascii="Times New Roman" w:eastAsia="宋体" w:hAnsi="Times New Roman"/>
                <w:color w:val="000000"/>
                <w:sz w:val="20"/>
                <w:szCs w:val="20"/>
              </w:rPr>
              <w:t>(760)</w:t>
            </w:r>
          </w:p>
        </w:tc>
        <w:tc>
          <w:tcPr>
            <w:tcW w:w="0" w:type="auto"/>
            <w:shd w:val="clear" w:color="auto" w:fill="CCEEFF"/>
            <w:tcMar>
              <w:top w:w="40" w:type="dxa"/>
              <w:left w:w="0" w:type="dxa"/>
              <w:bottom w:w="40" w:type="dxa"/>
              <w:right w:w="20" w:type="dxa"/>
            </w:tcMar>
            <w:vAlign w:val="bottom"/>
          </w:tcPr>
          <w:p w14:paraId="7DD01121" w14:textId="77777777" w:rsidR="00C1563E" w:rsidRDefault="00C1563E">
            <w:pPr>
              <w:jc w:val="right"/>
              <w:rPr>
                <w:rFonts w:ascii="宋体"/>
              </w:rPr>
            </w:pPr>
          </w:p>
        </w:tc>
      </w:tr>
      <w:tr w:rsidR="00C1563E" w14:paraId="7DD01127" w14:textId="77777777">
        <w:trPr>
          <w:jc w:val="center"/>
        </w:trPr>
        <w:tc>
          <w:tcPr>
            <w:tcW w:w="0" w:type="auto"/>
            <w:gridSpan w:val="3"/>
            <w:shd w:val="clear" w:color="auto" w:fill="FFFFFF"/>
            <w:tcMar>
              <w:top w:w="40" w:type="dxa"/>
              <w:left w:w="20" w:type="dxa"/>
              <w:bottom w:w="40" w:type="dxa"/>
              <w:right w:w="20" w:type="dxa"/>
            </w:tcMar>
            <w:vAlign w:val="bottom"/>
          </w:tcPr>
          <w:p w14:paraId="7DD01123" w14:textId="77777777" w:rsidR="00C1563E" w:rsidRDefault="000B648B">
            <w:pPr>
              <w:textAlignment w:val="bottom"/>
            </w:pPr>
            <w:r>
              <w:rPr>
                <w:rFonts w:ascii="Times New Roman" w:eastAsia="宋体" w:hAnsi="Times New Roman"/>
                <w:color w:val="000000"/>
                <w:sz w:val="20"/>
                <w:szCs w:val="20"/>
              </w:rPr>
              <w:t>Class V Common Stock economic interest in Class V Group (a)</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12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125" w14:textId="77777777" w:rsidR="00C1563E" w:rsidRDefault="000B648B">
            <w:pPr>
              <w:jc w:val="right"/>
              <w:textAlignment w:val="bottom"/>
            </w:pPr>
            <w:r>
              <w:rPr>
                <w:rFonts w:ascii="Times New Roman" w:eastAsia="宋体" w:hAnsi="Times New Roman"/>
                <w:color w:val="000000"/>
                <w:sz w:val="20"/>
                <w:szCs w:val="20"/>
              </w:rPr>
              <w:t>1,195 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126" w14:textId="77777777" w:rsidR="00C1563E" w:rsidRDefault="00C1563E">
            <w:pPr>
              <w:jc w:val="right"/>
              <w:rPr>
                <w:rFonts w:ascii="宋体"/>
              </w:rPr>
            </w:pPr>
          </w:p>
        </w:tc>
      </w:tr>
    </w:tbl>
    <w:p w14:paraId="7DD01128" w14:textId="77777777" w:rsidR="00C1563E" w:rsidRDefault="000B648B">
      <w:r>
        <w:rPr>
          <w:rFonts w:ascii="Times New Roman" w:eastAsia="宋体" w:hAnsi="Times New Roman"/>
          <w:color w:val="000000"/>
          <w:sz w:val="20"/>
          <w:szCs w:val="20"/>
        </w:rPr>
        <w:t>____________________</w:t>
      </w:r>
    </w:p>
    <w:p w14:paraId="7DD01129" w14:textId="77777777" w:rsidR="00C1563E" w:rsidRDefault="000B648B">
      <w:pPr>
        <w:ind w:hanging="360"/>
      </w:pPr>
      <w:r>
        <w:rPr>
          <w:rFonts w:ascii="Times New Roman" w:eastAsia="宋体" w:hAnsi="Times New Roman"/>
          <w:color w:val="000000"/>
          <w:sz w:val="20"/>
          <w:szCs w:val="20"/>
        </w:rPr>
        <w:t xml:space="preserve">(a)    For the fiscal year ended </w:t>
      </w:r>
      <w:r>
        <w:rPr>
          <w:rFonts w:ascii="Times New Roman" w:eastAsia="宋体" w:hAnsi="Times New Roman"/>
          <w:color w:val="000000"/>
          <w:sz w:val="20"/>
          <w:szCs w:val="20"/>
        </w:rPr>
        <w:t>February 1, 2019, Class V Common Stock economic interest in the Class V Group represents net income attributable to the Class V Group for the period ended December 27, 2018, the last date on which the Class V Common Stock was traded on the NYSE.</w:t>
      </w:r>
    </w:p>
    <w:p w14:paraId="7DD0112A" w14:textId="77777777" w:rsidR="00C1563E" w:rsidRDefault="00C1563E">
      <w:pPr>
        <w:jc w:val="center"/>
      </w:pPr>
    </w:p>
    <w:p w14:paraId="7DD0112B" w14:textId="77777777" w:rsidR="00C1563E" w:rsidRDefault="000B648B">
      <w:pPr>
        <w:jc w:val="center"/>
      </w:pPr>
      <w:r>
        <w:rPr>
          <w:rFonts w:ascii="Times New Roman" w:eastAsia="宋体" w:hAnsi="Times New Roman"/>
          <w:color w:val="000000"/>
          <w:sz w:val="20"/>
          <w:szCs w:val="20"/>
        </w:rPr>
        <w:t>143</w:t>
      </w:r>
    </w:p>
    <w:p w14:paraId="7DD0112C" w14:textId="77777777" w:rsidR="00C1563E" w:rsidRDefault="00C1563E">
      <w:pPr>
        <w:jc w:val="center"/>
      </w:pPr>
    </w:p>
    <w:p w14:paraId="7DD0112D" w14:textId="77777777" w:rsidR="00C1563E" w:rsidRDefault="000B648B">
      <w:r>
        <w:pict w14:anchorId="7DD025F9">
          <v:rect id="_x0000_i1167" style="width:415.3pt;height:1.5pt" o:hralign="center" o:hrstd="t" o:hr="t" fillcolor="#a0a0a0" stroked="f"/>
        </w:pict>
      </w:r>
    </w:p>
    <w:p w14:paraId="7DD0112E" w14:textId="77777777" w:rsidR="00C1563E" w:rsidRDefault="000B648B">
      <w:hyperlink r:id="rId326" w:anchor="i418e32e4a35149ffbf7d3a25d66881b8_10" w:history="1">
        <w:r>
          <w:rPr>
            <w:rStyle w:val="a5"/>
            <w:rFonts w:ascii="Times New Roman" w:eastAsia="宋体" w:hAnsi="Times New Roman"/>
            <w:sz w:val="20"/>
            <w:szCs w:val="20"/>
          </w:rPr>
          <w:t>Table of Contents</w:t>
        </w:r>
      </w:hyperlink>
    </w:p>
    <w:p w14:paraId="7DD0112F" w14:textId="77777777" w:rsidR="00C1563E" w:rsidRDefault="00C1563E"/>
    <w:p w14:paraId="7DD01130" w14:textId="77777777" w:rsidR="00C1563E" w:rsidRDefault="000B648B">
      <w:pPr>
        <w:spacing w:after="120"/>
      </w:pPr>
      <w:r>
        <w:rPr>
          <w:rFonts w:ascii="Times New Roman" w:eastAsia="宋体" w:hAnsi="Times New Roman"/>
          <w:color w:val="000000"/>
          <w:sz w:val="20"/>
          <w:szCs w:val="20"/>
        </w:rPr>
        <w:t>The following table presents a reconciliation of the VMware reportable segment result</w:t>
      </w:r>
      <w:r>
        <w:rPr>
          <w:rFonts w:ascii="Times New Roman" w:eastAsia="宋体" w:hAnsi="Times New Roman"/>
          <w:color w:val="000000"/>
          <w:sz w:val="20"/>
          <w:szCs w:val="20"/>
        </w:rPr>
        <w:t>s to the VMware, Inc. results attributable to the Class V Group pursuant to the tracking stock policy for the period indicated. The VMware reportable segment results presented below were recast as discussed in Note 19 of the Notes to the Consolidated Finan</w:t>
      </w:r>
      <w:r>
        <w:rPr>
          <w:rFonts w:ascii="Times New Roman" w:eastAsia="宋体" w:hAnsi="Times New Roman"/>
          <w:color w:val="000000"/>
          <w:sz w:val="20"/>
          <w:szCs w:val="20"/>
        </w:rPr>
        <w:t>cial Statements. The VMware, Inc. results were not impacted by the Pivotal acquisition.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216"/>
        <w:gridCol w:w="38"/>
        <w:gridCol w:w="121"/>
        <w:gridCol w:w="1118"/>
        <w:gridCol w:w="36"/>
        <w:gridCol w:w="36"/>
        <w:gridCol w:w="36"/>
        <w:gridCol w:w="36"/>
        <w:gridCol w:w="121"/>
        <w:gridCol w:w="1119"/>
        <w:gridCol w:w="36"/>
        <w:gridCol w:w="36"/>
        <w:gridCol w:w="36"/>
        <w:gridCol w:w="36"/>
        <w:gridCol w:w="121"/>
        <w:gridCol w:w="1119"/>
        <w:gridCol w:w="36"/>
      </w:tblGrid>
      <w:tr w:rsidR="00C1563E" w14:paraId="7DD01143" w14:textId="77777777">
        <w:trPr>
          <w:jc w:val="center"/>
        </w:trPr>
        <w:tc>
          <w:tcPr>
            <w:tcW w:w="50" w:type="pct"/>
            <w:shd w:val="clear" w:color="auto" w:fill="auto"/>
          </w:tcPr>
          <w:p w14:paraId="7DD01131" w14:textId="77777777" w:rsidR="00C1563E" w:rsidRDefault="00C1563E">
            <w:pPr>
              <w:rPr>
                <w:rFonts w:ascii="宋体"/>
              </w:rPr>
            </w:pPr>
          </w:p>
        </w:tc>
        <w:tc>
          <w:tcPr>
            <w:tcW w:w="2583" w:type="pct"/>
            <w:shd w:val="clear" w:color="auto" w:fill="auto"/>
          </w:tcPr>
          <w:p w14:paraId="7DD01132" w14:textId="77777777" w:rsidR="00C1563E" w:rsidRDefault="00C1563E">
            <w:pPr>
              <w:rPr>
                <w:rFonts w:ascii="宋体"/>
              </w:rPr>
            </w:pPr>
          </w:p>
        </w:tc>
        <w:tc>
          <w:tcPr>
            <w:tcW w:w="5" w:type="pct"/>
            <w:shd w:val="clear" w:color="auto" w:fill="auto"/>
          </w:tcPr>
          <w:p w14:paraId="7DD01133" w14:textId="77777777" w:rsidR="00C1563E" w:rsidRDefault="00C1563E">
            <w:pPr>
              <w:rPr>
                <w:rFonts w:ascii="宋体"/>
              </w:rPr>
            </w:pPr>
          </w:p>
        </w:tc>
        <w:tc>
          <w:tcPr>
            <w:tcW w:w="50" w:type="pct"/>
            <w:shd w:val="clear" w:color="auto" w:fill="auto"/>
          </w:tcPr>
          <w:p w14:paraId="7DD01134" w14:textId="77777777" w:rsidR="00C1563E" w:rsidRDefault="00C1563E">
            <w:pPr>
              <w:rPr>
                <w:rFonts w:ascii="宋体"/>
              </w:rPr>
            </w:pPr>
          </w:p>
        </w:tc>
        <w:tc>
          <w:tcPr>
            <w:tcW w:w="712" w:type="pct"/>
            <w:shd w:val="clear" w:color="auto" w:fill="auto"/>
          </w:tcPr>
          <w:p w14:paraId="7DD01135" w14:textId="77777777" w:rsidR="00C1563E" w:rsidRDefault="00C1563E">
            <w:pPr>
              <w:rPr>
                <w:rFonts w:ascii="宋体"/>
              </w:rPr>
            </w:pPr>
          </w:p>
        </w:tc>
        <w:tc>
          <w:tcPr>
            <w:tcW w:w="5" w:type="pct"/>
            <w:shd w:val="clear" w:color="auto" w:fill="auto"/>
          </w:tcPr>
          <w:p w14:paraId="7DD01136" w14:textId="77777777" w:rsidR="00C1563E" w:rsidRDefault="00C1563E">
            <w:pPr>
              <w:rPr>
                <w:rFonts w:ascii="宋体"/>
              </w:rPr>
            </w:pPr>
          </w:p>
        </w:tc>
        <w:tc>
          <w:tcPr>
            <w:tcW w:w="5" w:type="pct"/>
            <w:shd w:val="clear" w:color="auto" w:fill="auto"/>
          </w:tcPr>
          <w:p w14:paraId="7DD01137" w14:textId="77777777" w:rsidR="00C1563E" w:rsidRDefault="00C1563E">
            <w:pPr>
              <w:rPr>
                <w:rFonts w:ascii="宋体"/>
              </w:rPr>
            </w:pPr>
          </w:p>
        </w:tc>
        <w:tc>
          <w:tcPr>
            <w:tcW w:w="19" w:type="pct"/>
            <w:shd w:val="clear" w:color="auto" w:fill="auto"/>
          </w:tcPr>
          <w:p w14:paraId="7DD01138" w14:textId="77777777" w:rsidR="00C1563E" w:rsidRDefault="00C1563E">
            <w:pPr>
              <w:rPr>
                <w:rFonts w:ascii="宋体"/>
              </w:rPr>
            </w:pPr>
          </w:p>
        </w:tc>
        <w:tc>
          <w:tcPr>
            <w:tcW w:w="5" w:type="pct"/>
            <w:shd w:val="clear" w:color="auto" w:fill="auto"/>
          </w:tcPr>
          <w:p w14:paraId="7DD01139" w14:textId="77777777" w:rsidR="00C1563E" w:rsidRDefault="00C1563E">
            <w:pPr>
              <w:rPr>
                <w:rFonts w:ascii="宋体"/>
              </w:rPr>
            </w:pPr>
          </w:p>
        </w:tc>
        <w:tc>
          <w:tcPr>
            <w:tcW w:w="50" w:type="pct"/>
            <w:shd w:val="clear" w:color="auto" w:fill="auto"/>
          </w:tcPr>
          <w:p w14:paraId="7DD0113A" w14:textId="77777777" w:rsidR="00C1563E" w:rsidRDefault="00C1563E">
            <w:pPr>
              <w:rPr>
                <w:rFonts w:ascii="宋体"/>
              </w:rPr>
            </w:pPr>
          </w:p>
        </w:tc>
        <w:tc>
          <w:tcPr>
            <w:tcW w:w="712" w:type="pct"/>
            <w:shd w:val="clear" w:color="auto" w:fill="auto"/>
          </w:tcPr>
          <w:p w14:paraId="7DD0113B" w14:textId="77777777" w:rsidR="00C1563E" w:rsidRDefault="00C1563E">
            <w:pPr>
              <w:rPr>
                <w:rFonts w:ascii="宋体"/>
              </w:rPr>
            </w:pPr>
          </w:p>
        </w:tc>
        <w:tc>
          <w:tcPr>
            <w:tcW w:w="5" w:type="pct"/>
            <w:shd w:val="clear" w:color="auto" w:fill="auto"/>
          </w:tcPr>
          <w:p w14:paraId="7DD0113C" w14:textId="77777777" w:rsidR="00C1563E" w:rsidRDefault="00C1563E">
            <w:pPr>
              <w:rPr>
                <w:rFonts w:ascii="宋体"/>
              </w:rPr>
            </w:pPr>
          </w:p>
        </w:tc>
        <w:tc>
          <w:tcPr>
            <w:tcW w:w="5" w:type="pct"/>
            <w:shd w:val="clear" w:color="auto" w:fill="auto"/>
          </w:tcPr>
          <w:p w14:paraId="7DD0113D" w14:textId="77777777" w:rsidR="00C1563E" w:rsidRDefault="00C1563E">
            <w:pPr>
              <w:rPr>
                <w:rFonts w:ascii="宋体"/>
              </w:rPr>
            </w:pPr>
          </w:p>
        </w:tc>
        <w:tc>
          <w:tcPr>
            <w:tcW w:w="19" w:type="pct"/>
            <w:shd w:val="clear" w:color="auto" w:fill="auto"/>
          </w:tcPr>
          <w:p w14:paraId="7DD0113E" w14:textId="77777777" w:rsidR="00C1563E" w:rsidRDefault="00C1563E">
            <w:pPr>
              <w:rPr>
                <w:rFonts w:ascii="宋体"/>
              </w:rPr>
            </w:pPr>
          </w:p>
        </w:tc>
        <w:tc>
          <w:tcPr>
            <w:tcW w:w="5" w:type="pct"/>
            <w:shd w:val="clear" w:color="auto" w:fill="auto"/>
          </w:tcPr>
          <w:p w14:paraId="7DD0113F" w14:textId="77777777" w:rsidR="00C1563E" w:rsidRDefault="00C1563E">
            <w:pPr>
              <w:rPr>
                <w:rFonts w:ascii="宋体"/>
              </w:rPr>
            </w:pPr>
          </w:p>
        </w:tc>
        <w:tc>
          <w:tcPr>
            <w:tcW w:w="50" w:type="pct"/>
            <w:shd w:val="clear" w:color="auto" w:fill="auto"/>
          </w:tcPr>
          <w:p w14:paraId="7DD01140" w14:textId="77777777" w:rsidR="00C1563E" w:rsidRDefault="00C1563E">
            <w:pPr>
              <w:rPr>
                <w:rFonts w:ascii="宋体"/>
              </w:rPr>
            </w:pPr>
          </w:p>
        </w:tc>
        <w:tc>
          <w:tcPr>
            <w:tcW w:w="712" w:type="pct"/>
            <w:shd w:val="clear" w:color="auto" w:fill="auto"/>
          </w:tcPr>
          <w:p w14:paraId="7DD01141" w14:textId="77777777" w:rsidR="00C1563E" w:rsidRDefault="00C1563E">
            <w:pPr>
              <w:rPr>
                <w:rFonts w:ascii="宋体"/>
              </w:rPr>
            </w:pPr>
          </w:p>
        </w:tc>
        <w:tc>
          <w:tcPr>
            <w:tcW w:w="5" w:type="pct"/>
            <w:shd w:val="clear" w:color="auto" w:fill="auto"/>
          </w:tcPr>
          <w:p w14:paraId="7DD01142" w14:textId="77777777" w:rsidR="00C1563E" w:rsidRDefault="00C1563E">
            <w:pPr>
              <w:rPr>
                <w:rFonts w:ascii="宋体"/>
              </w:rPr>
            </w:pPr>
          </w:p>
        </w:tc>
      </w:tr>
      <w:tr w:rsidR="00C1563E" w14:paraId="7DD01146" w14:textId="77777777">
        <w:trPr>
          <w:jc w:val="center"/>
        </w:trPr>
        <w:tc>
          <w:tcPr>
            <w:tcW w:w="0" w:type="auto"/>
            <w:gridSpan w:val="3"/>
            <w:shd w:val="clear" w:color="auto" w:fill="auto"/>
            <w:tcMar>
              <w:top w:w="0" w:type="dxa"/>
              <w:left w:w="20" w:type="dxa"/>
              <w:bottom w:w="0" w:type="dxa"/>
              <w:right w:w="20" w:type="dxa"/>
            </w:tcMar>
          </w:tcPr>
          <w:p w14:paraId="7DD01144"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145"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149" w14:textId="77777777">
        <w:trPr>
          <w:jc w:val="center"/>
        </w:trPr>
        <w:tc>
          <w:tcPr>
            <w:tcW w:w="0" w:type="auto"/>
            <w:gridSpan w:val="3"/>
            <w:shd w:val="clear" w:color="auto" w:fill="auto"/>
            <w:tcMar>
              <w:top w:w="0" w:type="dxa"/>
              <w:left w:w="20" w:type="dxa"/>
              <w:bottom w:w="0" w:type="dxa"/>
              <w:right w:w="20" w:type="dxa"/>
            </w:tcMar>
          </w:tcPr>
          <w:p w14:paraId="7DD01147"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148"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150" w14:textId="77777777">
        <w:trPr>
          <w:jc w:val="center"/>
        </w:trPr>
        <w:tc>
          <w:tcPr>
            <w:tcW w:w="0" w:type="auto"/>
            <w:gridSpan w:val="3"/>
            <w:shd w:val="clear" w:color="auto" w:fill="auto"/>
            <w:tcMar>
              <w:top w:w="0" w:type="dxa"/>
              <w:left w:w="20" w:type="dxa"/>
              <w:bottom w:w="0" w:type="dxa"/>
              <w:right w:w="20" w:type="dxa"/>
            </w:tcMar>
          </w:tcPr>
          <w:p w14:paraId="7DD0114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14B" w14:textId="77777777" w:rsidR="00C1563E" w:rsidRDefault="000B648B">
            <w:pPr>
              <w:jc w:val="center"/>
              <w:textAlignment w:val="bottom"/>
            </w:pPr>
            <w:r>
              <w:rPr>
                <w:rFonts w:ascii="Times New Roman" w:eastAsia="宋体" w:hAnsi="Times New Roman"/>
                <w:b/>
                <w:bCs/>
                <w:color w:val="000000"/>
                <w:sz w:val="20"/>
                <w:szCs w:val="20"/>
              </w:rPr>
              <w:t>VMware Reportable Segment</w:t>
            </w:r>
          </w:p>
        </w:tc>
        <w:tc>
          <w:tcPr>
            <w:tcW w:w="0" w:type="auto"/>
            <w:gridSpan w:val="3"/>
            <w:tcBorders>
              <w:top w:val="single" w:sz="8" w:space="0" w:color="000000"/>
            </w:tcBorders>
            <w:shd w:val="clear" w:color="auto" w:fill="auto"/>
            <w:tcMar>
              <w:top w:w="0" w:type="dxa"/>
              <w:left w:w="20" w:type="dxa"/>
              <w:bottom w:w="0" w:type="dxa"/>
              <w:right w:w="20" w:type="dxa"/>
            </w:tcMar>
          </w:tcPr>
          <w:p w14:paraId="7DD0114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14D" w14:textId="77777777" w:rsidR="00C1563E" w:rsidRDefault="000B648B">
            <w:pPr>
              <w:jc w:val="center"/>
              <w:textAlignment w:val="bottom"/>
            </w:pPr>
            <w:r>
              <w:rPr>
                <w:rFonts w:ascii="Times New Roman" w:eastAsia="宋体" w:hAnsi="Times New Roman"/>
                <w:b/>
                <w:bCs/>
                <w:color w:val="000000"/>
                <w:sz w:val="20"/>
                <w:szCs w:val="20"/>
              </w:rPr>
              <w:t>Adjustments and Eliminations (a)</w:t>
            </w:r>
          </w:p>
        </w:tc>
        <w:tc>
          <w:tcPr>
            <w:tcW w:w="0" w:type="auto"/>
            <w:gridSpan w:val="3"/>
            <w:tcBorders>
              <w:top w:val="single" w:sz="8" w:space="0" w:color="000000"/>
            </w:tcBorders>
            <w:shd w:val="clear" w:color="auto" w:fill="auto"/>
            <w:tcMar>
              <w:top w:w="0" w:type="dxa"/>
              <w:left w:w="20" w:type="dxa"/>
              <w:bottom w:w="0" w:type="dxa"/>
              <w:right w:w="20" w:type="dxa"/>
            </w:tcMar>
          </w:tcPr>
          <w:p w14:paraId="7DD0114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14F" w14:textId="77777777" w:rsidR="00C1563E" w:rsidRDefault="000B648B">
            <w:pPr>
              <w:jc w:val="center"/>
              <w:textAlignment w:val="bottom"/>
            </w:pPr>
            <w:r>
              <w:rPr>
                <w:rFonts w:ascii="Times New Roman" w:eastAsia="宋体" w:hAnsi="Times New Roman"/>
                <w:b/>
                <w:bCs/>
                <w:color w:val="000000"/>
                <w:sz w:val="20"/>
                <w:szCs w:val="20"/>
              </w:rPr>
              <w:t>VMware</w:t>
            </w:r>
          </w:p>
        </w:tc>
      </w:tr>
      <w:tr w:rsidR="00C1563E" w14:paraId="7DD01153" w14:textId="77777777">
        <w:trPr>
          <w:jc w:val="center"/>
        </w:trPr>
        <w:tc>
          <w:tcPr>
            <w:tcW w:w="0" w:type="auto"/>
            <w:gridSpan w:val="3"/>
            <w:shd w:val="clear" w:color="auto" w:fill="auto"/>
            <w:tcMar>
              <w:top w:w="0" w:type="dxa"/>
              <w:left w:w="20" w:type="dxa"/>
              <w:bottom w:w="0" w:type="dxa"/>
              <w:right w:w="20" w:type="dxa"/>
            </w:tcMar>
          </w:tcPr>
          <w:p w14:paraId="7DD01151"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152"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160" w14:textId="77777777">
        <w:trPr>
          <w:jc w:val="center"/>
        </w:trPr>
        <w:tc>
          <w:tcPr>
            <w:tcW w:w="0" w:type="auto"/>
            <w:gridSpan w:val="3"/>
            <w:shd w:val="clear" w:color="auto" w:fill="CCEEFF"/>
            <w:tcMar>
              <w:top w:w="40" w:type="dxa"/>
              <w:left w:w="20" w:type="dxa"/>
              <w:bottom w:w="40" w:type="dxa"/>
              <w:right w:w="20" w:type="dxa"/>
            </w:tcMar>
            <w:vAlign w:val="bottom"/>
          </w:tcPr>
          <w:p w14:paraId="7DD01154" w14:textId="77777777" w:rsidR="00C1563E" w:rsidRDefault="000B648B">
            <w:pPr>
              <w:textAlignment w:val="bottom"/>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right w:w="0" w:type="dxa"/>
            </w:tcMar>
            <w:vAlign w:val="bottom"/>
          </w:tcPr>
          <w:p w14:paraId="7DD0115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156" w14:textId="77777777" w:rsidR="00C1563E" w:rsidRDefault="000B648B">
            <w:pPr>
              <w:jc w:val="right"/>
              <w:textAlignment w:val="bottom"/>
            </w:pPr>
            <w:r>
              <w:rPr>
                <w:rFonts w:ascii="Times New Roman" w:eastAsia="宋体" w:hAnsi="Times New Roman"/>
                <w:color w:val="000000"/>
                <w:sz w:val="20"/>
                <w:szCs w:val="20"/>
              </w:rPr>
              <w:t>9,741 </w:t>
            </w:r>
          </w:p>
        </w:tc>
        <w:tc>
          <w:tcPr>
            <w:tcW w:w="0" w:type="auto"/>
            <w:shd w:val="clear" w:color="auto" w:fill="CCEEFF"/>
            <w:tcMar>
              <w:top w:w="40" w:type="dxa"/>
              <w:left w:w="0" w:type="dxa"/>
              <w:bottom w:w="40" w:type="dxa"/>
              <w:right w:w="20" w:type="dxa"/>
            </w:tcMar>
            <w:vAlign w:val="bottom"/>
          </w:tcPr>
          <w:p w14:paraId="7DD0115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5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15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15A" w14:textId="77777777" w:rsidR="00C1563E" w:rsidRDefault="000B648B">
            <w:pPr>
              <w:jc w:val="right"/>
              <w:textAlignment w:val="bottom"/>
            </w:pPr>
            <w:r>
              <w:rPr>
                <w:rFonts w:ascii="Times New Roman" w:eastAsia="宋体" w:hAnsi="Times New Roman"/>
                <w:color w:val="000000"/>
                <w:sz w:val="20"/>
                <w:szCs w:val="20"/>
              </w:rPr>
              <w:t>(767)</w:t>
            </w:r>
          </w:p>
        </w:tc>
        <w:tc>
          <w:tcPr>
            <w:tcW w:w="0" w:type="auto"/>
            <w:shd w:val="clear" w:color="auto" w:fill="CCEEFF"/>
            <w:tcMar>
              <w:top w:w="40" w:type="dxa"/>
              <w:left w:w="0" w:type="dxa"/>
              <w:bottom w:w="40" w:type="dxa"/>
              <w:right w:w="20" w:type="dxa"/>
            </w:tcMar>
            <w:vAlign w:val="bottom"/>
          </w:tcPr>
          <w:p w14:paraId="7DD0115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5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15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15E" w14:textId="77777777" w:rsidR="00C1563E" w:rsidRDefault="000B648B">
            <w:pPr>
              <w:jc w:val="right"/>
              <w:textAlignment w:val="bottom"/>
            </w:pPr>
            <w:r>
              <w:rPr>
                <w:rFonts w:ascii="Times New Roman" w:eastAsia="宋体" w:hAnsi="Times New Roman"/>
                <w:color w:val="000000"/>
                <w:sz w:val="20"/>
                <w:szCs w:val="20"/>
              </w:rPr>
              <w:t>8,974 </w:t>
            </w:r>
          </w:p>
        </w:tc>
        <w:tc>
          <w:tcPr>
            <w:tcW w:w="0" w:type="auto"/>
            <w:shd w:val="clear" w:color="auto" w:fill="CCEEFF"/>
            <w:tcMar>
              <w:top w:w="40" w:type="dxa"/>
              <w:left w:w="0" w:type="dxa"/>
              <w:bottom w:w="40" w:type="dxa"/>
              <w:right w:w="20" w:type="dxa"/>
            </w:tcMar>
            <w:vAlign w:val="bottom"/>
          </w:tcPr>
          <w:p w14:paraId="7DD0115F" w14:textId="77777777" w:rsidR="00C1563E" w:rsidRDefault="00C1563E">
            <w:pPr>
              <w:jc w:val="right"/>
              <w:rPr>
                <w:rFonts w:ascii="宋体"/>
              </w:rPr>
            </w:pPr>
          </w:p>
        </w:tc>
      </w:tr>
      <w:tr w:rsidR="00C1563E" w14:paraId="7DD0116A" w14:textId="77777777">
        <w:trPr>
          <w:jc w:val="center"/>
        </w:trPr>
        <w:tc>
          <w:tcPr>
            <w:tcW w:w="0" w:type="auto"/>
            <w:gridSpan w:val="3"/>
            <w:shd w:val="clear" w:color="auto" w:fill="FFFFFF"/>
            <w:tcMar>
              <w:top w:w="40" w:type="dxa"/>
              <w:left w:w="20" w:type="dxa"/>
              <w:bottom w:w="40" w:type="dxa"/>
              <w:right w:w="20" w:type="dxa"/>
            </w:tcMar>
            <w:vAlign w:val="bottom"/>
          </w:tcPr>
          <w:p w14:paraId="7DD01161" w14:textId="77777777" w:rsidR="00C1563E" w:rsidRDefault="000B648B">
            <w:pPr>
              <w:textAlignment w:val="bottom"/>
            </w:pPr>
            <w:r>
              <w:rPr>
                <w:rFonts w:ascii="Times New Roman" w:eastAsia="宋体" w:hAnsi="Times New Roman"/>
                <w:color w:val="000000"/>
                <w:sz w:val="20"/>
                <w:szCs w:val="20"/>
              </w:rPr>
              <w:t>Cost of net revenue</w:t>
            </w:r>
          </w:p>
        </w:tc>
        <w:tc>
          <w:tcPr>
            <w:tcW w:w="0" w:type="auto"/>
            <w:gridSpan w:val="2"/>
            <w:shd w:val="clear" w:color="auto" w:fill="FFFFFF"/>
            <w:tcMar>
              <w:top w:w="40" w:type="dxa"/>
              <w:left w:w="20" w:type="dxa"/>
              <w:bottom w:w="40" w:type="dxa"/>
              <w:right w:w="0" w:type="dxa"/>
            </w:tcMar>
            <w:vAlign w:val="bottom"/>
          </w:tcPr>
          <w:p w14:paraId="7DD01162" w14:textId="77777777" w:rsidR="00C1563E" w:rsidRDefault="000B648B">
            <w:pPr>
              <w:jc w:val="right"/>
              <w:textAlignment w:val="bottom"/>
            </w:pPr>
            <w:r>
              <w:rPr>
                <w:rFonts w:ascii="Times New Roman" w:eastAsia="宋体" w:hAnsi="Times New Roman"/>
                <w:color w:val="000000"/>
                <w:sz w:val="20"/>
                <w:szCs w:val="20"/>
              </w:rPr>
              <w:t>1,312 </w:t>
            </w:r>
          </w:p>
        </w:tc>
        <w:tc>
          <w:tcPr>
            <w:tcW w:w="0" w:type="auto"/>
            <w:shd w:val="clear" w:color="auto" w:fill="FFFFFF"/>
            <w:tcMar>
              <w:top w:w="40" w:type="dxa"/>
              <w:left w:w="0" w:type="dxa"/>
              <w:bottom w:w="40" w:type="dxa"/>
              <w:right w:w="20" w:type="dxa"/>
            </w:tcMar>
            <w:vAlign w:val="bottom"/>
          </w:tcPr>
          <w:p w14:paraId="7DD011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6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165" w14:textId="77777777" w:rsidR="00C1563E" w:rsidRDefault="000B648B">
            <w:pPr>
              <w:jc w:val="right"/>
              <w:textAlignment w:val="bottom"/>
            </w:pPr>
            <w:r>
              <w:rPr>
                <w:rFonts w:ascii="Times New Roman" w:eastAsia="宋体" w:hAnsi="Times New Roman"/>
                <w:color w:val="000000"/>
                <w:sz w:val="20"/>
                <w:szCs w:val="20"/>
              </w:rPr>
              <w:t>(54)</w:t>
            </w:r>
          </w:p>
        </w:tc>
        <w:tc>
          <w:tcPr>
            <w:tcW w:w="0" w:type="auto"/>
            <w:shd w:val="clear" w:color="auto" w:fill="FFFFFF"/>
            <w:tcMar>
              <w:top w:w="40" w:type="dxa"/>
              <w:left w:w="0" w:type="dxa"/>
              <w:bottom w:w="40" w:type="dxa"/>
              <w:right w:w="20" w:type="dxa"/>
            </w:tcMar>
            <w:vAlign w:val="bottom"/>
          </w:tcPr>
          <w:p w14:paraId="7DD0116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6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168" w14:textId="77777777" w:rsidR="00C1563E" w:rsidRDefault="000B648B">
            <w:pPr>
              <w:jc w:val="right"/>
              <w:textAlignment w:val="bottom"/>
            </w:pPr>
            <w:r>
              <w:rPr>
                <w:rFonts w:ascii="Times New Roman" w:eastAsia="宋体" w:hAnsi="Times New Roman"/>
                <w:color w:val="000000"/>
                <w:sz w:val="20"/>
                <w:szCs w:val="20"/>
              </w:rPr>
              <w:t>1,258 </w:t>
            </w:r>
          </w:p>
        </w:tc>
        <w:tc>
          <w:tcPr>
            <w:tcW w:w="0" w:type="auto"/>
            <w:shd w:val="clear" w:color="auto" w:fill="FFFFFF"/>
            <w:tcMar>
              <w:top w:w="40" w:type="dxa"/>
              <w:left w:w="0" w:type="dxa"/>
              <w:bottom w:w="40" w:type="dxa"/>
              <w:right w:w="20" w:type="dxa"/>
            </w:tcMar>
            <w:vAlign w:val="bottom"/>
          </w:tcPr>
          <w:p w14:paraId="7DD01169" w14:textId="77777777" w:rsidR="00C1563E" w:rsidRDefault="00C1563E">
            <w:pPr>
              <w:jc w:val="right"/>
              <w:rPr>
                <w:rFonts w:ascii="宋体"/>
              </w:rPr>
            </w:pPr>
          </w:p>
        </w:tc>
      </w:tr>
      <w:tr w:rsidR="00C1563E" w14:paraId="7DD01174" w14:textId="77777777">
        <w:trPr>
          <w:jc w:val="center"/>
        </w:trPr>
        <w:tc>
          <w:tcPr>
            <w:tcW w:w="0" w:type="auto"/>
            <w:gridSpan w:val="3"/>
            <w:shd w:val="clear" w:color="auto" w:fill="CCEEFF"/>
            <w:tcMar>
              <w:top w:w="40" w:type="dxa"/>
              <w:left w:w="20" w:type="dxa"/>
              <w:bottom w:w="40" w:type="dxa"/>
              <w:right w:w="20" w:type="dxa"/>
            </w:tcMar>
            <w:vAlign w:val="bottom"/>
          </w:tcPr>
          <w:p w14:paraId="7DD0116B" w14:textId="77777777" w:rsidR="00C1563E" w:rsidRDefault="000B648B">
            <w:pPr>
              <w:textAlignment w:val="bottom"/>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6C" w14:textId="77777777" w:rsidR="00C1563E" w:rsidRDefault="000B648B">
            <w:pPr>
              <w:jc w:val="right"/>
              <w:textAlignment w:val="bottom"/>
            </w:pPr>
            <w:r>
              <w:rPr>
                <w:rFonts w:ascii="Times New Roman" w:eastAsia="宋体" w:hAnsi="Times New Roman"/>
                <w:color w:val="000000"/>
                <w:sz w:val="20"/>
                <w:szCs w:val="20"/>
              </w:rPr>
              <w:t>8,429 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6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6E"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6F" w14:textId="77777777" w:rsidR="00C1563E" w:rsidRDefault="000B648B">
            <w:pPr>
              <w:jc w:val="right"/>
              <w:textAlignment w:val="bottom"/>
            </w:pPr>
            <w:r>
              <w:rPr>
                <w:rFonts w:ascii="Times New Roman" w:eastAsia="宋体" w:hAnsi="Times New Roman"/>
                <w:color w:val="000000"/>
                <w:sz w:val="20"/>
                <w:szCs w:val="20"/>
              </w:rPr>
              <w:t>(713)</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7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71"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72" w14:textId="77777777" w:rsidR="00C1563E" w:rsidRDefault="000B648B">
            <w:pPr>
              <w:jc w:val="right"/>
              <w:textAlignment w:val="bottom"/>
            </w:pPr>
            <w:r>
              <w:rPr>
                <w:rFonts w:ascii="Times New Roman" w:eastAsia="宋体" w:hAnsi="Times New Roman"/>
                <w:color w:val="000000"/>
                <w:sz w:val="20"/>
                <w:szCs w:val="20"/>
              </w:rPr>
              <w:t>7,716 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73" w14:textId="77777777" w:rsidR="00C1563E" w:rsidRDefault="00C1563E">
            <w:pPr>
              <w:jc w:val="right"/>
              <w:rPr>
                <w:rFonts w:ascii="宋体"/>
              </w:rPr>
            </w:pPr>
          </w:p>
        </w:tc>
      </w:tr>
      <w:tr w:rsidR="00C1563E" w14:paraId="7DD0117B" w14:textId="77777777">
        <w:trPr>
          <w:jc w:val="center"/>
        </w:trPr>
        <w:tc>
          <w:tcPr>
            <w:tcW w:w="0" w:type="auto"/>
            <w:gridSpan w:val="3"/>
            <w:shd w:val="clear" w:color="auto" w:fill="FFFFFF"/>
            <w:tcMar>
              <w:top w:w="40" w:type="dxa"/>
              <w:left w:w="20" w:type="dxa"/>
              <w:bottom w:w="40" w:type="dxa"/>
              <w:right w:w="20" w:type="dxa"/>
            </w:tcMar>
            <w:vAlign w:val="bottom"/>
          </w:tcPr>
          <w:p w14:paraId="7DD01175" w14:textId="77777777" w:rsidR="00C1563E" w:rsidRDefault="000B648B">
            <w:pPr>
              <w:textAlignment w:val="bottom"/>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expenses:</w:t>
            </w:r>
          </w:p>
        </w:tc>
        <w:tc>
          <w:tcPr>
            <w:tcW w:w="0" w:type="auto"/>
            <w:gridSpan w:val="3"/>
            <w:shd w:val="clear" w:color="auto" w:fill="FFFFFF"/>
            <w:tcMar>
              <w:top w:w="0" w:type="dxa"/>
              <w:left w:w="20" w:type="dxa"/>
              <w:bottom w:w="0" w:type="dxa"/>
              <w:right w:w="20" w:type="dxa"/>
            </w:tcMar>
          </w:tcPr>
          <w:p w14:paraId="7DD0117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7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7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7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7A" w14:textId="77777777" w:rsidR="00C1563E" w:rsidRDefault="00C1563E">
            <w:pPr>
              <w:rPr>
                <w:rFonts w:ascii="宋体"/>
              </w:rPr>
            </w:pPr>
          </w:p>
        </w:tc>
      </w:tr>
      <w:tr w:rsidR="00C1563E" w14:paraId="7DD01185" w14:textId="77777777">
        <w:trPr>
          <w:jc w:val="center"/>
        </w:trPr>
        <w:tc>
          <w:tcPr>
            <w:tcW w:w="0" w:type="auto"/>
            <w:gridSpan w:val="3"/>
            <w:shd w:val="clear" w:color="auto" w:fill="CCEEFF"/>
            <w:tcMar>
              <w:top w:w="40" w:type="dxa"/>
              <w:left w:w="245" w:type="dxa"/>
              <w:bottom w:w="40" w:type="dxa"/>
              <w:right w:w="20" w:type="dxa"/>
            </w:tcMar>
            <w:vAlign w:val="bottom"/>
          </w:tcPr>
          <w:p w14:paraId="7DD0117C" w14:textId="77777777" w:rsidR="00C1563E" w:rsidRDefault="000B648B">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7DD0117D" w14:textId="77777777" w:rsidR="00C1563E" w:rsidRDefault="000B648B">
            <w:pPr>
              <w:jc w:val="right"/>
              <w:textAlignment w:val="bottom"/>
            </w:pPr>
            <w:r>
              <w:rPr>
                <w:rFonts w:ascii="Times New Roman" w:eastAsia="宋体" w:hAnsi="Times New Roman"/>
                <w:color w:val="000000"/>
                <w:sz w:val="20"/>
                <w:szCs w:val="20"/>
              </w:rPr>
              <w:t>3,720 </w:t>
            </w:r>
          </w:p>
        </w:tc>
        <w:tc>
          <w:tcPr>
            <w:tcW w:w="0" w:type="auto"/>
            <w:shd w:val="clear" w:color="auto" w:fill="CCEEFF"/>
            <w:tcMar>
              <w:top w:w="40" w:type="dxa"/>
              <w:left w:w="0" w:type="dxa"/>
              <w:bottom w:w="40" w:type="dxa"/>
              <w:right w:w="20" w:type="dxa"/>
            </w:tcMar>
            <w:vAlign w:val="bottom"/>
          </w:tcPr>
          <w:p w14:paraId="7DD0117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7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180" w14:textId="77777777" w:rsidR="00C1563E" w:rsidRDefault="000B648B">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7DD0118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8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183" w14:textId="77777777" w:rsidR="00C1563E" w:rsidRDefault="000B648B">
            <w:pPr>
              <w:jc w:val="right"/>
              <w:textAlignment w:val="bottom"/>
            </w:pPr>
            <w:r>
              <w:rPr>
                <w:rFonts w:ascii="Times New Roman" w:eastAsia="宋体" w:hAnsi="Times New Roman"/>
                <w:color w:val="000000"/>
                <w:sz w:val="20"/>
                <w:szCs w:val="20"/>
              </w:rPr>
              <w:t>3,691 </w:t>
            </w:r>
          </w:p>
        </w:tc>
        <w:tc>
          <w:tcPr>
            <w:tcW w:w="0" w:type="auto"/>
            <w:shd w:val="clear" w:color="auto" w:fill="CCEEFF"/>
            <w:tcMar>
              <w:top w:w="40" w:type="dxa"/>
              <w:left w:w="0" w:type="dxa"/>
              <w:bottom w:w="40" w:type="dxa"/>
              <w:right w:w="20" w:type="dxa"/>
            </w:tcMar>
            <w:vAlign w:val="bottom"/>
          </w:tcPr>
          <w:p w14:paraId="7DD01184" w14:textId="77777777" w:rsidR="00C1563E" w:rsidRDefault="00C1563E">
            <w:pPr>
              <w:jc w:val="right"/>
              <w:rPr>
                <w:rFonts w:ascii="宋体"/>
              </w:rPr>
            </w:pPr>
          </w:p>
        </w:tc>
      </w:tr>
      <w:tr w:rsidR="00C1563E" w14:paraId="7DD0118F" w14:textId="77777777">
        <w:trPr>
          <w:jc w:val="center"/>
        </w:trPr>
        <w:tc>
          <w:tcPr>
            <w:tcW w:w="0" w:type="auto"/>
            <w:gridSpan w:val="3"/>
            <w:shd w:val="clear" w:color="auto" w:fill="FFFFFF"/>
            <w:tcMar>
              <w:top w:w="40" w:type="dxa"/>
              <w:left w:w="245" w:type="dxa"/>
              <w:bottom w:w="40" w:type="dxa"/>
              <w:right w:w="20" w:type="dxa"/>
            </w:tcMar>
            <w:vAlign w:val="bottom"/>
          </w:tcPr>
          <w:p w14:paraId="7DD01186" w14:textId="77777777" w:rsidR="00C1563E" w:rsidRDefault="000B648B">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DD01187" w14:textId="77777777" w:rsidR="00C1563E" w:rsidRDefault="000B648B">
            <w:pPr>
              <w:jc w:val="right"/>
              <w:textAlignment w:val="bottom"/>
            </w:pPr>
            <w:r>
              <w:rPr>
                <w:rFonts w:ascii="Times New Roman" w:eastAsia="宋体" w:hAnsi="Times New Roman"/>
                <w:color w:val="000000"/>
                <w:sz w:val="20"/>
                <w:szCs w:val="20"/>
              </w:rPr>
              <w:t>1,783 </w:t>
            </w:r>
          </w:p>
        </w:tc>
        <w:tc>
          <w:tcPr>
            <w:tcW w:w="0" w:type="auto"/>
            <w:shd w:val="clear" w:color="auto" w:fill="FFFFFF"/>
            <w:tcMar>
              <w:top w:w="40" w:type="dxa"/>
              <w:left w:w="0" w:type="dxa"/>
              <w:bottom w:w="40" w:type="dxa"/>
              <w:right w:w="20" w:type="dxa"/>
            </w:tcMar>
            <w:vAlign w:val="bottom"/>
          </w:tcPr>
          <w:p w14:paraId="7DD0118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8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18A" w14:textId="77777777" w:rsidR="00C1563E" w:rsidRDefault="000B648B">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7DD0118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8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18D" w14:textId="77777777" w:rsidR="00C1563E" w:rsidRDefault="000B648B">
            <w:pPr>
              <w:jc w:val="right"/>
              <w:textAlignment w:val="bottom"/>
            </w:pPr>
            <w:r>
              <w:rPr>
                <w:rFonts w:ascii="Times New Roman" w:eastAsia="宋体" w:hAnsi="Times New Roman"/>
                <w:color w:val="000000"/>
                <w:sz w:val="20"/>
                <w:szCs w:val="20"/>
              </w:rPr>
              <w:t>1,975 </w:t>
            </w:r>
          </w:p>
        </w:tc>
        <w:tc>
          <w:tcPr>
            <w:tcW w:w="0" w:type="auto"/>
            <w:shd w:val="clear" w:color="auto" w:fill="FFFFFF"/>
            <w:tcMar>
              <w:top w:w="40" w:type="dxa"/>
              <w:left w:w="0" w:type="dxa"/>
              <w:bottom w:w="40" w:type="dxa"/>
              <w:right w:w="20" w:type="dxa"/>
            </w:tcMar>
            <w:vAlign w:val="bottom"/>
          </w:tcPr>
          <w:p w14:paraId="7DD0118E" w14:textId="77777777" w:rsidR="00C1563E" w:rsidRDefault="00C1563E">
            <w:pPr>
              <w:jc w:val="right"/>
              <w:rPr>
                <w:rFonts w:ascii="宋体"/>
              </w:rPr>
            </w:pPr>
          </w:p>
        </w:tc>
      </w:tr>
      <w:tr w:rsidR="00C1563E" w14:paraId="7DD01199" w14:textId="77777777">
        <w:trPr>
          <w:jc w:val="center"/>
        </w:trPr>
        <w:tc>
          <w:tcPr>
            <w:tcW w:w="0" w:type="auto"/>
            <w:gridSpan w:val="3"/>
            <w:shd w:val="clear" w:color="auto" w:fill="CCEEFF"/>
            <w:tcMar>
              <w:top w:w="40" w:type="dxa"/>
              <w:left w:w="245" w:type="dxa"/>
              <w:bottom w:w="40" w:type="dxa"/>
              <w:right w:w="20" w:type="dxa"/>
            </w:tcMar>
            <w:vAlign w:val="bottom"/>
          </w:tcPr>
          <w:p w14:paraId="7DD01190" w14:textId="77777777" w:rsidR="00C1563E" w:rsidRDefault="000B648B">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91" w14:textId="77777777" w:rsidR="00C1563E" w:rsidRDefault="000B648B">
            <w:pPr>
              <w:jc w:val="right"/>
              <w:textAlignment w:val="bottom"/>
            </w:pPr>
            <w:r>
              <w:rPr>
                <w:rFonts w:ascii="Times New Roman" w:eastAsia="宋体" w:hAnsi="Times New Roman"/>
                <w:color w:val="000000"/>
                <w:sz w:val="20"/>
                <w:szCs w:val="20"/>
              </w:rPr>
              <w:t>5,503 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9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93"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94" w14:textId="77777777" w:rsidR="00C1563E" w:rsidRDefault="000B648B">
            <w:pPr>
              <w:jc w:val="right"/>
              <w:textAlignment w:val="bottom"/>
            </w:pPr>
            <w:r>
              <w:rPr>
                <w:rFonts w:ascii="Times New Roman" w:eastAsia="宋体" w:hAnsi="Times New Roman"/>
                <w:color w:val="000000"/>
                <w:sz w:val="20"/>
                <w:szCs w:val="20"/>
              </w:rPr>
              <w:t>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19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197" w14:textId="77777777" w:rsidR="00C1563E" w:rsidRDefault="000B648B">
            <w:pPr>
              <w:jc w:val="right"/>
              <w:textAlignment w:val="bottom"/>
            </w:pPr>
            <w:r>
              <w:rPr>
                <w:rFonts w:ascii="Times New Roman" w:eastAsia="宋体" w:hAnsi="Times New Roman"/>
                <w:color w:val="000000"/>
                <w:sz w:val="20"/>
                <w:szCs w:val="20"/>
              </w:rPr>
              <w:t>5,666 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198" w14:textId="77777777" w:rsidR="00C1563E" w:rsidRDefault="00C1563E">
            <w:pPr>
              <w:jc w:val="right"/>
              <w:rPr>
                <w:rFonts w:ascii="宋体"/>
              </w:rPr>
            </w:pPr>
          </w:p>
        </w:tc>
      </w:tr>
      <w:tr w:rsidR="00C1563E" w14:paraId="7DD011A6" w14:textId="77777777">
        <w:trPr>
          <w:jc w:val="center"/>
        </w:trPr>
        <w:tc>
          <w:tcPr>
            <w:tcW w:w="0" w:type="auto"/>
            <w:gridSpan w:val="3"/>
            <w:shd w:val="clear" w:color="auto" w:fill="FFFFFF"/>
            <w:tcMar>
              <w:top w:w="40" w:type="dxa"/>
              <w:left w:w="20" w:type="dxa"/>
              <w:bottom w:w="40" w:type="dxa"/>
              <w:right w:w="20" w:type="dxa"/>
            </w:tcMar>
            <w:vAlign w:val="bottom"/>
          </w:tcPr>
          <w:p w14:paraId="7DD0119A" w14:textId="77777777" w:rsidR="00C1563E" w:rsidRDefault="000B648B">
            <w:pPr>
              <w:textAlignment w:val="bottom"/>
            </w:pPr>
            <w:r>
              <w:rPr>
                <w:rFonts w:ascii="Times New Roman" w:eastAsia="宋体" w:hAnsi="Times New Roman"/>
                <w:color w:val="000000"/>
                <w:sz w:val="20"/>
                <w:szCs w:val="20"/>
              </w:rPr>
              <w:t>Opera</w:t>
            </w:r>
            <w:r>
              <w:rPr>
                <w:rFonts w:ascii="Times New Roman" w:eastAsia="宋体" w:hAnsi="Times New Roman"/>
                <w:color w:val="000000"/>
                <w:sz w:val="20"/>
                <w:szCs w:val="20"/>
              </w:rPr>
              <w:t>ting income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19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19C" w14:textId="77777777" w:rsidR="00C1563E" w:rsidRDefault="000B648B">
            <w:pPr>
              <w:jc w:val="right"/>
              <w:textAlignment w:val="bottom"/>
            </w:pPr>
            <w:r>
              <w:rPr>
                <w:rFonts w:ascii="Times New Roman" w:eastAsia="宋体" w:hAnsi="Times New Roman"/>
                <w:color w:val="000000"/>
                <w:sz w:val="20"/>
                <w:szCs w:val="20"/>
              </w:rPr>
              <w:t>2,926 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19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9E"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19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1A0" w14:textId="77777777" w:rsidR="00C1563E" w:rsidRDefault="000B648B">
            <w:pPr>
              <w:jc w:val="right"/>
              <w:textAlignment w:val="bottom"/>
            </w:pPr>
            <w:r>
              <w:rPr>
                <w:rFonts w:ascii="Times New Roman" w:eastAsia="宋体" w:hAnsi="Times New Roman"/>
                <w:color w:val="000000"/>
                <w:sz w:val="20"/>
                <w:szCs w:val="20"/>
              </w:rPr>
              <w:t>(876)</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1A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1A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1A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1A4" w14:textId="77777777" w:rsidR="00C1563E" w:rsidRDefault="000B648B">
            <w:pPr>
              <w:jc w:val="right"/>
              <w:textAlignment w:val="bottom"/>
            </w:pPr>
            <w:r>
              <w:rPr>
                <w:rFonts w:ascii="Times New Roman" w:eastAsia="宋体" w:hAnsi="Times New Roman"/>
                <w:color w:val="000000"/>
                <w:sz w:val="20"/>
                <w:szCs w:val="20"/>
              </w:rPr>
              <w:t>2,050 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1A5" w14:textId="77777777" w:rsidR="00C1563E" w:rsidRDefault="00C1563E">
            <w:pPr>
              <w:jc w:val="right"/>
              <w:rPr>
                <w:rFonts w:ascii="宋体"/>
              </w:rPr>
            </w:pPr>
          </w:p>
        </w:tc>
      </w:tr>
      <w:tr w:rsidR="00C1563E" w14:paraId="7DD011AE" w14:textId="77777777">
        <w:trPr>
          <w:jc w:val="center"/>
        </w:trPr>
        <w:tc>
          <w:tcPr>
            <w:tcW w:w="0" w:type="auto"/>
            <w:gridSpan w:val="3"/>
            <w:shd w:val="clear" w:color="auto" w:fill="CCEEFF"/>
            <w:tcMar>
              <w:top w:w="40" w:type="dxa"/>
              <w:left w:w="20" w:type="dxa"/>
              <w:bottom w:w="40" w:type="dxa"/>
              <w:right w:w="20" w:type="dxa"/>
            </w:tcMar>
            <w:vAlign w:val="bottom"/>
          </w:tcPr>
          <w:p w14:paraId="7DD011A7" w14:textId="77777777" w:rsidR="00C1563E" w:rsidRDefault="000B648B">
            <w:pPr>
              <w:textAlignment w:val="bottom"/>
            </w:pPr>
            <w:r>
              <w:rPr>
                <w:rFonts w:ascii="Times New Roman" w:eastAsia="宋体" w:hAnsi="Times New Roman"/>
                <w:color w:val="000000"/>
                <w:sz w:val="20"/>
                <w:szCs w:val="20"/>
              </w:rPr>
              <w:t>Interest and other income (expense), net attributable to VMware</w:t>
            </w:r>
          </w:p>
        </w:tc>
        <w:tc>
          <w:tcPr>
            <w:tcW w:w="0" w:type="auto"/>
            <w:gridSpan w:val="3"/>
            <w:tcBorders>
              <w:top w:val="double" w:sz="6" w:space="0" w:color="000000"/>
            </w:tcBorders>
            <w:shd w:val="clear" w:color="auto" w:fill="CCEEFF"/>
            <w:tcMar>
              <w:top w:w="0" w:type="dxa"/>
              <w:left w:w="20" w:type="dxa"/>
              <w:bottom w:w="0" w:type="dxa"/>
              <w:right w:w="20" w:type="dxa"/>
            </w:tcMar>
          </w:tcPr>
          <w:p w14:paraId="7DD011A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A9"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1A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AB" w14:textId="77777777" w:rsidR="00C1563E" w:rsidRDefault="00C1563E">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11AC" w14:textId="77777777" w:rsidR="00C1563E" w:rsidRDefault="000B648B">
            <w:pPr>
              <w:jc w:val="right"/>
              <w:textAlignment w:val="bottom"/>
            </w:pPr>
            <w:r>
              <w:rPr>
                <w:rFonts w:ascii="Times New Roman" w:eastAsia="宋体" w:hAnsi="Times New Roman"/>
                <w:color w:val="000000"/>
                <w:sz w:val="20"/>
                <w:szCs w:val="20"/>
              </w:rPr>
              <w:t>833 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11AD" w14:textId="77777777" w:rsidR="00C1563E" w:rsidRDefault="00C1563E">
            <w:pPr>
              <w:jc w:val="right"/>
              <w:rPr>
                <w:rFonts w:ascii="宋体"/>
              </w:rPr>
            </w:pPr>
          </w:p>
        </w:tc>
      </w:tr>
      <w:tr w:rsidR="00C1563E" w14:paraId="7DD011B6" w14:textId="77777777">
        <w:trPr>
          <w:jc w:val="center"/>
        </w:trPr>
        <w:tc>
          <w:tcPr>
            <w:tcW w:w="0" w:type="auto"/>
            <w:gridSpan w:val="3"/>
            <w:shd w:val="clear" w:color="auto" w:fill="FFFFFF"/>
            <w:tcMar>
              <w:top w:w="40" w:type="dxa"/>
              <w:left w:w="20" w:type="dxa"/>
              <w:bottom w:w="40" w:type="dxa"/>
              <w:right w:w="20" w:type="dxa"/>
            </w:tcMar>
            <w:vAlign w:val="bottom"/>
          </w:tcPr>
          <w:p w14:paraId="7DD011AF" w14:textId="77777777" w:rsidR="00C1563E" w:rsidRDefault="000B648B">
            <w:pPr>
              <w:textAlignment w:val="bottom"/>
            </w:pPr>
            <w:r>
              <w:rPr>
                <w:rFonts w:ascii="Times New Roman" w:eastAsia="宋体" w:hAnsi="Times New Roman"/>
                <w:color w:val="000000"/>
                <w:sz w:val="20"/>
                <w:szCs w:val="20"/>
              </w:rPr>
              <w:t>Income before income taxes attributable to VMware</w:t>
            </w:r>
          </w:p>
        </w:tc>
        <w:tc>
          <w:tcPr>
            <w:tcW w:w="0" w:type="auto"/>
            <w:gridSpan w:val="3"/>
            <w:shd w:val="clear" w:color="auto" w:fill="FFFFFF"/>
            <w:tcMar>
              <w:top w:w="0" w:type="dxa"/>
              <w:left w:w="20" w:type="dxa"/>
              <w:bottom w:w="0" w:type="dxa"/>
              <w:right w:w="20" w:type="dxa"/>
            </w:tcMar>
          </w:tcPr>
          <w:p w14:paraId="7DD011B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B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B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1B4" w14:textId="77777777" w:rsidR="00C1563E" w:rsidRDefault="000B648B">
            <w:pPr>
              <w:jc w:val="right"/>
              <w:textAlignment w:val="bottom"/>
            </w:pPr>
            <w:r>
              <w:rPr>
                <w:rFonts w:ascii="Times New Roman" w:eastAsia="宋体" w:hAnsi="Times New Roman"/>
                <w:color w:val="000000"/>
                <w:sz w:val="20"/>
                <w:szCs w:val="20"/>
              </w:rPr>
              <w:t>2,883 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1B5" w14:textId="77777777" w:rsidR="00C1563E" w:rsidRDefault="00C1563E">
            <w:pPr>
              <w:jc w:val="right"/>
              <w:rPr>
                <w:rFonts w:ascii="宋体"/>
              </w:rPr>
            </w:pPr>
          </w:p>
        </w:tc>
      </w:tr>
      <w:tr w:rsidR="00C1563E" w14:paraId="7DD011BE" w14:textId="77777777">
        <w:trPr>
          <w:jc w:val="center"/>
        </w:trPr>
        <w:tc>
          <w:tcPr>
            <w:tcW w:w="0" w:type="auto"/>
            <w:gridSpan w:val="3"/>
            <w:shd w:val="clear" w:color="auto" w:fill="CCEEFF"/>
            <w:tcMar>
              <w:top w:w="40" w:type="dxa"/>
              <w:left w:w="20" w:type="dxa"/>
              <w:bottom w:w="40" w:type="dxa"/>
              <w:right w:w="20" w:type="dxa"/>
            </w:tcMar>
            <w:vAlign w:val="bottom"/>
          </w:tcPr>
          <w:p w14:paraId="7DD011B7" w14:textId="77777777" w:rsidR="00C1563E" w:rsidRDefault="000B648B">
            <w:pPr>
              <w:textAlignment w:val="bottom"/>
            </w:pPr>
            <w:r>
              <w:rPr>
                <w:rFonts w:ascii="Times New Roman" w:eastAsia="宋体" w:hAnsi="Times New Roman"/>
                <w:color w:val="000000"/>
                <w:sz w:val="20"/>
                <w:szCs w:val="20"/>
              </w:rPr>
              <w:t xml:space="preserve">Income tax </w:t>
            </w:r>
            <w:r>
              <w:rPr>
                <w:rFonts w:ascii="Times New Roman" w:eastAsia="宋体" w:hAnsi="Times New Roman"/>
                <w:color w:val="000000"/>
                <w:sz w:val="20"/>
                <w:szCs w:val="20"/>
              </w:rPr>
              <w:t>provision attributable to VMware</w:t>
            </w:r>
          </w:p>
        </w:tc>
        <w:tc>
          <w:tcPr>
            <w:tcW w:w="0" w:type="auto"/>
            <w:gridSpan w:val="3"/>
            <w:shd w:val="clear" w:color="auto" w:fill="CCEEFF"/>
            <w:tcMar>
              <w:top w:w="0" w:type="dxa"/>
              <w:left w:w="20" w:type="dxa"/>
              <w:bottom w:w="0" w:type="dxa"/>
              <w:right w:w="20" w:type="dxa"/>
            </w:tcMar>
          </w:tcPr>
          <w:p w14:paraId="7DD011B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B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B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B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1BC" w14:textId="77777777" w:rsidR="00C1563E" w:rsidRDefault="000B648B">
            <w:pPr>
              <w:jc w:val="right"/>
              <w:textAlignment w:val="bottom"/>
            </w:pPr>
            <w:r>
              <w:rPr>
                <w:rFonts w:ascii="Times New Roman" w:eastAsia="宋体" w:hAnsi="Times New Roman"/>
                <w:color w:val="000000"/>
                <w:sz w:val="20"/>
                <w:szCs w:val="20"/>
              </w:rPr>
              <w:t>461 </w:t>
            </w:r>
          </w:p>
        </w:tc>
        <w:tc>
          <w:tcPr>
            <w:tcW w:w="0" w:type="auto"/>
            <w:shd w:val="clear" w:color="auto" w:fill="CCEEFF"/>
            <w:tcMar>
              <w:top w:w="40" w:type="dxa"/>
              <w:left w:w="0" w:type="dxa"/>
              <w:bottom w:w="40" w:type="dxa"/>
              <w:right w:w="20" w:type="dxa"/>
            </w:tcMar>
            <w:vAlign w:val="bottom"/>
          </w:tcPr>
          <w:p w14:paraId="7DD011BD" w14:textId="77777777" w:rsidR="00C1563E" w:rsidRDefault="00C1563E">
            <w:pPr>
              <w:jc w:val="right"/>
              <w:rPr>
                <w:rFonts w:ascii="宋体"/>
              </w:rPr>
            </w:pPr>
          </w:p>
        </w:tc>
      </w:tr>
      <w:tr w:rsidR="00C1563E" w14:paraId="7DD011C7" w14:textId="77777777">
        <w:trPr>
          <w:jc w:val="center"/>
        </w:trPr>
        <w:tc>
          <w:tcPr>
            <w:tcW w:w="0" w:type="auto"/>
            <w:gridSpan w:val="3"/>
            <w:shd w:val="clear" w:color="auto" w:fill="FFFFFF"/>
            <w:tcMar>
              <w:top w:w="40" w:type="dxa"/>
              <w:left w:w="20" w:type="dxa"/>
              <w:bottom w:w="40" w:type="dxa"/>
              <w:right w:w="20" w:type="dxa"/>
            </w:tcMar>
            <w:vAlign w:val="bottom"/>
          </w:tcPr>
          <w:p w14:paraId="7DD011BF" w14:textId="77777777" w:rsidR="00C1563E" w:rsidRDefault="000B648B">
            <w:pPr>
              <w:textAlignment w:val="bottom"/>
            </w:pPr>
            <w:r>
              <w:rPr>
                <w:rFonts w:ascii="Times New Roman" w:eastAsia="宋体" w:hAnsi="Times New Roman"/>
                <w:color w:val="000000"/>
                <w:sz w:val="20"/>
                <w:szCs w:val="20"/>
              </w:rPr>
              <w:t>Net income attributable to VMware</w:t>
            </w:r>
          </w:p>
        </w:tc>
        <w:tc>
          <w:tcPr>
            <w:tcW w:w="0" w:type="auto"/>
            <w:gridSpan w:val="3"/>
            <w:shd w:val="clear" w:color="auto" w:fill="FFFFFF"/>
            <w:tcMar>
              <w:top w:w="0" w:type="dxa"/>
              <w:left w:w="20" w:type="dxa"/>
              <w:bottom w:w="0" w:type="dxa"/>
              <w:right w:w="20" w:type="dxa"/>
            </w:tcMar>
          </w:tcPr>
          <w:p w14:paraId="7DD011C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C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C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1C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1C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1C5" w14:textId="77777777" w:rsidR="00C1563E" w:rsidRDefault="000B648B">
            <w:pPr>
              <w:jc w:val="right"/>
              <w:textAlignment w:val="bottom"/>
            </w:pPr>
            <w:r>
              <w:rPr>
                <w:rFonts w:ascii="Times New Roman" w:eastAsia="宋体" w:hAnsi="Times New Roman"/>
                <w:color w:val="000000"/>
                <w:sz w:val="20"/>
                <w:szCs w:val="20"/>
              </w:rPr>
              <w:t>2,422 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1C6" w14:textId="77777777" w:rsidR="00C1563E" w:rsidRDefault="00C1563E">
            <w:pPr>
              <w:jc w:val="right"/>
              <w:rPr>
                <w:rFonts w:ascii="宋体"/>
              </w:rPr>
            </w:pPr>
          </w:p>
        </w:tc>
      </w:tr>
    </w:tbl>
    <w:p w14:paraId="7DD011C8" w14:textId="77777777" w:rsidR="00C1563E" w:rsidRDefault="000B648B">
      <w:r>
        <w:rPr>
          <w:rFonts w:ascii="Times New Roman" w:eastAsia="宋体" w:hAnsi="Times New Roman"/>
          <w:color w:val="000000"/>
          <w:sz w:val="20"/>
          <w:szCs w:val="20"/>
        </w:rPr>
        <w:t>____________________</w:t>
      </w:r>
    </w:p>
    <w:p w14:paraId="7DD011C9" w14:textId="77777777" w:rsidR="00C1563E" w:rsidRDefault="000B648B">
      <w:pPr>
        <w:ind w:hanging="360"/>
      </w:pPr>
      <w:r>
        <w:rPr>
          <w:rFonts w:ascii="Times New Roman" w:eastAsia="宋体" w:hAnsi="Times New Roman"/>
          <w:color w:val="000000"/>
          <w:sz w:val="20"/>
          <w:szCs w:val="20"/>
        </w:rPr>
        <w:t xml:space="preserve">(a)    Adjustments and eliminations primarily consist of intercompany sales and allocated expenses, as well as expenses that are </w:t>
      </w:r>
      <w:r>
        <w:rPr>
          <w:rFonts w:ascii="Times New Roman" w:eastAsia="宋体" w:hAnsi="Times New Roman"/>
          <w:color w:val="000000"/>
          <w:sz w:val="20"/>
          <w:szCs w:val="20"/>
        </w:rPr>
        <w:t xml:space="preserve">excluded from the VMware reportable segment, such as amortization of intangible assets, stock-based compensation expense, severance, and integration and acquisition-related costs. Adjustments also include adjustments and eliminations pertaining to Pivotal </w:t>
      </w:r>
      <w:r>
        <w:rPr>
          <w:rFonts w:ascii="Times New Roman" w:eastAsia="宋体" w:hAnsi="Times New Roman"/>
          <w:color w:val="000000"/>
          <w:sz w:val="20"/>
          <w:szCs w:val="20"/>
        </w:rPr>
        <w:t>results.</w:t>
      </w:r>
    </w:p>
    <w:p w14:paraId="7DD011CA" w14:textId="77777777" w:rsidR="00C1563E" w:rsidRDefault="00C1563E"/>
    <w:p w14:paraId="7DD011CB" w14:textId="77777777" w:rsidR="00C1563E" w:rsidRDefault="00C1563E"/>
    <w:p w14:paraId="7DD011CC" w14:textId="77777777" w:rsidR="00C1563E" w:rsidRDefault="00C1563E">
      <w:pPr>
        <w:jc w:val="center"/>
      </w:pPr>
    </w:p>
    <w:p w14:paraId="7DD011CD" w14:textId="77777777" w:rsidR="00C1563E" w:rsidRDefault="000B648B">
      <w:pPr>
        <w:jc w:val="center"/>
      </w:pPr>
      <w:r>
        <w:rPr>
          <w:rFonts w:ascii="Times New Roman" w:eastAsia="宋体" w:hAnsi="Times New Roman"/>
          <w:color w:val="000000"/>
          <w:sz w:val="20"/>
          <w:szCs w:val="20"/>
        </w:rPr>
        <w:t>144</w:t>
      </w:r>
    </w:p>
    <w:p w14:paraId="7DD011CE" w14:textId="77777777" w:rsidR="00C1563E" w:rsidRDefault="00C1563E">
      <w:pPr>
        <w:jc w:val="center"/>
      </w:pPr>
    </w:p>
    <w:p w14:paraId="7DD011CF" w14:textId="77777777" w:rsidR="00C1563E" w:rsidRDefault="000B648B">
      <w:r>
        <w:pict w14:anchorId="7DD025FA">
          <v:rect id="_x0000_i1168" style="width:415.3pt;height:1.5pt" o:hralign="center" o:hrstd="t" o:hr="t" fillcolor="#a0a0a0" stroked="f"/>
        </w:pict>
      </w:r>
    </w:p>
    <w:p w14:paraId="7DD011D0" w14:textId="77777777" w:rsidR="00C1563E" w:rsidRDefault="000B648B">
      <w:hyperlink r:id="rId327" w:anchor="i418e32e4a35149ffbf7d3a25d66881b8_10" w:history="1">
        <w:r>
          <w:rPr>
            <w:rStyle w:val="a5"/>
            <w:rFonts w:ascii="Times New Roman" w:eastAsia="宋体" w:hAnsi="Times New Roman"/>
            <w:sz w:val="20"/>
            <w:szCs w:val="20"/>
          </w:rPr>
          <w:t>Table of Contents</w:t>
        </w:r>
      </w:hyperlink>
    </w:p>
    <w:p w14:paraId="7DD011D1" w14:textId="77777777" w:rsidR="00C1563E" w:rsidRDefault="000B648B">
      <w:r>
        <w:rPr>
          <w:rFonts w:ascii="Times New Roman" w:eastAsia="宋体" w:hAnsi="Times New Roman"/>
          <w:b/>
          <w:bCs/>
          <w:color w:val="000000"/>
          <w:sz w:val="20"/>
          <w:szCs w:val="20"/>
        </w:rPr>
        <w:t xml:space="preserve">NOTE 16 — STOCK-BASED COMPENSATION </w:t>
      </w:r>
    </w:p>
    <w:p w14:paraId="7DD011D2" w14:textId="77777777" w:rsidR="00C1563E" w:rsidRDefault="00C1563E"/>
    <w:p w14:paraId="7DD011D3" w14:textId="77777777" w:rsidR="00C1563E" w:rsidRDefault="000B648B">
      <w:r>
        <w:rPr>
          <w:rFonts w:ascii="Times New Roman" w:eastAsia="宋体" w:hAnsi="Times New Roman"/>
          <w:b/>
          <w:bCs/>
          <w:color w:val="000000"/>
          <w:sz w:val="20"/>
          <w:szCs w:val="20"/>
        </w:rPr>
        <w:t>Stock-Based Compensation Expense</w:t>
      </w:r>
      <w:r>
        <w:rPr>
          <w:rFonts w:ascii="Times New Roman" w:eastAsia="宋体" w:hAnsi="Times New Roman"/>
          <w:b/>
          <w:bCs/>
          <w:i/>
          <w:iCs/>
          <w:color w:val="000000"/>
          <w:sz w:val="20"/>
          <w:szCs w:val="20"/>
        </w:rPr>
        <w:t xml:space="preserve"> </w:t>
      </w:r>
    </w:p>
    <w:p w14:paraId="7DD011D4" w14:textId="77777777" w:rsidR="00C1563E" w:rsidRDefault="00C1563E"/>
    <w:p w14:paraId="7DD011D5" w14:textId="77777777" w:rsidR="00C1563E" w:rsidRDefault="000B648B">
      <w:pPr>
        <w:spacing w:after="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stock-based compensation expense recognized in the Consolidated Statements of Income (Loss)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30"/>
        <w:gridCol w:w="37"/>
        <w:gridCol w:w="121"/>
        <w:gridCol w:w="1174"/>
        <w:gridCol w:w="36"/>
        <w:gridCol w:w="36"/>
        <w:gridCol w:w="36"/>
        <w:gridCol w:w="36"/>
        <w:gridCol w:w="121"/>
        <w:gridCol w:w="1135"/>
        <w:gridCol w:w="36"/>
        <w:gridCol w:w="36"/>
        <w:gridCol w:w="36"/>
        <w:gridCol w:w="36"/>
        <w:gridCol w:w="121"/>
        <w:gridCol w:w="1135"/>
        <w:gridCol w:w="36"/>
      </w:tblGrid>
      <w:tr w:rsidR="00C1563E" w14:paraId="7DD011E8" w14:textId="77777777">
        <w:trPr>
          <w:jc w:val="center"/>
        </w:trPr>
        <w:tc>
          <w:tcPr>
            <w:tcW w:w="50" w:type="pct"/>
            <w:shd w:val="clear" w:color="auto" w:fill="auto"/>
          </w:tcPr>
          <w:p w14:paraId="7DD011D6" w14:textId="77777777" w:rsidR="00C1563E" w:rsidRDefault="00C1563E">
            <w:pPr>
              <w:rPr>
                <w:rFonts w:ascii="宋体"/>
              </w:rPr>
            </w:pPr>
          </w:p>
        </w:tc>
        <w:tc>
          <w:tcPr>
            <w:tcW w:w="2507" w:type="pct"/>
            <w:shd w:val="clear" w:color="auto" w:fill="auto"/>
          </w:tcPr>
          <w:p w14:paraId="7DD011D7" w14:textId="77777777" w:rsidR="00C1563E" w:rsidRDefault="00C1563E">
            <w:pPr>
              <w:rPr>
                <w:rFonts w:ascii="宋体"/>
              </w:rPr>
            </w:pPr>
          </w:p>
        </w:tc>
        <w:tc>
          <w:tcPr>
            <w:tcW w:w="5" w:type="pct"/>
            <w:shd w:val="clear" w:color="auto" w:fill="auto"/>
          </w:tcPr>
          <w:p w14:paraId="7DD011D8" w14:textId="77777777" w:rsidR="00C1563E" w:rsidRDefault="00C1563E">
            <w:pPr>
              <w:rPr>
                <w:rFonts w:ascii="宋体"/>
              </w:rPr>
            </w:pPr>
          </w:p>
        </w:tc>
        <w:tc>
          <w:tcPr>
            <w:tcW w:w="50" w:type="pct"/>
            <w:shd w:val="clear" w:color="auto" w:fill="auto"/>
          </w:tcPr>
          <w:p w14:paraId="7DD011D9" w14:textId="77777777" w:rsidR="00C1563E" w:rsidRDefault="00C1563E">
            <w:pPr>
              <w:rPr>
                <w:rFonts w:ascii="宋体"/>
              </w:rPr>
            </w:pPr>
          </w:p>
        </w:tc>
        <w:tc>
          <w:tcPr>
            <w:tcW w:w="733" w:type="pct"/>
            <w:shd w:val="clear" w:color="auto" w:fill="auto"/>
          </w:tcPr>
          <w:p w14:paraId="7DD011DA" w14:textId="77777777" w:rsidR="00C1563E" w:rsidRDefault="00C1563E">
            <w:pPr>
              <w:rPr>
                <w:rFonts w:ascii="宋体"/>
              </w:rPr>
            </w:pPr>
          </w:p>
        </w:tc>
        <w:tc>
          <w:tcPr>
            <w:tcW w:w="5" w:type="pct"/>
            <w:shd w:val="clear" w:color="auto" w:fill="auto"/>
          </w:tcPr>
          <w:p w14:paraId="7DD011DB" w14:textId="77777777" w:rsidR="00C1563E" w:rsidRDefault="00C1563E">
            <w:pPr>
              <w:rPr>
                <w:rFonts w:ascii="宋体"/>
              </w:rPr>
            </w:pPr>
          </w:p>
        </w:tc>
        <w:tc>
          <w:tcPr>
            <w:tcW w:w="5" w:type="pct"/>
            <w:shd w:val="clear" w:color="auto" w:fill="auto"/>
          </w:tcPr>
          <w:p w14:paraId="7DD011DC" w14:textId="77777777" w:rsidR="00C1563E" w:rsidRDefault="00C1563E">
            <w:pPr>
              <w:rPr>
                <w:rFonts w:ascii="宋体"/>
              </w:rPr>
            </w:pPr>
          </w:p>
        </w:tc>
        <w:tc>
          <w:tcPr>
            <w:tcW w:w="26" w:type="pct"/>
            <w:shd w:val="clear" w:color="auto" w:fill="auto"/>
          </w:tcPr>
          <w:p w14:paraId="7DD011DD" w14:textId="77777777" w:rsidR="00C1563E" w:rsidRDefault="00C1563E">
            <w:pPr>
              <w:rPr>
                <w:rFonts w:ascii="宋体"/>
              </w:rPr>
            </w:pPr>
          </w:p>
        </w:tc>
        <w:tc>
          <w:tcPr>
            <w:tcW w:w="5" w:type="pct"/>
            <w:shd w:val="clear" w:color="auto" w:fill="auto"/>
          </w:tcPr>
          <w:p w14:paraId="7DD011DE" w14:textId="77777777" w:rsidR="00C1563E" w:rsidRDefault="00C1563E">
            <w:pPr>
              <w:rPr>
                <w:rFonts w:ascii="宋体"/>
              </w:rPr>
            </w:pPr>
          </w:p>
        </w:tc>
        <w:tc>
          <w:tcPr>
            <w:tcW w:w="50" w:type="pct"/>
            <w:shd w:val="clear" w:color="auto" w:fill="auto"/>
          </w:tcPr>
          <w:p w14:paraId="7DD011DF" w14:textId="77777777" w:rsidR="00C1563E" w:rsidRDefault="00C1563E">
            <w:pPr>
              <w:rPr>
                <w:rFonts w:ascii="宋体"/>
              </w:rPr>
            </w:pPr>
          </w:p>
        </w:tc>
        <w:tc>
          <w:tcPr>
            <w:tcW w:w="733" w:type="pct"/>
            <w:shd w:val="clear" w:color="auto" w:fill="auto"/>
          </w:tcPr>
          <w:p w14:paraId="7DD011E0" w14:textId="77777777" w:rsidR="00C1563E" w:rsidRDefault="00C1563E">
            <w:pPr>
              <w:rPr>
                <w:rFonts w:ascii="宋体"/>
              </w:rPr>
            </w:pPr>
          </w:p>
        </w:tc>
        <w:tc>
          <w:tcPr>
            <w:tcW w:w="5" w:type="pct"/>
            <w:shd w:val="clear" w:color="auto" w:fill="auto"/>
          </w:tcPr>
          <w:p w14:paraId="7DD011E1" w14:textId="77777777" w:rsidR="00C1563E" w:rsidRDefault="00C1563E">
            <w:pPr>
              <w:rPr>
                <w:rFonts w:ascii="宋体"/>
              </w:rPr>
            </w:pPr>
          </w:p>
        </w:tc>
        <w:tc>
          <w:tcPr>
            <w:tcW w:w="5" w:type="pct"/>
            <w:shd w:val="clear" w:color="auto" w:fill="auto"/>
          </w:tcPr>
          <w:p w14:paraId="7DD011E2" w14:textId="77777777" w:rsidR="00C1563E" w:rsidRDefault="00C1563E">
            <w:pPr>
              <w:rPr>
                <w:rFonts w:ascii="宋体"/>
              </w:rPr>
            </w:pPr>
          </w:p>
        </w:tc>
        <w:tc>
          <w:tcPr>
            <w:tcW w:w="26" w:type="pct"/>
            <w:shd w:val="clear" w:color="auto" w:fill="auto"/>
          </w:tcPr>
          <w:p w14:paraId="7DD011E3" w14:textId="77777777" w:rsidR="00C1563E" w:rsidRDefault="00C1563E">
            <w:pPr>
              <w:rPr>
                <w:rFonts w:ascii="宋体"/>
              </w:rPr>
            </w:pPr>
          </w:p>
        </w:tc>
        <w:tc>
          <w:tcPr>
            <w:tcW w:w="5" w:type="pct"/>
            <w:shd w:val="clear" w:color="auto" w:fill="auto"/>
          </w:tcPr>
          <w:p w14:paraId="7DD011E4" w14:textId="77777777" w:rsidR="00C1563E" w:rsidRDefault="00C1563E">
            <w:pPr>
              <w:rPr>
                <w:rFonts w:ascii="宋体"/>
              </w:rPr>
            </w:pPr>
          </w:p>
        </w:tc>
        <w:tc>
          <w:tcPr>
            <w:tcW w:w="50" w:type="pct"/>
            <w:shd w:val="clear" w:color="auto" w:fill="auto"/>
          </w:tcPr>
          <w:p w14:paraId="7DD011E5" w14:textId="77777777" w:rsidR="00C1563E" w:rsidRDefault="00C1563E">
            <w:pPr>
              <w:rPr>
                <w:rFonts w:ascii="宋体"/>
              </w:rPr>
            </w:pPr>
          </w:p>
        </w:tc>
        <w:tc>
          <w:tcPr>
            <w:tcW w:w="733" w:type="pct"/>
            <w:shd w:val="clear" w:color="auto" w:fill="auto"/>
          </w:tcPr>
          <w:p w14:paraId="7DD011E6" w14:textId="77777777" w:rsidR="00C1563E" w:rsidRDefault="00C1563E">
            <w:pPr>
              <w:rPr>
                <w:rFonts w:ascii="宋体"/>
              </w:rPr>
            </w:pPr>
          </w:p>
        </w:tc>
        <w:tc>
          <w:tcPr>
            <w:tcW w:w="5" w:type="pct"/>
            <w:shd w:val="clear" w:color="auto" w:fill="auto"/>
          </w:tcPr>
          <w:p w14:paraId="7DD011E7" w14:textId="77777777" w:rsidR="00C1563E" w:rsidRDefault="00C1563E">
            <w:pPr>
              <w:rPr>
                <w:rFonts w:ascii="宋体"/>
              </w:rPr>
            </w:pPr>
          </w:p>
        </w:tc>
      </w:tr>
      <w:tr w:rsidR="00C1563E" w14:paraId="7DD011EB" w14:textId="77777777">
        <w:trPr>
          <w:jc w:val="center"/>
        </w:trPr>
        <w:tc>
          <w:tcPr>
            <w:tcW w:w="0" w:type="auto"/>
            <w:gridSpan w:val="3"/>
            <w:shd w:val="clear" w:color="auto" w:fill="auto"/>
            <w:tcMar>
              <w:top w:w="0" w:type="dxa"/>
              <w:left w:w="20" w:type="dxa"/>
              <w:bottom w:w="0" w:type="dxa"/>
              <w:right w:w="20" w:type="dxa"/>
            </w:tcMar>
          </w:tcPr>
          <w:p w14:paraId="7DD011E9"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1EA"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1F2" w14:textId="77777777">
        <w:trPr>
          <w:jc w:val="center"/>
        </w:trPr>
        <w:tc>
          <w:tcPr>
            <w:tcW w:w="0" w:type="auto"/>
            <w:gridSpan w:val="3"/>
            <w:shd w:val="clear" w:color="auto" w:fill="auto"/>
            <w:tcMar>
              <w:top w:w="40" w:type="dxa"/>
              <w:left w:w="20" w:type="dxa"/>
              <w:bottom w:w="40" w:type="dxa"/>
              <w:right w:w="20" w:type="dxa"/>
            </w:tcMar>
            <w:vAlign w:val="bottom"/>
          </w:tcPr>
          <w:p w14:paraId="7DD011EC"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1ED"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1E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1EF"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1F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1F1"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1F5" w14:textId="77777777">
        <w:trPr>
          <w:jc w:val="center"/>
        </w:trPr>
        <w:tc>
          <w:tcPr>
            <w:tcW w:w="0" w:type="auto"/>
            <w:gridSpan w:val="3"/>
            <w:shd w:val="clear" w:color="auto" w:fill="auto"/>
            <w:tcMar>
              <w:top w:w="40" w:type="dxa"/>
              <w:left w:w="20" w:type="dxa"/>
              <w:bottom w:w="40" w:type="dxa"/>
              <w:right w:w="20" w:type="dxa"/>
            </w:tcMar>
            <w:vAlign w:val="bottom"/>
          </w:tcPr>
          <w:p w14:paraId="7DD011F3"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1F4" w14:textId="77777777" w:rsidR="00C1563E" w:rsidRDefault="000B648B">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C1563E" w14:paraId="7DD011FC" w14:textId="77777777">
        <w:trPr>
          <w:jc w:val="center"/>
        </w:trPr>
        <w:tc>
          <w:tcPr>
            <w:tcW w:w="0" w:type="auto"/>
            <w:gridSpan w:val="3"/>
            <w:shd w:val="clear" w:color="auto" w:fill="CCEEFF"/>
            <w:tcMar>
              <w:top w:w="40" w:type="dxa"/>
              <w:left w:w="20" w:type="dxa"/>
              <w:bottom w:w="40" w:type="dxa"/>
              <w:right w:w="20" w:type="dxa"/>
            </w:tcMar>
            <w:vAlign w:val="bottom"/>
          </w:tcPr>
          <w:p w14:paraId="7DD011F6" w14:textId="77777777" w:rsidR="00C1563E" w:rsidRDefault="000B648B">
            <w:pPr>
              <w:textAlignment w:val="bottom"/>
            </w:pPr>
            <w:r>
              <w:rPr>
                <w:rFonts w:ascii="Times New Roman" w:eastAsia="宋体" w:hAnsi="Times New Roman"/>
                <w:i/>
                <w:iCs/>
                <w:color w:val="000000"/>
                <w:sz w:val="20"/>
                <w:szCs w:val="20"/>
              </w:rPr>
              <w:t>Stock-based compensation expense (a):</w:t>
            </w:r>
          </w:p>
        </w:tc>
        <w:tc>
          <w:tcPr>
            <w:tcW w:w="0" w:type="auto"/>
            <w:gridSpan w:val="3"/>
            <w:shd w:val="clear" w:color="auto" w:fill="CCEEFF"/>
            <w:tcMar>
              <w:top w:w="0" w:type="dxa"/>
              <w:left w:w="20" w:type="dxa"/>
              <w:bottom w:w="0" w:type="dxa"/>
              <w:right w:w="20" w:type="dxa"/>
            </w:tcMar>
          </w:tcPr>
          <w:p w14:paraId="7DD011F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F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F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1FA"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1FB" w14:textId="77777777" w:rsidR="00C1563E" w:rsidRDefault="000B648B">
            <w:pPr>
              <w:jc w:val="right"/>
              <w:textAlignment w:val="bottom"/>
            </w:pPr>
            <w:r>
              <w:rPr>
                <w:rFonts w:ascii="Times New Roman" w:eastAsia="宋体" w:hAnsi="Times New Roman"/>
                <w:color w:val="000000"/>
                <w:sz w:val="20"/>
                <w:szCs w:val="20"/>
              </w:rPr>
              <w:t> </w:t>
            </w:r>
          </w:p>
        </w:tc>
      </w:tr>
      <w:tr w:rsidR="00C1563E" w14:paraId="7DD01209" w14:textId="77777777">
        <w:trPr>
          <w:jc w:val="center"/>
        </w:trPr>
        <w:tc>
          <w:tcPr>
            <w:tcW w:w="0" w:type="auto"/>
            <w:gridSpan w:val="3"/>
            <w:shd w:val="clear" w:color="auto" w:fill="FFFFFF"/>
            <w:tcMar>
              <w:top w:w="40" w:type="dxa"/>
              <w:left w:w="245" w:type="dxa"/>
              <w:bottom w:w="40" w:type="dxa"/>
              <w:right w:w="20" w:type="dxa"/>
            </w:tcMar>
            <w:vAlign w:val="bottom"/>
          </w:tcPr>
          <w:p w14:paraId="7DD011FD" w14:textId="77777777" w:rsidR="00C1563E" w:rsidRDefault="000B648B">
            <w:pPr>
              <w:textAlignment w:val="bottom"/>
            </w:pPr>
            <w:r>
              <w:rPr>
                <w:rFonts w:ascii="Times New Roman" w:eastAsia="宋体" w:hAnsi="Times New Roman"/>
                <w:color w:val="000000"/>
                <w:sz w:val="20"/>
                <w:szCs w:val="20"/>
              </w:rPr>
              <w:t>Cost of net revenue</w:t>
            </w:r>
          </w:p>
        </w:tc>
        <w:tc>
          <w:tcPr>
            <w:tcW w:w="0" w:type="auto"/>
            <w:shd w:val="clear" w:color="auto" w:fill="FFFFFF"/>
            <w:tcMar>
              <w:top w:w="40" w:type="dxa"/>
              <w:left w:w="20" w:type="dxa"/>
              <w:bottom w:w="40" w:type="dxa"/>
              <w:right w:w="0" w:type="dxa"/>
            </w:tcMar>
            <w:vAlign w:val="bottom"/>
          </w:tcPr>
          <w:p w14:paraId="7DD011F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1FF"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left w:w="0" w:type="dxa"/>
              <w:bottom w:w="40" w:type="dxa"/>
              <w:right w:w="20" w:type="dxa"/>
            </w:tcMar>
            <w:vAlign w:val="bottom"/>
          </w:tcPr>
          <w:p w14:paraId="7DD0120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01"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20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203" w14:textId="77777777" w:rsidR="00C1563E" w:rsidRDefault="000B648B">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7DD012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05"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20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207" w14:textId="77777777" w:rsidR="00C1563E" w:rsidRDefault="000B648B">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bottom"/>
          </w:tcPr>
          <w:p w14:paraId="7DD01208" w14:textId="77777777" w:rsidR="00C1563E" w:rsidRDefault="00C1563E">
            <w:pPr>
              <w:jc w:val="right"/>
              <w:rPr>
                <w:rFonts w:ascii="宋体"/>
              </w:rPr>
            </w:pPr>
          </w:p>
        </w:tc>
      </w:tr>
      <w:tr w:rsidR="00C1563E" w14:paraId="7DD01213" w14:textId="77777777">
        <w:trPr>
          <w:jc w:val="center"/>
        </w:trPr>
        <w:tc>
          <w:tcPr>
            <w:tcW w:w="0" w:type="auto"/>
            <w:gridSpan w:val="3"/>
            <w:shd w:val="clear" w:color="auto" w:fill="CCEEFF"/>
            <w:tcMar>
              <w:top w:w="40" w:type="dxa"/>
              <w:left w:w="245" w:type="dxa"/>
              <w:bottom w:w="40" w:type="dxa"/>
              <w:right w:w="20" w:type="dxa"/>
            </w:tcMar>
            <w:vAlign w:val="bottom"/>
          </w:tcPr>
          <w:p w14:paraId="7DD0120A" w14:textId="77777777" w:rsidR="00C1563E" w:rsidRDefault="000B648B">
            <w:pPr>
              <w:textAlignment w:val="bottom"/>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7DD0120B" w14:textId="77777777" w:rsidR="00C1563E" w:rsidRDefault="000B648B">
            <w:pPr>
              <w:jc w:val="right"/>
              <w:textAlignment w:val="bottom"/>
            </w:pPr>
            <w:r>
              <w:rPr>
                <w:rFonts w:ascii="Times New Roman" w:eastAsia="宋体" w:hAnsi="Times New Roman"/>
                <w:color w:val="000000"/>
                <w:sz w:val="20"/>
                <w:szCs w:val="20"/>
              </w:rPr>
              <w:t>1,415 </w:t>
            </w:r>
          </w:p>
        </w:tc>
        <w:tc>
          <w:tcPr>
            <w:tcW w:w="0" w:type="auto"/>
            <w:shd w:val="clear" w:color="auto" w:fill="CCEEFF"/>
            <w:tcMar>
              <w:top w:w="40" w:type="dxa"/>
              <w:left w:w="0" w:type="dxa"/>
              <w:bottom w:w="40" w:type="dxa"/>
              <w:right w:w="20" w:type="dxa"/>
            </w:tcMar>
            <w:vAlign w:val="bottom"/>
          </w:tcPr>
          <w:p w14:paraId="7DD012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0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0E" w14:textId="77777777" w:rsidR="00C1563E" w:rsidRDefault="000B648B">
            <w:pPr>
              <w:jc w:val="right"/>
              <w:textAlignment w:val="bottom"/>
            </w:pPr>
            <w:r>
              <w:rPr>
                <w:rFonts w:ascii="Times New Roman" w:eastAsia="宋体" w:hAnsi="Times New Roman"/>
                <w:color w:val="000000"/>
                <w:sz w:val="20"/>
                <w:szCs w:val="20"/>
              </w:rPr>
              <w:t>1,133 </w:t>
            </w:r>
          </w:p>
        </w:tc>
        <w:tc>
          <w:tcPr>
            <w:tcW w:w="0" w:type="auto"/>
            <w:shd w:val="clear" w:color="auto" w:fill="CCEEFF"/>
            <w:tcMar>
              <w:top w:w="40" w:type="dxa"/>
              <w:left w:w="0" w:type="dxa"/>
              <w:bottom w:w="40" w:type="dxa"/>
              <w:right w:w="20" w:type="dxa"/>
            </w:tcMar>
            <w:vAlign w:val="bottom"/>
          </w:tcPr>
          <w:p w14:paraId="7DD0120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1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11" w14:textId="77777777" w:rsidR="00C1563E" w:rsidRDefault="000B648B">
            <w:pPr>
              <w:jc w:val="right"/>
              <w:textAlignment w:val="bottom"/>
            </w:pPr>
            <w:r>
              <w:rPr>
                <w:rFonts w:ascii="Times New Roman" w:eastAsia="宋体" w:hAnsi="Times New Roman"/>
                <w:color w:val="000000"/>
                <w:sz w:val="20"/>
                <w:szCs w:val="20"/>
              </w:rPr>
              <w:t>842 </w:t>
            </w:r>
          </w:p>
        </w:tc>
        <w:tc>
          <w:tcPr>
            <w:tcW w:w="0" w:type="auto"/>
            <w:shd w:val="clear" w:color="auto" w:fill="CCEEFF"/>
            <w:tcMar>
              <w:top w:w="40" w:type="dxa"/>
              <w:left w:w="0" w:type="dxa"/>
              <w:bottom w:w="40" w:type="dxa"/>
              <w:right w:w="20" w:type="dxa"/>
            </w:tcMar>
            <w:vAlign w:val="bottom"/>
          </w:tcPr>
          <w:p w14:paraId="7DD01212" w14:textId="77777777" w:rsidR="00C1563E" w:rsidRDefault="00C1563E">
            <w:pPr>
              <w:jc w:val="right"/>
              <w:rPr>
                <w:rFonts w:ascii="宋体"/>
              </w:rPr>
            </w:pPr>
          </w:p>
        </w:tc>
      </w:tr>
      <w:tr w:rsidR="00C1563E" w14:paraId="7DD0121D" w14:textId="77777777">
        <w:trPr>
          <w:jc w:val="center"/>
        </w:trPr>
        <w:tc>
          <w:tcPr>
            <w:tcW w:w="0" w:type="auto"/>
            <w:gridSpan w:val="3"/>
            <w:shd w:val="clear" w:color="auto" w:fill="FFFFFF"/>
            <w:tcMar>
              <w:top w:w="40" w:type="dxa"/>
              <w:left w:w="515" w:type="dxa"/>
              <w:bottom w:w="40" w:type="dxa"/>
              <w:right w:w="20" w:type="dxa"/>
            </w:tcMar>
            <w:vAlign w:val="bottom"/>
          </w:tcPr>
          <w:p w14:paraId="7DD01214" w14:textId="77777777" w:rsidR="00C1563E" w:rsidRDefault="000B648B">
            <w:pPr>
              <w:textAlignment w:val="bottom"/>
            </w:pPr>
            <w:r>
              <w:rPr>
                <w:rFonts w:ascii="Times New Roman" w:eastAsia="宋体" w:hAnsi="Times New Roman"/>
                <w:color w:val="000000"/>
                <w:sz w:val="20"/>
                <w:szCs w:val="20"/>
              </w:rPr>
              <w:t>Stock-based compensation expense before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215" w14:textId="77777777" w:rsidR="00C1563E" w:rsidRDefault="000B648B">
            <w:pPr>
              <w:jc w:val="right"/>
              <w:textAlignment w:val="bottom"/>
            </w:pPr>
            <w:r>
              <w:rPr>
                <w:rFonts w:ascii="Times New Roman" w:eastAsia="宋体" w:hAnsi="Times New Roman"/>
                <w:color w:val="000000"/>
                <w:sz w:val="20"/>
                <w:szCs w:val="20"/>
              </w:rPr>
              <w:t>1,609 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21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17"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218" w14:textId="77777777" w:rsidR="00C1563E" w:rsidRDefault="000B648B">
            <w:pPr>
              <w:jc w:val="right"/>
              <w:textAlignment w:val="bottom"/>
            </w:pPr>
            <w:r>
              <w:rPr>
                <w:rFonts w:ascii="Times New Roman" w:eastAsia="宋体" w:hAnsi="Times New Roman"/>
                <w:color w:val="000000"/>
                <w:sz w:val="20"/>
                <w:szCs w:val="20"/>
              </w:rPr>
              <w:t>1,262 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2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1A"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21B" w14:textId="77777777" w:rsidR="00C1563E" w:rsidRDefault="000B648B">
            <w:pPr>
              <w:jc w:val="right"/>
              <w:textAlignment w:val="bottom"/>
            </w:pPr>
            <w:r>
              <w:rPr>
                <w:rFonts w:ascii="Times New Roman" w:eastAsia="宋体" w:hAnsi="Times New Roman"/>
                <w:color w:val="000000"/>
                <w:sz w:val="20"/>
                <w:szCs w:val="20"/>
              </w:rPr>
              <w:t>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21C" w14:textId="77777777" w:rsidR="00C1563E" w:rsidRDefault="00C1563E">
            <w:pPr>
              <w:jc w:val="right"/>
              <w:rPr>
                <w:rFonts w:ascii="宋体"/>
              </w:rPr>
            </w:pPr>
          </w:p>
        </w:tc>
      </w:tr>
      <w:tr w:rsidR="00C1563E" w14:paraId="7DD01227" w14:textId="77777777">
        <w:trPr>
          <w:jc w:val="center"/>
        </w:trPr>
        <w:tc>
          <w:tcPr>
            <w:tcW w:w="0" w:type="auto"/>
            <w:gridSpan w:val="3"/>
            <w:shd w:val="clear" w:color="auto" w:fill="CCEEFF"/>
            <w:tcMar>
              <w:top w:w="40" w:type="dxa"/>
              <w:left w:w="245" w:type="dxa"/>
              <w:bottom w:w="40" w:type="dxa"/>
              <w:right w:w="20" w:type="dxa"/>
            </w:tcMar>
            <w:vAlign w:val="bottom"/>
          </w:tcPr>
          <w:p w14:paraId="7DD0121E" w14:textId="77777777" w:rsidR="00C1563E" w:rsidRDefault="000B648B">
            <w:pPr>
              <w:textAlignment w:val="bottom"/>
            </w:pPr>
            <w:r>
              <w:rPr>
                <w:rFonts w:ascii="Times New Roman" w:eastAsia="宋体" w:hAnsi="Times New Roman"/>
                <w:color w:val="000000"/>
                <w:sz w:val="20"/>
                <w:szCs w:val="20"/>
              </w:rPr>
              <w:t>Incom</w:t>
            </w:r>
            <w:r>
              <w:rPr>
                <w:rFonts w:ascii="Times New Roman" w:eastAsia="宋体" w:hAnsi="Times New Roman"/>
                <w:color w:val="000000"/>
                <w:sz w:val="20"/>
                <w:szCs w:val="20"/>
              </w:rPr>
              <w:t>e tax benefit</w:t>
            </w:r>
          </w:p>
        </w:tc>
        <w:tc>
          <w:tcPr>
            <w:tcW w:w="0" w:type="auto"/>
            <w:gridSpan w:val="2"/>
            <w:shd w:val="clear" w:color="auto" w:fill="CCEEFF"/>
            <w:tcMar>
              <w:top w:w="40" w:type="dxa"/>
              <w:left w:w="20" w:type="dxa"/>
              <w:bottom w:w="40" w:type="dxa"/>
              <w:right w:w="0" w:type="dxa"/>
            </w:tcMar>
            <w:vAlign w:val="bottom"/>
          </w:tcPr>
          <w:p w14:paraId="7DD0121F" w14:textId="77777777" w:rsidR="00C1563E" w:rsidRDefault="000B648B">
            <w:pPr>
              <w:jc w:val="right"/>
              <w:textAlignment w:val="bottom"/>
            </w:pPr>
            <w:r>
              <w:rPr>
                <w:rFonts w:ascii="Times New Roman" w:eastAsia="宋体" w:hAnsi="Times New Roman"/>
                <w:color w:val="000000"/>
                <w:sz w:val="20"/>
                <w:szCs w:val="20"/>
              </w:rPr>
              <w:t>(313)</w:t>
            </w:r>
          </w:p>
        </w:tc>
        <w:tc>
          <w:tcPr>
            <w:tcW w:w="0" w:type="auto"/>
            <w:shd w:val="clear" w:color="auto" w:fill="CCEEFF"/>
            <w:tcMar>
              <w:top w:w="40" w:type="dxa"/>
              <w:left w:w="0" w:type="dxa"/>
              <w:bottom w:w="40" w:type="dxa"/>
              <w:right w:w="20" w:type="dxa"/>
            </w:tcMar>
            <w:vAlign w:val="bottom"/>
          </w:tcPr>
          <w:p w14:paraId="7DD0122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2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22" w14:textId="77777777" w:rsidR="00C1563E" w:rsidRDefault="000B648B">
            <w:pPr>
              <w:jc w:val="right"/>
              <w:textAlignment w:val="bottom"/>
            </w:pPr>
            <w:r>
              <w:rPr>
                <w:rFonts w:ascii="Times New Roman" w:eastAsia="宋体" w:hAnsi="Times New Roman"/>
                <w:color w:val="000000"/>
                <w:sz w:val="20"/>
                <w:szCs w:val="20"/>
              </w:rPr>
              <w:t>(392)</w:t>
            </w:r>
          </w:p>
        </w:tc>
        <w:tc>
          <w:tcPr>
            <w:tcW w:w="0" w:type="auto"/>
            <w:shd w:val="clear" w:color="auto" w:fill="CCEEFF"/>
            <w:tcMar>
              <w:top w:w="40" w:type="dxa"/>
              <w:left w:w="0" w:type="dxa"/>
              <w:bottom w:w="40" w:type="dxa"/>
              <w:right w:w="20" w:type="dxa"/>
            </w:tcMar>
            <w:vAlign w:val="bottom"/>
          </w:tcPr>
          <w:p w14:paraId="7DD0122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2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25" w14:textId="77777777" w:rsidR="00C1563E" w:rsidRDefault="000B648B">
            <w:pPr>
              <w:jc w:val="right"/>
              <w:textAlignment w:val="bottom"/>
            </w:pPr>
            <w:r>
              <w:rPr>
                <w:rFonts w:ascii="Times New Roman" w:eastAsia="宋体" w:hAnsi="Times New Roman"/>
                <w:color w:val="000000"/>
                <w:sz w:val="20"/>
                <w:szCs w:val="20"/>
              </w:rPr>
              <w:t>(260)</w:t>
            </w:r>
          </w:p>
        </w:tc>
        <w:tc>
          <w:tcPr>
            <w:tcW w:w="0" w:type="auto"/>
            <w:shd w:val="clear" w:color="auto" w:fill="CCEEFF"/>
            <w:tcMar>
              <w:top w:w="40" w:type="dxa"/>
              <w:left w:w="0" w:type="dxa"/>
              <w:bottom w:w="40" w:type="dxa"/>
              <w:right w:w="20" w:type="dxa"/>
            </w:tcMar>
            <w:vAlign w:val="bottom"/>
          </w:tcPr>
          <w:p w14:paraId="7DD01226" w14:textId="77777777" w:rsidR="00C1563E" w:rsidRDefault="00C1563E">
            <w:pPr>
              <w:jc w:val="right"/>
              <w:rPr>
                <w:rFonts w:ascii="宋体"/>
              </w:rPr>
            </w:pPr>
          </w:p>
        </w:tc>
      </w:tr>
      <w:tr w:rsidR="00C1563E" w14:paraId="7DD01234" w14:textId="77777777">
        <w:trPr>
          <w:jc w:val="center"/>
        </w:trPr>
        <w:tc>
          <w:tcPr>
            <w:tcW w:w="0" w:type="auto"/>
            <w:gridSpan w:val="3"/>
            <w:shd w:val="clear" w:color="auto" w:fill="FFFFFF"/>
            <w:tcMar>
              <w:top w:w="40" w:type="dxa"/>
              <w:left w:w="515" w:type="dxa"/>
              <w:bottom w:w="40" w:type="dxa"/>
              <w:right w:w="20" w:type="dxa"/>
            </w:tcMar>
            <w:vAlign w:val="bottom"/>
          </w:tcPr>
          <w:p w14:paraId="7DD01228" w14:textId="77777777" w:rsidR="00C1563E" w:rsidRDefault="000B648B">
            <w:pPr>
              <w:textAlignment w:val="bottom"/>
            </w:pPr>
            <w:r>
              <w:rPr>
                <w:rFonts w:ascii="Times New Roman" w:eastAsia="宋体" w:hAnsi="Times New Roman"/>
                <w:color w:val="000000"/>
                <w:sz w:val="20"/>
                <w:szCs w:val="20"/>
              </w:rPr>
              <w:t>Stock-based compensation expense,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22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22A" w14:textId="77777777" w:rsidR="00C1563E" w:rsidRDefault="000B648B">
            <w:pPr>
              <w:jc w:val="right"/>
              <w:textAlignment w:val="bottom"/>
            </w:pPr>
            <w:r>
              <w:rPr>
                <w:rFonts w:ascii="Times New Roman" w:eastAsia="宋体" w:hAnsi="Times New Roman"/>
                <w:color w:val="000000"/>
                <w:sz w:val="20"/>
                <w:szCs w:val="20"/>
              </w:rPr>
              <w:t>1,296 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22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2C"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22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22E" w14:textId="77777777" w:rsidR="00C1563E" w:rsidRDefault="000B648B">
            <w:pPr>
              <w:jc w:val="right"/>
              <w:textAlignment w:val="bottom"/>
            </w:pPr>
            <w:r>
              <w:rPr>
                <w:rFonts w:ascii="Times New Roman" w:eastAsia="宋体" w:hAnsi="Times New Roman"/>
                <w:color w:val="000000"/>
                <w:sz w:val="20"/>
                <w:szCs w:val="20"/>
              </w:rPr>
              <w:t>870 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22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3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23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232" w14:textId="77777777" w:rsidR="00C1563E" w:rsidRDefault="000B648B">
            <w:pPr>
              <w:jc w:val="right"/>
              <w:textAlignment w:val="bottom"/>
            </w:pPr>
            <w:r>
              <w:rPr>
                <w:rFonts w:ascii="Times New Roman" w:eastAsia="宋体" w:hAnsi="Times New Roman"/>
                <w:color w:val="000000"/>
                <w:sz w:val="20"/>
                <w:szCs w:val="20"/>
              </w:rPr>
              <w:t>658 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233" w14:textId="77777777" w:rsidR="00C1563E" w:rsidRDefault="00C1563E">
            <w:pPr>
              <w:jc w:val="right"/>
              <w:rPr>
                <w:rFonts w:ascii="宋体"/>
              </w:rPr>
            </w:pPr>
          </w:p>
        </w:tc>
      </w:tr>
    </w:tbl>
    <w:p w14:paraId="7DD01235" w14:textId="77777777" w:rsidR="00C1563E" w:rsidRDefault="000B648B">
      <w:r>
        <w:rPr>
          <w:rFonts w:ascii="Times New Roman" w:eastAsia="宋体" w:hAnsi="Times New Roman"/>
          <w:color w:val="000000"/>
          <w:sz w:val="20"/>
          <w:szCs w:val="20"/>
        </w:rPr>
        <w:t>____________________</w:t>
      </w:r>
    </w:p>
    <w:p w14:paraId="7DD01236" w14:textId="77777777" w:rsidR="00C1563E" w:rsidRDefault="000B648B">
      <w:pPr>
        <w:ind w:hanging="360"/>
      </w:pPr>
      <w:r>
        <w:rPr>
          <w:rFonts w:ascii="Times New Roman" w:eastAsia="宋体" w:hAnsi="Times New Roman"/>
          <w:color w:val="000000"/>
          <w:sz w:val="20"/>
          <w:szCs w:val="20"/>
        </w:rPr>
        <w:t>(a)    Stock-based compensation expense before taxes for the fiscal years ended January 29, 2021, January 31, 2020, and February 1, 2019 includes $1,122 million, $892 m</w:t>
      </w:r>
      <w:r>
        <w:rPr>
          <w:rFonts w:ascii="Times New Roman" w:eastAsia="宋体" w:hAnsi="Times New Roman"/>
          <w:color w:val="000000"/>
          <w:sz w:val="20"/>
          <w:szCs w:val="20"/>
        </w:rPr>
        <w:t xml:space="preserve">illion and $731 million, respectively, related to the VMware, Inc. plans discussed below. </w:t>
      </w:r>
    </w:p>
    <w:p w14:paraId="7DD01237" w14:textId="77777777" w:rsidR="00C1563E" w:rsidRDefault="00C1563E"/>
    <w:p w14:paraId="7DD01238" w14:textId="77777777" w:rsidR="00C1563E" w:rsidRDefault="000B648B">
      <w:r>
        <w:rPr>
          <w:rFonts w:ascii="Times New Roman" w:eastAsia="宋体" w:hAnsi="Times New Roman"/>
          <w:b/>
          <w:bCs/>
          <w:color w:val="000000"/>
          <w:sz w:val="20"/>
          <w:szCs w:val="20"/>
        </w:rPr>
        <w:t>Dell Technologies Inc. Stock-Based Compensation Plans</w:t>
      </w:r>
    </w:p>
    <w:p w14:paraId="7DD01239" w14:textId="77777777" w:rsidR="00C1563E" w:rsidRDefault="00C1563E"/>
    <w:p w14:paraId="7DD0123A" w14:textId="77777777" w:rsidR="00C1563E" w:rsidRDefault="000B648B">
      <w:r>
        <w:rPr>
          <w:rFonts w:ascii="Times New Roman" w:eastAsia="宋体" w:hAnsi="Times New Roman"/>
          <w:i/>
          <w:iCs/>
          <w:color w:val="000000"/>
          <w:sz w:val="20"/>
          <w:szCs w:val="20"/>
        </w:rPr>
        <w:t>Dell Technologies Inc. 2013 Stock Incentive Plan (As Amended and Restated as of July, 9, 2019)</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September</w:t>
      </w:r>
      <w:r>
        <w:rPr>
          <w:rFonts w:ascii="Times New Roman" w:eastAsia="宋体" w:hAnsi="Times New Roman"/>
          <w:color w:val="000000"/>
          <w:sz w:val="20"/>
          <w:szCs w:val="20"/>
        </w:rPr>
        <w:t xml:space="preserve"> 7, 2016, at the effective time of the EMC merger transaction, the Denali Holding Inc. 2013 Stock Incentive Plan (the “2013 Plan”) was amended and restated as the Dell Technologies Inc. 2013 Stock Incentive Plan (the “Restated Plan”). Employees, consultant</w:t>
      </w:r>
      <w:r>
        <w:rPr>
          <w:rFonts w:ascii="Times New Roman" w:eastAsia="宋体" w:hAnsi="Times New Roman"/>
          <w:color w:val="000000"/>
          <w:sz w:val="20"/>
          <w:szCs w:val="20"/>
        </w:rPr>
        <w:t>s, non-employee directors, and other service providers of the Company or its affiliates are eligible to participate in the Restated Plan. The Restated Plan authorized the issuance of an aggregate of 75 million shares of the Company’s Class C Common Stock a</w:t>
      </w:r>
      <w:r>
        <w:rPr>
          <w:rFonts w:ascii="Times New Roman" w:eastAsia="宋体" w:hAnsi="Times New Roman"/>
          <w:color w:val="000000"/>
          <w:sz w:val="20"/>
          <w:szCs w:val="20"/>
        </w:rPr>
        <w:t xml:space="preserve">nd 500,000 shares of the </w:t>
      </w:r>
      <w:r>
        <w:rPr>
          <w:rFonts w:ascii="Times New Roman" w:eastAsia="宋体" w:hAnsi="Times New Roman"/>
          <w:color w:val="000000"/>
          <w:sz w:val="20"/>
          <w:szCs w:val="20"/>
          <w:shd w:val="clear" w:color="auto" w:fill="FFFFFF"/>
        </w:rPr>
        <w:t xml:space="preserve">Company’s Class V Common Stock, </w:t>
      </w:r>
      <w:r>
        <w:rPr>
          <w:rFonts w:ascii="Times New Roman" w:eastAsia="宋体" w:hAnsi="Times New Roman"/>
          <w:color w:val="000000"/>
          <w:sz w:val="20"/>
          <w:szCs w:val="20"/>
        </w:rPr>
        <w:t>of which 61 million shares of Class C Common Stock were previously reserved for issuance under the 2013 Plan. The Restated Plan authorizes the Company to grant stock options, restricted stock units (</w:t>
      </w:r>
      <w:r>
        <w:rPr>
          <w:rFonts w:ascii="Times New Roman" w:eastAsia="宋体" w:hAnsi="Times New Roman"/>
          <w:color w:val="000000"/>
          <w:sz w:val="20"/>
          <w:szCs w:val="20"/>
        </w:rPr>
        <w:t xml:space="preserve">“RSUs”), stock appreciation rights (“SARs”), RSAs, and dividend equivalents. </w:t>
      </w:r>
    </w:p>
    <w:p w14:paraId="7DD0123B" w14:textId="77777777" w:rsidR="00C1563E" w:rsidRDefault="00C1563E"/>
    <w:p w14:paraId="7DD0123C" w14:textId="77777777" w:rsidR="00C1563E" w:rsidRDefault="000B648B">
      <w:r>
        <w:rPr>
          <w:rFonts w:ascii="Times New Roman" w:eastAsia="宋体" w:hAnsi="Times New Roman"/>
          <w:color w:val="000000"/>
          <w:sz w:val="20"/>
          <w:szCs w:val="20"/>
        </w:rPr>
        <w:t xml:space="preserve">Upon the completion of the Class V transaction on December 28, 2018, the Restated Plan was amended to remove allowance for employee awards to be settled in Class V Common Stock </w:t>
      </w:r>
      <w:r>
        <w:rPr>
          <w:rFonts w:ascii="Times New Roman" w:eastAsia="宋体" w:hAnsi="Times New Roman"/>
          <w:color w:val="000000"/>
          <w:sz w:val="20"/>
          <w:szCs w:val="20"/>
        </w:rPr>
        <w:t>and reflected an increase in the total authorized shares of Class C Common Stock issued under the plan to 75.5 million shares from 75 million shares upon the conversion of 500,000 shares of Class V Common Stock previously authorized under the plan into the</w:t>
      </w:r>
      <w:r>
        <w:rPr>
          <w:rFonts w:ascii="Times New Roman" w:eastAsia="宋体" w:hAnsi="Times New Roman"/>
          <w:color w:val="000000"/>
          <w:sz w:val="20"/>
          <w:szCs w:val="20"/>
        </w:rPr>
        <w:t xml:space="preserve"> same number of shares of Class C Common Stock. In connection with the Class V transaction, an immaterial number of Class V Common Stock awards issued to the Company’s independent directors were converted into an immaterial number of Class C Common Stock a</w:t>
      </w:r>
      <w:r>
        <w:rPr>
          <w:rFonts w:ascii="Times New Roman" w:eastAsia="宋体" w:hAnsi="Times New Roman"/>
          <w:color w:val="000000"/>
          <w:sz w:val="20"/>
          <w:szCs w:val="20"/>
        </w:rPr>
        <w:t>wards, which are reflected in the underlying stock option and restricted stock data as outstanding. See Note 1 of the Notes to the Consolidated Financial Statements for additional information on the Class V transaction.</w:t>
      </w:r>
    </w:p>
    <w:p w14:paraId="7DD0123D" w14:textId="77777777" w:rsidR="00C1563E" w:rsidRDefault="00C1563E"/>
    <w:p w14:paraId="7DD0123E" w14:textId="77777777" w:rsidR="00C1563E" w:rsidRDefault="000B648B">
      <w:r>
        <w:rPr>
          <w:rFonts w:ascii="Times New Roman" w:eastAsia="宋体" w:hAnsi="Times New Roman"/>
          <w:color w:val="000000"/>
          <w:sz w:val="20"/>
          <w:szCs w:val="20"/>
        </w:rPr>
        <w:t xml:space="preserve">During the second quarter of the </w:t>
      </w:r>
      <w:r>
        <w:rPr>
          <w:rFonts w:ascii="Times New Roman" w:eastAsia="宋体" w:hAnsi="Times New Roman"/>
          <w:color w:val="000000"/>
          <w:sz w:val="20"/>
          <w:szCs w:val="20"/>
        </w:rPr>
        <w:t>fiscal year ended January 31, 2020, the Company’s stockholders approved an amendment to the Restated Plan to authorize an additional 35 million shares of Class C Common Stock for issuance pursuant to the Plan. Upon effectiveness of the amendment, a total o</w:t>
      </w:r>
      <w:r>
        <w:rPr>
          <w:rFonts w:ascii="Times New Roman" w:eastAsia="宋体" w:hAnsi="Times New Roman"/>
          <w:color w:val="000000"/>
          <w:sz w:val="20"/>
          <w:szCs w:val="20"/>
        </w:rPr>
        <w:t>f 110.5 million shares of Class C Common Stock are authorized for issuance. As of January 29, 2021, there were approximately 32 million shares of Class C Common Stock available for future grants under the Restated Plan.</w:t>
      </w:r>
    </w:p>
    <w:p w14:paraId="7DD0123F" w14:textId="77777777" w:rsidR="00C1563E" w:rsidRDefault="00C1563E"/>
    <w:p w14:paraId="7DD01240" w14:textId="77777777" w:rsidR="00C1563E" w:rsidRDefault="00C1563E">
      <w:pPr>
        <w:jc w:val="center"/>
      </w:pPr>
    </w:p>
    <w:p w14:paraId="7DD01241" w14:textId="77777777" w:rsidR="00C1563E" w:rsidRDefault="000B648B">
      <w:pPr>
        <w:jc w:val="center"/>
      </w:pPr>
      <w:r>
        <w:rPr>
          <w:rFonts w:ascii="Times New Roman" w:eastAsia="宋体" w:hAnsi="Times New Roman"/>
          <w:color w:val="000000"/>
          <w:sz w:val="20"/>
          <w:szCs w:val="20"/>
        </w:rPr>
        <w:t>145</w:t>
      </w:r>
    </w:p>
    <w:p w14:paraId="7DD01242" w14:textId="77777777" w:rsidR="00C1563E" w:rsidRDefault="00C1563E">
      <w:pPr>
        <w:jc w:val="center"/>
      </w:pPr>
    </w:p>
    <w:p w14:paraId="7DD01243" w14:textId="77777777" w:rsidR="00C1563E" w:rsidRDefault="000B648B">
      <w:r>
        <w:pict w14:anchorId="7DD025FB">
          <v:rect id="_x0000_i1169" style="width:415.3pt;height:1.5pt" o:hralign="center" o:hrstd="t" o:hr="t" fillcolor="#a0a0a0" stroked="f"/>
        </w:pict>
      </w:r>
    </w:p>
    <w:p w14:paraId="7DD01244" w14:textId="77777777" w:rsidR="00C1563E" w:rsidRDefault="000B648B">
      <w:hyperlink r:id="rId328" w:anchor="i418e32e4a35149ffbf7d3a25d66881b8_10" w:history="1">
        <w:r>
          <w:rPr>
            <w:rStyle w:val="a5"/>
            <w:rFonts w:ascii="Times New Roman" w:eastAsia="宋体" w:hAnsi="Times New Roman"/>
            <w:sz w:val="20"/>
            <w:szCs w:val="20"/>
          </w:rPr>
          <w:t>Table of Contents</w:t>
        </w:r>
      </w:hyperlink>
    </w:p>
    <w:p w14:paraId="7DD01245" w14:textId="77777777" w:rsidR="00C1563E" w:rsidRDefault="000B648B">
      <w:r>
        <w:rPr>
          <w:rFonts w:ascii="Times New Roman" w:eastAsia="宋体" w:hAnsi="Times New Roman"/>
          <w:i/>
          <w:iCs/>
          <w:color w:val="000000"/>
          <w:sz w:val="20"/>
          <w:szCs w:val="20"/>
        </w:rPr>
        <w:t>Stock Opt</w:t>
      </w:r>
      <w:r>
        <w:rPr>
          <w:rFonts w:ascii="Times New Roman" w:eastAsia="宋体" w:hAnsi="Times New Roman"/>
          <w:i/>
          <w:iCs/>
          <w:color w:val="000000"/>
          <w:sz w:val="20"/>
          <w:szCs w:val="20"/>
          <w:shd w:val="clear" w:color="auto" w:fill="FFFFFF"/>
        </w:rPr>
        <w:t>ion Agreements</w:t>
      </w:r>
      <w:r>
        <w:rPr>
          <w:rFonts w:ascii="Times New Roman" w:eastAsia="宋体" w:hAnsi="Times New Roman"/>
          <w:color w:val="000000"/>
          <w:sz w:val="20"/>
          <w:szCs w:val="20"/>
          <w:shd w:val="clear" w:color="auto" w:fill="FFFFFF"/>
        </w:rPr>
        <w:t xml:space="preserve"> — Stock options granted under the </w:t>
      </w:r>
      <w:r>
        <w:rPr>
          <w:rFonts w:ascii="Times New Roman" w:eastAsia="宋体" w:hAnsi="Times New Roman"/>
          <w:color w:val="000000"/>
          <w:sz w:val="20"/>
          <w:szCs w:val="20"/>
        </w:rPr>
        <w:t>Restated Plan include service-based awards and performance-based awards. A majority of the service-based stock options vest pro-rata at each option anniversary date over a five-year period. Outstanding performance-based stock options became fully vested up</w:t>
      </w:r>
      <w:r>
        <w:rPr>
          <w:rFonts w:ascii="Times New Roman" w:eastAsia="宋体" w:hAnsi="Times New Roman"/>
          <w:color w:val="000000"/>
          <w:sz w:val="20"/>
          <w:szCs w:val="20"/>
        </w:rPr>
        <w:t>on the achievement of a prescribed return on equity (“ROE”) measurement that was approved by the Company’s board of directors in connection with the Class V transaction. Both service-based and performance-based stock options are granted with option exercis</w:t>
      </w:r>
      <w:r>
        <w:rPr>
          <w:rFonts w:ascii="Times New Roman" w:eastAsia="宋体" w:hAnsi="Times New Roman"/>
          <w:color w:val="000000"/>
          <w:sz w:val="20"/>
          <w:szCs w:val="20"/>
        </w:rPr>
        <w:t>e prices equal to the fair market value of the Company’s common stock.  Prior to the Class V transaction, the fair market value was determined by the Company’s board of directors or authorized committee.  After the Class V transaction, the fair market valu</w:t>
      </w:r>
      <w:r>
        <w:rPr>
          <w:rFonts w:ascii="Times New Roman" w:eastAsia="宋体" w:hAnsi="Times New Roman"/>
          <w:color w:val="000000"/>
          <w:sz w:val="20"/>
          <w:szCs w:val="20"/>
        </w:rPr>
        <w:t xml:space="preserve">e is based on the closing price of the Class C Common Stock as reported on the NYSE on the grant date. A majority of the stock options expire ten years after the date of grant. </w:t>
      </w:r>
    </w:p>
    <w:p w14:paraId="7DD01246" w14:textId="77777777" w:rsidR="00C1563E" w:rsidRDefault="00C1563E"/>
    <w:p w14:paraId="7DD01247" w14:textId="77777777" w:rsidR="00C1563E" w:rsidRDefault="000B648B">
      <w:pPr>
        <w:spacing w:after="120"/>
      </w:pPr>
      <w:r>
        <w:rPr>
          <w:rFonts w:ascii="Times New Roman" w:eastAsia="宋体" w:hAnsi="Times New Roman"/>
          <w:i/>
          <w:iCs/>
          <w:color w:val="000000"/>
          <w:sz w:val="20"/>
          <w:szCs w:val="20"/>
        </w:rPr>
        <w:t xml:space="preserve">Stock Option Activity </w:t>
      </w:r>
      <w:r>
        <w:rPr>
          <w:rFonts w:ascii="Times New Roman" w:eastAsia="宋体" w:hAnsi="Times New Roman"/>
          <w:color w:val="000000"/>
          <w:sz w:val="20"/>
          <w:szCs w:val="20"/>
        </w:rPr>
        <w:t>— The following table presents stock option activity se</w:t>
      </w:r>
      <w:r>
        <w:rPr>
          <w:rFonts w:ascii="Times New Roman" w:eastAsia="宋体" w:hAnsi="Times New Roman"/>
          <w:color w:val="000000"/>
          <w:sz w:val="20"/>
          <w:szCs w:val="20"/>
        </w:rPr>
        <w:t>ttled in Dell Technologies Common Stock or DHI Group Common Stock for the periods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2784"/>
        <w:gridCol w:w="38"/>
        <w:gridCol w:w="60"/>
        <w:gridCol w:w="687"/>
        <w:gridCol w:w="36"/>
        <w:gridCol w:w="36"/>
        <w:gridCol w:w="36"/>
        <w:gridCol w:w="36"/>
        <w:gridCol w:w="121"/>
        <w:gridCol w:w="1523"/>
        <w:gridCol w:w="36"/>
        <w:gridCol w:w="36"/>
        <w:gridCol w:w="36"/>
        <w:gridCol w:w="36"/>
        <w:gridCol w:w="97"/>
        <w:gridCol w:w="1534"/>
        <w:gridCol w:w="36"/>
        <w:gridCol w:w="36"/>
        <w:gridCol w:w="36"/>
        <w:gridCol w:w="36"/>
        <w:gridCol w:w="121"/>
        <w:gridCol w:w="847"/>
        <w:gridCol w:w="36"/>
      </w:tblGrid>
      <w:tr w:rsidR="00C1563E" w14:paraId="7DD01260" w14:textId="77777777">
        <w:trPr>
          <w:jc w:val="center"/>
        </w:trPr>
        <w:tc>
          <w:tcPr>
            <w:tcW w:w="50" w:type="pct"/>
            <w:shd w:val="clear" w:color="auto" w:fill="auto"/>
          </w:tcPr>
          <w:p w14:paraId="7DD01248" w14:textId="77777777" w:rsidR="00C1563E" w:rsidRDefault="00C1563E">
            <w:pPr>
              <w:rPr>
                <w:rFonts w:ascii="宋体"/>
              </w:rPr>
            </w:pPr>
          </w:p>
        </w:tc>
        <w:tc>
          <w:tcPr>
            <w:tcW w:w="1870" w:type="pct"/>
            <w:shd w:val="clear" w:color="auto" w:fill="auto"/>
          </w:tcPr>
          <w:p w14:paraId="7DD01249" w14:textId="77777777" w:rsidR="00C1563E" w:rsidRDefault="00C1563E">
            <w:pPr>
              <w:rPr>
                <w:rFonts w:ascii="宋体"/>
              </w:rPr>
            </w:pPr>
          </w:p>
        </w:tc>
        <w:tc>
          <w:tcPr>
            <w:tcW w:w="5" w:type="pct"/>
            <w:shd w:val="clear" w:color="auto" w:fill="auto"/>
          </w:tcPr>
          <w:p w14:paraId="7DD0124A" w14:textId="77777777" w:rsidR="00C1563E" w:rsidRDefault="00C1563E">
            <w:pPr>
              <w:rPr>
                <w:rFonts w:ascii="宋体"/>
              </w:rPr>
            </w:pPr>
          </w:p>
        </w:tc>
        <w:tc>
          <w:tcPr>
            <w:tcW w:w="50" w:type="pct"/>
            <w:shd w:val="clear" w:color="auto" w:fill="auto"/>
          </w:tcPr>
          <w:p w14:paraId="7DD0124B" w14:textId="77777777" w:rsidR="00C1563E" w:rsidRDefault="00C1563E">
            <w:pPr>
              <w:rPr>
                <w:rFonts w:ascii="宋体"/>
              </w:rPr>
            </w:pPr>
          </w:p>
        </w:tc>
        <w:tc>
          <w:tcPr>
            <w:tcW w:w="581" w:type="pct"/>
            <w:shd w:val="clear" w:color="auto" w:fill="auto"/>
          </w:tcPr>
          <w:p w14:paraId="7DD0124C" w14:textId="77777777" w:rsidR="00C1563E" w:rsidRDefault="00C1563E">
            <w:pPr>
              <w:rPr>
                <w:rFonts w:ascii="宋体"/>
              </w:rPr>
            </w:pPr>
          </w:p>
        </w:tc>
        <w:tc>
          <w:tcPr>
            <w:tcW w:w="5" w:type="pct"/>
            <w:shd w:val="clear" w:color="auto" w:fill="auto"/>
          </w:tcPr>
          <w:p w14:paraId="7DD0124D" w14:textId="77777777" w:rsidR="00C1563E" w:rsidRDefault="00C1563E">
            <w:pPr>
              <w:rPr>
                <w:rFonts w:ascii="宋体"/>
              </w:rPr>
            </w:pPr>
          </w:p>
        </w:tc>
        <w:tc>
          <w:tcPr>
            <w:tcW w:w="5" w:type="pct"/>
            <w:shd w:val="clear" w:color="auto" w:fill="auto"/>
          </w:tcPr>
          <w:p w14:paraId="7DD0124E" w14:textId="77777777" w:rsidR="00C1563E" w:rsidRDefault="00C1563E">
            <w:pPr>
              <w:rPr>
                <w:rFonts w:ascii="宋体"/>
              </w:rPr>
            </w:pPr>
          </w:p>
        </w:tc>
        <w:tc>
          <w:tcPr>
            <w:tcW w:w="26" w:type="pct"/>
            <w:shd w:val="clear" w:color="auto" w:fill="auto"/>
          </w:tcPr>
          <w:p w14:paraId="7DD0124F" w14:textId="77777777" w:rsidR="00C1563E" w:rsidRDefault="00C1563E">
            <w:pPr>
              <w:rPr>
                <w:rFonts w:ascii="宋体"/>
              </w:rPr>
            </w:pPr>
          </w:p>
        </w:tc>
        <w:tc>
          <w:tcPr>
            <w:tcW w:w="5" w:type="pct"/>
            <w:shd w:val="clear" w:color="auto" w:fill="auto"/>
          </w:tcPr>
          <w:p w14:paraId="7DD01250" w14:textId="77777777" w:rsidR="00C1563E" w:rsidRDefault="00C1563E">
            <w:pPr>
              <w:rPr>
                <w:rFonts w:ascii="宋体"/>
              </w:rPr>
            </w:pPr>
          </w:p>
        </w:tc>
        <w:tc>
          <w:tcPr>
            <w:tcW w:w="50" w:type="pct"/>
            <w:shd w:val="clear" w:color="auto" w:fill="auto"/>
          </w:tcPr>
          <w:p w14:paraId="7DD01251" w14:textId="77777777" w:rsidR="00C1563E" w:rsidRDefault="00C1563E">
            <w:pPr>
              <w:rPr>
                <w:rFonts w:ascii="宋体"/>
              </w:rPr>
            </w:pPr>
          </w:p>
        </w:tc>
        <w:tc>
          <w:tcPr>
            <w:tcW w:w="713" w:type="pct"/>
            <w:shd w:val="clear" w:color="auto" w:fill="auto"/>
          </w:tcPr>
          <w:p w14:paraId="7DD01252" w14:textId="77777777" w:rsidR="00C1563E" w:rsidRDefault="00C1563E">
            <w:pPr>
              <w:rPr>
                <w:rFonts w:ascii="宋体"/>
              </w:rPr>
            </w:pPr>
          </w:p>
        </w:tc>
        <w:tc>
          <w:tcPr>
            <w:tcW w:w="5" w:type="pct"/>
            <w:shd w:val="clear" w:color="auto" w:fill="auto"/>
          </w:tcPr>
          <w:p w14:paraId="7DD01253" w14:textId="77777777" w:rsidR="00C1563E" w:rsidRDefault="00C1563E">
            <w:pPr>
              <w:rPr>
                <w:rFonts w:ascii="宋体"/>
              </w:rPr>
            </w:pPr>
          </w:p>
        </w:tc>
        <w:tc>
          <w:tcPr>
            <w:tcW w:w="5" w:type="pct"/>
            <w:shd w:val="clear" w:color="auto" w:fill="auto"/>
          </w:tcPr>
          <w:p w14:paraId="7DD01254" w14:textId="77777777" w:rsidR="00C1563E" w:rsidRDefault="00C1563E">
            <w:pPr>
              <w:rPr>
                <w:rFonts w:ascii="宋体"/>
              </w:rPr>
            </w:pPr>
          </w:p>
        </w:tc>
        <w:tc>
          <w:tcPr>
            <w:tcW w:w="26" w:type="pct"/>
            <w:shd w:val="clear" w:color="auto" w:fill="auto"/>
          </w:tcPr>
          <w:p w14:paraId="7DD01255" w14:textId="77777777" w:rsidR="00C1563E" w:rsidRDefault="00C1563E">
            <w:pPr>
              <w:rPr>
                <w:rFonts w:ascii="宋体"/>
              </w:rPr>
            </w:pPr>
          </w:p>
        </w:tc>
        <w:tc>
          <w:tcPr>
            <w:tcW w:w="5" w:type="pct"/>
            <w:shd w:val="clear" w:color="auto" w:fill="auto"/>
          </w:tcPr>
          <w:p w14:paraId="7DD01256" w14:textId="77777777" w:rsidR="00C1563E" w:rsidRDefault="00C1563E">
            <w:pPr>
              <w:rPr>
                <w:rFonts w:ascii="宋体"/>
              </w:rPr>
            </w:pPr>
          </w:p>
        </w:tc>
        <w:tc>
          <w:tcPr>
            <w:tcW w:w="50" w:type="pct"/>
            <w:shd w:val="clear" w:color="auto" w:fill="auto"/>
          </w:tcPr>
          <w:p w14:paraId="7DD01257" w14:textId="77777777" w:rsidR="00C1563E" w:rsidRDefault="00C1563E">
            <w:pPr>
              <w:rPr>
                <w:rFonts w:ascii="宋体"/>
              </w:rPr>
            </w:pPr>
          </w:p>
        </w:tc>
        <w:tc>
          <w:tcPr>
            <w:tcW w:w="794" w:type="pct"/>
            <w:shd w:val="clear" w:color="auto" w:fill="auto"/>
          </w:tcPr>
          <w:p w14:paraId="7DD01258" w14:textId="77777777" w:rsidR="00C1563E" w:rsidRDefault="00C1563E">
            <w:pPr>
              <w:rPr>
                <w:rFonts w:ascii="宋体"/>
              </w:rPr>
            </w:pPr>
          </w:p>
        </w:tc>
        <w:tc>
          <w:tcPr>
            <w:tcW w:w="5" w:type="pct"/>
            <w:shd w:val="clear" w:color="auto" w:fill="auto"/>
          </w:tcPr>
          <w:p w14:paraId="7DD01259" w14:textId="77777777" w:rsidR="00C1563E" w:rsidRDefault="00C1563E">
            <w:pPr>
              <w:rPr>
                <w:rFonts w:ascii="宋体"/>
              </w:rPr>
            </w:pPr>
          </w:p>
        </w:tc>
        <w:tc>
          <w:tcPr>
            <w:tcW w:w="5" w:type="pct"/>
            <w:shd w:val="clear" w:color="auto" w:fill="auto"/>
          </w:tcPr>
          <w:p w14:paraId="7DD0125A" w14:textId="77777777" w:rsidR="00C1563E" w:rsidRDefault="00C1563E">
            <w:pPr>
              <w:rPr>
                <w:rFonts w:ascii="宋体"/>
              </w:rPr>
            </w:pPr>
          </w:p>
        </w:tc>
        <w:tc>
          <w:tcPr>
            <w:tcW w:w="26" w:type="pct"/>
            <w:shd w:val="clear" w:color="auto" w:fill="auto"/>
          </w:tcPr>
          <w:p w14:paraId="7DD0125B" w14:textId="77777777" w:rsidR="00C1563E" w:rsidRDefault="00C1563E">
            <w:pPr>
              <w:rPr>
                <w:rFonts w:ascii="宋体"/>
              </w:rPr>
            </w:pPr>
          </w:p>
        </w:tc>
        <w:tc>
          <w:tcPr>
            <w:tcW w:w="5" w:type="pct"/>
            <w:shd w:val="clear" w:color="auto" w:fill="auto"/>
          </w:tcPr>
          <w:p w14:paraId="7DD0125C" w14:textId="77777777" w:rsidR="00C1563E" w:rsidRDefault="00C1563E">
            <w:pPr>
              <w:rPr>
                <w:rFonts w:ascii="宋体"/>
              </w:rPr>
            </w:pPr>
          </w:p>
        </w:tc>
        <w:tc>
          <w:tcPr>
            <w:tcW w:w="50" w:type="pct"/>
            <w:shd w:val="clear" w:color="auto" w:fill="auto"/>
          </w:tcPr>
          <w:p w14:paraId="7DD0125D" w14:textId="77777777" w:rsidR="00C1563E" w:rsidRDefault="00C1563E">
            <w:pPr>
              <w:rPr>
                <w:rFonts w:ascii="宋体"/>
              </w:rPr>
            </w:pPr>
          </w:p>
        </w:tc>
        <w:tc>
          <w:tcPr>
            <w:tcW w:w="655" w:type="pct"/>
            <w:shd w:val="clear" w:color="auto" w:fill="auto"/>
          </w:tcPr>
          <w:p w14:paraId="7DD0125E" w14:textId="77777777" w:rsidR="00C1563E" w:rsidRDefault="00C1563E">
            <w:pPr>
              <w:rPr>
                <w:rFonts w:ascii="宋体"/>
              </w:rPr>
            </w:pPr>
          </w:p>
        </w:tc>
        <w:tc>
          <w:tcPr>
            <w:tcW w:w="5" w:type="pct"/>
            <w:shd w:val="clear" w:color="auto" w:fill="auto"/>
          </w:tcPr>
          <w:p w14:paraId="7DD0125F" w14:textId="77777777" w:rsidR="00C1563E" w:rsidRDefault="00C1563E">
            <w:pPr>
              <w:rPr>
                <w:rFonts w:ascii="宋体"/>
              </w:rPr>
            </w:pPr>
          </w:p>
        </w:tc>
      </w:tr>
      <w:tr w:rsidR="00C1563E" w14:paraId="7DD01269" w14:textId="77777777">
        <w:trPr>
          <w:jc w:val="center"/>
        </w:trPr>
        <w:tc>
          <w:tcPr>
            <w:tcW w:w="0" w:type="auto"/>
            <w:gridSpan w:val="3"/>
            <w:shd w:val="clear" w:color="auto" w:fill="auto"/>
            <w:tcMar>
              <w:top w:w="0" w:type="dxa"/>
              <w:left w:w="20" w:type="dxa"/>
              <w:bottom w:w="0" w:type="dxa"/>
              <w:right w:w="20" w:type="dxa"/>
            </w:tcMar>
          </w:tcPr>
          <w:p w14:paraId="7DD0126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262" w14:textId="77777777" w:rsidR="00C1563E" w:rsidRDefault="000B648B">
            <w:pPr>
              <w:jc w:val="center"/>
              <w:textAlignment w:val="bottom"/>
            </w:pPr>
            <w:r>
              <w:rPr>
                <w:rFonts w:ascii="Times New Roman" w:eastAsia="宋体" w:hAnsi="Times New Roman"/>
                <w:b/>
                <w:bCs/>
                <w:color w:val="000000"/>
                <w:sz w:val="20"/>
                <w:szCs w:val="20"/>
              </w:rPr>
              <w:t>Number of Options</w:t>
            </w:r>
          </w:p>
        </w:tc>
        <w:tc>
          <w:tcPr>
            <w:tcW w:w="0" w:type="auto"/>
            <w:gridSpan w:val="3"/>
            <w:shd w:val="clear" w:color="auto" w:fill="auto"/>
            <w:tcMar>
              <w:top w:w="0" w:type="dxa"/>
              <w:left w:w="20" w:type="dxa"/>
              <w:bottom w:w="0" w:type="dxa"/>
              <w:right w:w="20" w:type="dxa"/>
            </w:tcMar>
          </w:tcPr>
          <w:p w14:paraId="7DD0126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264" w14:textId="77777777" w:rsidR="00C1563E" w:rsidRDefault="000B648B">
            <w:pPr>
              <w:jc w:val="center"/>
              <w:textAlignment w:val="bottom"/>
            </w:pPr>
            <w:r>
              <w:rPr>
                <w:rFonts w:ascii="Times New Roman" w:eastAsia="宋体" w:hAnsi="Times New Roman"/>
                <w:b/>
                <w:bCs/>
                <w:color w:val="000000"/>
                <w:sz w:val="20"/>
                <w:szCs w:val="20"/>
              </w:rPr>
              <w:t>Weighted-Average Exercise Price</w:t>
            </w:r>
          </w:p>
        </w:tc>
        <w:tc>
          <w:tcPr>
            <w:tcW w:w="0" w:type="auto"/>
            <w:gridSpan w:val="3"/>
            <w:shd w:val="clear" w:color="auto" w:fill="auto"/>
            <w:tcMar>
              <w:top w:w="0" w:type="dxa"/>
              <w:left w:w="20" w:type="dxa"/>
              <w:bottom w:w="0" w:type="dxa"/>
              <w:right w:w="20" w:type="dxa"/>
            </w:tcMar>
          </w:tcPr>
          <w:p w14:paraId="7DD0126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266" w14:textId="77777777" w:rsidR="00C1563E" w:rsidRDefault="000B648B">
            <w:pPr>
              <w:jc w:val="center"/>
              <w:textAlignment w:val="bottom"/>
            </w:pPr>
            <w:r>
              <w:rPr>
                <w:rFonts w:ascii="Times New Roman" w:eastAsia="宋体" w:hAnsi="Times New Roman"/>
                <w:b/>
                <w:bCs/>
                <w:color w:val="000000"/>
                <w:sz w:val="20"/>
                <w:szCs w:val="20"/>
              </w:rPr>
              <w:t>Weighted-Average Remaining Contractual Term</w:t>
            </w:r>
          </w:p>
        </w:tc>
        <w:tc>
          <w:tcPr>
            <w:tcW w:w="0" w:type="auto"/>
            <w:gridSpan w:val="3"/>
            <w:shd w:val="clear" w:color="auto" w:fill="auto"/>
            <w:tcMar>
              <w:top w:w="0" w:type="dxa"/>
              <w:left w:w="20" w:type="dxa"/>
              <w:bottom w:w="0" w:type="dxa"/>
              <w:right w:w="20" w:type="dxa"/>
            </w:tcMar>
          </w:tcPr>
          <w:p w14:paraId="7DD0126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268" w14:textId="77777777" w:rsidR="00C1563E" w:rsidRDefault="000B648B">
            <w:pPr>
              <w:jc w:val="center"/>
              <w:textAlignment w:val="bottom"/>
            </w:pPr>
            <w:r>
              <w:rPr>
                <w:rFonts w:ascii="Times New Roman" w:eastAsia="宋体" w:hAnsi="Times New Roman"/>
                <w:b/>
                <w:bCs/>
                <w:color w:val="000000"/>
                <w:sz w:val="20"/>
                <w:szCs w:val="20"/>
              </w:rPr>
              <w:t>Aggregate Intrinsic Value (a)</w:t>
            </w:r>
          </w:p>
        </w:tc>
      </w:tr>
      <w:tr w:rsidR="00C1563E" w14:paraId="7DD01272" w14:textId="77777777">
        <w:trPr>
          <w:jc w:val="center"/>
        </w:trPr>
        <w:tc>
          <w:tcPr>
            <w:tcW w:w="0" w:type="auto"/>
            <w:gridSpan w:val="3"/>
            <w:shd w:val="clear" w:color="auto" w:fill="auto"/>
            <w:tcMar>
              <w:top w:w="0" w:type="dxa"/>
              <w:left w:w="20" w:type="dxa"/>
              <w:bottom w:w="0" w:type="dxa"/>
              <w:right w:w="20" w:type="dxa"/>
            </w:tcMar>
          </w:tcPr>
          <w:p w14:paraId="7DD0126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26B"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126C"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26D" w14:textId="77777777" w:rsidR="00C1563E" w:rsidRDefault="000B648B">
            <w:pPr>
              <w:jc w:val="center"/>
              <w:textAlignment w:val="bottom"/>
            </w:pPr>
            <w:r>
              <w:rPr>
                <w:rFonts w:ascii="Times New Roman" w:eastAsia="宋体" w:hAnsi="Times New Roman"/>
                <w:color w:val="000000"/>
                <w:sz w:val="20"/>
                <w:szCs w:val="20"/>
              </w:rPr>
              <w:t>(per share)</w:t>
            </w:r>
          </w:p>
        </w:tc>
        <w:tc>
          <w:tcPr>
            <w:tcW w:w="0" w:type="auto"/>
            <w:gridSpan w:val="3"/>
            <w:shd w:val="clear" w:color="auto" w:fill="auto"/>
            <w:tcMar>
              <w:top w:w="0" w:type="dxa"/>
              <w:left w:w="20" w:type="dxa"/>
              <w:bottom w:w="0" w:type="dxa"/>
              <w:right w:w="20" w:type="dxa"/>
            </w:tcMar>
          </w:tcPr>
          <w:p w14:paraId="7DD0126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26F" w14:textId="77777777" w:rsidR="00C1563E" w:rsidRDefault="000B648B">
            <w:pPr>
              <w:jc w:val="center"/>
              <w:textAlignment w:val="bottom"/>
            </w:pPr>
            <w:r>
              <w:rPr>
                <w:rFonts w:ascii="Times New Roman" w:eastAsia="宋体" w:hAnsi="Times New Roman"/>
                <w:color w:val="000000"/>
                <w:sz w:val="20"/>
                <w:szCs w:val="20"/>
              </w:rPr>
              <w:t>(in years)</w:t>
            </w:r>
          </w:p>
        </w:tc>
        <w:tc>
          <w:tcPr>
            <w:tcW w:w="0" w:type="auto"/>
            <w:gridSpan w:val="3"/>
            <w:shd w:val="clear" w:color="auto" w:fill="auto"/>
            <w:tcMar>
              <w:top w:w="0" w:type="dxa"/>
              <w:left w:w="20" w:type="dxa"/>
              <w:bottom w:w="0" w:type="dxa"/>
              <w:right w:w="20" w:type="dxa"/>
            </w:tcMar>
          </w:tcPr>
          <w:p w14:paraId="7DD0127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27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27E" w14:textId="77777777">
        <w:trPr>
          <w:jc w:val="center"/>
        </w:trPr>
        <w:tc>
          <w:tcPr>
            <w:tcW w:w="0" w:type="auto"/>
            <w:gridSpan w:val="3"/>
            <w:shd w:val="clear" w:color="auto" w:fill="CCEEFF"/>
            <w:tcMar>
              <w:top w:w="40" w:type="dxa"/>
              <w:left w:w="20" w:type="dxa"/>
              <w:bottom w:w="40" w:type="dxa"/>
              <w:right w:w="20" w:type="dxa"/>
            </w:tcMar>
            <w:vAlign w:val="bottom"/>
          </w:tcPr>
          <w:p w14:paraId="7DD01273" w14:textId="77777777" w:rsidR="00C1563E" w:rsidRDefault="000B648B">
            <w:pPr>
              <w:textAlignment w:val="bottom"/>
            </w:pPr>
            <w:r>
              <w:rPr>
                <w:rFonts w:ascii="Times New Roman" w:eastAsia="宋体" w:hAnsi="Times New Roman"/>
                <w:i/>
                <w:iCs/>
                <w:color w:val="000000"/>
                <w:sz w:val="20"/>
                <w:szCs w:val="20"/>
              </w:rPr>
              <w:t xml:space="preserve">Options outstanding as of February 2, </w:t>
            </w:r>
            <w:r>
              <w:rPr>
                <w:rFonts w:ascii="Times New Roman" w:eastAsia="宋体" w:hAnsi="Times New Roman"/>
                <w:i/>
                <w:iCs/>
                <w:color w:val="000000"/>
                <w:sz w:val="20"/>
                <w:szCs w:val="20"/>
              </w:rPr>
              <w:t>2018</w:t>
            </w:r>
          </w:p>
        </w:tc>
        <w:tc>
          <w:tcPr>
            <w:tcW w:w="0" w:type="auto"/>
            <w:gridSpan w:val="2"/>
            <w:shd w:val="clear" w:color="auto" w:fill="CCEEFF"/>
            <w:tcMar>
              <w:top w:w="40" w:type="dxa"/>
              <w:left w:w="20" w:type="dxa"/>
              <w:bottom w:w="40" w:type="dxa"/>
              <w:right w:w="0" w:type="dxa"/>
            </w:tcMar>
            <w:vAlign w:val="bottom"/>
          </w:tcPr>
          <w:p w14:paraId="7DD01274" w14:textId="77777777" w:rsidR="00C1563E" w:rsidRDefault="000B648B">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7DD0127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7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27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278" w14:textId="77777777" w:rsidR="00C1563E" w:rsidRDefault="000B648B">
            <w:pPr>
              <w:jc w:val="right"/>
              <w:textAlignment w:val="bottom"/>
            </w:pPr>
            <w:r>
              <w:rPr>
                <w:rFonts w:ascii="Times New Roman" w:eastAsia="宋体" w:hAnsi="Times New Roman"/>
                <w:color w:val="000000"/>
                <w:sz w:val="20"/>
                <w:szCs w:val="20"/>
              </w:rPr>
              <w:t>14.80 </w:t>
            </w:r>
          </w:p>
        </w:tc>
        <w:tc>
          <w:tcPr>
            <w:tcW w:w="0" w:type="auto"/>
            <w:shd w:val="clear" w:color="auto" w:fill="CCEEFF"/>
            <w:tcMar>
              <w:top w:w="40" w:type="dxa"/>
              <w:left w:w="0" w:type="dxa"/>
              <w:bottom w:w="40" w:type="dxa"/>
              <w:right w:w="20" w:type="dxa"/>
            </w:tcMar>
            <w:vAlign w:val="bottom"/>
          </w:tcPr>
          <w:p w14:paraId="7DD0127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7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7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7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7D" w14:textId="77777777" w:rsidR="00C1563E" w:rsidRDefault="00C1563E">
            <w:pPr>
              <w:rPr>
                <w:rFonts w:ascii="宋体"/>
              </w:rPr>
            </w:pPr>
          </w:p>
        </w:tc>
      </w:tr>
      <w:tr w:rsidR="00C1563E" w14:paraId="7DD01289" w14:textId="77777777">
        <w:trPr>
          <w:jc w:val="center"/>
        </w:trPr>
        <w:tc>
          <w:tcPr>
            <w:tcW w:w="0" w:type="auto"/>
            <w:gridSpan w:val="3"/>
            <w:shd w:val="clear" w:color="auto" w:fill="FFFFFF"/>
            <w:tcMar>
              <w:top w:w="40" w:type="dxa"/>
              <w:left w:w="245" w:type="dxa"/>
              <w:bottom w:w="40" w:type="dxa"/>
              <w:right w:w="20" w:type="dxa"/>
            </w:tcMar>
            <w:vAlign w:val="bottom"/>
          </w:tcPr>
          <w:p w14:paraId="7DD0127F"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28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8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8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8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8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8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8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8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88" w14:textId="77777777" w:rsidR="00C1563E" w:rsidRDefault="00C1563E">
            <w:pPr>
              <w:rPr>
                <w:rFonts w:ascii="宋体"/>
              </w:rPr>
            </w:pPr>
          </w:p>
        </w:tc>
      </w:tr>
      <w:tr w:rsidR="00C1563E" w14:paraId="7DD01294" w14:textId="77777777">
        <w:trPr>
          <w:jc w:val="center"/>
        </w:trPr>
        <w:tc>
          <w:tcPr>
            <w:tcW w:w="0" w:type="auto"/>
            <w:gridSpan w:val="3"/>
            <w:shd w:val="clear" w:color="auto" w:fill="CCEEFF"/>
            <w:tcMar>
              <w:top w:w="40" w:type="dxa"/>
              <w:left w:w="245" w:type="dxa"/>
              <w:bottom w:w="40" w:type="dxa"/>
              <w:right w:w="20" w:type="dxa"/>
            </w:tcMar>
            <w:vAlign w:val="bottom"/>
          </w:tcPr>
          <w:p w14:paraId="7DD0128A"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CCEEFF"/>
            <w:tcMar>
              <w:top w:w="40" w:type="dxa"/>
              <w:left w:w="20" w:type="dxa"/>
              <w:bottom w:w="40" w:type="dxa"/>
              <w:right w:w="0" w:type="dxa"/>
            </w:tcMar>
            <w:vAlign w:val="bottom"/>
          </w:tcPr>
          <w:p w14:paraId="7DD0128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8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8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8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8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9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9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9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93" w14:textId="77777777" w:rsidR="00C1563E" w:rsidRDefault="00C1563E">
            <w:pPr>
              <w:rPr>
                <w:rFonts w:ascii="宋体"/>
              </w:rPr>
            </w:pPr>
          </w:p>
        </w:tc>
      </w:tr>
      <w:tr w:rsidR="00C1563E" w14:paraId="7DD0129F" w14:textId="77777777">
        <w:trPr>
          <w:jc w:val="center"/>
        </w:trPr>
        <w:tc>
          <w:tcPr>
            <w:tcW w:w="0" w:type="auto"/>
            <w:gridSpan w:val="3"/>
            <w:shd w:val="clear" w:color="auto" w:fill="FFFFFF"/>
            <w:tcMar>
              <w:top w:w="40" w:type="dxa"/>
              <w:left w:w="245" w:type="dxa"/>
              <w:bottom w:w="40" w:type="dxa"/>
              <w:right w:w="20" w:type="dxa"/>
            </w:tcMar>
            <w:vAlign w:val="bottom"/>
          </w:tcPr>
          <w:p w14:paraId="7DD01295"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29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9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9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9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9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9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9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9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9E" w14:textId="77777777" w:rsidR="00C1563E" w:rsidRDefault="00C1563E">
            <w:pPr>
              <w:rPr>
                <w:rFonts w:ascii="宋体"/>
              </w:rPr>
            </w:pPr>
          </w:p>
        </w:tc>
      </w:tr>
      <w:tr w:rsidR="00C1563E" w14:paraId="7DD012AA" w14:textId="77777777">
        <w:trPr>
          <w:jc w:val="center"/>
        </w:trPr>
        <w:tc>
          <w:tcPr>
            <w:tcW w:w="0" w:type="auto"/>
            <w:gridSpan w:val="3"/>
            <w:shd w:val="clear" w:color="auto" w:fill="CCEEFF"/>
            <w:tcMar>
              <w:top w:w="40" w:type="dxa"/>
              <w:left w:w="245" w:type="dxa"/>
              <w:bottom w:w="40" w:type="dxa"/>
              <w:right w:w="20" w:type="dxa"/>
            </w:tcMar>
            <w:vAlign w:val="bottom"/>
          </w:tcPr>
          <w:p w14:paraId="7DD012A0"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CCEEFF"/>
            <w:tcMar>
              <w:top w:w="40" w:type="dxa"/>
              <w:left w:w="20" w:type="dxa"/>
              <w:bottom w:w="40" w:type="dxa"/>
              <w:right w:w="0" w:type="dxa"/>
            </w:tcMar>
            <w:vAlign w:val="bottom"/>
          </w:tcPr>
          <w:p w14:paraId="7DD012A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A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A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A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A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A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A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A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A9" w14:textId="77777777" w:rsidR="00C1563E" w:rsidRDefault="00C1563E">
            <w:pPr>
              <w:rPr>
                <w:rFonts w:ascii="宋体"/>
              </w:rPr>
            </w:pPr>
          </w:p>
        </w:tc>
      </w:tr>
      <w:tr w:rsidR="00C1563E" w14:paraId="7DD012B5" w14:textId="77777777">
        <w:trPr>
          <w:jc w:val="center"/>
        </w:trPr>
        <w:tc>
          <w:tcPr>
            <w:tcW w:w="0" w:type="auto"/>
            <w:gridSpan w:val="3"/>
            <w:shd w:val="clear" w:color="auto" w:fill="FFFFFF"/>
            <w:tcMar>
              <w:top w:w="40" w:type="dxa"/>
              <w:left w:w="20" w:type="dxa"/>
              <w:bottom w:w="40" w:type="dxa"/>
              <w:right w:w="20" w:type="dxa"/>
            </w:tcMar>
            <w:vAlign w:val="bottom"/>
          </w:tcPr>
          <w:p w14:paraId="7DD012AB" w14:textId="77777777" w:rsidR="00C1563E" w:rsidRDefault="000B648B">
            <w:pPr>
              <w:textAlignment w:val="bottom"/>
            </w:pPr>
            <w:r>
              <w:rPr>
                <w:rFonts w:ascii="Times New Roman" w:eastAsia="宋体" w:hAnsi="Times New Roman"/>
                <w:i/>
                <w:iCs/>
                <w:color w:val="000000"/>
                <w:sz w:val="20"/>
                <w:szCs w:val="20"/>
              </w:rPr>
              <w:t>Options outstanding as of February 1, 2019 (b)</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2AC" w14:textId="77777777" w:rsidR="00C1563E" w:rsidRDefault="000B648B">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2A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A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AF" w14:textId="77777777" w:rsidR="00C1563E" w:rsidRDefault="000B648B">
            <w:pPr>
              <w:jc w:val="right"/>
              <w:textAlignment w:val="bottom"/>
            </w:pPr>
            <w:r>
              <w:rPr>
                <w:rFonts w:ascii="Times New Roman" w:eastAsia="宋体" w:hAnsi="Times New Roman"/>
                <w:color w:val="000000"/>
                <w:sz w:val="20"/>
                <w:szCs w:val="20"/>
              </w:rPr>
              <w:t>14.76 </w:t>
            </w:r>
          </w:p>
        </w:tc>
        <w:tc>
          <w:tcPr>
            <w:tcW w:w="0" w:type="auto"/>
            <w:shd w:val="clear" w:color="auto" w:fill="FFFFFF"/>
            <w:tcMar>
              <w:top w:w="40" w:type="dxa"/>
              <w:left w:w="0" w:type="dxa"/>
              <w:bottom w:w="40" w:type="dxa"/>
              <w:right w:w="20" w:type="dxa"/>
            </w:tcMar>
            <w:vAlign w:val="bottom"/>
          </w:tcPr>
          <w:p w14:paraId="7DD012B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B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B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B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B4" w14:textId="77777777" w:rsidR="00C1563E" w:rsidRDefault="00C1563E">
            <w:pPr>
              <w:rPr>
                <w:rFonts w:ascii="宋体"/>
              </w:rPr>
            </w:pPr>
          </w:p>
        </w:tc>
      </w:tr>
      <w:tr w:rsidR="00C1563E" w14:paraId="7DD012C0" w14:textId="77777777">
        <w:trPr>
          <w:jc w:val="center"/>
        </w:trPr>
        <w:tc>
          <w:tcPr>
            <w:tcW w:w="0" w:type="auto"/>
            <w:gridSpan w:val="3"/>
            <w:shd w:val="clear" w:color="auto" w:fill="CCEEFF"/>
            <w:tcMar>
              <w:top w:w="40" w:type="dxa"/>
              <w:left w:w="245" w:type="dxa"/>
              <w:bottom w:w="40" w:type="dxa"/>
              <w:right w:w="20" w:type="dxa"/>
            </w:tcMar>
            <w:vAlign w:val="bottom"/>
          </w:tcPr>
          <w:p w14:paraId="7DD012B6"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CCEEFF"/>
            <w:tcMar>
              <w:top w:w="40" w:type="dxa"/>
              <w:left w:w="20" w:type="dxa"/>
              <w:bottom w:w="40" w:type="dxa"/>
              <w:right w:w="0" w:type="dxa"/>
            </w:tcMar>
            <w:vAlign w:val="bottom"/>
          </w:tcPr>
          <w:p w14:paraId="7DD012B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B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B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B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B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B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B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B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BF" w14:textId="77777777" w:rsidR="00C1563E" w:rsidRDefault="00C1563E">
            <w:pPr>
              <w:rPr>
                <w:rFonts w:ascii="宋体"/>
              </w:rPr>
            </w:pPr>
          </w:p>
        </w:tc>
      </w:tr>
      <w:tr w:rsidR="00C1563E" w14:paraId="7DD012CB" w14:textId="77777777">
        <w:trPr>
          <w:jc w:val="center"/>
        </w:trPr>
        <w:tc>
          <w:tcPr>
            <w:tcW w:w="0" w:type="auto"/>
            <w:gridSpan w:val="3"/>
            <w:shd w:val="clear" w:color="auto" w:fill="FFFFFF"/>
            <w:tcMar>
              <w:top w:w="40" w:type="dxa"/>
              <w:left w:w="245" w:type="dxa"/>
              <w:bottom w:w="40" w:type="dxa"/>
              <w:right w:w="20" w:type="dxa"/>
            </w:tcMar>
            <w:vAlign w:val="bottom"/>
          </w:tcPr>
          <w:p w14:paraId="7DD012C1"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FFFFFF"/>
            <w:tcMar>
              <w:top w:w="40" w:type="dxa"/>
              <w:left w:w="20" w:type="dxa"/>
              <w:bottom w:w="40" w:type="dxa"/>
              <w:right w:w="0" w:type="dxa"/>
            </w:tcMar>
            <w:vAlign w:val="bottom"/>
          </w:tcPr>
          <w:p w14:paraId="7DD012C2" w14:textId="77777777" w:rsidR="00C1563E" w:rsidRDefault="000B648B">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7DD012C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C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C5" w14:textId="77777777" w:rsidR="00C1563E" w:rsidRDefault="000B648B">
            <w:pPr>
              <w:jc w:val="right"/>
              <w:textAlignment w:val="bottom"/>
            </w:pPr>
            <w:r>
              <w:rPr>
                <w:rFonts w:ascii="Times New Roman" w:eastAsia="宋体" w:hAnsi="Times New Roman"/>
                <w:color w:val="000000"/>
                <w:sz w:val="20"/>
                <w:szCs w:val="20"/>
              </w:rPr>
              <w:t>14.86 </w:t>
            </w:r>
          </w:p>
        </w:tc>
        <w:tc>
          <w:tcPr>
            <w:tcW w:w="0" w:type="auto"/>
            <w:shd w:val="clear" w:color="auto" w:fill="FFFFFF"/>
            <w:tcMar>
              <w:top w:w="40" w:type="dxa"/>
              <w:left w:w="0" w:type="dxa"/>
              <w:bottom w:w="40" w:type="dxa"/>
              <w:right w:w="20" w:type="dxa"/>
            </w:tcMar>
            <w:vAlign w:val="bottom"/>
          </w:tcPr>
          <w:p w14:paraId="7DD012C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C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C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C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CA" w14:textId="77777777" w:rsidR="00C1563E" w:rsidRDefault="00C1563E">
            <w:pPr>
              <w:rPr>
                <w:rFonts w:ascii="宋体"/>
              </w:rPr>
            </w:pPr>
          </w:p>
        </w:tc>
      </w:tr>
      <w:tr w:rsidR="00C1563E" w14:paraId="7DD012D6" w14:textId="77777777">
        <w:trPr>
          <w:jc w:val="center"/>
        </w:trPr>
        <w:tc>
          <w:tcPr>
            <w:tcW w:w="0" w:type="auto"/>
            <w:gridSpan w:val="3"/>
            <w:shd w:val="clear" w:color="auto" w:fill="CCEEFF"/>
            <w:tcMar>
              <w:top w:w="40" w:type="dxa"/>
              <w:left w:w="245" w:type="dxa"/>
              <w:bottom w:w="40" w:type="dxa"/>
              <w:right w:w="20" w:type="dxa"/>
            </w:tcMar>
            <w:vAlign w:val="bottom"/>
          </w:tcPr>
          <w:p w14:paraId="7DD012CC"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2C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C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C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D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2D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D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D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D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D5" w14:textId="77777777" w:rsidR="00C1563E" w:rsidRDefault="00C1563E">
            <w:pPr>
              <w:rPr>
                <w:rFonts w:ascii="宋体"/>
              </w:rPr>
            </w:pPr>
          </w:p>
        </w:tc>
      </w:tr>
      <w:tr w:rsidR="00C1563E" w14:paraId="7DD012E1" w14:textId="77777777">
        <w:trPr>
          <w:jc w:val="center"/>
        </w:trPr>
        <w:tc>
          <w:tcPr>
            <w:tcW w:w="0" w:type="auto"/>
            <w:gridSpan w:val="3"/>
            <w:shd w:val="clear" w:color="auto" w:fill="FFFFFF"/>
            <w:tcMar>
              <w:top w:w="40" w:type="dxa"/>
              <w:left w:w="245" w:type="dxa"/>
              <w:bottom w:w="40" w:type="dxa"/>
              <w:right w:w="20" w:type="dxa"/>
            </w:tcMar>
            <w:vAlign w:val="bottom"/>
          </w:tcPr>
          <w:p w14:paraId="7DD012D7"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FFFFFF"/>
            <w:tcMar>
              <w:top w:w="40" w:type="dxa"/>
              <w:left w:w="20" w:type="dxa"/>
              <w:bottom w:w="40" w:type="dxa"/>
              <w:right w:w="0" w:type="dxa"/>
            </w:tcMar>
            <w:vAlign w:val="bottom"/>
          </w:tcPr>
          <w:p w14:paraId="7DD012D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D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D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D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D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D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D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D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E0" w14:textId="77777777" w:rsidR="00C1563E" w:rsidRDefault="00C1563E">
            <w:pPr>
              <w:rPr>
                <w:rFonts w:ascii="宋体"/>
              </w:rPr>
            </w:pPr>
          </w:p>
        </w:tc>
      </w:tr>
      <w:tr w:rsidR="00C1563E" w14:paraId="7DD012EC" w14:textId="77777777">
        <w:trPr>
          <w:jc w:val="center"/>
        </w:trPr>
        <w:tc>
          <w:tcPr>
            <w:tcW w:w="0" w:type="auto"/>
            <w:gridSpan w:val="3"/>
            <w:shd w:val="clear" w:color="auto" w:fill="CCEEFF"/>
            <w:tcMar>
              <w:top w:w="40" w:type="dxa"/>
              <w:left w:w="20" w:type="dxa"/>
              <w:bottom w:w="40" w:type="dxa"/>
              <w:right w:w="20" w:type="dxa"/>
            </w:tcMar>
            <w:vAlign w:val="bottom"/>
          </w:tcPr>
          <w:p w14:paraId="7DD012E2" w14:textId="77777777" w:rsidR="00C1563E" w:rsidRDefault="000B648B">
            <w:pPr>
              <w:textAlignment w:val="bottom"/>
            </w:pPr>
            <w:r>
              <w:rPr>
                <w:rFonts w:ascii="Times New Roman" w:eastAsia="宋体" w:hAnsi="Times New Roman"/>
                <w:i/>
                <w:iCs/>
                <w:color w:val="000000"/>
                <w:sz w:val="20"/>
                <w:szCs w:val="20"/>
              </w:rPr>
              <w:t>Options outstanding as of January 31, 2020 (c)</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2E3" w14:textId="77777777" w:rsidR="00C1563E" w:rsidRDefault="000B648B">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2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E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E6" w14:textId="77777777" w:rsidR="00C1563E" w:rsidRDefault="000B648B">
            <w:pPr>
              <w:jc w:val="right"/>
              <w:textAlignment w:val="bottom"/>
            </w:pPr>
            <w:r>
              <w:rPr>
                <w:rFonts w:ascii="Times New Roman" w:eastAsia="宋体" w:hAnsi="Times New Roman"/>
                <w:color w:val="000000"/>
                <w:sz w:val="20"/>
                <w:szCs w:val="20"/>
              </w:rPr>
              <w:t>14.82 </w:t>
            </w:r>
          </w:p>
        </w:tc>
        <w:tc>
          <w:tcPr>
            <w:tcW w:w="0" w:type="auto"/>
            <w:shd w:val="clear" w:color="auto" w:fill="CCEEFF"/>
            <w:tcMar>
              <w:top w:w="40" w:type="dxa"/>
              <w:left w:w="0" w:type="dxa"/>
              <w:bottom w:w="40" w:type="dxa"/>
              <w:right w:w="20" w:type="dxa"/>
            </w:tcMar>
            <w:vAlign w:val="bottom"/>
          </w:tcPr>
          <w:p w14:paraId="7DD012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E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E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E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EB" w14:textId="77777777" w:rsidR="00C1563E" w:rsidRDefault="00C1563E">
            <w:pPr>
              <w:rPr>
                <w:rFonts w:ascii="宋体"/>
              </w:rPr>
            </w:pPr>
          </w:p>
        </w:tc>
      </w:tr>
      <w:tr w:rsidR="00C1563E" w14:paraId="7DD012F7" w14:textId="77777777">
        <w:trPr>
          <w:jc w:val="center"/>
        </w:trPr>
        <w:tc>
          <w:tcPr>
            <w:tcW w:w="0" w:type="auto"/>
            <w:gridSpan w:val="3"/>
            <w:shd w:val="clear" w:color="auto" w:fill="FFFFFF"/>
            <w:tcMar>
              <w:top w:w="40" w:type="dxa"/>
              <w:left w:w="245" w:type="dxa"/>
              <w:bottom w:w="40" w:type="dxa"/>
              <w:right w:w="20" w:type="dxa"/>
            </w:tcMar>
            <w:vAlign w:val="bottom"/>
          </w:tcPr>
          <w:p w14:paraId="7DD012ED"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2E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E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F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2F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2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2F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F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F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2F6" w14:textId="77777777" w:rsidR="00C1563E" w:rsidRDefault="00C1563E">
            <w:pPr>
              <w:rPr>
                <w:rFonts w:ascii="宋体"/>
              </w:rPr>
            </w:pPr>
          </w:p>
        </w:tc>
      </w:tr>
      <w:tr w:rsidR="00C1563E" w14:paraId="7DD01302" w14:textId="77777777">
        <w:trPr>
          <w:jc w:val="center"/>
        </w:trPr>
        <w:tc>
          <w:tcPr>
            <w:tcW w:w="0" w:type="auto"/>
            <w:gridSpan w:val="3"/>
            <w:shd w:val="clear" w:color="auto" w:fill="CCEEFF"/>
            <w:tcMar>
              <w:top w:w="40" w:type="dxa"/>
              <w:left w:w="245" w:type="dxa"/>
              <w:bottom w:w="40" w:type="dxa"/>
              <w:right w:w="20" w:type="dxa"/>
            </w:tcMar>
            <w:vAlign w:val="bottom"/>
          </w:tcPr>
          <w:p w14:paraId="7DD012F8"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CCEEFF"/>
            <w:tcMar>
              <w:top w:w="40" w:type="dxa"/>
              <w:left w:w="20" w:type="dxa"/>
              <w:bottom w:w="40" w:type="dxa"/>
              <w:right w:w="0" w:type="dxa"/>
            </w:tcMar>
            <w:vAlign w:val="bottom"/>
          </w:tcPr>
          <w:p w14:paraId="7DD012F9" w14:textId="77777777" w:rsidR="00C1563E" w:rsidRDefault="000B648B">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7DD012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2FC" w14:textId="77777777" w:rsidR="00C1563E" w:rsidRDefault="000B648B">
            <w:pPr>
              <w:jc w:val="right"/>
              <w:textAlignment w:val="bottom"/>
            </w:pPr>
            <w:r>
              <w:rPr>
                <w:rFonts w:ascii="Times New Roman" w:eastAsia="宋体" w:hAnsi="Times New Roman"/>
                <w:color w:val="000000"/>
                <w:sz w:val="20"/>
                <w:szCs w:val="20"/>
              </w:rPr>
              <w:t>14.32 </w:t>
            </w:r>
          </w:p>
        </w:tc>
        <w:tc>
          <w:tcPr>
            <w:tcW w:w="0" w:type="auto"/>
            <w:shd w:val="clear" w:color="auto" w:fill="CCEEFF"/>
            <w:tcMar>
              <w:top w:w="40" w:type="dxa"/>
              <w:left w:w="0" w:type="dxa"/>
              <w:bottom w:w="40" w:type="dxa"/>
              <w:right w:w="20" w:type="dxa"/>
            </w:tcMar>
            <w:vAlign w:val="bottom"/>
          </w:tcPr>
          <w:p w14:paraId="7DD012F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2F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2F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30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301" w14:textId="77777777" w:rsidR="00C1563E" w:rsidRDefault="00C1563E">
            <w:pPr>
              <w:rPr>
                <w:rFonts w:ascii="宋体"/>
              </w:rPr>
            </w:pPr>
          </w:p>
        </w:tc>
      </w:tr>
      <w:tr w:rsidR="00C1563E" w14:paraId="7DD0130D" w14:textId="77777777">
        <w:trPr>
          <w:jc w:val="center"/>
        </w:trPr>
        <w:tc>
          <w:tcPr>
            <w:tcW w:w="0" w:type="auto"/>
            <w:gridSpan w:val="3"/>
            <w:shd w:val="clear" w:color="auto" w:fill="FFFFFF"/>
            <w:tcMar>
              <w:top w:w="40" w:type="dxa"/>
              <w:left w:w="245" w:type="dxa"/>
              <w:bottom w:w="40" w:type="dxa"/>
              <w:right w:w="20" w:type="dxa"/>
            </w:tcMar>
            <w:vAlign w:val="bottom"/>
          </w:tcPr>
          <w:p w14:paraId="7DD01303"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30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30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0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0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30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0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30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30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30C" w14:textId="77777777" w:rsidR="00C1563E" w:rsidRDefault="00C1563E">
            <w:pPr>
              <w:rPr>
                <w:rFonts w:ascii="宋体"/>
              </w:rPr>
            </w:pPr>
          </w:p>
        </w:tc>
      </w:tr>
      <w:tr w:rsidR="00C1563E" w14:paraId="7DD01318" w14:textId="77777777">
        <w:trPr>
          <w:jc w:val="center"/>
        </w:trPr>
        <w:tc>
          <w:tcPr>
            <w:tcW w:w="0" w:type="auto"/>
            <w:gridSpan w:val="3"/>
            <w:shd w:val="clear" w:color="auto" w:fill="CCEEFF"/>
            <w:tcMar>
              <w:top w:w="40" w:type="dxa"/>
              <w:left w:w="245" w:type="dxa"/>
              <w:bottom w:w="40" w:type="dxa"/>
              <w:right w:w="20" w:type="dxa"/>
            </w:tcMar>
            <w:vAlign w:val="bottom"/>
          </w:tcPr>
          <w:p w14:paraId="7DD0130E"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CCEEFF"/>
            <w:tcMar>
              <w:top w:w="40" w:type="dxa"/>
              <w:left w:w="20" w:type="dxa"/>
              <w:bottom w:w="40" w:type="dxa"/>
              <w:right w:w="0" w:type="dxa"/>
            </w:tcMar>
            <w:vAlign w:val="bottom"/>
          </w:tcPr>
          <w:p w14:paraId="7DD0130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31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1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1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3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1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31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31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317" w14:textId="77777777" w:rsidR="00C1563E" w:rsidRDefault="00C1563E">
            <w:pPr>
              <w:rPr>
                <w:rFonts w:ascii="宋体"/>
              </w:rPr>
            </w:pPr>
          </w:p>
        </w:tc>
      </w:tr>
      <w:tr w:rsidR="00C1563E" w14:paraId="7DD01326" w14:textId="77777777">
        <w:trPr>
          <w:jc w:val="center"/>
        </w:trPr>
        <w:tc>
          <w:tcPr>
            <w:tcW w:w="0" w:type="auto"/>
            <w:gridSpan w:val="3"/>
            <w:shd w:val="clear" w:color="auto" w:fill="FFFFFF"/>
            <w:tcMar>
              <w:top w:w="40" w:type="dxa"/>
              <w:left w:w="20" w:type="dxa"/>
              <w:bottom w:w="40" w:type="dxa"/>
              <w:right w:w="20" w:type="dxa"/>
            </w:tcMar>
            <w:vAlign w:val="bottom"/>
          </w:tcPr>
          <w:p w14:paraId="7DD01319" w14:textId="77777777" w:rsidR="00C1563E" w:rsidRDefault="000B648B">
            <w:pPr>
              <w:textAlignment w:val="bottom"/>
            </w:pPr>
            <w:r>
              <w:rPr>
                <w:rFonts w:ascii="Times New Roman" w:eastAsia="宋体" w:hAnsi="Times New Roman"/>
                <w:i/>
                <w:iCs/>
                <w:color w:val="000000"/>
                <w:sz w:val="20"/>
                <w:szCs w:val="20"/>
              </w:rPr>
              <w:t xml:space="preserve">Options </w:t>
            </w:r>
            <w:r>
              <w:rPr>
                <w:rFonts w:ascii="Times New Roman" w:eastAsia="宋体" w:hAnsi="Times New Roman"/>
                <w:i/>
                <w:iCs/>
                <w:color w:val="000000"/>
                <w:sz w:val="20"/>
                <w:szCs w:val="20"/>
              </w:rPr>
              <w:t>outstanding as of January 29, 2021(c)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31A" w14:textId="77777777" w:rsidR="00C1563E" w:rsidRDefault="000B648B">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31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1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31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31E" w14:textId="77777777" w:rsidR="00C1563E" w:rsidRDefault="000B648B">
            <w:pPr>
              <w:jc w:val="right"/>
              <w:textAlignment w:val="bottom"/>
            </w:pPr>
            <w:r>
              <w:rPr>
                <w:rFonts w:ascii="Times New Roman" w:eastAsia="宋体" w:hAnsi="Times New Roman"/>
                <w:color w:val="000000"/>
                <w:sz w:val="20"/>
                <w:szCs w:val="20"/>
              </w:rPr>
              <w:t>15.87 </w:t>
            </w:r>
          </w:p>
        </w:tc>
        <w:tc>
          <w:tcPr>
            <w:tcW w:w="0" w:type="auto"/>
            <w:shd w:val="clear" w:color="auto" w:fill="FFFFFF"/>
            <w:tcMar>
              <w:top w:w="40" w:type="dxa"/>
              <w:left w:w="0" w:type="dxa"/>
              <w:bottom w:w="40" w:type="dxa"/>
              <w:right w:w="20" w:type="dxa"/>
            </w:tcMar>
            <w:vAlign w:val="bottom"/>
          </w:tcPr>
          <w:p w14:paraId="7DD0131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20"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321" w14:textId="77777777" w:rsidR="00C1563E" w:rsidRDefault="000B648B">
            <w:pPr>
              <w:jc w:val="right"/>
              <w:textAlignment w:val="bottom"/>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tcPr>
          <w:p w14:paraId="7DD0132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32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324" w14:textId="77777777" w:rsidR="00C1563E" w:rsidRDefault="000B648B">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7DD01325" w14:textId="77777777" w:rsidR="00C1563E" w:rsidRDefault="00C1563E">
            <w:pPr>
              <w:jc w:val="right"/>
              <w:rPr>
                <w:rFonts w:ascii="宋体"/>
              </w:rPr>
            </w:pPr>
          </w:p>
        </w:tc>
      </w:tr>
      <w:tr w:rsidR="00C1563E" w14:paraId="7DD01334" w14:textId="77777777">
        <w:trPr>
          <w:jc w:val="center"/>
        </w:trPr>
        <w:tc>
          <w:tcPr>
            <w:tcW w:w="0" w:type="auto"/>
            <w:gridSpan w:val="3"/>
            <w:shd w:val="clear" w:color="auto" w:fill="CCEEFF"/>
            <w:tcMar>
              <w:top w:w="40" w:type="dxa"/>
              <w:left w:w="20" w:type="dxa"/>
              <w:bottom w:w="40" w:type="dxa"/>
              <w:right w:w="20" w:type="dxa"/>
            </w:tcMar>
            <w:vAlign w:val="bottom"/>
          </w:tcPr>
          <w:p w14:paraId="7DD01327" w14:textId="77777777" w:rsidR="00C1563E" w:rsidRDefault="000B648B">
            <w:pPr>
              <w:textAlignment w:val="bottom"/>
            </w:pPr>
            <w:r>
              <w:rPr>
                <w:rFonts w:ascii="Times New Roman" w:eastAsia="宋体" w:hAnsi="Times New Roman"/>
                <w:color w:val="000000"/>
                <w:sz w:val="20"/>
                <w:szCs w:val="20"/>
              </w:rPr>
              <w:t>Exercisable as of January 29, 2021</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DD01328" w14:textId="77777777" w:rsidR="00C1563E" w:rsidRDefault="000B648B">
            <w:pPr>
              <w:jc w:val="right"/>
              <w:textAlignment w:val="bottom"/>
            </w:pPr>
            <w:r>
              <w:rPr>
                <w:rFonts w:ascii="Times New Roman" w:eastAsia="宋体" w:hAnsi="Times New Roman"/>
                <w:color w:val="000000"/>
                <w:sz w:val="20"/>
                <w:szCs w:val="20"/>
              </w:rPr>
              <w:t>6 </w:t>
            </w:r>
          </w:p>
        </w:tc>
        <w:tc>
          <w:tcPr>
            <w:tcW w:w="0" w:type="auto"/>
            <w:tcBorders>
              <w:top w:val="double" w:sz="6" w:space="0" w:color="000000"/>
            </w:tcBorders>
            <w:shd w:val="clear" w:color="auto" w:fill="CCEEFF"/>
            <w:tcMar>
              <w:top w:w="40" w:type="dxa"/>
              <w:left w:w="0" w:type="dxa"/>
              <w:bottom w:w="40" w:type="dxa"/>
              <w:right w:w="20" w:type="dxa"/>
            </w:tcMar>
            <w:vAlign w:val="bottom"/>
          </w:tcPr>
          <w:p w14:paraId="7DD0132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2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32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32C" w14:textId="77777777" w:rsidR="00C1563E" w:rsidRDefault="000B648B">
            <w:pPr>
              <w:jc w:val="right"/>
              <w:textAlignment w:val="bottom"/>
            </w:pPr>
            <w:r>
              <w:rPr>
                <w:rFonts w:ascii="Times New Roman" w:eastAsia="宋体" w:hAnsi="Times New Roman"/>
                <w:color w:val="000000"/>
                <w:sz w:val="20"/>
                <w:szCs w:val="20"/>
              </w:rPr>
              <w:t>15.65 </w:t>
            </w:r>
          </w:p>
        </w:tc>
        <w:tc>
          <w:tcPr>
            <w:tcW w:w="0" w:type="auto"/>
            <w:shd w:val="clear" w:color="auto" w:fill="CCEEFF"/>
            <w:tcMar>
              <w:top w:w="40" w:type="dxa"/>
              <w:left w:w="0" w:type="dxa"/>
              <w:bottom w:w="40" w:type="dxa"/>
              <w:right w:w="20" w:type="dxa"/>
            </w:tcMar>
            <w:vAlign w:val="bottom"/>
          </w:tcPr>
          <w:p w14:paraId="7DD0132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2E"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32F" w14:textId="77777777" w:rsidR="00C1563E" w:rsidRDefault="000B648B">
            <w:pPr>
              <w:jc w:val="right"/>
              <w:textAlignment w:val="bottom"/>
            </w:pPr>
            <w:r>
              <w:rPr>
                <w:rFonts w:ascii="Times New Roman" w:eastAsia="宋体" w:hAnsi="Times New Roman"/>
                <w:color w:val="000000"/>
                <w:sz w:val="20"/>
                <w:szCs w:val="20"/>
              </w:rPr>
              <w:t>3.2</w:t>
            </w:r>
          </w:p>
        </w:tc>
        <w:tc>
          <w:tcPr>
            <w:tcW w:w="0" w:type="auto"/>
            <w:gridSpan w:val="3"/>
            <w:shd w:val="clear" w:color="auto" w:fill="CCEEFF"/>
            <w:tcMar>
              <w:top w:w="0" w:type="dxa"/>
              <w:left w:w="20" w:type="dxa"/>
              <w:bottom w:w="0" w:type="dxa"/>
              <w:right w:w="20" w:type="dxa"/>
            </w:tcMar>
          </w:tcPr>
          <w:p w14:paraId="7DD0133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33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332" w14:textId="77777777" w:rsidR="00C1563E" w:rsidRDefault="000B648B">
            <w:pPr>
              <w:jc w:val="right"/>
              <w:textAlignment w:val="bottom"/>
            </w:pPr>
            <w:r>
              <w:rPr>
                <w:rFonts w:ascii="Times New Roman" w:eastAsia="宋体" w:hAnsi="Times New Roman"/>
                <w:color w:val="000000"/>
                <w:sz w:val="20"/>
                <w:szCs w:val="20"/>
              </w:rPr>
              <w:t>321 </w:t>
            </w:r>
          </w:p>
        </w:tc>
        <w:tc>
          <w:tcPr>
            <w:tcW w:w="0" w:type="auto"/>
            <w:shd w:val="clear" w:color="auto" w:fill="CCEEFF"/>
            <w:tcMar>
              <w:top w:w="40" w:type="dxa"/>
              <w:left w:w="0" w:type="dxa"/>
              <w:bottom w:w="40" w:type="dxa"/>
              <w:right w:w="20" w:type="dxa"/>
            </w:tcMar>
            <w:vAlign w:val="bottom"/>
          </w:tcPr>
          <w:p w14:paraId="7DD01333" w14:textId="77777777" w:rsidR="00C1563E" w:rsidRDefault="00C1563E">
            <w:pPr>
              <w:jc w:val="right"/>
              <w:rPr>
                <w:rFonts w:ascii="宋体"/>
              </w:rPr>
            </w:pPr>
          </w:p>
        </w:tc>
      </w:tr>
      <w:tr w:rsidR="00C1563E" w14:paraId="7DD01342" w14:textId="77777777">
        <w:trPr>
          <w:jc w:val="center"/>
        </w:trPr>
        <w:tc>
          <w:tcPr>
            <w:tcW w:w="0" w:type="auto"/>
            <w:gridSpan w:val="3"/>
            <w:shd w:val="clear" w:color="auto" w:fill="FFFFFF"/>
            <w:tcMar>
              <w:top w:w="40" w:type="dxa"/>
              <w:left w:w="20" w:type="dxa"/>
              <w:bottom w:w="40" w:type="dxa"/>
              <w:right w:w="20" w:type="dxa"/>
            </w:tcMar>
            <w:vAlign w:val="bottom"/>
          </w:tcPr>
          <w:p w14:paraId="7DD01335" w14:textId="77777777" w:rsidR="00C1563E" w:rsidRDefault="000B648B">
            <w:pPr>
              <w:textAlignment w:val="bottom"/>
            </w:pPr>
            <w:r>
              <w:rPr>
                <w:rFonts w:ascii="Times New Roman" w:eastAsia="宋体" w:hAnsi="Times New Roman"/>
                <w:color w:val="000000"/>
                <w:sz w:val="20"/>
                <w:szCs w:val="20"/>
              </w:rPr>
              <w:t>Vested and expected to vest (net of estimated forfeitures) as of January 29, 2021</w:t>
            </w:r>
          </w:p>
        </w:tc>
        <w:tc>
          <w:tcPr>
            <w:tcW w:w="0" w:type="auto"/>
            <w:gridSpan w:val="2"/>
            <w:shd w:val="clear" w:color="auto" w:fill="FFFFFF"/>
            <w:tcMar>
              <w:top w:w="40" w:type="dxa"/>
              <w:left w:w="20" w:type="dxa"/>
              <w:bottom w:w="40" w:type="dxa"/>
              <w:right w:w="0" w:type="dxa"/>
            </w:tcMar>
            <w:vAlign w:val="bottom"/>
          </w:tcPr>
          <w:p w14:paraId="7DD01336"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DD0133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38"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33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33A" w14:textId="77777777" w:rsidR="00C1563E" w:rsidRDefault="000B648B">
            <w:pPr>
              <w:jc w:val="right"/>
              <w:textAlignment w:val="bottom"/>
            </w:pPr>
            <w:r>
              <w:rPr>
                <w:rFonts w:ascii="Times New Roman" w:eastAsia="宋体" w:hAnsi="Times New Roman"/>
                <w:color w:val="000000"/>
                <w:sz w:val="20"/>
                <w:szCs w:val="20"/>
              </w:rPr>
              <w:t>15.87 </w:t>
            </w:r>
          </w:p>
        </w:tc>
        <w:tc>
          <w:tcPr>
            <w:tcW w:w="0" w:type="auto"/>
            <w:shd w:val="clear" w:color="auto" w:fill="FFFFFF"/>
            <w:tcMar>
              <w:top w:w="40" w:type="dxa"/>
              <w:left w:w="0" w:type="dxa"/>
              <w:bottom w:w="40" w:type="dxa"/>
              <w:right w:w="20" w:type="dxa"/>
            </w:tcMar>
            <w:vAlign w:val="bottom"/>
          </w:tcPr>
          <w:p w14:paraId="7DD0133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3C"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33D" w14:textId="77777777" w:rsidR="00C1563E" w:rsidRDefault="000B648B">
            <w:pPr>
              <w:jc w:val="right"/>
              <w:textAlignment w:val="bottom"/>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tcPr>
          <w:p w14:paraId="7DD0133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33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340" w14:textId="77777777" w:rsidR="00C1563E" w:rsidRDefault="000B648B">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7DD01341" w14:textId="77777777" w:rsidR="00C1563E" w:rsidRDefault="00C1563E">
            <w:pPr>
              <w:jc w:val="right"/>
              <w:rPr>
                <w:rFonts w:ascii="宋体"/>
              </w:rPr>
            </w:pPr>
          </w:p>
        </w:tc>
      </w:tr>
    </w:tbl>
    <w:p w14:paraId="7DD01343" w14:textId="77777777" w:rsidR="00C1563E" w:rsidRDefault="000B648B">
      <w:r>
        <w:rPr>
          <w:rFonts w:ascii="Times New Roman" w:eastAsia="宋体" w:hAnsi="Times New Roman"/>
          <w:color w:val="000000"/>
          <w:sz w:val="20"/>
          <w:szCs w:val="20"/>
        </w:rPr>
        <w:t>____________________</w:t>
      </w:r>
    </w:p>
    <w:p w14:paraId="7DD01344" w14:textId="77777777" w:rsidR="00C1563E" w:rsidRDefault="000B648B">
      <w:pPr>
        <w:ind w:hanging="360"/>
      </w:pPr>
      <w:r>
        <w:rPr>
          <w:rFonts w:ascii="Times New Roman" w:eastAsia="宋体" w:hAnsi="Times New Roman"/>
          <w:color w:val="000000"/>
          <w:sz w:val="20"/>
          <w:szCs w:val="20"/>
        </w:rPr>
        <w:t>(a)    The aggregate intrinsic values</w:t>
      </w:r>
      <w:r>
        <w:rPr>
          <w:rFonts w:ascii="Times New Roman" w:eastAsia="宋体" w:hAnsi="Times New Roman"/>
          <w:color w:val="000000"/>
          <w:sz w:val="20"/>
          <w:szCs w:val="20"/>
        </w:rPr>
        <w:t xml:space="preserve"> represent the total pre-tax intrinsic values based on the closing price of $72.89 of the Company’s Class C Common Stock on January 29, 2021 as reported on the NYSE that would have been received by the option holders had all in-the-money options been exerc</w:t>
      </w:r>
      <w:r>
        <w:rPr>
          <w:rFonts w:ascii="Times New Roman" w:eastAsia="宋体" w:hAnsi="Times New Roman"/>
          <w:color w:val="000000"/>
          <w:sz w:val="20"/>
          <w:szCs w:val="20"/>
        </w:rPr>
        <w:t>ised as of that date.</w:t>
      </w:r>
    </w:p>
    <w:p w14:paraId="7DD01345" w14:textId="77777777" w:rsidR="00C1563E" w:rsidRDefault="000B648B">
      <w:pPr>
        <w:ind w:hanging="360"/>
      </w:pPr>
      <w:r>
        <w:rPr>
          <w:rFonts w:ascii="Times New Roman" w:eastAsia="宋体" w:hAnsi="Times New Roman"/>
          <w:color w:val="000000"/>
          <w:sz w:val="20"/>
          <w:szCs w:val="20"/>
        </w:rPr>
        <w:t>(b)    Stock option activity during the period was immaterial. The ending weighted-average exercise price was calculated based on underlying options outstanding as of February 1, 2019.</w:t>
      </w:r>
    </w:p>
    <w:p w14:paraId="7DD01346" w14:textId="77777777" w:rsidR="00C1563E" w:rsidRDefault="000B648B">
      <w:pPr>
        <w:ind w:hanging="360"/>
      </w:pPr>
      <w:r>
        <w:rPr>
          <w:rFonts w:ascii="Times New Roman" w:eastAsia="宋体" w:hAnsi="Times New Roman"/>
          <w:color w:val="000000"/>
          <w:sz w:val="20"/>
          <w:szCs w:val="20"/>
        </w:rPr>
        <w:t xml:space="preserve">(c)    Other than stock option </w:t>
      </w:r>
      <w:r>
        <w:rPr>
          <w:rFonts w:ascii="Times New Roman" w:eastAsia="宋体" w:hAnsi="Times New Roman"/>
          <w:color w:val="000000"/>
          <w:sz w:val="20"/>
          <w:szCs w:val="20"/>
        </w:rPr>
        <w:t>exercises, stock option activity during the period was immaterial. The ending weighted-average exercise price was calculated based on underlying options outstanding as of January 31, 2020 and January 29, 2021, respectively. Of the 6 million stock options o</w:t>
      </w:r>
      <w:r>
        <w:rPr>
          <w:rFonts w:ascii="Times New Roman" w:eastAsia="宋体" w:hAnsi="Times New Roman"/>
          <w:color w:val="000000"/>
          <w:sz w:val="20"/>
          <w:szCs w:val="20"/>
        </w:rPr>
        <w:t>utstanding on January 29, 2021, 4 million related to performance-based awards and 2 million related to service-based awards.</w:t>
      </w:r>
    </w:p>
    <w:p w14:paraId="7DD01347" w14:textId="77777777" w:rsidR="00C1563E" w:rsidRDefault="00C1563E"/>
    <w:p w14:paraId="7DD01348" w14:textId="77777777" w:rsidR="00C1563E" w:rsidRDefault="00C1563E"/>
    <w:p w14:paraId="7DD01349" w14:textId="77777777" w:rsidR="00C1563E" w:rsidRDefault="00C1563E">
      <w:pPr>
        <w:jc w:val="center"/>
      </w:pPr>
    </w:p>
    <w:p w14:paraId="7DD0134A" w14:textId="77777777" w:rsidR="00C1563E" w:rsidRDefault="000B648B">
      <w:pPr>
        <w:jc w:val="center"/>
      </w:pPr>
      <w:r>
        <w:rPr>
          <w:rFonts w:ascii="Times New Roman" w:eastAsia="宋体" w:hAnsi="Times New Roman"/>
          <w:color w:val="000000"/>
          <w:sz w:val="20"/>
          <w:szCs w:val="20"/>
        </w:rPr>
        <w:t>146</w:t>
      </w:r>
    </w:p>
    <w:p w14:paraId="7DD0134B" w14:textId="77777777" w:rsidR="00C1563E" w:rsidRDefault="00C1563E">
      <w:pPr>
        <w:jc w:val="center"/>
      </w:pPr>
    </w:p>
    <w:p w14:paraId="7DD0134C" w14:textId="77777777" w:rsidR="00C1563E" w:rsidRDefault="000B648B">
      <w:r>
        <w:pict w14:anchorId="7DD025FC">
          <v:rect id="_x0000_i1170" style="width:415.3pt;height:1.5pt" o:hralign="center" o:hrstd="t" o:hr="t" fillcolor="#a0a0a0" stroked="f"/>
        </w:pict>
      </w:r>
    </w:p>
    <w:p w14:paraId="7DD0134D" w14:textId="77777777" w:rsidR="00C1563E" w:rsidRDefault="000B648B">
      <w:hyperlink r:id="rId329" w:anchor="i418e32e4a35149ffbf7d3a25d66881b8_10" w:history="1">
        <w:r>
          <w:rPr>
            <w:rStyle w:val="a5"/>
            <w:rFonts w:ascii="Times New Roman" w:eastAsia="宋体" w:hAnsi="Times New Roman"/>
            <w:sz w:val="20"/>
            <w:szCs w:val="20"/>
          </w:rPr>
          <w:t>Table of Contents</w:t>
        </w:r>
      </w:hyperlink>
    </w:p>
    <w:p w14:paraId="7DD0134E" w14:textId="77777777" w:rsidR="00C1563E" w:rsidRDefault="000B648B">
      <w:r>
        <w:rPr>
          <w:rFonts w:ascii="Times New Roman" w:eastAsia="宋体" w:hAnsi="Times New Roman"/>
          <w:color w:val="000000"/>
          <w:sz w:val="20"/>
          <w:szCs w:val="20"/>
        </w:rPr>
        <w:t xml:space="preserve">The total fair value of options vested was $3 million, $4 million, and $150 million for the fiscal years ended January 29, 2021, January 31, 2020, and February 1, 2019, respectively. The pre-tax intrinsic </w:t>
      </w:r>
      <w:r>
        <w:rPr>
          <w:rFonts w:ascii="Times New Roman" w:eastAsia="宋体" w:hAnsi="Times New Roman"/>
          <w:color w:val="000000"/>
          <w:sz w:val="20"/>
          <w:szCs w:val="20"/>
        </w:rPr>
        <w:t>value of the options exercised was $591 million, $835 million, and $18 million for the fiscal years ended January 29, 2021, January 31, 2020, and February 1, 2019, respectively. Cash proceeds from the exercise of stock options was $179 million, $350 millio</w:t>
      </w:r>
      <w:r>
        <w:rPr>
          <w:rFonts w:ascii="Times New Roman" w:eastAsia="宋体" w:hAnsi="Times New Roman"/>
          <w:color w:val="000000"/>
          <w:sz w:val="20"/>
          <w:szCs w:val="20"/>
        </w:rPr>
        <w:t>n, and immaterial for the fiscal years ended January 29, 2021, January 31, 2020, and February 1, 2019, respectively.</w:t>
      </w:r>
    </w:p>
    <w:p w14:paraId="7DD0134F" w14:textId="77777777" w:rsidR="00C1563E" w:rsidRDefault="00C1563E"/>
    <w:p w14:paraId="7DD01350" w14:textId="77777777" w:rsidR="00C1563E" w:rsidRDefault="000B648B">
      <w:r>
        <w:rPr>
          <w:rFonts w:ascii="Times New Roman" w:eastAsia="宋体" w:hAnsi="Times New Roman"/>
          <w:color w:val="000000"/>
          <w:sz w:val="20"/>
          <w:szCs w:val="20"/>
        </w:rPr>
        <w:t>The tax benefit realized from the exercise of stock options was $139 million, $197 million, and $5 million for the fiscal years ended Janu</w:t>
      </w:r>
      <w:r>
        <w:rPr>
          <w:rFonts w:ascii="Times New Roman" w:eastAsia="宋体" w:hAnsi="Times New Roman"/>
          <w:color w:val="000000"/>
          <w:sz w:val="20"/>
          <w:szCs w:val="20"/>
        </w:rPr>
        <w:t>ary 29, 2021, January 31, 2020, and February 1, 2019, respectively. As of January 29, 2021, there was $1 million of total unrecognized stock-based compensation expense, net of estimated forfeitures, related to unvested stock options expected to be recogniz</w:t>
      </w:r>
      <w:r>
        <w:rPr>
          <w:rFonts w:ascii="Times New Roman" w:eastAsia="宋体" w:hAnsi="Times New Roman"/>
          <w:color w:val="000000"/>
          <w:sz w:val="20"/>
          <w:szCs w:val="20"/>
        </w:rPr>
        <w:t>ed over a weighted-average period of 2.2 years.</w:t>
      </w:r>
    </w:p>
    <w:p w14:paraId="7DD01351" w14:textId="77777777" w:rsidR="00C1563E" w:rsidRDefault="00C1563E"/>
    <w:p w14:paraId="7DD01352" w14:textId="77777777" w:rsidR="00C1563E" w:rsidRDefault="000B648B">
      <w:r>
        <w:rPr>
          <w:rFonts w:ascii="Times New Roman" w:eastAsia="宋体" w:hAnsi="Times New Roman"/>
          <w:i/>
          <w:iCs/>
          <w:color w:val="000000"/>
          <w:sz w:val="20"/>
          <w:szCs w:val="20"/>
        </w:rPr>
        <w:t xml:space="preserve">Restricted Stock </w:t>
      </w:r>
      <w:r>
        <w:rPr>
          <w:rFonts w:ascii="Times New Roman" w:eastAsia="宋体" w:hAnsi="Times New Roman"/>
          <w:color w:val="000000"/>
          <w:sz w:val="20"/>
          <w:szCs w:val="20"/>
        </w:rPr>
        <w:t xml:space="preserve">— The Company’s restricted stock primarily consists of RSUs granted to employees. During the fiscal year ended January 29, 2021 and January 31, 2020, the Company granted long-term incentive </w:t>
      </w:r>
      <w:r>
        <w:rPr>
          <w:rFonts w:ascii="Times New Roman" w:eastAsia="宋体" w:hAnsi="Times New Roman"/>
          <w:color w:val="000000"/>
          <w:sz w:val="20"/>
          <w:szCs w:val="20"/>
        </w:rPr>
        <w:t>awards in the form of service-based RSUs and performance-based RSUs (“PSUs”) in order to align critical talent retention programs with the interests of holders of the Class C Common Stock.</w:t>
      </w:r>
    </w:p>
    <w:p w14:paraId="7DD01353" w14:textId="77777777" w:rsidR="00C1563E" w:rsidRDefault="00C1563E"/>
    <w:p w14:paraId="7DD01354" w14:textId="77777777" w:rsidR="00C1563E" w:rsidRDefault="000B648B">
      <w:r>
        <w:rPr>
          <w:rFonts w:ascii="Times New Roman" w:eastAsia="宋体" w:hAnsi="Times New Roman"/>
          <w:color w:val="000000"/>
          <w:sz w:val="20"/>
          <w:szCs w:val="20"/>
        </w:rPr>
        <w:t>Service-based RSUs have a fair value based on the closing price of</w:t>
      </w:r>
      <w:r>
        <w:rPr>
          <w:rFonts w:ascii="Times New Roman" w:eastAsia="宋体" w:hAnsi="Times New Roman"/>
          <w:color w:val="000000"/>
          <w:sz w:val="20"/>
          <w:szCs w:val="20"/>
        </w:rPr>
        <w:t xml:space="preserve"> the Class C Common Stock price as reported on the NYSE on the grant date or the trade day immediately preceding the grant date, if the grant date falls on a non-trading day. Most of such RSUs vest ratably over a three-year period.  Each service-based RSU </w:t>
      </w:r>
      <w:r>
        <w:rPr>
          <w:rFonts w:ascii="Times New Roman" w:eastAsia="宋体" w:hAnsi="Times New Roman"/>
          <w:color w:val="000000"/>
          <w:sz w:val="20"/>
          <w:szCs w:val="20"/>
        </w:rPr>
        <w:t xml:space="preserve">represents the right to acquire one share of Class C Common Stock upon vesting. Prior to the Class V transaction, each RSU converted into one share of DHI Group Common Stock upon vesting. </w:t>
      </w:r>
    </w:p>
    <w:p w14:paraId="7DD01355" w14:textId="77777777" w:rsidR="00C1563E" w:rsidRDefault="00C1563E"/>
    <w:p w14:paraId="7DD01356" w14:textId="77777777" w:rsidR="00C1563E" w:rsidRDefault="000B648B">
      <w:r>
        <w:rPr>
          <w:rFonts w:ascii="Times New Roman" w:eastAsia="宋体" w:hAnsi="Times New Roman"/>
          <w:color w:val="000000"/>
          <w:sz w:val="20"/>
          <w:szCs w:val="20"/>
        </w:rPr>
        <w:t xml:space="preserve">The PSUs granted after the Class V transaction are </w:t>
      </w:r>
      <w:r>
        <w:rPr>
          <w:rFonts w:ascii="Times New Roman" w:eastAsia="宋体" w:hAnsi="Times New Roman"/>
          <w:color w:val="000000"/>
          <w:sz w:val="20"/>
          <w:szCs w:val="20"/>
        </w:rPr>
        <w:t>reflected as target units while the actual number of units that ultimately vest will range from 0% to 200% of target, based on the level of achievement of the performance goals and continued employment with the Company over a three-year performance period.</w:t>
      </w:r>
      <w:r>
        <w:rPr>
          <w:rFonts w:ascii="Times New Roman" w:eastAsia="宋体" w:hAnsi="Times New Roman"/>
          <w:color w:val="000000"/>
          <w:sz w:val="20"/>
          <w:szCs w:val="20"/>
        </w:rPr>
        <w:t xml:space="preserve"> Approximately half of the PSUs granted are subject to achievement of market-based performance goals based on relative total shareholder return and were valued utilizing a Monte Carlo valuation model to simulate the probabilities of achievement. The remain</w:t>
      </w:r>
      <w:r>
        <w:rPr>
          <w:rFonts w:ascii="Times New Roman" w:eastAsia="宋体" w:hAnsi="Times New Roman"/>
          <w:color w:val="000000"/>
          <w:sz w:val="20"/>
          <w:szCs w:val="20"/>
        </w:rPr>
        <w:t>ing PSUs are subject to internal financial metrics and have fair values based on the closing price of the Class C Common Stock as reported on the NYSE on the accounting grant date. </w:t>
      </w:r>
    </w:p>
    <w:p w14:paraId="7DD01357" w14:textId="77777777" w:rsidR="00C1563E" w:rsidRDefault="00C1563E"/>
    <w:p w14:paraId="7DD01358" w14:textId="77777777" w:rsidR="00C1563E" w:rsidRDefault="000B648B">
      <w:r>
        <w:rPr>
          <w:rFonts w:ascii="Times New Roman" w:eastAsia="宋体" w:hAnsi="Times New Roman"/>
          <w:color w:val="000000"/>
          <w:sz w:val="20"/>
          <w:szCs w:val="20"/>
        </w:rPr>
        <w:t>Prior to the Class V transaction, the Company granted market-based PSUs t</w:t>
      </w:r>
      <w:r>
        <w:rPr>
          <w:rFonts w:ascii="Times New Roman" w:eastAsia="宋体" w:hAnsi="Times New Roman"/>
          <w:color w:val="000000"/>
          <w:sz w:val="20"/>
          <w:szCs w:val="20"/>
        </w:rPr>
        <w:t>o certain members of the Company’s senior leadership team, which were also valued using the Monte Carlo model.  The vesting and payout of the PSU awards depends upon the return on equity achieved on various measurement dates through the five year anniversa</w:t>
      </w:r>
      <w:r>
        <w:rPr>
          <w:rFonts w:ascii="Times New Roman" w:eastAsia="宋体" w:hAnsi="Times New Roman"/>
          <w:color w:val="000000"/>
          <w:sz w:val="20"/>
          <w:szCs w:val="20"/>
        </w:rPr>
        <w:t xml:space="preserve">ry of the EMC merger transaction or specified liquidity events. </w:t>
      </w:r>
    </w:p>
    <w:p w14:paraId="7DD01359" w14:textId="77777777" w:rsidR="00C1563E" w:rsidRDefault="00C1563E"/>
    <w:p w14:paraId="7DD0135A" w14:textId="77777777" w:rsidR="00C1563E" w:rsidRDefault="000B648B">
      <w:pPr>
        <w:spacing w:after="120"/>
      </w:pPr>
      <w:r>
        <w:rPr>
          <w:rFonts w:ascii="Times New Roman" w:eastAsia="宋体" w:hAnsi="Times New Roman"/>
          <w:color w:val="000000"/>
          <w:sz w:val="20"/>
          <w:szCs w:val="20"/>
        </w:rPr>
        <w:t>The following table presents the assumptions utilized in the Monte Carlo valuation model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741"/>
        <w:gridCol w:w="36"/>
        <w:gridCol w:w="120"/>
        <w:gridCol w:w="1400"/>
        <w:gridCol w:w="187"/>
        <w:gridCol w:w="36"/>
        <w:gridCol w:w="36"/>
        <w:gridCol w:w="36"/>
        <w:gridCol w:w="120"/>
        <w:gridCol w:w="1400"/>
        <w:gridCol w:w="187"/>
      </w:tblGrid>
      <w:tr w:rsidR="00C1563E" w14:paraId="7DD01367" w14:textId="77777777">
        <w:trPr>
          <w:jc w:val="center"/>
        </w:trPr>
        <w:tc>
          <w:tcPr>
            <w:tcW w:w="50" w:type="pct"/>
            <w:shd w:val="clear" w:color="auto" w:fill="auto"/>
          </w:tcPr>
          <w:p w14:paraId="7DD0135B" w14:textId="77777777" w:rsidR="00C1563E" w:rsidRDefault="00C1563E">
            <w:pPr>
              <w:rPr>
                <w:rFonts w:ascii="宋体"/>
              </w:rPr>
            </w:pPr>
          </w:p>
        </w:tc>
        <w:tc>
          <w:tcPr>
            <w:tcW w:w="2971" w:type="pct"/>
            <w:shd w:val="clear" w:color="auto" w:fill="auto"/>
          </w:tcPr>
          <w:p w14:paraId="7DD0135C" w14:textId="77777777" w:rsidR="00C1563E" w:rsidRDefault="00C1563E">
            <w:pPr>
              <w:rPr>
                <w:rFonts w:ascii="宋体"/>
              </w:rPr>
            </w:pPr>
          </w:p>
        </w:tc>
        <w:tc>
          <w:tcPr>
            <w:tcW w:w="5" w:type="pct"/>
            <w:shd w:val="clear" w:color="auto" w:fill="auto"/>
          </w:tcPr>
          <w:p w14:paraId="7DD0135D" w14:textId="77777777" w:rsidR="00C1563E" w:rsidRDefault="00C1563E">
            <w:pPr>
              <w:rPr>
                <w:rFonts w:ascii="宋体"/>
              </w:rPr>
            </w:pPr>
          </w:p>
        </w:tc>
        <w:tc>
          <w:tcPr>
            <w:tcW w:w="50" w:type="pct"/>
            <w:shd w:val="clear" w:color="auto" w:fill="auto"/>
          </w:tcPr>
          <w:p w14:paraId="7DD0135E" w14:textId="77777777" w:rsidR="00C1563E" w:rsidRDefault="00C1563E">
            <w:pPr>
              <w:rPr>
                <w:rFonts w:ascii="宋体"/>
              </w:rPr>
            </w:pPr>
          </w:p>
        </w:tc>
        <w:tc>
          <w:tcPr>
            <w:tcW w:w="917" w:type="pct"/>
            <w:shd w:val="clear" w:color="auto" w:fill="auto"/>
          </w:tcPr>
          <w:p w14:paraId="7DD0135F" w14:textId="77777777" w:rsidR="00C1563E" w:rsidRDefault="00C1563E">
            <w:pPr>
              <w:rPr>
                <w:rFonts w:ascii="宋体"/>
              </w:rPr>
            </w:pPr>
          </w:p>
        </w:tc>
        <w:tc>
          <w:tcPr>
            <w:tcW w:w="5" w:type="pct"/>
            <w:shd w:val="clear" w:color="auto" w:fill="auto"/>
          </w:tcPr>
          <w:p w14:paraId="7DD01360" w14:textId="77777777" w:rsidR="00C1563E" w:rsidRDefault="00C1563E">
            <w:pPr>
              <w:rPr>
                <w:rFonts w:ascii="宋体"/>
              </w:rPr>
            </w:pPr>
          </w:p>
        </w:tc>
        <w:tc>
          <w:tcPr>
            <w:tcW w:w="5" w:type="pct"/>
            <w:shd w:val="clear" w:color="auto" w:fill="auto"/>
          </w:tcPr>
          <w:p w14:paraId="7DD01361" w14:textId="77777777" w:rsidR="00C1563E" w:rsidRDefault="00C1563E">
            <w:pPr>
              <w:rPr>
                <w:rFonts w:ascii="宋体"/>
              </w:rPr>
            </w:pPr>
          </w:p>
        </w:tc>
        <w:tc>
          <w:tcPr>
            <w:tcW w:w="19" w:type="pct"/>
            <w:shd w:val="clear" w:color="auto" w:fill="auto"/>
          </w:tcPr>
          <w:p w14:paraId="7DD01362" w14:textId="77777777" w:rsidR="00C1563E" w:rsidRDefault="00C1563E">
            <w:pPr>
              <w:rPr>
                <w:rFonts w:ascii="宋体"/>
              </w:rPr>
            </w:pPr>
          </w:p>
        </w:tc>
        <w:tc>
          <w:tcPr>
            <w:tcW w:w="5" w:type="pct"/>
            <w:shd w:val="clear" w:color="auto" w:fill="auto"/>
          </w:tcPr>
          <w:p w14:paraId="7DD01363" w14:textId="77777777" w:rsidR="00C1563E" w:rsidRDefault="00C1563E">
            <w:pPr>
              <w:rPr>
                <w:rFonts w:ascii="宋体"/>
              </w:rPr>
            </w:pPr>
          </w:p>
        </w:tc>
        <w:tc>
          <w:tcPr>
            <w:tcW w:w="50" w:type="pct"/>
            <w:shd w:val="clear" w:color="auto" w:fill="auto"/>
          </w:tcPr>
          <w:p w14:paraId="7DD01364" w14:textId="77777777" w:rsidR="00C1563E" w:rsidRDefault="00C1563E">
            <w:pPr>
              <w:rPr>
                <w:rFonts w:ascii="宋体"/>
              </w:rPr>
            </w:pPr>
          </w:p>
        </w:tc>
        <w:tc>
          <w:tcPr>
            <w:tcW w:w="917" w:type="pct"/>
            <w:shd w:val="clear" w:color="auto" w:fill="auto"/>
          </w:tcPr>
          <w:p w14:paraId="7DD01365" w14:textId="77777777" w:rsidR="00C1563E" w:rsidRDefault="00C1563E">
            <w:pPr>
              <w:rPr>
                <w:rFonts w:ascii="宋体"/>
              </w:rPr>
            </w:pPr>
          </w:p>
        </w:tc>
        <w:tc>
          <w:tcPr>
            <w:tcW w:w="5" w:type="pct"/>
            <w:shd w:val="clear" w:color="auto" w:fill="auto"/>
          </w:tcPr>
          <w:p w14:paraId="7DD01366" w14:textId="77777777" w:rsidR="00C1563E" w:rsidRDefault="00C1563E">
            <w:pPr>
              <w:rPr>
                <w:rFonts w:ascii="宋体"/>
              </w:rPr>
            </w:pPr>
          </w:p>
        </w:tc>
      </w:tr>
      <w:tr w:rsidR="00C1563E" w14:paraId="7DD0136A" w14:textId="77777777">
        <w:trPr>
          <w:jc w:val="center"/>
        </w:trPr>
        <w:tc>
          <w:tcPr>
            <w:tcW w:w="0" w:type="auto"/>
            <w:gridSpan w:val="3"/>
            <w:shd w:val="clear" w:color="auto" w:fill="auto"/>
            <w:tcMar>
              <w:top w:w="0" w:type="dxa"/>
              <w:left w:w="20" w:type="dxa"/>
              <w:bottom w:w="0" w:type="dxa"/>
              <w:right w:w="20" w:type="dxa"/>
            </w:tcMar>
          </w:tcPr>
          <w:p w14:paraId="7DD01368" w14:textId="77777777" w:rsidR="00C1563E" w:rsidRDefault="00C1563E">
            <w:pPr>
              <w:rPr>
                <w:rFonts w:ascii="宋体"/>
              </w:rPr>
            </w:pPr>
          </w:p>
        </w:tc>
        <w:tc>
          <w:tcPr>
            <w:tcW w:w="0" w:type="auto"/>
            <w:gridSpan w:val="9"/>
            <w:shd w:val="clear" w:color="auto" w:fill="auto"/>
            <w:tcMar>
              <w:top w:w="40" w:type="dxa"/>
              <w:left w:w="20" w:type="dxa"/>
              <w:bottom w:w="40" w:type="dxa"/>
              <w:right w:w="20" w:type="dxa"/>
            </w:tcMar>
            <w:vAlign w:val="bottom"/>
          </w:tcPr>
          <w:p w14:paraId="7DD01369"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36F" w14:textId="77777777">
        <w:trPr>
          <w:jc w:val="center"/>
        </w:trPr>
        <w:tc>
          <w:tcPr>
            <w:tcW w:w="0" w:type="auto"/>
            <w:gridSpan w:val="3"/>
            <w:shd w:val="clear" w:color="auto" w:fill="auto"/>
            <w:tcMar>
              <w:top w:w="0" w:type="dxa"/>
              <w:left w:w="20" w:type="dxa"/>
              <w:bottom w:w="0" w:type="dxa"/>
              <w:right w:w="20" w:type="dxa"/>
            </w:tcMar>
          </w:tcPr>
          <w:p w14:paraId="7DD0136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36C"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36D"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36E"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378" w14:textId="77777777">
        <w:trPr>
          <w:jc w:val="center"/>
        </w:trPr>
        <w:tc>
          <w:tcPr>
            <w:tcW w:w="0" w:type="auto"/>
            <w:gridSpan w:val="3"/>
            <w:shd w:val="clear" w:color="auto" w:fill="CCEEFF"/>
            <w:tcMar>
              <w:top w:w="40" w:type="dxa"/>
              <w:left w:w="20" w:type="dxa"/>
              <w:bottom w:w="40" w:type="dxa"/>
              <w:right w:w="20" w:type="dxa"/>
            </w:tcMar>
            <w:vAlign w:val="bottom"/>
          </w:tcPr>
          <w:p w14:paraId="7DD01370" w14:textId="77777777" w:rsidR="00C1563E" w:rsidRDefault="000B648B">
            <w:pPr>
              <w:textAlignment w:val="bottom"/>
            </w:pPr>
            <w:r>
              <w:rPr>
                <w:rFonts w:ascii="Times New Roman" w:eastAsia="宋体" w:hAnsi="Times New Roman"/>
                <w:color w:val="000000"/>
                <w:sz w:val="20"/>
                <w:szCs w:val="20"/>
              </w:rPr>
              <w:t>Weighted-average grant date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137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372" w14:textId="77777777" w:rsidR="00C1563E" w:rsidRDefault="000B648B">
            <w:pPr>
              <w:jc w:val="right"/>
              <w:textAlignment w:val="bottom"/>
            </w:pPr>
            <w:r>
              <w:rPr>
                <w:rFonts w:ascii="Times New Roman" w:eastAsia="宋体" w:hAnsi="Times New Roman"/>
                <w:color w:val="000000"/>
                <w:sz w:val="20"/>
                <w:szCs w:val="20"/>
              </w:rPr>
              <w:t>40.01 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37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74"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37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376" w14:textId="77777777" w:rsidR="00C1563E" w:rsidRDefault="000B648B">
            <w:pPr>
              <w:jc w:val="right"/>
              <w:textAlignment w:val="bottom"/>
            </w:pPr>
            <w:r>
              <w:rPr>
                <w:rFonts w:ascii="Times New Roman" w:eastAsia="宋体" w:hAnsi="Times New Roman"/>
                <w:color w:val="000000"/>
                <w:sz w:val="20"/>
                <w:szCs w:val="20"/>
              </w:rPr>
              <w:t>87.17 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377" w14:textId="77777777" w:rsidR="00C1563E" w:rsidRDefault="00C1563E">
            <w:pPr>
              <w:jc w:val="right"/>
              <w:rPr>
                <w:rFonts w:ascii="宋体"/>
              </w:rPr>
            </w:pPr>
          </w:p>
        </w:tc>
      </w:tr>
      <w:tr w:rsidR="00C1563E" w14:paraId="7DD0137D" w14:textId="77777777">
        <w:trPr>
          <w:jc w:val="center"/>
        </w:trPr>
        <w:tc>
          <w:tcPr>
            <w:tcW w:w="0" w:type="auto"/>
            <w:gridSpan w:val="3"/>
            <w:shd w:val="clear" w:color="auto" w:fill="FFFFFF"/>
            <w:tcMar>
              <w:top w:w="40" w:type="dxa"/>
              <w:left w:w="20" w:type="dxa"/>
              <w:bottom w:w="40" w:type="dxa"/>
              <w:right w:w="20" w:type="dxa"/>
            </w:tcMar>
            <w:vAlign w:val="bottom"/>
          </w:tcPr>
          <w:p w14:paraId="7DD01379" w14:textId="77777777" w:rsidR="00C1563E" w:rsidRDefault="000B648B">
            <w:pPr>
              <w:textAlignment w:val="bottom"/>
            </w:pPr>
            <w:r>
              <w:rPr>
                <w:rFonts w:ascii="Times New Roman" w:eastAsia="宋体" w:hAnsi="Times New Roman"/>
                <w:color w:val="000000"/>
                <w:sz w:val="20"/>
                <w:szCs w:val="20"/>
              </w:rPr>
              <w:t>Term (in years)</w:t>
            </w:r>
          </w:p>
        </w:tc>
        <w:tc>
          <w:tcPr>
            <w:tcW w:w="0" w:type="auto"/>
            <w:gridSpan w:val="3"/>
            <w:shd w:val="clear" w:color="auto" w:fill="FFFFFF"/>
            <w:tcMar>
              <w:top w:w="40" w:type="dxa"/>
              <w:left w:w="20" w:type="dxa"/>
              <w:bottom w:w="40" w:type="dxa"/>
              <w:right w:w="20" w:type="dxa"/>
            </w:tcMar>
            <w:vAlign w:val="bottom"/>
          </w:tcPr>
          <w:p w14:paraId="7DD0137A" w14:textId="77777777" w:rsidR="00C1563E" w:rsidRDefault="000B648B">
            <w:pPr>
              <w:jc w:val="right"/>
              <w:textAlignment w:val="bottom"/>
            </w:pPr>
            <w:r>
              <w:rPr>
                <w:rFonts w:ascii="Times New Roman" w:eastAsia="宋体" w:hAnsi="Times New Roman"/>
                <w:color w:val="000000"/>
                <w:sz w:val="20"/>
                <w:szCs w:val="20"/>
              </w:rPr>
              <w:t>3.0</w:t>
            </w:r>
          </w:p>
        </w:tc>
        <w:tc>
          <w:tcPr>
            <w:tcW w:w="0" w:type="auto"/>
            <w:gridSpan w:val="3"/>
            <w:shd w:val="clear" w:color="auto" w:fill="FFFFFF"/>
            <w:tcMar>
              <w:top w:w="0" w:type="dxa"/>
              <w:left w:w="20" w:type="dxa"/>
              <w:bottom w:w="0" w:type="dxa"/>
              <w:right w:w="20" w:type="dxa"/>
            </w:tcMar>
          </w:tcPr>
          <w:p w14:paraId="7DD0137B"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37C" w14:textId="77777777" w:rsidR="00C1563E" w:rsidRDefault="000B648B">
            <w:pPr>
              <w:jc w:val="right"/>
              <w:textAlignment w:val="bottom"/>
            </w:pPr>
            <w:r>
              <w:rPr>
                <w:rFonts w:ascii="Times New Roman" w:eastAsia="宋体" w:hAnsi="Times New Roman"/>
                <w:color w:val="000000"/>
                <w:sz w:val="20"/>
                <w:szCs w:val="20"/>
              </w:rPr>
              <w:t>3.0</w:t>
            </w:r>
          </w:p>
        </w:tc>
      </w:tr>
      <w:tr w:rsidR="00C1563E" w14:paraId="7DD01384" w14:textId="77777777">
        <w:trPr>
          <w:jc w:val="center"/>
        </w:trPr>
        <w:tc>
          <w:tcPr>
            <w:tcW w:w="0" w:type="auto"/>
            <w:gridSpan w:val="3"/>
            <w:shd w:val="clear" w:color="auto" w:fill="CCEEFF"/>
            <w:tcMar>
              <w:top w:w="40" w:type="dxa"/>
              <w:left w:w="20" w:type="dxa"/>
              <w:bottom w:w="40" w:type="dxa"/>
              <w:right w:w="20" w:type="dxa"/>
            </w:tcMar>
            <w:vAlign w:val="bottom"/>
          </w:tcPr>
          <w:p w14:paraId="7DD0137E" w14:textId="77777777" w:rsidR="00C1563E" w:rsidRDefault="000B648B">
            <w:pPr>
              <w:textAlignment w:val="bottom"/>
            </w:pPr>
            <w:r>
              <w:rPr>
                <w:rFonts w:ascii="Times New Roman" w:eastAsia="宋体" w:hAnsi="Times New Roman"/>
                <w:color w:val="000000"/>
                <w:sz w:val="20"/>
                <w:szCs w:val="20"/>
              </w:rPr>
              <w:t>Risk-free rate (U.S. Government Treasury Note)</w:t>
            </w:r>
          </w:p>
        </w:tc>
        <w:tc>
          <w:tcPr>
            <w:tcW w:w="0" w:type="auto"/>
            <w:gridSpan w:val="2"/>
            <w:shd w:val="clear" w:color="auto" w:fill="CCEEFF"/>
            <w:tcMar>
              <w:top w:w="40" w:type="dxa"/>
              <w:left w:w="20" w:type="dxa"/>
              <w:bottom w:w="40" w:type="dxa"/>
              <w:right w:w="0" w:type="dxa"/>
            </w:tcMar>
            <w:vAlign w:val="bottom"/>
          </w:tcPr>
          <w:p w14:paraId="7DD0137F" w14:textId="77777777" w:rsidR="00C1563E" w:rsidRDefault="000B648B">
            <w:pPr>
              <w:jc w:val="right"/>
              <w:textAlignment w:val="bottom"/>
            </w:pPr>
            <w:r>
              <w:rPr>
                <w:rFonts w:ascii="Times New Roman" w:eastAsia="宋体" w:hAnsi="Times New Roman"/>
                <w:color w:val="000000"/>
                <w:sz w:val="20"/>
                <w:szCs w:val="20"/>
              </w:rPr>
              <w:t>0.6 </w:t>
            </w:r>
          </w:p>
        </w:tc>
        <w:tc>
          <w:tcPr>
            <w:tcW w:w="0" w:type="auto"/>
            <w:shd w:val="clear" w:color="auto" w:fill="CCEEFF"/>
            <w:tcMar>
              <w:top w:w="40" w:type="dxa"/>
              <w:left w:w="0" w:type="dxa"/>
              <w:bottom w:w="40" w:type="dxa"/>
              <w:right w:w="20" w:type="dxa"/>
            </w:tcMar>
            <w:vAlign w:val="bottom"/>
          </w:tcPr>
          <w:p w14:paraId="7DD01380"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38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82" w14:textId="77777777" w:rsidR="00C1563E" w:rsidRDefault="000B648B">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DD01383"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38B" w14:textId="77777777">
        <w:trPr>
          <w:jc w:val="center"/>
        </w:trPr>
        <w:tc>
          <w:tcPr>
            <w:tcW w:w="0" w:type="auto"/>
            <w:gridSpan w:val="3"/>
            <w:shd w:val="clear" w:color="auto" w:fill="FFFFFF"/>
            <w:tcMar>
              <w:top w:w="40" w:type="dxa"/>
              <w:left w:w="20" w:type="dxa"/>
              <w:bottom w:w="40" w:type="dxa"/>
              <w:right w:w="20" w:type="dxa"/>
            </w:tcMar>
            <w:vAlign w:val="bottom"/>
          </w:tcPr>
          <w:p w14:paraId="7DD01385" w14:textId="77777777" w:rsidR="00C1563E" w:rsidRDefault="000B648B">
            <w:pPr>
              <w:textAlignment w:val="bottom"/>
            </w:pPr>
            <w:r>
              <w:rPr>
                <w:rFonts w:ascii="Times New Roman" w:eastAsia="宋体" w:hAnsi="Times New Roman"/>
                <w:color w:val="000000"/>
                <w:sz w:val="20"/>
                <w:szCs w:val="20"/>
              </w:rPr>
              <w:t>Expected volatility</w:t>
            </w:r>
          </w:p>
        </w:tc>
        <w:tc>
          <w:tcPr>
            <w:tcW w:w="0" w:type="auto"/>
            <w:gridSpan w:val="2"/>
            <w:shd w:val="clear" w:color="auto" w:fill="FFFFFF"/>
            <w:tcMar>
              <w:top w:w="40" w:type="dxa"/>
              <w:left w:w="20" w:type="dxa"/>
              <w:bottom w:w="40" w:type="dxa"/>
              <w:right w:w="0" w:type="dxa"/>
            </w:tcMar>
            <w:vAlign w:val="bottom"/>
          </w:tcPr>
          <w:p w14:paraId="7DD01386" w14:textId="77777777" w:rsidR="00C1563E" w:rsidRDefault="000B648B">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7DD0138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138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89"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7DD0138A"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392" w14:textId="77777777">
        <w:trPr>
          <w:jc w:val="center"/>
        </w:trPr>
        <w:tc>
          <w:tcPr>
            <w:tcW w:w="0" w:type="auto"/>
            <w:gridSpan w:val="3"/>
            <w:shd w:val="clear" w:color="auto" w:fill="CCEEFF"/>
            <w:tcMar>
              <w:top w:w="40" w:type="dxa"/>
              <w:left w:w="20" w:type="dxa"/>
              <w:bottom w:w="40" w:type="dxa"/>
              <w:right w:w="20" w:type="dxa"/>
            </w:tcMar>
            <w:vAlign w:val="bottom"/>
          </w:tcPr>
          <w:p w14:paraId="7DD0138C" w14:textId="77777777" w:rsidR="00C1563E" w:rsidRDefault="000B648B">
            <w:pPr>
              <w:textAlignment w:val="bottom"/>
            </w:pPr>
            <w:r>
              <w:rPr>
                <w:rFonts w:ascii="Times New Roman" w:eastAsia="宋体" w:hAnsi="Times New Roman"/>
                <w:color w:val="000000"/>
                <w:sz w:val="20"/>
                <w:szCs w:val="20"/>
              </w:rPr>
              <w:t>Expected dividend yield</w:t>
            </w:r>
          </w:p>
        </w:tc>
        <w:tc>
          <w:tcPr>
            <w:tcW w:w="0" w:type="auto"/>
            <w:gridSpan w:val="2"/>
            <w:shd w:val="clear" w:color="auto" w:fill="CCEEFF"/>
            <w:tcMar>
              <w:top w:w="40" w:type="dxa"/>
              <w:left w:w="20" w:type="dxa"/>
              <w:bottom w:w="40" w:type="dxa"/>
              <w:right w:w="0" w:type="dxa"/>
            </w:tcMar>
            <w:vAlign w:val="bottom"/>
          </w:tcPr>
          <w:p w14:paraId="7DD0138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38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38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9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391" w14:textId="77777777" w:rsidR="00C1563E" w:rsidRDefault="000B648B">
            <w:pPr>
              <w:jc w:val="right"/>
              <w:textAlignment w:val="bottom"/>
            </w:pPr>
            <w:r>
              <w:rPr>
                <w:rFonts w:ascii="Times New Roman" w:eastAsia="宋体" w:hAnsi="Times New Roman"/>
                <w:color w:val="000000"/>
                <w:sz w:val="20"/>
                <w:szCs w:val="20"/>
              </w:rPr>
              <w:t>%</w:t>
            </w:r>
          </w:p>
        </w:tc>
      </w:tr>
    </w:tbl>
    <w:p w14:paraId="7DD01393" w14:textId="77777777" w:rsidR="00C1563E" w:rsidRDefault="00C1563E"/>
    <w:p w14:paraId="7DD01394" w14:textId="77777777" w:rsidR="00C1563E" w:rsidRDefault="00C1563E">
      <w:pPr>
        <w:jc w:val="center"/>
      </w:pPr>
    </w:p>
    <w:p w14:paraId="7DD01395" w14:textId="77777777" w:rsidR="00C1563E" w:rsidRDefault="000B648B">
      <w:pPr>
        <w:jc w:val="center"/>
      </w:pPr>
      <w:r>
        <w:rPr>
          <w:rFonts w:ascii="Times New Roman" w:eastAsia="宋体" w:hAnsi="Times New Roman"/>
          <w:color w:val="000000"/>
          <w:sz w:val="20"/>
          <w:szCs w:val="20"/>
        </w:rPr>
        <w:t>147</w:t>
      </w:r>
    </w:p>
    <w:p w14:paraId="7DD01396" w14:textId="77777777" w:rsidR="00C1563E" w:rsidRDefault="00C1563E">
      <w:pPr>
        <w:jc w:val="center"/>
      </w:pPr>
    </w:p>
    <w:p w14:paraId="7DD01397" w14:textId="77777777" w:rsidR="00C1563E" w:rsidRDefault="000B648B">
      <w:r>
        <w:pict w14:anchorId="7DD025FD">
          <v:rect id="_x0000_i1171" style="width:415.3pt;height:1.5pt" o:hralign="center" o:hrstd="t" o:hr="t" fillcolor="#a0a0a0" stroked="f"/>
        </w:pict>
      </w:r>
    </w:p>
    <w:p w14:paraId="7DD01398" w14:textId="77777777" w:rsidR="00C1563E" w:rsidRDefault="000B648B">
      <w:hyperlink r:id="rId330" w:anchor="i418e32e4a35149ffbf7d3a25d66881b8_10" w:history="1">
        <w:r>
          <w:rPr>
            <w:rStyle w:val="a5"/>
            <w:rFonts w:ascii="Times New Roman" w:eastAsia="宋体" w:hAnsi="Times New Roman"/>
            <w:sz w:val="20"/>
            <w:szCs w:val="20"/>
          </w:rPr>
          <w:t>Table of Contents</w:t>
        </w:r>
      </w:hyperlink>
    </w:p>
    <w:p w14:paraId="7DD01399" w14:textId="77777777" w:rsidR="00C1563E" w:rsidRDefault="000B648B">
      <w:pPr>
        <w:spacing w:after="120"/>
      </w:pPr>
      <w:r>
        <w:rPr>
          <w:rFonts w:ascii="Times New Roman" w:eastAsia="宋体" w:hAnsi="Times New Roman"/>
          <w:color w:val="000000"/>
          <w:sz w:val="20"/>
          <w:szCs w:val="20"/>
          <w:shd w:val="clear" w:color="auto" w:fill="FFFFFF"/>
        </w:rPr>
        <w:t xml:space="preserve">The following table presents restricted stock and restricted stock units activity </w:t>
      </w:r>
      <w:r>
        <w:rPr>
          <w:rFonts w:ascii="Times New Roman" w:eastAsia="宋体" w:hAnsi="Times New Roman"/>
          <w:color w:val="000000"/>
          <w:sz w:val="20"/>
          <w:szCs w:val="20"/>
        </w:rPr>
        <w:t xml:space="preserve">settled in Dell Technologies Common Stock or DHI Group Common Stock </w:t>
      </w:r>
      <w:r>
        <w:rPr>
          <w:rFonts w:ascii="Times New Roman" w:eastAsia="宋体" w:hAnsi="Times New Roman"/>
          <w:color w:val="000000"/>
          <w:sz w:val="20"/>
          <w:szCs w:val="20"/>
          <w:shd w:val="clear" w:color="auto" w:fill="FFFFFF"/>
        </w:rPr>
        <w:t>for the periods indicated</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743"/>
        <w:gridCol w:w="36"/>
        <w:gridCol w:w="54"/>
        <w:gridCol w:w="1585"/>
        <w:gridCol w:w="36"/>
        <w:gridCol w:w="36"/>
        <w:gridCol w:w="36"/>
        <w:gridCol w:w="36"/>
        <w:gridCol w:w="121"/>
        <w:gridCol w:w="1563"/>
        <w:gridCol w:w="36"/>
      </w:tblGrid>
      <w:tr w:rsidR="00C1563E" w14:paraId="7DD013A6" w14:textId="77777777">
        <w:trPr>
          <w:jc w:val="center"/>
        </w:trPr>
        <w:tc>
          <w:tcPr>
            <w:tcW w:w="50" w:type="pct"/>
            <w:shd w:val="clear" w:color="auto" w:fill="auto"/>
          </w:tcPr>
          <w:p w14:paraId="7DD0139A" w14:textId="77777777" w:rsidR="00C1563E" w:rsidRDefault="00C1563E">
            <w:pPr>
              <w:rPr>
                <w:rFonts w:ascii="宋体"/>
              </w:rPr>
            </w:pPr>
          </w:p>
        </w:tc>
        <w:tc>
          <w:tcPr>
            <w:tcW w:w="2861" w:type="pct"/>
            <w:shd w:val="clear" w:color="auto" w:fill="auto"/>
          </w:tcPr>
          <w:p w14:paraId="7DD0139B" w14:textId="77777777" w:rsidR="00C1563E" w:rsidRDefault="00C1563E">
            <w:pPr>
              <w:rPr>
                <w:rFonts w:ascii="宋体"/>
              </w:rPr>
            </w:pPr>
          </w:p>
        </w:tc>
        <w:tc>
          <w:tcPr>
            <w:tcW w:w="5" w:type="pct"/>
            <w:shd w:val="clear" w:color="auto" w:fill="auto"/>
          </w:tcPr>
          <w:p w14:paraId="7DD0139C" w14:textId="77777777" w:rsidR="00C1563E" w:rsidRDefault="00C1563E">
            <w:pPr>
              <w:rPr>
                <w:rFonts w:ascii="宋体"/>
              </w:rPr>
            </w:pPr>
          </w:p>
        </w:tc>
        <w:tc>
          <w:tcPr>
            <w:tcW w:w="50" w:type="pct"/>
            <w:shd w:val="clear" w:color="auto" w:fill="auto"/>
          </w:tcPr>
          <w:p w14:paraId="7DD0139D" w14:textId="77777777" w:rsidR="00C1563E" w:rsidRDefault="00C1563E">
            <w:pPr>
              <w:rPr>
                <w:rFonts w:ascii="宋体"/>
              </w:rPr>
            </w:pPr>
          </w:p>
        </w:tc>
        <w:tc>
          <w:tcPr>
            <w:tcW w:w="968" w:type="pct"/>
            <w:shd w:val="clear" w:color="auto" w:fill="auto"/>
          </w:tcPr>
          <w:p w14:paraId="7DD0139E" w14:textId="77777777" w:rsidR="00C1563E" w:rsidRDefault="00C1563E">
            <w:pPr>
              <w:rPr>
                <w:rFonts w:ascii="宋体"/>
              </w:rPr>
            </w:pPr>
          </w:p>
        </w:tc>
        <w:tc>
          <w:tcPr>
            <w:tcW w:w="5" w:type="pct"/>
            <w:shd w:val="clear" w:color="auto" w:fill="auto"/>
          </w:tcPr>
          <w:p w14:paraId="7DD0139F" w14:textId="77777777" w:rsidR="00C1563E" w:rsidRDefault="00C1563E">
            <w:pPr>
              <w:rPr>
                <w:rFonts w:ascii="宋体"/>
              </w:rPr>
            </w:pPr>
          </w:p>
        </w:tc>
        <w:tc>
          <w:tcPr>
            <w:tcW w:w="5" w:type="pct"/>
            <w:shd w:val="clear" w:color="auto" w:fill="auto"/>
          </w:tcPr>
          <w:p w14:paraId="7DD013A0" w14:textId="77777777" w:rsidR="00C1563E" w:rsidRDefault="00C1563E">
            <w:pPr>
              <w:rPr>
                <w:rFonts w:ascii="宋体"/>
              </w:rPr>
            </w:pPr>
          </w:p>
        </w:tc>
        <w:tc>
          <w:tcPr>
            <w:tcW w:w="26" w:type="pct"/>
            <w:shd w:val="clear" w:color="auto" w:fill="auto"/>
          </w:tcPr>
          <w:p w14:paraId="7DD013A1" w14:textId="77777777" w:rsidR="00C1563E" w:rsidRDefault="00C1563E">
            <w:pPr>
              <w:rPr>
                <w:rFonts w:ascii="宋体"/>
              </w:rPr>
            </w:pPr>
          </w:p>
        </w:tc>
        <w:tc>
          <w:tcPr>
            <w:tcW w:w="5" w:type="pct"/>
            <w:shd w:val="clear" w:color="auto" w:fill="auto"/>
          </w:tcPr>
          <w:p w14:paraId="7DD013A2" w14:textId="77777777" w:rsidR="00C1563E" w:rsidRDefault="00C1563E">
            <w:pPr>
              <w:rPr>
                <w:rFonts w:ascii="宋体"/>
              </w:rPr>
            </w:pPr>
          </w:p>
        </w:tc>
        <w:tc>
          <w:tcPr>
            <w:tcW w:w="50" w:type="pct"/>
            <w:shd w:val="clear" w:color="auto" w:fill="auto"/>
          </w:tcPr>
          <w:p w14:paraId="7DD013A3" w14:textId="77777777" w:rsidR="00C1563E" w:rsidRDefault="00C1563E">
            <w:pPr>
              <w:rPr>
                <w:rFonts w:ascii="宋体"/>
              </w:rPr>
            </w:pPr>
          </w:p>
        </w:tc>
        <w:tc>
          <w:tcPr>
            <w:tcW w:w="968" w:type="pct"/>
            <w:shd w:val="clear" w:color="auto" w:fill="auto"/>
          </w:tcPr>
          <w:p w14:paraId="7DD013A4" w14:textId="77777777" w:rsidR="00C1563E" w:rsidRDefault="00C1563E">
            <w:pPr>
              <w:rPr>
                <w:rFonts w:ascii="宋体"/>
              </w:rPr>
            </w:pPr>
          </w:p>
        </w:tc>
        <w:tc>
          <w:tcPr>
            <w:tcW w:w="5" w:type="pct"/>
            <w:shd w:val="clear" w:color="auto" w:fill="auto"/>
          </w:tcPr>
          <w:p w14:paraId="7DD013A5" w14:textId="77777777" w:rsidR="00C1563E" w:rsidRDefault="00C1563E">
            <w:pPr>
              <w:rPr>
                <w:rFonts w:ascii="宋体"/>
              </w:rPr>
            </w:pPr>
          </w:p>
        </w:tc>
      </w:tr>
      <w:tr w:rsidR="00C1563E" w14:paraId="7DD013AB" w14:textId="77777777">
        <w:trPr>
          <w:jc w:val="center"/>
        </w:trPr>
        <w:tc>
          <w:tcPr>
            <w:tcW w:w="0" w:type="auto"/>
            <w:gridSpan w:val="3"/>
            <w:shd w:val="clear" w:color="auto" w:fill="auto"/>
            <w:tcMar>
              <w:top w:w="40" w:type="dxa"/>
              <w:left w:w="20" w:type="dxa"/>
              <w:bottom w:w="40" w:type="dxa"/>
              <w:right w:w="20" w:type="dxa"/>
            </w:tcMar>
            <w:vAlign w:val="bottom"/>
          </w:tcPr>
          <w:p w14:paraId="7DD013A7" w14:textId="77777777" w:rsidR="00C1563E" w:rsidRDefault="000B648B">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DD013A8" w14:textId="77777777" w:rsidR="00C1563E" w:rsidRDefault="000B648B">
            <w:pPr>
              <w:jc w:val="center"/>
              <w:textAlignment w:val="bottom"/>
            </w:pPr>
            <w:r>
              <w:rPr>
                <w:rFonts w:ascii="Times New Roman" w:eastAsia="宋体" w:hAnsi="Times New Roman"/>
                <w:b/>
                <w:bCs/>
                <w:color w:val="000000"/>
                <w:sz w:val="20"/>
                <w:szCs w:val="20"/>
              </w:rPr>
              <w:t>Number of Units</w:t>
            </w:r>
          </w:p>
        </w:tc>
        <w:tc>
          <w:tcPr>
            <w:tcW w:w="0" w:type="auto"/>
            <w:gridSpan w:val="3"/>
            <w:shd w:val="clear" w:color="auto" w:fill="auto"/>
            <w:tcMar>
              <w:top w:w="0" w:type="dxa"/>
              <w:left w:w="20" w:type="dxa"/>
              <w:bottom w:w="0" w:type="dxa"/>
              <w:right w:w="20" w:type="dxa"/>
            </w:tcMar>
          </w:tcPr>
          <w:p w14:paraId="7DD013A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3AA" w14:textId="77777777" w:rsidR="00C1563E" w:rsidRDefault="000B648B">
            <w:pPr>
              <w:jc w:val="center"/>
              <w:textAlignment w:val="bottom"/>
            </w:pPr>
            <w:r>
              <w:rPr>
                <w:rFonts w:ascii="Times New Roman" w:eastAsia="宋体" w:hAnsi="Times New Roman"/>
                <w:b/>
                <w:bCs/>
                <w:color w:val="000000"/>
                <w:sz w:val="20"/>
                <w:szCs w:val="20"/>
              </w:rPr>
              <w:t>Weighted-Average Grant Date Fair Value</w:t>
            </w:r>
          </w:p>
        </w:tc>
      </w:tr>
      <w:tr w:rsidR="00C1563E" w14:paraId="7DD013B0" w14:textId="77777777">
        <w:trPr>
          <w:jc w:val="center"/>
        </w:trPr>
        <w:tc>
          <w:tcPr>
            <w:tcW w:w="0" w:type="auto"/>
            <w:gridSpan w:val="3"/>
            <w:shd w:val="clear" w:color="auto" w:fill="FFFFFF"/>
            <w:tcMar>
              <w:top w:w="0" w:type="dxa"/>
              <w:left w:w="20" w:type="dxa"/>
              <w:bottom w:w="0" w:type="dxa"/>
              <w:right w:w="20" w:type="dxa"/>
            </w:tcMar>
          </w:tcPr>
          <w:p w14:paraId="7DD013AC"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3AD"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13A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3AF" w14:textId="77777777" w:rsidR="00C1563E" w:rsidRDefault="000B648B">
            <w:pPr>
              <w:jc w:val="center"/>
              <w:textAlignment w:val="bottom"/>
            </w:pPr>
            <w:r>
              <w:rPr>
                <w:rFonts w:ascii="Times New Roman" w:eastAsia="宋体" w:hAnsi="Times New Roman"/>
                <w:color w:val="000000"/>
                <w:sz w:val="20"/>
                <w:szCs w:val="20"/>
              </w:rPr>
              <w:t>(per unit)</w:t>
            </w:r>
          </w:p>
        </w:tc>
      </w:tr>
      <w:tr w:rsidR="00C1563E" w14:paraId="7DD013B8" w14:textId="77777777">
        <w:trPr>
          <w:jc w:val="center"/>
        </w:trPr>
        <w:tc>
          <w:tcPr>
            <w:tcW w:w="0" w:type="auto"/>
            <w:gridSpan w:val="3"/>
            <w:shd w:val="clear" w:color="auto" w:fill="CCEEFF"/>
            <w:tcMar>
              <w:top w:w="40" w:type="dxa"/>
              <w:left w:w="20" w:type="dxa"/>
              <w:bottom w:w="40" w:type="dxa"/>
              <w:right w:w="20" w:type="dxa"/>
            </w:tcMar>
            <w:vAlign w:val="bottom"/>
          </w:tcPr>
          <w:p w14:paraId="7DD013B1" w14:textId="77777777" w:rsidR="00C1563E" w:rsidRDefault="000B648B">
            <w:pPr>
              <w:textAlignment w:val="bottom"/>
            </w:pPr>
            <w:r>
              <w:rPr>
                <w:rFonts w:ascii="Times New Roman" w:eastAsia="宋体" w:hAnsi="Times New Roman"/>
                <w:i/>
                <w:iCs/>
                <w:color w:val="000000"/>
                <w:sz w:val="20"/>
                <w:szCs w:val="20"/>
              </w:rPr>
              <w:t>Outstanding, February 2, 2018</w:t>
            </w:r>
          </w:p>
        </w:tc>
        <w:tc>
          <w:tcPr>
            <w:tcW w:w="0" w:type="auto"/>
            <w:gridSpan w:val="2"/>
            <w:shd w:val="clear" w:color="auto" w:fill="CCEEFF"/>
            <w:tcMar>
              <w:top w:w="40" w:type="dxa"/>
              <w:left w:w="20" w:type="dxa"/>
              <w:bottom w:w="40" w:type="dxa"/>
              <w:right w:w="0" w:type="dxa"/>
            </w:tcMar>
            <w:vAlign w:val="bottom"/>
          </w:tcPr>
          <w:p w14:paraId="7DD013B2" w14:textId="77777777" w:rsidR="00C1563E" w:rsidRDefault="000B648B">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DD013B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B4"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3B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3B6" w14:textId="77777777" w:rsidR="00C1563E" w:rsidRDefault="000B648B">
            <w:pPr>
              <w:jc w:val="right"/>
              <w:textAlignment w:val="bottom"/>
            </w:pPr>
            <w:r>
              <w:rPr>
                <w:rFonts w:ascii="Times New Roman" w:eastAsia="宋体" w:hAnsi="Times New Roman"/>
                <w:color w:val="000000"/>
                <w:sz w:val="20"/>
                <w:szCs w:val="20"/>
              </w:rPr>
              <w:t>18.73 </w:t>
            </w:r>
          </w:p>
        </w:tc>
        <w:tc>
          <w:tcPr>
            <w:tcW w:w="0" w:type="auto"/>
            <w:shd w:val="clear" w:color="auto" w:fill="CCEEFF"/>
            <w:tcMar>
              <w:top w:w="40" w:type="dxa"/>
              <w:left w:w="0" w:type="dxa"/>
              <w:bottom w:w="40" w:type="dxa"/>
              <w:right w:w="20" w:type="dxa"/>
            </w:tcMar>
            <w:vAlign w:val="bottom"/>
          </w:tcPr>
          <w:p w14:paraId="7DD013B7" w14:textId="77777777" w:rsidR="00C1563E" w:rsidRDefault="00C1563E">
            <w:pPr>
              <w:jc w:val="right"/>
              <w:rPr>
                <w:rFonts w:ascii="宋体"/>
              </w:rPr>
            </w:pPr>
          </w:p>
        </w:tc>
      </w:tr>
      <w:tr w:rsidR="00C1563E" w14:paraId="7DD013BF" w14:textId="77777777">
        <w:trPr>
          <w:jc w:val="center"/>
        </w:trPr>
        <w:tc>
          <w:tcPr>
            <w:tcW w:w="0" w:type="auto"/>
            <w:gridSpan w:val="3"/>
            <w:shd w:val="clear" w:color="auto" w:fill="FFFFFF"/>
            <w:tcMar>
              <w:top w:w="40" w:type="dxa"/>
              <w:left w:w="245" w:type="dxa"/>
              <w:bottom w:w="40" w:type="dxa"/>
              <w:right w:w="20" w:type="dxa"/>
            </w:tcMar>
            <w:vAlign w:val="bottom"/>
          </w:tcPr>
          <w:p w14:paraId="7DD013B9" w14:textId="77777777" w:rsidR="00C1563E" w:rsidRDefault="000B648B">
            <w:pPr>
              <w:textAlignment w:val="bottom"/>
            </w:pPr>
            <w:r>
              <w:rPr>
                <w:rFonts w:ascii="Times New Roman" w:eastAsia="宋体" w:hAnsi="Times New Roman"/>
                <w:color w:val="000000"/>
                <w:sz w:val="20"/>
                <w:szCs w:val="20"/>
              </w:rPr>
              <w:t>Granted (a)</w:t>
            </w:r>
          </w:p>
        </w:tc>
        <w:tc>
          <w:tcPr>
            <w:tcW w:w="0" w:type="auto"/>
            <w:gridSpan w:val="2"/>
            <w:shd w:val="clear" w:color="auto" w:fill="FFFFFF"/>
            <w:tcMar>
              <w:top w:w="40" w:type="dxa"/>
              <w:left w:w="20" w:type="dxa"/>
              <w:bottom w:w="40" w:type="dxa"/>
              <w:right w:w="0" w:type="dxa"/>
            </w:tcMar>
            <w:vAlign w:val="bottom"/>
          </w:tcPr>
          <w:p w14:paraId="7DD013B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3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B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B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3BE" w14:textId="77777777" w:rsidR="00C1563E" w:rsidRDefault="00C1563E">
            <w:pPr>
              <w:jc w:val="right"/>
              <w:rPr>
                <w:rFonts w:ascii="宋体"/>
              </w:rPr>
            </w:pPr>
          </w:p>
        </w:tc>
      </w:tr>
      <w:tr w:rsidR="00C1563E" w14:paraId="7DD013C6" w14:textId="77777777">
        <w:trPr>
          <w:jc w:val="center"/>
        </w:trPr>
        <w:tc>
          <w:tcPr>
            <w:tcW w:w="0" w:type="auto"/>
            <w:gridSpan w:val="3"/>
            <w:shd w:val="clear" w:color="auto" w:fill="CCEEFF"/>
            <w:tcMar>
              <w:top w:w="40" w:type="dxa"/>
              <w:left w:w="245" w:type="dxa"/>
              <w:bottom w:w="40" w:type="dxa"/>
              <w:right w:w="20" w:type="dxa"/>
            </w:tcMar>
            <w:vAlign w:val="bottom"/>
          </w:tcPr>
          <w:p w14:paraId="7DD013C0"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DD013C1"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D013C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C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C4" w14:textId="77777777" w:rsidR="00C1563E" w:rsidRDefault="000B648B">
            <w:pPr>
              <w:jc w:val="right"/>
              <w:textAlignment w:val="bottom"/>
            </w:pPr>
            <w:r>
              <w:rPr>
                <w:rFonts w:ascii="Times New Roman" w:eastAsia="宋体" w:hAnsi="Times New Roman"/>
                <w:color w:val="000000"/>
                <w:sz w:val="20"/>
                <w:szCs w:val="20"/>
              </w:rPr>
              <w:t>28.03 </w:t>
            </w:r>
          </w:p>
        </w:tc>
        <w:tc>
          <w:tcPr>
            <w:tcW w:w="0" w:type="auto"/>
            <w:shd w:val="clear" w:color="auto" w:fill="CCEEFF"/>
            <w:tcMar>
              <w:top w:w="40" w:type="dxa"/>
              <w:left w:w="0" w:type="dxa"/>
              <w:bottom w:w="40" w:type="dxa"/>
              <w:right w:w="20" w:type="dxa"/>
            </w:tcMar>
            <w:vAlign w:val="bottom"/>
          </w:tcPr>
          <w:p w14:paraId="7DD013C5" w14:textId="77777777" w:rsidR="00C1563E" w:rsidRDefault="00C1563E">
            <w:pPr>
              <w:jc w:val="right"/>
              <w:rPr>
                <w:rFonts w:ascii="宋体"/>
              </w:rPr>
            </w:pPr>
          </w:p>
        </w:tc>
      </w:tr>
      <w:tr w:rsidR="00C1563E" w14:paraId="7DD013CD" w14:textId="77777777">
        <w:trPr>
          <w:jc w:val="center"/>
        </w:trPr>
        <w:tc>
          <w:tcPr>
            <w:tcW w:w="0" w:type="auto"/>
            <w:gridSpan w:val="3"/>
            <w:shd w:val="clear" w:color="auto" w:fill="FFFFFF"/>
            <w:tcMar>
              <w:top w:w="40" w:type="dxa"/>
              <w:left w:w="245" w:type="dxa"/>
              <w:bottom w:w="40" w:type="dxa"/>
              <w:right w:w="20" w:type="dxa"/>
            </w:tcMar>
            <w:vAlign w:val="bottom"/>
          </w:tcPr>
          <w:p w14:paraId="7DD013C7"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3C8"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DD013C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C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CB" w14:textId="77777777" w:rsidR="00C1563E" w:rsidRDefault="000B648B">
            <w:pPr>
              <w:jc w:val="right"/>
              <w:textAlignment w:val="bottom"/>
            </w:pPr>
            <w:r>
              <w:rPr>
                <w:rFonts w:ascii="Times New Roman" w:eastAsia="宋体" w:hAnsi="Times New Roman"/>
                <w:color w:val="000000"/>
                <w:sz w:val="20"/>
                <w:szCs w:val="20"/>
              </w:rPr>
              <w:t>17.88 </w:t>
            </w:r>
          </w:p>
        </w:tc>
        <w:tc>
          <w:tcPr>
            <w:tcW w:w="0" w:type="auto"/>
            <w:shd w:val="clear" w:color="auto" w:fill="FFFFFF"/>
            <w:tcMar>
              <w:top w:w="40" w:type="dxa"/>
              <w:left w:w="0" w:type="dxa"/>
              <w:bottom w:w="40" w:type="dxa"/>
              <w:right w:w="20" w:type="dxa"/>
            </w:tcMar>
            <w:vAlign w:val="bottom"/>
          </w:tcPr>
          <w:p w14:paraId="7DD013CC" w14:textId="77777777" w:rsidR="00C1563E" w:rsidRDefault="00C1563E">
            <w:pPr>
              <w:jc w:val="right"/>
              <w:rPr>
                <w:rFonts w:ascii="宋体"/>
              </w:rPr>
            </w:pPr>
          </w:p>
        </w:tc>
      </w:tr>
      <w:tr w:rsidR="00C1563E" w14:paraId="7DD013D5" w14:textId="77777777">
        <w:trPr>
          <w:jc w:val="center"/>
        </w:trPr>
        <w:tc>
          <w:tcPr>
            <w:tcW w:w="0" w:type="auto"/>
            <w:gridSpan w:val="3"/>
            <w:shd w:val="clear" w:color="auto" w:fill="CCEEFF"/>
            <w:tcMar>
              <w:top w:w="40" w:type="dxa"/>
              <w:left w:w="20" w:type="dxa"/>
              <w:bottom w:w="40" w:type="dxa"/>
              <w:right w:w="20" w:type="dxa"/>
            </w:tcMar>
            <w:vAlign w:val="bottom"/>
          </w:tcPr>
          <w:p w14:paraId="7DD013CE" w14:textId="77777777" w:rsidR="00C1563E" w:rsidRDefault="000B648B">
            <w:pPr>
              <w:textAlignment w:val="bottom"/>
            </w:pPr>
            <w:r>
              <w:rPr>
                <w:rFonts w:ascii="Times New Roman" w:eastAsia="宋体" w:hAnsi="Times New Roman"/>
                <w:i/>
                <w:iCs/>
                <w:color w:val="000000"/>
                <w:sz w:val="20"/>
                <w:szCs w:val="20"/>
              </w:rPr>
              <w:t>Outstanding,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3CF" w14:textId="77777777" w:rsidR="00C1563E" w:rsidRDefault="000B648B">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3D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D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3D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3D3" w14:textId="77777777" w:rsidR="00C1563E" w:rsidRDefault="000B648B">
            <w:pPr>
              <w:jc w:val="right"/>
              <w:textAlignment w:val="bottom"/>
            </w:pPr>
            <w:r>
              <w:rPr>
                <w:rFonts w:ascii="Times New Roman" w:eastAsia="宋体" w:hAnsi="Times New Roman"/>
                <w:color w:val="000000"/>
                <w:sz w:val="20"/>
                <w:szCs w:val="20"/>
              </w:rPr>
              <w:t>18.90 </w:t>
            </w:r>
          </w:p>
        </w:tc>
        <w:tc>
          <w:tcPr>
            <w:tcW w:w="0" w:type="auto"/>
            <w:shd w:val="clear" w:color="auto" w:fill="CCEEFF"/>
            <w:tcMar>
              <w:top w:w="40" w:type="dxa"/>
              <w:left w:w="0" w:type="dxa"/>
              <w:bottom w:w="40" w:type="dxa"/>
              <w:right w:w="20" w:type="dxa"/>
            </w:tcMar>
            <w:vAlign w:val="bottom"/>
          </w:tcPr>
          <w:p w14:paraId="7DD013D4" w14:textId="77777777" w:rsidR="00C1563E" w:rsidRDefault="00C1563E">
            <w:pPr>
              <w:jc w:val="right"/>
              <w:rPr>
                <w:rFonts w:ascii="宋体"/>
              </w:rPr>
            </w:pPr>
          </w:p>
        </w:tc>
      </w:tr>
      <w:tr w:rsidR="00C1563E" w14:paraId="7DD013DC" w14:textId="77777777">
        <w:trPr>
          <w:jc w:val="center"/>
        </w:trPr>
        <w:tc>
          <w:tcPr>
            <w:tcW w:w="0" w:type="auto"/>
            <w:gridSpan w:val="3"/>
            <w:shd w:val="clear" w:color="auto" w:fill="FFFFFF"/>
            <w:tcMar>
              <w:top w:w="40" w:type="dxa"/>
              <w:left w:w="245" w:type="dxa"/>
              <w:bottom w:w="40" w:type="dxa"/>
              <w:right w:w="20" w:type="dxa"/>
            </w:tcMar>
            <w:vAlign w:val="bottom"/>
          </w:tcPr>
          <w:p w14:paraId="7DD013D6"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3D7" w14:textId="77777777" w:rsidR="00C1563E" w:rsidRDefault="000B648B">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DD013D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D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DA" w14:textId="77777777" w:rsidR="00C1563E" w:rsidRDefault="000B648B">
            <w:pPr>
              <w:jc w:val="right"/>
              <w:textAlignment w:val="bottom"/>
            </w:pPr>
            <w:r>
              <w:rPr>
                <w:rFonts w:ascii="Times New Roman" w:eastAsia="宋体" w:hAnsi="Times New Roman"/>
                <w:color w:val="000000"/>
                <w:sz w:val="20"/>
                <w:szCs w:val="20"/>
              </w:rPr>
              <w:t>60.55 </w:t>
            </w:r>
          </w:p>
        </w:tc>
        <w:tc>
          <w:tcPr>
            <w:tcW w:w="0" w:type="auto"/>
            <w:shd w:val="clear" w:color="auto" w:fill="FFFFFF"/>
            <w:tcMar>
              <w:top w:w="40" w:type="dxa"/>
              <w:left w:w="0" w:type="dxa"/>
              <w:bottom w:w="40" w:type="dxa"/>
              <w:right w:w="20" w:type="dxa"/>
            </w:tcMar>
            <w:vAlign w:val="bottom"/>
          </w:tcPr>
          <w:p w14:paraId="7DD013DB" w14:textId="77777777" w:rsidR="00C1563E" w:rsidRDefault="00C1563E">
            <w:pPr>
              <w:jc w:val="right"/>
              <w:rPr>
                <w:rFonts w:ascii="宋体"/>
              </w:rPr>
            </w:pPr>
          </w:p>
        </w:tc>
      </w:tr>
      <w:tr w:rsidR="00C1563E" w14:paraId="7DD013E3" w14:textId="77777777">
        <w:trPr>
          <w:jc w:val="center"/>
        </w:trPr>
        <w:tc>
          <w:tcPr>
            <w:tcW w:w="0" w:type="auto"/>
            <w:gridSpan w:val="3"/>
            <w:shd w:val="clear" w:color="auto" w:fill="CCEEFF"/>
            <w:tcMar>
              <w:top w:w="40" w:type="dxa"/>
              <w:left w:w="245" w:type="dxa"/>
              <w:bottom w:w="40" w:type="dxa"/>
              <w:right w:w="20" w:type="dxa"/>
            </w:tcMar>
            <w:vAlign w:val="bottom"/>
          </w:tcPr>
          <w:p w14:paraId="7DD013DD"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DD013DE"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D013D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E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E1" w14:textId="77777777" w:rsidR="00C1563E" w:rsidRDefault="000B648B">
            <w:pPr>
              <w:jc w:val="right"/>
              <w:textAlignment w:val="bottom"/>
            </w:pPr>
            <w:r>
              <w:rPr>
                <w:rFonts w:ascii="Times New Roman" w:eastAsia="宋体" w:hAnsi="Times New Roman"/>
                <w:color w:val="000000"/>
                <w:sz w:val="20"/>
                <w:szCs w:val="20"/>
              </w:rPr>
              <w:t>30.24 </w:t>
            </w:r>
          </w:p>
        </w:tc>
        <w:tc>
          <w:tcPr>
            <w:tcW w:w="0" w:type="auto"/>
            <w:shd w:val="clear" w:color="auto" w:fill="CCEEFF"/>
            <w:tcMar>
              <w:top w:w="40" w:type="dxa"/>
              <w:left w:w="0" w:type="dxa"/>
              <w:bottom w:w="40" w:type="dxa"/>
              <w:right w:w="20" w:type="dxa"/>
            </w:tcMar>
            <w:vAlign w:val="bottom"/>
          </w:tcPr>
          <w:p w14:paraId="7DD013E2" w14:textId="77777777" w:rsidR="00C1563E" w:rsidRDefault="00C1563E">
            <w:pPr>
              <w:jc w:val="right"/>
              <w:rPr>
                <w:rFonts w:ascii="宋体"/>
              </w:rPr>
            </w:pPr>
          </w:p>
        </w:tc>
      </w:tr>
      <w:tr w:rsidR="00C1563E" w14:paraId="7DD013EA" w14:textId="77777777">
        <w:trPr>
          <w:jc w:val="center"/>
        </w:trPr>
        <w:tc>
          <w:tcPr>
            <w:tcW w:w="0" w:type="auto"/>
            <w:gridSpan w:val="3"/>
            <w:shd w:val="clear" w:color="auto" w:fill="FFFFFF"/>
            <w:tcMar>
              <w:top w:w="40" w:type="dxa"/>
              <w:left w:w="245" w:type="dxa"/>
              <w:bottom w:w="40" w:type="dxa"/>
              <w:right w:w="20" w:type="dxa"/>
            </w:tcMar>
            <w:vAlign w:val="bottom"/>
          </w:tcPr>
          <w:p w14:paraId="7DD013E4"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3E5"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DD013E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E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E8" w14:textId="77777777" w:rsidR="00C1563E" w:rsidRDefault="000B648B">
            <w:pPr>
              <w:jc w:val="right"/>
              <w:textAlignment w:val="bottom"/>
            </w:pPr>
            <w:r>
              <w:rPr>
                <w:rFonts w:ascii="Times New Roman" w:eastAsia="宋体" w:hAnsi="Times New Roman"/>
                <w:color w:val="000000"/>
                <w:sz w:val="20"/>
                <w:szCs w:val="20"/>
              </w:rPr>
              <w:t>46.50 </w:t>
            </w:r>
          </w:p>
        </w:tc>
        <w:tc>
          <w:tcPr>
            <w:tcW w:w="0" w:type="auto"/>
            <w:shd w:val="clear" w:color="auto" w:fill="FFFFFF"/>
            <w:tcMar>
              <w:top w:w="40" w:type="dxa"/>
              <w:left w:w="0" w:type="dxa"/>
              <w:bottom w:w="40" w:type="dxa"/>
              <w:right w:w="20" w:type="dxa"/>
            </w:tcMar>
            <w:vAlign w:val="bottom"/>
          </w:tcPr>
          <w:p w14:paraId="7DD013E9" w14:textId="77777777" w:rsidR="00C1563E" w:rsidRDefault="00C1563E">
            <w:pPr>
              <w:jc w:val="right"/>
              <w:rPr>
                <w:rFonts w:ascii="宋体"/>
              </w:rPr>
            </w:pPr>
          </w:p>
        </w:tc>
      </w:tr>
      <w:tr w:rsidR="00C1563E" w14:paraId="7DD013F2" w14:textId="77777777">
        <w:trPr>
          <w:jc w:val="center"/>
        </w:trPr>
        <w:tc>
          <w:tcPr>
            <w:tcW w:w="0" w:type="auto"/>
            <w:gridSpan w:val="3"/>
            <w:shd w:val="clear" w:color="auto" w:fill="CCEEFF"/>
            <w:tcMar>
              <w:top w:w="40" w:type="dxa"/>
              <w:left w:w="20" w:type="dxa"/>
              <w:bottom w:w="40" w:type="dxa"/>
              <w:right w:w="20" w:type="dxa"/>
            </w:tcMar>
            <w:vAlign w:val="bottom"/>
          </w:tcPr>
          <w:p w14:paraId="7DD013EB" w14:textId="77777777" w:rsidR="00C1563E" w:rsidRDefault="000B648B">
            <w:pPr>
              <w:textAlignment w:val="bottom"/>
            </w:pPr>
            <w:r>
              <w:rPr>
                <w:rFonts w:ascii="Times New Roman" w:eastAsia="宋体" w:hAnsi="Times New Roman"/>
                <w:i/>
                <w:iCs/>
                <w:color w:val="000000"/>
                <w:sz w:val="20"/>
                <w:szCs w:val="20"/>
              </w:rPr>
              <w:t xml:space="preserve">Outstanding, January 31, 2020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3EC" w14:textId="77777777" w:rsidR="00C1563E" w:rsidRDefault="000B648B">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3E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E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3E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3F0" w14:textId="77777777" w:rsidR="00C1563E" w:rsidRDefault="000B648B">
            <w:pPr>
              <w:jc w:val="right"/>
              <w:textAlignment w:val="bottom"/>
            </w:pPr>
            <w:r>
              <w:rPr>
                <w:rFonts w:ascii="Times New Roman" w:eastAsia="宋体" w:hAnsi="Times New Roman"/>
                <w:color w:val="000000"/>
                <w:sz w:val="20"/>
                <w:szCs w:val="20"/>
              </w:rPr>
              <w:t>50.78 </w:t>
            </w:r>
          </w:p>
        </w:tc>
        <w:tc>
          <w:tcPr>
            <w:tcW w:w="0" w:type="auto"/>
            <w:shd w:val="clear" w:color="auto" w:fill="CCEEFF"/>
            <w:tcMar>
              <w:top w:w="40" w:type="dxa"/>
              <w:left w:w="0" w:type="dxa"/>
              <w:bottom w:w="40" w:type="dxa"/>
              <w:right w:w="20" w:type="dxa"/>
            </w:tcMar>
            <w:vAlign w:val="bottom"/>
          </w:tcPr>
          <w:p w14:paraId="7DD013F1" w14:textId="77777777" w:rsidR="00C1563E" w:rsidRDefault="00C1563E">
            <w:pPr>
              <w:jc w:val="right"/>
              <w:rPr>
                <w:rFonts w:ascii="宋体"/>
              </w:rPr>
            </w:pPr>
          </w:p>
        </w:tc>
      </w:tr>
      <w:tr w:rsidR="00C1563E" w14:paraId="7DD013F9" w14:textId="77777777">
        <w:trPr>
          <w:jc w:val="center"/>
        </w:trPr>
        <w:tc>
          <w:tcPr>
            <w:tcW w:w="0" w:type="auto"/>
            <w:gridSpan w:val="3"/>
            <w:shd w:val="clear" w:color="auto" w:fill="FFFFFF"/>
            <w:tcMar>
              <w:top w:w="40" w:type="dxa"/>
              <w:left w:w="245" w:type="dxa"/>
              <w:bottom w:w="40" w:type="dxa"/>
              <w:right w:w="20" w:type="dxa"/>
            </w:tcMar>
            <w:vAlign w:val="bottom"/>
          </w:tcPr>
          <w:p w14:paraId="7DD013F3"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3F4" w14:textId="77777777" w:rsidR="00C1563E" w:rsidRDefault="000B648B">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DD013F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3F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3F7" w14:textId="77777777" w:rsidR="00C1563E" w:rsidRDefault="000B648B">
            <w:pPr>
              <w:jc w:val="right"/>
              <w:textAlignment w:val="bottom"/>
            </w:pPr>
            <w:r>
              <w:rPr>
                <w:rFonts w:ascii="Times New Roman" w:eastAsia="宋体" w:hAnsi="Times New Roman"/>
                <w:color w:val="000000"/>
                <w:sz w:val="20"/>
                <w:szCs w:val="20"/>
              </w:rPr>
              <w:t>39.14 </w:t>
            </w:r>
          </w:p>
        </w:tc>
        <w:tc>
          <w:tcPr>
            <w:tcW w:w="0" w:type="auto"/>
            <w:shd w:val="clear" w:color="auto" w:fill="FFFFFF"/>
            <w:tcMar>
              <w:top w:w="40" w:type="dxa"/>
              <w:left w:w="0" w:type="dxa"/>
              <w:bottom w:w="40" w:type="dxa"/>
              <w:right w:w="20" w:type="dxa"/>
            </w:tcMar>
            <w:vAlign w:val="bottom"/>
          </w:tcPr>
          <w:p w14:paraId="7DD013F8" w14:textId="77777777" w:rsidR="00C1563E" w:rsidRDefault="00C1563E">
            <w:pPr>
              <w:jc w:val="right"/>
              <w:rPr>
                <w:rFonts w:ascii="宋体"/>
              </w:rPr>
            </w:pPr>
          </w:p>
        </w:tc>
      </w:tr>
      <w:tr w:rsidR="00C1563E" w14:paraId="7DD01400" w14:textId="77777777">
        <w:trPr>
          <w:jc w:val="center"/>
        </w:trPr>
        <w:tc>
          <w:tcPr>
            <w:tcW w:w="0" w:type="auto"/>
            <w:gridSpan w:val="3"/>
            <w:shd w:val="clear" w:color="auto" w:fill="CCEEFF"/>
            <w:tcMar>
              <w:top w:w="40" w:type="dxa"/>
              <w:left w:w="245" w:type="dxa"/>
              <w:bottom w:w="40" w:type="dxa"/>
              <w:right w:w="20" w:type="dxa"/>
            </w:tcMar>
            <w:vAlign w:val="bottom"/>
          </w:tcPr>
          <w:p w14:paraId="7DD013FA"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DD013FB" w14:textId="77777777" w:rsidR="00C1563E" w:rsidRDefault="000B648B">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DD013F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3F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3FE" w14:textId="77777777" w:rsidR="00C1563E" w:rsidRDefault="000B648B">
            <w:pPr>
              <w:jc w:val="right"/>
              <w:textAlignment w:val="bottom"/>
            </w:pPr>
            <w:r>
              <w:rPr>
                <w:rFonts w:ascii="Times New Roman" w:eastAsia="宋体" w:hAnsi="Times New Roman"/>
                <w:color w:val="000000"/>
                <w:sz w:val="20"/>
                <w:szCs w:val="20"/>
              </w:rPr>
              <w:t>48.15 </w:t>
            </w:r>
          </w:p>
        </w:tc>
        <w:tc>
          <w:tcPr>
            <w:tcW w:w="0" w:type="auto"/>
            <w:shd w:val="clear" w:color="auto" w:fill="CCEEFF"/>
            <w:tcMar>
              <w:top w:w="40" w:type="dxa"/>
              <w:left w:w="0" w:type="dxa"/>
              <w:bottom w:w="40" w:type="dxa"/>
              <w:right w:w="20" w:type="dxa"/>
            </w:tcMar>
            <w:vAlign w:val="bottom"/>
          </w:tcPr>
          <w:p w14:paraId="7DD013FF" w14:textId="77777777" w:rsidR="00C1563E" w:rsidRDefault="00C1563E">
            <w:pPr>
              <w:jc w:val="right"/>
              <w:rPr>
                <w:rFonts w:ascii="宋体"/>
              </w:rPr>
            </w:pPr>
          </w:p>
        </w:tc>
      </w:tr>
      <w:tr w:rsidR="00C1563E" w14:paraId="7DD01407" w14:textId="77777777">
        <w:trPr>
          <w:jc w:val="center"/>
        </w:trPr>
        <w:tc>
          <w:tcPr>
            <w:tcW w:w="0" w:type="auto"/>
            <w:gridSpan w:val="3"/>
            <w:shd w:val="clear" w:color="auto" w:fill="FFFFFF"/>
            <w:tcMar>
              <w:top w:w="40" w:type="dxa"/>
              <w:left w:w="245" w:type="dxa"/>
              <w:bottom w:w="40" w:type="dxa"/>
              <w:right w:w="20" w:type="dxa"/>
            </w:tcMar>
            <w:vAlign w:val="bottom"/>
          </w:tcPr>
          <w:p w14:paraId="7DD01401"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402" w14:textId="77777777" w:rsidR="00C1563E" w:rsidRDefault="000B648B">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DD0140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0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405" w14:textId="77777777" w:rsidR="00C1563E" w:rsidRDefault="000B648B">
            <w:pPr>
              <w:jc w:val="right"/>
              <w:textAlignment w:val="bottom"/>
            </w:pPr>
            <w:r>
              <w:rPr>
                <w:rFonts w:ascii="Times New Roman" w:eastAsia="宋体" w:hAnsi="Times New Roman"/>
                <w:color w:val="000000"/>
                <w:sz w:val="20"/>
                <w:szCs w:val="20"/>
              </w:rPr>
              <w:t>41.56 </w:t>
            </w:r>
          </w:p>
        </w:tc>
        <w:tc>
          <w:tcPr>
            <w:tcW w:w="0" w:type="auto"/>
            <w:shd w:val="clear" w:color="auto" w:fill="FFFFFF"/>
            <w:tcMar>
              <w:top w:w="40" w:type="dxa"/>
              <w:left w:w="0" w:type="dxa"/>
              <w:bottom w:w="40" w:type="dxa"/>
              <w:right w:w="20" w:type="dxa"/>
            </w:tcMar>
            <w:vAlign w:val="bottom"/>
          </w:tcPr>
          <w:p w14:paraId="7DD01406" w14:textId="77777777" w:rsidR="00C1563E" w:rsidRDefault="00C1563E">
            <w:pPr>
              <w:jc w:val="right"/>
              <w:rPr>
                <w:rFonts w:ascii="宋体"/>
              </w:rPr>
            </w:pPr>
          </w:p>
        </w:tc>
      </w:tr>
      <w:tr w:rsidR="00C1563E" w14:paraId="7DD0140F" w14:textId="77777777">
        <w:trPr>
          <w:jc w:val="center"/>
        </w:trPr>
        <w:tc>
          <w:tcPr>
            <w:tcW w:w="0" w:type="auto"/>
            <w:gridSpan w:val="3"/>
            <w:shd w:val="clear" w:color="auto" w:fill="CCEEFF"/>
            <w:tcMar>
              <w:top w:w="40" w:type="dxa"/>
              <w:left w:w="20" w:type="dxa"/>
              <w:bottom w:w="40" w:type="dxa"/>
              <w:right w:w="20" w:type="dxa"/>
            </w:tcMar>
            <w:vAlign w:val="bottom"/>
          </w:tcPr>
          <w:p w14:paraId="7DD01408" w14:textId="77777777" w:rsidR="00C1563E" w:rsidRDefault="000B648B">
            <w:pPr>
              <w:textAlignment w:val="bottom"/>
            </w:pPr>
            <w:r>
              <w:rPr>
                <w:rFonts w:ascii="Times New Roman" w:eastAsia="宋体" w:hAnsi="Times New Roman"/>
                <w:i/>
                <w:iCs/>
                <w:color w:val="000000"/>
                <w:sz w:val="20"/>
                <w:szCs w:val="20"/>
              </w:rPr>
              <w:t>Outstanding, January 29, 2021 (b)</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409" w14:textId="77777777" w:rsidR="00C1563E" w:rsidRDefault="000B648B">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40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0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0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0D" w14:textId="77777777" w:rsidR="00C1563E" w:rsidRDefault="000B648B">
            <w:pPr>
              <w:jc w:val="right"/>
              <w:textAlignment w:val="bottom"/>
            </w:pPr>
            <w:r>
              <w:rPr>
                <w:rFonts w:ascii="Times New Roman" w:eastAsia="宋体" w:hAnsi="Times New Roman"/>
                <w:color w:val="000000"/>
                <w:sz w:val="20"/>
                <w:szCs w:val="20"/>
              </w:rPr>
              <w:t>43.09 </w:t>
            </w:r>
          </w:p>
        </w:tc>
        <w:tc>
          <w:tcPr>
            <w:tcW w:w="0" w:type="auto"/>
            <w:shd w:val="clear" w:color="auto" w:fill="CCEEFF"/>
            <w:tcMar>
              <w:top w:w="40" w:type="dxa"/>
              <w:left w:w="0" w:type="dxa"/>
              <w:bottom w:w="40" w:type="dxa"/>
              <w:right w:w="20" w:type="dxa"/>
            </w:tcMar>
            <w:vAlign w:val="bottom"/>
          </w:tcPr>
          <w:p w14:paraId="7DD0140E" w14:textId="77777777" w:rsidR="00C1563E" w:rsidRDefault="00C1563E">
            <w:pPr>
              <w:jc w:val="right"/>
              <w:rPr>
                <w:rFonts w:ascii="宋体"/>
              </w:rPr>
            </w:pPr>
          </w:p>
        </w:tc>
      </w:tr>
    </w:tbl>
    <w:p w14:paraId="7DD01410" w14:textId="77777777" w:rsidR="00C1563E" w:rsidRDefault="000B648B">
      <w:r>
        <w:rPr>
          <w:rFonts w:ascii="Times New Roman" w:eastAsia="宋体" w:hAnsi="Times New Roman"/>
          <w:color w:val="000000"/>
          <w:sz w:val="20"/>
          <w:szCs w:val="20"/>
        </w:rPr>
        <w:t>____________________</w:t>
      </w:r>
    </w:p>
    <w:p w14:paraId="7DD01411" w14:textId="77777777" w:rsidR="00C1563E" w:rsidRDefault="000B648B">
      <w:pPr>
        <w:ind w:hanging="360"/>
      </w:pPr>
      <w:r>
        <w:rPr>
          <w:rFonts w:ascii="Times New Roman" w:eastAsia="宋体" w:hAnsi="Times New Roman"/>
          <w:color w:val="000000"/>
          <w:sz w:val="20"/>
          <w:szCs w:val="20"/>
        </w:rPr>
        <w:t xml:space="preserve">(a)    The Company granted an immaterial number of </w:t>
      </w:r>
      <w:r>
        <w:rPr>
          <w:rFonts w:ascii="Times New Roman" w:eastAsia="宋体" w:hAnsi="Times New Roman"/>
          <w:color w:val="000000"/>
          <w:sz w:val="20"/>
          <w:szCs w:val="20"/>
        </w:rPr>
        <w:t>restricted stock awards during the fiscal year ended February 1, 2019.</w:t>
      </w:r>
    </w:p>
    <w:p w14:paraId="7DD01412" w14:textId="77777777" w:rsidR="00C1563E" w:rsidRDefault="000B648B">
      <w:pPr>
        <w:ind w:hanging="360"/>
      </w:pPr>
      <w:r>
        <w:rPr>
          <w:rFonts w:ascii="Times New Roman" w:eastAsia="宋体" w:hAnsi="Times New Roman"/>
          <w:color w:val="000000"/>
          <w:sz w:val="20"/>
          <w:szCs w:val="20"/>
        </w:rPr>
        <w:t xml:space="preserve">(b)    As of January 29, 2021, the 33 million units outstanding included 28 million RSUs and 5 million PSUs. </w:t>
      </w:r>
    </w:p>
    <w:p w14:paraId="7DD01413" w14:textId="77777777" w:rsidR="00C1563E" w:rsidRDefault="00C1563E">
      <w:pPr>
        <w:ind w:hanging="360"/>
      </w:pPr>
    </w:p>
    <w:p w14:paraId="7DD01414" w14:textId="77777777" w:rsidR="00C1563E" w:rsidRDefault="000B648B">
      <w:pPr>
        <w:spacing w:after="120"/>
      </w:pPr>
      <w:r>
        <w:rPr>
          <w:rFonts w:ascii="Times New Roman" w:eastAsia="宋体" w:hAnsi="Times New Roman"/>
          <w:color w:val="000000"/>
          <w:sz w:val="20"/>
          <w:szCs w:val="20"/>
        </w:rPr>
        <w:t xml:space="preserve">The following table presents restricted stock that is expected to vest </w:t>
      </w:r>
      <w:r>
        <w:rPr>
          <w:rFonts w:ascii="Times New Roman" w:eastAsia="宋体" w:hAnsi="Times New Roman"/>
          <w:color w:val="000000"/>
          <w:sz w:val="20"/>
          <w:szCs w:val="20"/>
        </w:rPr>
        <w:t>as of the date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3939"/>
        <w:gridCol w:w="36"/>
        <w:gridCol w:w="48"/>
        <w:gridCol w:w="1135"/>
        <w:gridCol w:w="36"/>
        <w:gridCol w:w="36"/>
        <w:gridCol w:w="36"/>
        <w:gridCol w:w="36"/>
        <w:gridCol w:w="94"/>
        <w:gridCol w:w="1537"/>
        <w:gridCol w:w="36"/>
        <w:gridCol w:w="36"/>
        <w:gridCol w:w="36"/>
        <w:gridCol w:w="36"/>
        <w:gridCol w:w="121"/>
        <w:gridCol w:w="1053"/>
        <w:gridCol w:w="36"/>
      </w:tblGrid>
      <w:tr w:rsidR="00C1563E" w14:paraId="7DD01427" w14:textId="77777777">
        <w:trPr>
          <w:jc w:val="center"/>
        </w:trPr>
        <w:tc>
          <w:tcPr>
            <w:tcW w:w="50" w:type="pct"/>
            <w:shd w:val="clear" w:color="auto" w:fill="auto"/>
          </w:tcPr>
          <w:p w14:paraId="7DD01415" w14:textId="77777777" w:rsidR="00C1563E" w:rsidRDefault="00C1563E">
            <w:pPr>
              <w:rPr>
                <w:rFonts w:ascii="宋体"/>
              </w:rPr>
            </w:pPr>
          </w:p>
        </w:tc>
        <w:tc>
          <w:tcPr>
            <w:tcW w:w="2412" w:type="pct"/>
            <w:shd w:val="clear" w:color="auto" w:fill="auto"/>
          </w:tcPr>
          <w:p w14:paraId="7DD01416" w14:textId="77777777" w:rsidR="00C1563E" w:rsidRDefault="00C1563E">
            <w:pPr>
              <w:rPr>
                <w:rFonts w:ascii="宋体"/>
              </w:rPr>
            </w:pPr>
          </w:p>
        </w:tc>
        <w:tc>
          <w:tcPr>
            <w:tcW w:w="5" w:type="pct"/>
            <w:shd w:val="clear" w:color="auto" w:fill="auto"/>
          </w:tcPr>
          <w:p w14:paraId="7DD01417" w14:textId="77777777" w:rsidR="00C1563E" w:rsidRDefault="00C1563E">
            <w:pPr>
              <w:rPr>
                <w:rFonts w:ascii="宋体"/>
              </w:rPr>
            </w:pPr>
          </w:p>
        </w:tc>
        <w:tc>
          <w:tcPr>
            <w:tcW w:w="50" w:type="pct"/>
            <w:shd w:val="clear" w:color="auto" w:fill="auto"/>
          </w:tcPr>
          <w:p w14:paraId="7DD01418" w14:textId="77777777" w:rsidR="00C1563E" w:rsidRDefault="00C1563E">
            <w:pPr>
              <w:rPr>
                <w:rFonts w:ascii="宋体"/>
              </w:rPr>
            </w:pPr>
          </w:p>
        </w:tc>
        <w:tc>
          <w:tcPr>
            <w:tcW w:w="735" w:type="pct"/>
            <w:shd w:val="clear" w:color="auto" w:fill="auto"/>
          </w:tcPr>
          <w:p w14:paraId="7DD01419" w14:textId="77777777" w:rsidR="00C1563E" w:rsidRDefault="00C1563E">
            <w:pPr>
              <w:rPr>
                <w:rFonts w:ascii="宋体"/>
              </w:rPr>
            </w:pPr>
          </w:p>
        </w:tc>
        <w:tc>
          <w:tcPr>
            <w:tcW w:w="5" w:type="pct"/>
            <w:shd w:val="clear" w:color="auto" w:fill="auto"/>
          </w:tcPr>
          <w:p w14:paraId="7DD0141A" w14:textId="77777777" w:rsidR="00C1563E" w:rsidRDefault="00C1563E">
            <w:pPr>
              <w:rPr>
                <w:rFonts w:ascii="宋体"/>
              </w:rPr>
            </w:pPr>
          </w:p>
        </w:tc>
        <w:tc>
          <w:tcPr>
            <w:tcW w:w="5" w:type="pct"/>
            <w:shd w:val="clear" w:color="auto" w:fill="auto"/>
          </w:tcPr>
          <w:p w14:paraId="7DD0141B" w14:textId="77777777" w:rsidR="00C1563E" w:rsidRDefault="00C1563E">
            <w:pPr>
              <w:rPr>
                <w:rFonts w:ascii="宋体"/>
              </w:rPr>
            </w:pPr>
          </w:p>
        </w:tc>
        <w:tc>
          <w:tcPr>
            <w:tcW w:w="26" w:type="pct"/>
            <w:shd w:val="clear" w:color="auto" w:fill="auto"/>
          </w:tcPr>
          <w:p w14:paraId="7DD0141C" w14:textId="77777777" w:rsidR="00C1563E" w:rsidRDefault="00C1563E">
            <w:pPr>
              <w:rPr>
                <w:rFonts w:ascii="宋体"/>
              </w:rPr>
            </w:pPr>
          </w:p>
        </w:tc>
        <w:tc>
          <w:tcPr>
            <w:tcW w:w="5" w:type="pct"/>
            <w:shd w:val="clear" w:color="auto" w:fill="auto"/>
          </w:tcPr>
          <w:p w14:paraId="7DD0141D" w14:textId="77777777" w:rsidR="00C1563E" w:rsidRDefault="00C1563E">
            <w:pPr>
              <w:rPr>
                <w:rFonts w:ascii="宋体"/>
              </w:rPr>
            </w:pPr>
          </w:p>
        </w:tc>
        <w:tc>
          <w:tcPr>
            <w:tcW w:w="50" w:type="pct"/>
            <w:shd w:val="clear" w:color="auto" w:fill="auto"/>
          </w:tcPr>
          <w:p w14:paraId="7DD0141E" w14:textId="77777777" w:rsidR="00C1563E" w:rsidRDefault="00C1563E">
            <w:pPr>
              <w:rPr>
                <w:rFonts w:ascii="宋体"/>
              </w:rPr>
            </w:pPr>
          </w:p>
        </w:tc>
        <w:tc>
          <w:tcPr>
            <w:tcW w:w="823" w:type="pct"/>
            <w:shd w:val="clear" w:color="auto" w:fill="auto"/>
          </w:tcPr>
          <w:p w14:paraId="7DD0141F" w14:textId="77777777" w:rsidR="00C1563E" w:rsidRDefault="00C1563E">
            <w:pPr>
              <w:rPr>
                <w:rFonts w:ascii="宋体"/>
              </w:rPr>
            </w:pPr>
          </w:p>
        </w:tc>
        <w:tc>
          <w:tcPr>
            <w:tcW w:w="5" w:type="pct"/>
            <w:shd w:val="clear" w:color="auto" w:fill="auto"/>
          </w:tcPr>
          <w:p w14:paraId="7DD01420" w14:textId="77777777" w:rsidR="00C1563E" w:rsidRDefault="00C1563E">
            <w:pPr>
              <w:rPr>
                <w:rFonts w:ascii="宋体"/>
              </w:rPr>
            </w:pPr>
          </w:p>
        </w:tc>
        <w:tc>
          <w:tcPr>
            <w:tcW w:w="5" w:type="pct"/>
            <w:shd w:val="clear" w:color="auto" w:fill="auto"/>
          </w:tcPr>
          <w:p w14:paraId="7DD01421" w14:textId="77777777" w:rsidR="00C1563E" w:rsidRDefault="00C1563E">
            <w:pPr>
              <w:rPr>
                <w:rFonts w:ascii="宋体"/>
              </w:rPr>
            </w:pPr>
          </w:p>
        </w:tc>
        <w:tc>
          <w:tcPr>
            <w:tcW w:w="26" w:type="pct"/>
            <w:shd w:val="clear" w:color="auto" w:fill="auto"/>
          </w:tcPr>
          <w:p w14:paraId="7DD01422" w14:textId="77777777" w:rsidR="00C1563E" w:rsidRDefault="00C1563E">
            <w:pPr>
              <w:rPr>
                <w:rFonts w:ascii="宋体"/>
              </w:rPr>
            </w:pPr>
          </w:p>
        </w:tc>
        <w:tc>
          <w:tcPr>
            <w:tcW w:w="5" w:type="pct"/>
            <w:shd w:val="clear" w:color="auto" w:fill="auto"/>
          </w:tcPr>
          <w:p w14:paraId="7DD01423" w14:textId="77777777" w:rsidR="00C1563E" w:rsidRDefault="00C1563E">
            <w:pPr>
              <w:rPr>
                <w:rFonts w:ascii="宋体"/>
              </w:rPr>
            </w:pPr>
          </w:p>
        </w:tc>
        <w:tc>
          <w:tcPr>
            <w:tcW w:w="50" w:type="pct"/>
            <w:shd w:val="clear" w:color="auto" w:fill="auto"/>
          </w:tcPr>
          <w:p w14:paraId="7DD01424" w14:textId="77777777" w:rsidR="00C1563E" w:rsidRDefault="00C1563E">
            <w:pPr>
              <w:rPr>
                <w:rFonts w:ascii="宋体"/>
              </w:rPr>
            </w:pPr>
          </w:p>
        </w:tc>
        <w:tc>
          <w:tcPr>
            <w:tcW w:w="735" w:type="pct"/>
            <w:shd w:val="clear" w:color="auto" w:fill="auto"/>
          </w:tcPr>
          <w:p w14:paraId="7DD01425" w14:textId="77777777" w:rsidR="00C1563E" w:rsidRDefault="00C1563E">
            <w:pPr>
              <w:rPr>
                <w:rFonts w:ascii="宋体"/>
              </w:rPr>
            </w:pPr>
          </w:p>
        </w:tc>
        <w:tc>
          <w:tcPr>
            <w:tcW w:w="5" w:type="pct"/>
            <w:shd w:val="clear" w:color="auto" w:fill="auto"/>
          </w:tcPr>
          <w:p w14:paraId="7DD01426" w14:textId="77777777" w:rsidR="00C1563E" w:rsidRDefault="00C1563E">
            <w:pPr>
              <w:rPr>
                <w:rFonts w:ascii="宋体"/>
              </w:rPr>
            </w:pPr>
          </w:p>
        </w:tc>
      </w:tr>
      <w:tr w:rsidR="00C1563E" w14:paraId="7DD0142E" w14:textId="77777777">
        <w:trPr>
          <w:jc w:val="center"/>
        </w:trPr>
        <w:tc>
          <w:tcPr>
            <w:tcW w:w="0" w:type="auto"/>
            <w:gridSpan w:val="3"/>
            <w:shd w:val="clear" w:color="auto" w:fill="auto"/>
            <w:tcMar>
              <w:top w:w="0" w:type="dxa"/>
              <w:left w:w="20" w:type="dxa"/>
              <w:bottom w:w="0" w:type="dxa"/>
              <w:right w:w="20" w:type="dxa"/>
            </w:tcMar>
          </w:tcPr>
          <w:p w14:paraId="7DD0142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29" w14:textId="77777777" w:rsidR="00C1563E" w:rsidRDefault="000B648B">
            <w:pPr>
              <w:jc w:val="center"/>
              <w:textAlignment w:val="bottom"/>
            </w:pPr>
            <w:r>
              <w:rPr>
                <w:rFonts w:ascii="Times New Roman" w:eastAsia="宋体" w:hAnsi="Times New Roman"/>
                <w:b/>
                <w:bCs/>
                <w:color w:val="000000"/>
                <w:sz w:val="20"/>
                <w:szCs w:val="20"/>
              </w:rPr>
              <w:t>Number of Units</w:t>
            </w:r>
          </w:p>
        </w:tc>
        <w:tc>
          <w:tcPr>
            <w:tcW w:w="0" w:type="auto"/>
            <w:gridSpan w:val="3"/>
            <w:shd w:val="clear" w:color="auto" w:fill="auto"/>
            <w:tcMar>
              <w:top w:w="0" w:type="dxa"/>
              <w:left w:w="20" w:type="dxa"/>
              <w:bottom w:w="0" w:type="dxa"/>
              <w:right w:w="20" w:type="dxa"/>
            </w:tcMar>
          </w:tcPr>
          <w:p w14:paraId="7DD0142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2B" w14:textId="77777777" w:rsidR="00C1563E" w:rsidRDefault="000B648B">
            <w:pPr>
              <w:jc w:val="center"/>
              <w:textAlignment w:val="bottom"/>
            </w:pPr>
            <w:r>
              <w:rPr>
                <w:rFonts w:ascii="Times New Roman" w:eastAsia="宋体" w:hAnsi="Times New Roman"/>
                <w:b/>
                <w:bCs/>
                <w:color w:val="000000"/>
                <w:sz w:val="20"/>
                <w:szCs w:val="20"/>
              </w:rPr>
              <w:t>Weighted-Average Remaining Contractual Term</w:t>
            </w:r>
          </w:p>
        </w:tc>
        <w:tc>
          <w:tcPr>
            <w:tcW w:w="0" w:type="auto"/>
            <w:gridSpan w:val="3"/>
            <w:shd w:val="clear" w:color="auto" w:fill="auto"/>
            <w:tcMar>
              <w:top w:w="0" w:type="dxa"/>
              <w:left w:w="20" w:type="dxa"/>
              <w:bottom w:w="0" w:type="dxa"/>
              <w:right w:w="20" w:type="dxa"/>
            </w:tcMar>
          </w:tcPr>
          <w:p w14:paraId="7DD0142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2D" w14:textId="77777777" w:rsidR="00C1563E" w:rsidRDefault="000B648B">
            <w:pPr>
              <w:jc w:val="center"/>
              <w:textAlignment w:val="bottom"/>
            </w:pPr>
            <w:r>
              <w:rPr>
                <w:rFonts w:ascii="Times New Roman" w:eastAsia="宋体" w:hAnsi="Times New Roman"/>
                <w:b/>
                <w:bCs/>
                <w:color w:val="000000"/>
                <w:sz w:val="20"/>
                <w:szCs w:val="20"/>
              </w:rPr>
              <w:t>Aggregate Intrinsic Value (a)</w:t>
            </w:r>
          </w:p>
        </w:tc>
      </w:tr>
      <w:tr w:rsidR="00C1563E" w14:paraId="7DD01435" w14:textId="77777777">
        <w:trPr>
          <w:jc w:val="center"/>
        </w:trPr>
        <w:tc>
          <w:tcPr>
            <w:tcW w:w="0" w:type="auto"/>
            <w:gridSpan w:val="3"/>
            <w:shd w:val="clear" w:color="auto" w:fill="auto"/>
            <w:tcMar>
              <w:top w:w="0" w:type="dxa"/>
              <w:left w:w="20" w:type="dxa"/>
              <w:bottom w:w="0" w:type="dxa"/>
              <w:right w:w="20" w:type="dxa"/>
            </w:tcMar>
          </w:tcPr>
          <w:p w14:paraId="7DD0142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30"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1431"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32" w14:textId="77777777" w:rsidR="00C1563E" w:rsidRDefault="000B648B">
            <w:pPr>
              <w:jc w:val="center"/>
              <w:textAlignment w:val="bottom"/>
            </w:pPr>
            <w:r>
              <w:rPr>
                <w:rFonts w:ascii="Times New Roman" w:eastAsia="宋体" w:hAnsi="Times New Roman"/>
                <w:color w:val="000000"/>
                <w:sz w:val="20"/>
                <w:szCs w:val="20"/>
              </w:rPr>
              <w:t>(in years)</w:t>
            </w:r>
          </w:p>
        </w:tc>
        <w:tc>
          <w:tcPr>
            <w:tcW w:w="0" w:type="auto"/>
            <w:gridSpan w:val="3"/>
            <w:shd w:val="clear" w:color="auto" w:fill="auto"/>
            <w:tcMar>
              <w:top w:w="0" w:type="dxa"/>
              <w:left w:w="20" w:type="dxa"/>
              <w:bottom w:w="0" w:type="dxa"/>
              <w:right w:w="20" w:type="dxa"/>
            </w:tcMar>
          </w:tcPr>
          <w:p w14:paraId="7DD01433"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34"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43F" w14:textId="77777777">
        <w:trPr>
          <w:jc w:val="center"/>
        </w:trPr>
        <w:tc>
          <w:tcPr>
            <w:tcW w:w="0" w:type="auto"/>
            <w:gridSpan w:val="3"/>
            <w:shd w:val="clear" w:color="auto" w:fill="CCEEFF"/>
            <w:tcMar>
              <w:top w:w="40" w:type="dxa"/>
              <w:left w:w="20" w:type="dxa"/>
              <w:bottom w:w="40" w:type="dxa"/>
              <w:right w:w="20" w:type="dxa"/>
            </w:tcMar>
            <w:vAlign w:val="bottom"/>
          </w:tcPr>
          <w:p w14:paraId="7DD01436" w14:textId="77777777" w:rsidR="00C1563E" w:rsidRDefault="000B648B">
            <w:pPr>
              <w:textAlignment w:val="bottom"/>
            </w:pPr>
            <w:r>
              <w:rPr>
                <w:rFonts w:ascii="Times New Roman" w:eastAsia="宋体" w:hAnsi="Times New Roman"/>
                <w:color w:val="000000"/>
                <w:sz w:val="20"/>
                <w:szCs w:val="20"/>
              </w:rPr>
              <w:t>Expected to vest, January 29, 2021</w:t>
            </w:r>
          </w:p>
        </w:tc>
        <w:tc>
          <w:tcPr>
            <w:tcW w:w="0" w:type="auto"/>
            <w:gridSpan w:val="2"/>
            <w:shd w:val="clear" w:color="auto" w:fill="CCEEFF"/>
            <w:tcMar>
              <w:top w:w="40" w:type="dxa"/>
              <w:left w:w="20" w:type="dxa"/>
              <w:bottom w:w="40" w:type="dxa"/>
              <w:right w:w="0" w:type="dxa"/>
            </w:tcMar>
            <w:vAlign w:val="bottom"/>
          </w:tcPr>
          <w:p w14:paraId="7DD01437" w14:textId="77777777" w:rsidR="00C1563E" w:rsidRDefault="000B648B">
            <w:pPr>
              <w:jc w:val="right"/>
              <w:textAlignment w:val="bottom"/>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bottom"/>
          </w:tcPr>
          <w:p w14:paraId="7DD0143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39"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43A" w14:textId="77777777" w:rsidR="00C1563E" w:rsidRDefault="000B648B">
            <w:pPr>
              <w:jc w:val="right"/>
              <w:textAlignment w:val="bottom"/>
            </w:pPr>
            <w:r>
              <w:rPr>
                <w:rFonts w:ascii="Times New Roman" w:eastAsia="宋体" w:hAnsi="Times New Roman"/>
                <w:color w:val="000000"/>
                <w:sz w:val="20"/>
                <w:szCs w:val="20"/>
              </w:rPr>
              <w:t>1.3</w:t>
            </w:r>
          </w:p>
        </w:tc>
        <w:tc>
          <w:tcPr>
            <w:tcW w:w="0" w:type="auto"/>
            <w:gridSpan w:val="3"/>
            <w:shd w:val="clear" w:color="auto" w:fill="CCEEFF"/>
            <w:tcMar>
              <w:top w:w="0" w:type="dxa"/>
              <w:left w:w="20" w:type="dxa"/>
              <w:bottom w:w="0" w:type="dxa"/>
              <w:right w:w="20" w:type="dxa"/>
            </w:tcMar>
          </w:tcPr>
          <w:p w14:paraId="7DD0143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3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3D" w14:textId="77777777" w:rsidR="00C1563E" w:rsidRDefault="000B648B">
            <w:pPr>
              <w:jc w:val="right"/>
              <w:textAlignment w:val="bottom"/>
            </w:pPr>
            <w:r>
              <w:rPr>
                <w:rFonts w:ascii="Times New Roman" w:eastAsia="宋体" w:hAnsi="Times New Roman"/>
                <w:color w:val="000000"/>
                <w:sz w:val="20"/>
                <w:szCs w:val="20"/>
              </w:rPr>
              <w:t>2,166 </w:t>
            </w:r>
          </w:p>
        </w:tc>
        <w:tc>
          <w:tcPr>
            <w:tcW w:w="0" w:type="auto"/>
            <w:shd w:val="clear" w:color="auto" w:fill="CCEEFF"/>
            <w:tcMar>
              <w:top w:w="40" w:type="dxa"/>
              <w:left w:w="0" w:type="dxa"/>
              <w:bottom w:w="40" w:type="dxa"/>
              <w:right w:w="20" w:type="dxa"/>
            </w:tcMar>
            <w:vAlign w:val="bottom"/>
          </w:tcPr>
          <w:p w14:paraId="7DD0143E" w14:textId="77777777" w:rsidR="00C1563E" w:rsidRDefault="00C1563E">
            <w:pPr>
              <w:jc w:val="right"/>
              <w:rPr>
                <w:rFonts w:ascii="宋体"/>
              </w:rPr>
            </w:pPr>
          </w:p>
        </w:tc>
      </w:tr>
    </w:tbl>
    <w:p w14:paraId="7DD01440" w14:textId="77777777" w:rsidR="00C1563E" w:rsidRDefault="000B648B">
      <w:r>
        <w:rPr>
          <w:rFonts w:ascii="Times New Roman" w:eastAsia="宋体" w:hAnsi="Times New Roman"/>
          <w:color w:val="000000"/>
          <w:sz w:val="20"/>
          <w:szCs w:val="20"/>
        </w:rPr>
        <w:t>____________________</w:t>
      </w:r>
    </w:p>
    <w:p w14:paraId="7DD01441" w14:textId="77777777" w:rsidR="00C1563E" w:rsidRDefault="000B648B">
      <w:pPr>
        <w:ind w:hanging="360"/>
      </w:pPr>
      <w:r>
        <w:rPr>
          <w:rFonts w:ascii="Times New Roman" w:eastAsia="宋体" w:hAnsi="Times New Roman"/>
          <w:color w:val="000000"/>
          <w:sz w:val="20"/>
          <w:szCs w:val="20"/>
        </w:rPr>
        <w:t xml:space="preserve">(a)The aggregate intrinsic value represents the total pre-tax intrinsic values based on the closing price of $72.89 of the Company’s Class C Common Stock on January 29, 2021 as reported on the NYSE that would have been received by the </w:t>
      </w:r>
      <w:r>
        <w:rPr>
          <w:rFonts w:ascii="Times New Roman" w:eastAsia="宋体" w:hAnsi="Times New Roman"/>
          <w:color w:val="000000"/>
          <w:sz w:val="20"/>
          <w:szCs w:val="20"/>
        </w:rPr>
        <w:t>RSU holders had the RSUs been issued as of January 29, 2021.</w:t>
      </w:r>
    </w:p>
    <w:p w14:paraId="7DD01442" w14:textId="77777777" w:rsidR="00C1563E" w:rsidRDefault="00C1563E"/>
    <w:p w14:paraId="7DD01443" w14:textId="77777777" w:rsidR="00C1563E" w:rsidRDefault="000B648B">
      <w:r>
        <w:rPr>
          <w:rFonts w:ascii="Times New Roman" w:eastAsia="宋体" w:hAnsi="Times New Roman"/>
          <w:color w:val="000000"/>
          <w:sz w:val="20"/>
          <w:szCs w:val="20"/>
        </w:rPr>
        <w:t xml:space="preserve">The </w:t>
      </w:r>
      <w:r>
        <w:rPr>
          <w:rFonts w:ascii="Times New Roman" w:eastAsia="宋体" w:hAnsi="Times New Roman"/>
          <w:color w:val="252525"/>
          <w:sz w:val="20"/>
          <w:szCs w:val="20"/>
        </w:rPr>
        <w:t xml:space="preserve">total fair value of restricted stock that vested during the fiscal years ended </w:t>
      </w:r>
      <w:r>
        <w:rPr>
          <w:rFonts w:ascii="Times New Roman" w:eastAsia="宋体" w:hAnsi="Times New Roman"/>
          <w:color w:val="000000"/>
          <w:sz w:val="20"/>
          <w:szCs w:val="20"/>
        </w:rPr>
        <w:t>January 29, 2021</w:t>
      </w:r>
      <w:r>
        <w:rPr>
          <w:rFonts w:ascii="Times New Roman" w:eastAsia="宋体" w:hAnsi="Times New Roman"/>
          <w:color w:val="252525"/>
          <w:sz w:val="20"/>
          <w:szCs w:val="20"/>
        </w:rPr>
        <w:t xml:space="preserve">, </w:t>
      </w:r>
      <w:r>
        <w:rPr>
          <w:rFonts w:ascii="Times New Roman" w:eastAsia="宋体" w:hAnsi="Times New Roman"/>
          <w:color w:val="000000"/>
          <w:sz w:val="20"/>
          <w:szCs w:val="20"/>
        </w:rPr>
        <w:t>January 31, 2020</w:t>
      </w:r>
      <w:r>
        <w:rPr>
          <w:rFonts w:ascii="Times New Roman" w:eastAsia="宋体" w:hAnsi="Times New Roman"/>
          <w:color w:val="252525"/>
          <w:sz w:val="20"/>
          <w:szCs w:val="20"/>
        </w:rPr>
        <w:t xml:space="preserve">, and </w:t>
      </w:r>
      <w:r>
        <w:rPr>
          <w:rFonts w:ascii="Times New Roman" w:eastAsia="宋体" w:hAnsi="Times New Roman"/>
          <w:color w:val="000000"/>
          <w:sz w:val="20"/>
          <w:szCs w:val="20"/>
        </w:rPr>
        <w:t>February 1, 2019</w:t>
      </w:r>
      <w:r>
        <w:rPr>
          <w:rFonts w:ascii="Times New Roman" w:eastAsia="宋体" w:hAnsi="Times New Roman"/>
          <w:color w:val="252525"/>
          <w:sz w:val="20"/>
          <w:szCs w:val="20"/>
        </w:rPr>
        <w:t xml:space="preserve"> was $235 million, $27 million, and $24 million, respectively, and the pre-tax intrinsic value was </w:t>
      </w:r>
      <w:r>
        <w:rPr>
          <w:rFonts w:ascii="Times New Roman" w:eastAsia="宋体" w:hAnsi="Times New Roman"/>
          <w:color w:val="000000"/>
          <w:sz w:val="20"/>
          <w:szCs w:val="20"/>
        </w:rPr>
        <w:t>$226 million, $47 million, and $63 million, re</w:t>
      </w:r>
      <w:r>
        <w:rPr>
          <w:rFonts w:ascii="Times New Roman" w:eastAsia="宋体" w:hAnsi="Times New Roman"/>
          <w:color w:val="252525"/>
          <w:sz w:val="20"/>
          <w:szCs w:val="20"/>
        </w:rPr>
        <w:t xml:space="preserve">spectively. </w:t>
      </w:r>
      <w:r>
        <w:rPr>
          <w:rFonts w:ascii="Times New Roman" w:eastAsia="宋体" w:hAnsi="Times New Roman"/>
          <w:color w:val="000000"/>
          <w:sz w:val="20"/>
          <w:szCs w:val="20"/>
        </w:rPr>
        <w:t>As of January 29, 2021, 33 million shares of restricted stock were outstanding, with an aggregate i</w:t>
      </w:r>
      <w:r>
        <w:rPr>
          <w:rFonts w:ascii="Times New Roman" w:eastAsia="宋体" w:hAnsi="Times New Roman"/>
          <w:color w:val="000000"/>
          <w:sz w:val="20"/>
          <w:szCs w:val="20"/>
        </w:rPr>
        <w:t xml:space="preserve">ntrinsic value of $2,421 million. </w:t>
      </w:r>
    </w:p>
    <w:p w14:paraId="7DD01444" w14:textId="77777777" w:rsidR="00C1563E" w:rsidRDefault="00C1563E"/>
    <w:p w14:paraId="7DD01445" w14:textId="77777777" w:rsidR="00C1563E" w:rsidRDefault="000B648B">
      <w:r>
        <w:rPr>
          <w:rFonts w:ascii="Times New Roman" w:eastAsia="宋体" w:hAnsi="Times New Roman"/>
          <w:color w:val="000000"/>
          <w:sz w:val="20"/>
          <w:szCs w:val="20"/>
        </w:rPr>
        <w:t>As of January 29, 2021, there was $809 million of unrecognized stock-based compensation expense, net of estimated forfeitures, related to these awards expected to be recognized over a weighted-average period of approxima</w:t>
      </w:r>
      <w:r>
        <w:rPr>
          <w:rFonts w:ascii="Times New Roman" w:eastAsia="宋体" w:hAnsi="Times New Roman"/>
          <w:color w:val="000000"/>
          <w:sz w:val="20"/>
          <w:szCs w:val="20"/>
        </w:rPr>
        <w:t xml:space="preserve">tely 1.9 years. </w:t>
      </w:r>
    </w:p>
    <w:p w14:paraId="7DD01446" w14:textId="77777777" w:rsidR="00C1563E" w:rsidRDefault="00C1563E"/>
    <w:p w14:paraId="7DD01447" w14:textId="77777777" w:rsidR="00C1563E" w:rsidRDefault="000B648B">
      <w:r>
        <w:rPr>
          <w:rFonts w:ascii="Times New Roman" w:eastAsia="宋体" w:hAnsi="Times New Roman"/>
          <w:i/>
          <w:iCs/>
          <w:color w:val="000000"/>
          <w:sz w:val="20"/>
          <w:szCs w:val="20"/>
        </w:rPr>
        <w:t xml:space="preserve">Dell Technologies Shares Withheld for Taxes </w:t>
      </w:r>
      <w:r>
        <w:rPr>
          <w:rFonts w:ascii="Times New Roman" w:eastAsia="宋体" w:hAnsi="Times New Roman"/>
          <w:color w:val="000000"/>
          <w:sz w:val="20"/>
          <w:szCs w:val="20"/>
        </w:rPr>
        <w:t>— Under certain situations, shares are withheld from issuance to cover employee taxes for both the vesting of restricted stock units and the exercise of stock options. For the fiscal years ended</w:t>
      </w:r>
      <w:r>
        <w:rPr>
          <w:rFonts w:ascii="Times New Roman" w:eastAsia="宋体" w:hAnsi="Times New Roman"/>
          <w:color w:val="000000"/>
          <w:sz w:val="20"/>
          <w:szCs w:val="20"/>
        </w:rPr>
        <w:t xml:space="preserve"> January 29, 2021, February 1, 2019, and February 2, 2018, 0.1 million, 0.1 million, and 0.4 million shares, respectively, were withheld to cover $1 million, $4 million, and $28 million, respectively, of employees’ tax obligations.</w:t>
      </w:r>
    </w:p>
    <w:p w14:paraId="7DD01448" w14:textId="77777777" w:rsidR="00C1563E" w:rsidRDefault="00C1563E"/>
    <w:p w14:paraId="7DD01449" w14:textId="77777777" w:rsidR="00C1563E" w:rsidRDefault="00C1563E">
      <w:pPr>
        <w:jc w:val="center"/>
      </w:pPr>
    </w:p>
    <w:p w14:paraId="7DD0144A" w14:textId="77777777" w:rsidR="00C1563E" w:rsidRDefault="000B648B">
      <w:pPr>
        <w:jc w:val="center"/>
      </w:pPr>
      <w:r>
        <w:rPr>
          <w:rFonts w:ascii="Times New Roman" w:eastAsia="宋体" w:hAnsi="Times New Roman"/>
          <w:color w:val="000000"/>
          <w:sz w:val="20"/>
          <w:szCs w:val="20"/>
        </w:rPr>
        <w:t>148</w:t>
      </w:r>
    </w:p>
    <w:p w14:paraId="7DD0144B" w14:textId="77777777" w:rsidR="00C1563E" w:rsidRDefault="00C1563E">
      <w:pPr>
        <w:jc w:val="center"/>
      </w:pPr>
    </w:p>
    <w:p w14:paraId="7DD0144C" w14:textId="77777777" w:rsidR="00C1563E" w:rsidRDefault="000B648B">
      <w:r>
        <w:pict w14:anchorId="7DD025FE">
          <v:rect id="_x0000_i1172" style="width:415.3pt;height:1.5pt" o:hralign="center" o:hrstd="t" o:hr="t" fillcolor="#a0a0a0" stroked="f"/>
        </w:pict>
      </w:r>
    </w:p>
    <w:p w14:paraId="7DD0144D" w14:textId="77777777" w:rsidR="00C1563E" w:rsidRDefault="000B648B">
      <w:hyperlink r:id="rId331" w:anchor="i418e32e4a35149ffbf7d3a25d66881b8_10" w:history="1">
        <w:r>
          <w:rPr>
            <w:rStyle w:val="a5"/>
            <w:rFonts w:ascii="Times New Roman" w:eastAsia="宋体" w:hAnsi="Times New Roman"/>
            <w:sz w:val="20"/>
            <w:szCs w:val="20"/>
          </w:rPr>
          <w:t>Table of Contents</w:t>
        </w:r>
      </w:hyperlink>
    </w:p>
    <w:p w14:paraId="7DD0144E" w14:textId="77777777" w:rsidR="00C1563E" w:rsidRDefault="000B648B">
      <w:r>
        <w:rPr>
          <w:rFonts w:ascii="Times New Roman" w:eastAsia="宋体" w:hAnsi="Times New Roman"/>
          <w:b/>
          <w:bCs/>
          <w:color w:val="000000"/>
          <w:sz w:val="20"/>
          <w:szCs w:val="20"/>
        </w:rPr>
        <w:t>VMware, Inc. Stock-Based Compensation Plans</w:t>
      </w:r>
    </w:p>
    <w:p w14:paraId="7DD0144F" w14:textId="77777777" w:rsidR="00C1563E" w:rsidRDefault="00C1563E"/>
    <w:p w14:paraId="7DD01450" w14:textId="77777777" w:rsidR="00C1563E" w:rsidRDefault="000B648B">
      <w:r>
        <w:rPr>
          <w:rFonts w:ascii="Times New Roman" w:eastAsia="宋体" w:hAnsi="Times New Roman"/>
          <w:i/>
          <w:iCs/>
          <w:color w:val="000000"/>
          <w:sz w:val="20"/>
          <w:szCs w:val="20"/>
        </w:rPr>
        <w:t>VMware, Inc. 2007 Equity and Incentive Plan</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In June </w:t>
      </w:r>
      <w:r>
        <w:rPr>
          <w:rFonts w:ascii="Times New Roman" w:eastAsia="宋体" w:hAnsi="Times New Roman"/>
          <w:color w:val="000000"/>
          <w:sz w:val="20"/>
          <w:szCs w:val="20"/>
        </w:rPr>
        <w:t>2007, VMware, Inc. adopted its 2007 Equity and Incentive Plan (the “2007 Plan”). In June 2019, VMware, Inc. amended its 2007 Plan to increase the number of shares of Class A common stock available for issuance by 13 million. As of January 29, 2021, the num</w:t>
      </w:r>
      <w:r>
        <w:rPr>
          <w:rFonts w:ascii="Times New Roman" w:eastAsia="宋体" w:hAnsi="Times New Roman"/>
          <w:color w:val="000000"/>
          <w:sz w:val="20"/>
          <w:szCs w:val="20"/>
        </w:rPr>
        <w:t>ber of authorized shares of VMware, Inc. Class A common stock under the 2007 Plan was approximately 145 million. The number of shares underlying outstanding equity awards that VMware, Inc. assumes in the course of business acquisitions are also added to th</w:t>
      </w:r>
      <w:r>
        <w:rPr>
          <w:rFonts w:ascii="Times New Roman" w:eastAsia="宋体" w:hAnsi="Times New Roman"/>
          <w:color w:val="000000"/>
          <w:sz w:val="20"/>
          <w:szCs w:val="20"/>
        </w:rPr>
        <w:t>e 2007 Plan reserve on an as-converted basis. VMware, Inc. has assumed approximately 12 million shares, which accordingly have been added to the authorized shares under the 2007 Plan reserve.</w:t>
      </w:r>
    </w:p>
    <w:p w14:paraId="7DD01451" w14:textId="77777777" w:rsidR="00C1563E" w:rsidRDefault="00C1563E"/>
    <w:p w14:paraId="7DD01452" w14:textId="77777777" w:rsidR="00C1563E" w:rsidRDefault="000B648B">
      <w:r>
        <w:rPr>
          <w:rFonts w:ascii="Times New Roman" w:eastAsia="宋体" w:hAnsi="Times New Roman"/>
          <w:color w:val="000000"/>
          <w:sz w:val="20"/>
          <w:szCs w:val="20"/>
        </w:rPr>
        <w:t>Awards under the 2007 Plan may be in the form of stock-based aw</w:t>
      </w:r>
      <w:r>
        <w:rPr>
          <w:rFonts w:ascii="Times New Roman" w:eastAsia="宋体" w:hAnsi="Times New Roman"/>
          <w:color w:val="000000"/>
          <w:sz w:val="20"/>
          <w:szCs w:val="20"/>
        </w:rPr>
        <w:t>ards such as RSUs or stock options. VMware, Inc.’s Compensation and Corporate Governance Committee determines the vesting schedule for all equity awards. Generally, restricted stock grants made under the 2007 Plan have a three-year to four-year period over</w:t>
      </w:r>
      <w:r>
        <w:rPr>
          <w:rFonts w:ascii="Times New Roman" w:eastAsia="宋体" w:hAnsi="Times New Roman"/>
          <w:color w:val="000000"/>
          <w:sz w:val="20"/>
          <w:szCs w:val="20"/>
        </w:rPr>
        <w:t xml:space="preserve"> which they vest and vest 25% the first year and semiannually thereafter. The value of RSU grants is based on VMware, Inc.’s stock price on the date of grant. The shares underlying the RSU awards are not issued until the RSUs vest. Upon vesting, each RSU c</w:t>
      </w:r>
      <w:r>
        <w:rPr>
          <w:rFonts w:ascii="Times New Roman" w:eastAsia="宋体" w:hAnsi="Times New Roman"/>
          <w:color w:val="000000"/>
          <w:sz w:val="20"/>
          <w:szCs w:val="20"/>
        </w:rPr>
        <w:t>onverts into one share of VMware, Inc. Class A common stock. VMware, Inc.’s restricted stock also includes PSU awards which have been granted to certain VMware, Inc. executives and employees. The PSU awards include performance conditions and, in certain ca</w:t>
      </w:r>
      <w:r>
        <w:rPr>
          <w:rFonts w:ascii="Times New Roman" w:eastAsia="宋体" w:hAnsi="Times New Roman"/>
          <w:color w:val="000000"/>
          <w:sz w:val="20"/>
          <w:szCs w:val="20"/>
        </w:rPr>
        <w:t>ses, a time-based or market-based vesting component. Upon vesting, each PSU award will convert into VMware, Inc.’s Class A common stock at various ratios ranging from 0.1 to 2.0 shares per PSU, depending upon the degree of achievement of the performance or</w:t>
      </w:r>
      <w:r>
        <w:rPr>
          <w:rFonts w:ascii="Times New Roman" w:eastAsia="宋体" w:hAnsi="Times New Roman"/>
          <w:color w:val="000000"/>
          <w:sz w:val="20"/>
          <w:szCs w:val="20"/>
        </w:rPr>
        <w:t xml:space="preserve"> market based target designated by each award. If minimum performance thresholds are not achieved, then no shares will be issued.</w:t>
      </w:r>
    </w:p>
    <w:p w14:paraId="7DD01453" w14:textId="77777777" w:rsidR="00C1563E" w:rsidRDefault="00C1563E"/>
    <w:p w14:paraId="7DD01454" w14:textId="77777777" w:rsidR="00C1563E" w:rsidRDefault="000B648B">
      <w:r>
        <w:rPr>
          <w:rFonts w:ascii="Times New Roman" w:eastAsia="宋体" w:hAnsi="Times New Roman"/>
          <w:color w:val="000000"/>
          <w:sz w:val="20"/>
          <w:szCs w:val="20"/>
        </w:rPr>
        <w:t xml:space="preserve">The per share exercise price for a stock option awarded under the 2007 Plan will not be less than 100% of the per share fair </w:t>
      </w:r>
      <w:r>
        <w:rPr>
          <w:rFonts w:ascii="Times New Roman" w:eastAsia="宋体" w:hAnsi="Times New Roman"/>
          <w:color w:val="000000"/>
          <w:sz w:val="20"/>
          <w:szCs w:val="20"/>
        </w:rPr>
        <w:t>market value of VMware, Inc. Class A common stock on the date of grant. Most options granted under the 2007 Plan vest 25% after the first year and monthly thereafter over the following three years and expire between six and seven years from the date of gra</w:t>
      </w:r>
      <w:r>
        <w:rPr>
          <w:rFonts w:ascii="Times New Roman" w:eastAsia="宋体" w:hAnsi="Times New Roman"/>
          <w:color w:val="000000"/>
          <w:sz w:val="20"/>
          <w:szCs w:val="20"/>
        </w:rPr>
        <w:t>nt. VMware, Inc. utilizes authorized and unissued shares to satisfy all shares issued under the 2007 Plan. As of January 29, 2021, there was an aggregate of approximately 18 million shares of common stock available for issuance pursuant to future grants un</w:t>
      </w:r>
      <w:r>
        <w:rPr>
          <w:rFonts w:ascii="Times New Roman" w:eastAsia="宋体" w:hAnsi="Times New Roman"/>
          <w:color w:val="000000"/>
          <w:sz w:val="20"/>
          <w:szCs w:val="20"/>
        </w:rPr>
        <w:t>der the 2007 Plan.</w:t>
      </w:r>
    </w:p>
    <w:p w14:paraId="7DD01455" w14:textId="77777777" w:rsidR="00C1563E" w:rsidRDefault="00C1563E"/>
    <w:p w14:paraId="7DD01456" w14:textId="77777777" w:rsidR="00C1563E" w:rsidRDefault="000B648B">
      <w:r>
        <w:rPr>
          <w:rFonts w:ascii="Times New Roman" w:eastAsia="宋体" w:hAnsi="Times New Roman"/>
          <w:i/>
          <w:iCs/>
          <w:color w:val="000000"/>
          <w:sz w:val="20"/>
          <w:szCs w:val="20"/>
        </w:rPr>
        <w:t>Pivotal Equity Plan</w:t>
      </w:r>
      <w:r>
        <w:rPr>
          <w:rFonts w:ascii="Times New Roman" w:eastAsia="宋体" w:hAnsi="Times New Roman"/>
          <w:color w:val="000000"/>
          <w:sz w:val="20"/>
          <w:szCs w:val="20"/>
        </w:rPr>
        <w:t xml:space="preserve"> — Upon the completion of the acquisition of Pivotal by VMware, Inc. as described in Note 1 of the Notes to the Consolidated Financial Statements, Pivotal’s equity plan was terminated and no further awards may be gran</w:t>
      </w:r>
      <w:r>
        <w:rPr>
          <w:rFonts w:ascii="Times New Roman" w:eastAsia="宋体" w:hAnsi="Times New Roman"/>
          <w:color w:val="000000"/>
          <w:sz w:val="20"/>
          <w:szCs w:val="20"/>
        </w:rPr>
        <w:t>ted under the plan. Pivotal’s outstanding unvested RSUs and options on the date of the acquisition were converted to VMware, Inc. RSUs and options and valued at their historical carrying amounts. The activity under Pivotal’s equity plan was not material du</w:t>
      </w:r>
      <w:r>
        <w:rPr>
          <w:rFonts w:ascii="Times New Roman" w:eastAsia="宋体" w:hAnsi="Times New Roman"/>
          <w:color w:val="000000"/>
          <w:sz w:val="20"/>
          <w:szCs w:val="20"/>
        </w:rPr>
        <w:t>ring the fiscal years ended January 31, 2020 and February 1, 2019.</w:t>
      </w:r>
    </w:p>
    <w:p w14:paraId="7DD01457" w14:textId="77777777" w:rsidR="00C1563E" w:rsidRDefault="00C1563E"/>
    <w:p w14:paraId="7DD01458" w14:textId="77777777" w:rsidR="00C1563E" w:rsidRDefault="000B648B">
      <w:r>
        <w:rPr>
          <w:rFonts w:ascii="Times New Roman" w:eastAsia="宋体" w:hAnsi="Times New Roman"/>
          <w:i/>
          <w:iCs/>
          <w:color w:val="000000"/>
          <w:sz w:val="20"/>
          <w:szCs w:val="20"/>
        </w:rPr>
        <w:t>VMware, Inc. Employee Stock Purchase Plan</w:t>
      </w:r>
      <w:r>
        <w:rPr>
          <w:rFonts w:ascii="Times New Roman" w:eastAsia="宋体" w:hAnsi="Times New Roman"/>
          <w:color w:val="000000"/>
          <w:sz w:val="20"/>
          <w:szCs w:val="20"/>
        </w:rPr>
        <w:t xml:space="preserve"> — In June 2007, VMware, Inc. adopted its 2007 Employee Stock Purchase Plan (the “ESPP”), which is intended to be qualified under Section 423 of the Internal Revenue Code. In June 2019, VMware, Inc. amended its ESPP to increase the number of shares of Clas</w:t>
      </w:r>
      <w:r>
        <w:rPr>
          <w:rFonts w:ascii="Times New Roman" w:eastAsia="宋体" w:hAnsi="Times New Roman"/>
          <w:color w:val="000000"/>
          <w:sz w:val="20"/>
          <w:szCs w:val="20"/>
        </w:rPr>
        <w:t>s A common stock available for issuance by 9 million. As of January 29, 2021, the number of authorized shares under the ESPP was approximately 32 million. Under the ESPP, eligible VMware, Inc. employees are granted options to purchase shares at the lower o</w:t>
      </w:r>
      <w:r>
        <w:rPr>
          <w:rFonts w:ascii="Times New Roman" w:eastAsia="宋体" w:hAnsi="Times New Roman"/>
          <w:color w:val="000000"/>
          <w:sz w:val="20"/>
          <w:szCs w:val="20"/>
        </w:rPr>
        <w:t>f 85% of the fair market value of the stock at the time of grant or 85% of the fair market value at the time of exercise.</w:t>
      </w:r>
    </w:p>
    <w:p w14:paraId="7DD01459" w14:textId="77777777" w:rsidR="00C1563E" w:rsidRDefault="00C1563E"/>
    <w:p w14:paraId="7DD0145A" w14:textId="77777777" w:rsidR="00C1563E" w:rsidRDefault="000B648B">
      <w:r>
        <w:rPr>
          <w:rFonts w:ascii="Times New Roman" w:eastAsia="宋体" w:hAnsi="Times New Roman"/>
          <w:color w:val="000000"/>
          <w:sz w:val="20"/>
          <w:szCs w:val="20"/>
        </w:rPr>
        <w:t xml:space="preserve">The option period is generally twelve months and includes two embedded six-month option periods. Options are exercised at the end of </w:t>
      </w:r>
      <w:r>
        <w:rPr>
          <w:rFonts w:ascii="Times New Roman" w:eastAsia="宋体" w:hAnsi="Times New Roman"/>
          <w:color w:val="000000"/>
          <w:sz w:val="20"/>
          <w:szCs w:val="20"/>
        </w:rPr>
        <w:t>each embedded option period. If the fair market value of the stock is lower on the first day of the second embedded option period than it was at the time of grant, then the twelve-month option period expires and each enrolled participant is granted a new t</w:t>
      </w:r>
      <w:r>
        <w:rPr>
          <w:rFonts w:ascii="Times New Roman" w:eastAsia="宋体" w:hAnsi="Times New Roman"/>
          <w:color w:val="000000"/>
          <w:sz w:val="20"/>
          <w:szCs w:val="20"/>
        </w:rPr>
        <w:t>welve-month option. As of January 29, 2021, approximately 12 million shares of VMware, Inc. Class A common stock were available for issuance under the ESPP.</w:t>
      </w:r>
    </w:p>
    <w:p w14:paraId="7DD0145B" w14:textId="77777777" w:rsidR="00C1563E" w:rsidRDefault="00C1563E"/>
    <w:p w14:paraId="7DD0145C" w14:textId="77777777" w:rsidR="00C1563E" w:rsidRDefault="00C1563E">
      <w:pPr>
        <w:jc w:val="center"/>
      </w:pPr>
    </w:p>
    <w:p w14:paraId="7DD0145D" w14:textId="77777777" w:rsidR="00C1563E" w:rsidRDefault="000B648B">
      <w:pPr>
        <w:jc w:val="center"/>
      </w:pPr>
      <w:r>
        <w:rPr>
          <w:rFonts w:ascii="Times New Roman" w:eastAsia="宋体" w:hAnsi="Times New Roman"/>
          <w:color w:val="000000"/>
          <w:sz w:val="20"/>
          <w:szCs w:val="20"/>
        </w:rPr>
        <w:t>149</w:t>
      </w:r>
    </w:p>
    <w:p w14:paraId="7DD0145E" w14:textId="77777777" w:rsidR="00C1563E" w:rsidRDefault="00C1563E">
      <w:pPr>
        <w:jc w:val="center"/>
      </w:pPr>
    </w:p>
    <w:p w14:paraId="7DD0145F" w14:textId="77777777" w:rsidR="00C1563E" w:rsidRDefault="000B648B">
      <w:r>
        <w:pict w14:anchorId="7DD025FF">
          <v:rect id="_x0000_i1173" style="width:415.3pt;height:1.5pt" o:hralign="center" o:hrstd="t" o:hr="t" fillcolor="#a0a0a0" stroked="f"/>
        </w:pict>
      </w:r>
    </w:p>
    <w:p w14:paraId="7DD01460" w14:textId="77777777" w:rsidR="00C1563E" w:rsidRDefault="000B648B">
      <w:hyperlink r:id="rId332" w:anchor="i418e32e4a35149ffbf7d3a25d66881b8_10" w:history="1">
        <w:r>
          <w:rPr>
            <w:rStyle w:val="a5"/>
            <w:rFonts w:ascii="Times New Roman" w:eastAsia="宋体" w:hAnsi="Times New Roman"/>
            <w:sz w:val="20"/>
            <w:szCs w:val="20"/>
          </w:rPr>
          <w:t>Table of Contents</w:t>
        </w:r>
      </w:hyperlink>
    </w:p>
    <w:p w14:paraId="7DD01461" w14:textId="77777777" w:rsidR="00C1563E" w:rsidRDefault="000B648B">
      <w:pPr>
        <w:spacing w:after="120"/>
      </w:pPr>
      <w:r>
        <w:rPr>
          <w:rFonts w:ascii="Times New Roman" w:eastAsia="宋体" w:hAnsi="Times New Roman"/>
          <w:color w:val="000000"/>
          <w:sz w:val="20"/>
          <w:szCs w:val="20"/>
        </w:rPr>
        <w:t>The following table presents ESPP activity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37"/>
        <w:gridCol w:w="38"/>
        <w:gridCol w:w="120"/>
        <w:gridCol w:w="1372"/>
        <w:gridCol w:w="36"/>
        <w:gridCol w:w="36"/>
        <w:gridCol w:w="36"/>
        <w:gridCol w:w="36"/>
        <w:gridCol w:w="120"/>
        <w:gridCol w:w="1332"/>
        <w:gridCol w:w="36"/>
        <w:gridCol w:w="36"/>
        <w:gridCol w:w="36"/>
        <w:gridCol w:w="36"/>
        <w:gridCol w:w="121"/>
        <w:gridCol w:w="1333"/>
        <w:gridCol w:w="36"/>
      </w:tblGrid>
      <w:tr w:rsidR="00C1563E" w14:paraId="7DD01474" w14:textId="77777777">
        <w:trPr>
          <w:jc w:val="center"/>
        </w:trPr>
        <w:tc>
          <w:tcPr>
            <w:tcW w:w="50" w:type="pct"/>
            <w:shd w:val="clear" w:color="auto" w:fill="auto"/>
          </w:tcPr>
          <w:p w14:paraId="7DD01462" w14:textId="77777777" w:rsidR="00C1563E" w:rsidRDefault="00C1563E">
            <w:pPr>
              <w:rPr>
                <w:rFonts w:ascii="宋体"/>
              </w:rPr>
            </w:pPr>
          </w:p>
        </w:tc>
        <w:tc>
          <w:tcPr>
            <w:tcW w:w="2152" w:type="pct"/>
            <w:shd w:val="clear" w:color="auto" w:fill="auto"/>
          </w:tcPr>
          <w:p w14:paraId="7DD01463" w14:textId="77777777" w:rsidR="00C1563E" w:rsidRDefault="00C1563E">
            <w:pPr>
              <w:rPr>
                <w:rFonts w:ascii="宋体"/>
              </w:rPr>
            </w:pPr>
          </w:p>
        </w:tc>
        <w:tc>
          <w:tcPr>
            <w:tcW w:w="5" w:type="pct"/>
            <w:shd w:val="clear" w:color="auto" w:fill="auto"/>
          </w:tcPr>
          <w:p w14:paraId="7DD01464" w14:textId="77777777" w:rsidR="00C1563E" w:rsidRDefault="00C1563E">
            <w:pPr>
              <w:rPr>
                <w:rFonts w:ascii="宋体"/>
              </w:rPr>
            </w:pPr>
          </w:p>
        </w:tc>
        <w:tc>
          <w:tcPr>
            <w:tcW w:w="50" w:type="pct"/>
            <w:shd w:val="clear" w:color="auto" w:fill="auto"/>
          </w:tcPr>
          <w:p w14:paraId="7DD01465" w14:textId="77777777" w:rsidR="00C1563E" w:rsidRDefault="00C1563E">
            <w:pPr>
              <w:rPr>
                <w:rFonts w:ascii="宋体"/>
              </w:rPr>
            </w:pPr>
          </w:p>
        </w:tc>
        <w:tc>
          <w:tcPr>
            <w:tcW w:w="851" w:type="pct"/>
            <w:shd w:val="clear" w:color="auto" w:fill="auto"/>
          </w:tcPr>
          <w:p w14:paraId="7DD01466" w14:textId="77777777" w:rsidR="00C1563E" w:rsidRDefault="00C1563E">
            <w:pPr>
              <w:rPr>
                <w:rFonts w:ascii="宋体"/>
              </w:rPr>
            </w:pPr>
          </w:p>
        </w:tc>
        <w:tc>
          <w:tcPr>
            <w:tcW w:w="5" w:type="pct"/>
            <w:shd w:val="clear" w:color="auto" w:fill="auto"/>
          </w:tcPr>
          <w:p w14:paraId="7DD01467" w14:textId="77777777" w:rsidR="00C1563E" w:rsidRDefault="00C1563E">
            <w:pPr>
              <w:rPr>
                <w:rFonts w:ascii="宋体"/>
              </w:rPr>
            </w:pPr>
          </w:p>
        </w:tc>
        <w:tc>
          <w:tcPr>
            <w:tcW w:w="5" w:type="pct"/>
            <w:shd w:val="clear" w:color="auto" w:fill="auto"/>
          </w:tcPr>
          <w:p w14:paraId="7DD01468" w14:textId="77777777" w:rsidR="00C1563E" w:rsidRDefault="00C1563E">
            <w:pPr>
              <w:rPr>
                <w:rFonts w:ascii="宋体"/>
              </w:rPr>
            </w:pPr>
          </w:p>
        </w:tc>
        <w:tc>
          <w:tcPr>
            <w:tcW w:w="26" w:type="pct"/>
            <w:shd w:val="clear" w:color="auto" w:fill="auto"/>
          </w:tcPr>
          <w:p w14:paraId="7DD01469" w14:textId="77777777" w:rsidR="00C1563E" w:rsidRDefault="00C1563E">
            <w:pPr>
              <w:rPr>
                <w:rFonts w:ascii="宋体"/>
              </w:rPr>
            </w:pPr>
          </w:p>
        </w:tc>
        <w:tc>
          <w:tcPr>
            <w:tcW w:w="5" w:type="pct"/>
            <w:shd w:val="clear" w:color="auto" w:fill="auto"/>
          </w:tcPr>
          <w:p w14:paraId="7DD0146A" w14:textId="77777777" w:rsidR="00C1563E" w:rsidRDefault="00C1563E">
            <w:pPr>
              <w:rPr>
                <w:rFonts w:ascii="宋体"/>
              </w:rPr>
            </w:pPr>
          </w:p>
        </w:tc>
        <w:tc>
          <w:tcPr>
            <w:tcW w:w="50" w:type="pct"/>
            <w:shd w:val="clear" w:color="auto" w:fill="auto"/>
          </w:tcPr>
          <w:p w14:paraId="7DD0146B" w14:textId="77777777" w:rsidR="00C1563E" w:rsidRDefault="00C1563E">
            <w:pPr>
              <w:rPr>
                <w:rFonts w:ascii="宋体"/>
              </w:rPr>
            </w:pPr>
          </w:p>
        </w:tc>
        <w:tc>
          <w:tcPr>
            <w:tcW w:w="851" w:type="pct"/>
            <w:shd w:val="clear" w:color="auto" w:fill="auto"/>
          </w:tcPr>
          <w:p w14:paraId="7DD0146C" w14:textId="77777777" w:rsidR="00C1563E" w:rsidRDefault="00C1563E">
            <w:pPr>
              <w:rPr>
                <w:rFonts w:ascii="宋体"/>
              </w:rPr>
            </w:pPr>
          </w:p>
        </w:tc>
        <w:tc>
          <w:tcPr>
            <w:tcW w:w="5" w:type="pct"/>
            <w:shd w:val="clear" w:color="auto" w:fill="auto"/>
          </w:tcPr>
          <w:p w14:paraId="7DD0146D" w14:textId="77777777" w:rsidR="00C1563E" w:rsidRDefault="00C1563E">
            <w:pPr>
              <w:rPr>
                <w:rFonts w:ascii="宋体"/>
              </w:rPr>
            </w:pPr>
          </w:p>
        </w:tc>
        <w:tc>
          <w:tcPr>
            <w:tcW w:w="5" w:type="pct"/>
            <w:shd w:val="clear" w:color="auto" w:fill="auto"/>
          </w:tcPr>
          <w:p w14:paraId="7DD0146E" w14:textId="77777777" w:rsidR="00C1563E" w:rsidRDefault="00C1563E">
            <w:pPr>
              <w:rPr>
                <w:rFonts w:ascii="宋体"/>
              </w:rPr>
            </w:pPr>
          </w:p>
        </w:tc>
        <w:tc>
          <w:tcPr>
            <w:tcW w:w="26" w:type="pct"/>
            <w:shd w:val="clear" w:color="auto" w:fill="auto"/>
          </w:tcPr>
          <w:p w14:paraId="7DD0146F" w14:textId="77777777" w:rsidR="00C1563E" w:rsidRDefault="00C1563E">
            <w:pPr>
              <w:rPr>
                <w:rFonts w:ascii="宋体"/>
              </w:rPr>
            </w:pPr>
          </w:p>
        </w:tc>
        <w:tc>
          <w:tcPr>
            <w:tcW w:w="5" w:type="pct"/>
            <w:shd w:val="clear" w:color="auto" w:fill="auto"/>
          </w:tcPr>
          <w:p w14:paraId="7DD01470" w14:textId="77777777" w:rsidR="00C1563E" w:rsidRDefault="00C1563E">
            <w:pPr>
              <w:rPr>
                <w:rFonts w:ascii="宋体"/>
              </w:rPr>
            </w:pPr>
          </w:p>
        </w:tc>
        <w:tc>
          <w:tcPr>
            <w:tcW w:w="50" w:type="pct"/>
            <w:shd w:val="clear" w:color="auto" w:fill="auto"/>
          </w:tcPr>
          <w:p w14:paraId="7DD01471" w14:textId="77777777" w:rsidR="00C1563E" w:rsidRDefault="00C1563E">
            <w:pPr>
              <w:rPr>
                <w:rFonts w:ascii="宋体"/>
              </w:rPr>
            </w:pPr>
          </w:p>
        </w:tc>
        <w:tc>
          <w:tcPr>
            <w:tcW w:w="851" w:type="pct"/>
            <w:shd w:val="clear" w:color="auto" w:fill="auto"/>
          </w:tcPr>
          <w:p w14:paraId="7DD01472" w14:textId="77777777" w:rsidR="00C1563E" w:rsidRDefault="00C1563E">
            <w:pPr>
              <w:rPr>
                <w:rFonts w:ascii="宋体"/>
              </w:rPr>
            </w:pPr>
          </w:p>
        </w:tc>
        <w:tc>
          <w:tcPr>
            <w:tcW w:w="5" w:type="pct"/>
            <w:shd w:val="clear" w:color="auto" w:fill="auto"/>
          </w:tcPr>
          <w:p w14:paraId="7DD01473" w14:textId="77777777" w:rsidR="00C1563E" w:rsidRDefault="00C1563E">
            <w:pPr>
              <w:rPr>
                <w:rFonts w:ascii="宋体"/>
              </w:rPr>
            </w:pPr>
          </w:p>
        </w:tc>
      </w:tr>
      <w:tr w:rsidR="00C1563E" w14:paraId="7DD01477" w14:textId="77777777">
        <w:trPr>
          <w:jc w:val="center"/>
        </w:trPr>
        <w:tc>
          <w:tcPr>
            <w:tcW w:w="0" w:type="auto"/>
            <w:gridSpan w:val="3"/>
            <w:shd w:val="clear" w:color="auto" w:fill="auto"/>
            <w:tcMar>
              <w:top w:w="0" w:type="dxa"/>
              <w:left w:w="20" w:type="dxa"/>
              <w:bottom w:w="0" w:type="dxa"/>
              <w:right w:w="20" w:type="dxa"/>
            </w:tcMar>
          </w:tcPr>
          <w:p w14:paraId="7DD01475"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476"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47E" w14:textId="77777777">
        <w:trPr>
          <w:jc w:val="center"/>
        </w:trPr>
        <w:tc>
          <w:tcPr>
            <w:tcW w:w="0" w:type="auto"/>
            <w:gridSpan w:val="3"/>
            <w:shd w:val="clear" w:color="auto" w:fill="auto"/>
            <w:tcMar>
              <w:top w:w="0" w:type="dxa"/>
              <w:left w:w="20" w:type="dxa"/>
              <w:bottom w:w="0" w:type="dxa"/>
              <w:right w:w="20" w:type="dxa"/>
            </w:tcMar>
          </w:tcPr>
          <w:p w14:paraId="7DD0147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79" w14:textId="77777777" w:rsidR="00C1563E" w:rsidRDefault="000B648B">
            <w:pPr>
              <w:jc w:val="center"/>
              <w:textAlignment w:val="bottom"/>
            </w:pPr>
            <w:r>
              <w:rPr>
                <w:rFonts w:ascii="Times New Roman" w:eastAsia="宋体" w:hAnsi="Times New Roman"/>
                <w:b/>
                <w:bCs/>
                <w:color w:val="000000"/>
                <w:sz w:val="20"/>
                <w:szCs w:val="20"/>
              </w:rPr>
              <w:t>January 29, 2021 (a)</w:t>
            </w:r>
          </w:p>
        </w:tc>
        <w:tc>
          <w:tcPr>
            <w:tcW w:w="0" w:type="auto"/>
            <w:gridSpan w:val="3"/>
            <w:tcBorders>
              <w:top w:val="single" w:sz="8" w:space="0" w:color="000000"/>
            </w:tcBorders>
            <w:shd w:val="clear" w:color="auto" w:fill="auto"/>
            <w:tcMar>
              <w:top w:w="0" w:type="dxa"/>
              <w:left w:w="20" w:type="dxa"/>
              <w:bottom w:w="0" w:type="dxa"/>
              <w:right w:w="20" w:type="dxa"/>
            </w:tcMar>
          </w:tcPr>
          <w:p w14:paraId="7DD0147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47B"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47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47D"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481" w14:textId="77777777">
        <w:trPr>
          <w:jc w:val="center"/>
        </w:trPr>
        <w:tc>
          <w:tcPr>
            <w:tcW w:w="0" w:type="auto"/>
            <w:gridSpan w:val="3"/>
            <w:shd w:val="clear" w:color="auto" w:fill="auto"/>
            <w:tcMar>
              <w:top w:w="0" w:type="dxa"/>
              <w:left w:w="20" w:type="dxa"/>
              <w:bottom w:w="0" w:type="dxa"/>
              <w:right w:w="20" w:type="dxa"/>
            </w:tcMar>
          </w:tcPr>
          <w:p w14:paraId="7DD0147F"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480" w14:textId="77777777" w:rsidR="00C1563E" w:rsidRDefault="000B648B">
            <w:pPr>
              <w:jc w:val="center"/>
              <w:textAlignment w:val="bottom"/>
            </w:pPr>
            <w:r>
              <w:rPr>
                <w:rFonts w:ascii="Times New Roman" w:eastAsia="宋体" w:hAnsi="Times New Roman"/>
                <w:color w:val="000000"/>
                <w:sz w:val="20"/>
                <w:szCs w:val="20"/>
              </w:rPr>
              <w:t>(in millions, except per share amounts)</w:t>
            </w:r>
          </w:p>
        </w:tc>
      </w:tr>
      <w:tr w:rsidR="00C1563E" w14:paraId="7DD0148E" w14:textId="77777777">
        <w:trPr>
          <w:jc w:val="center"/>
        </w:trPr>
        <w:tc>
          <w:tcPr>
            <w:tcW w:w="0" w:type="auto"/>
            <w:gridSpan w:val="3"/>
            <w:shd w:val="clear" w:color="auto" w:fill="CCEEFF"/>
            <w:tcMar>
              <w:top w:w="40" w:type="dxa"/>
              <w:left w:w="20" w:type="dxa"/>
              <w:bottom w:w="40" w:type="dxa"/>
              <w:right w:w="20" w:type="dxa"/>
            </w:tcMar>
            <w:vAlign w:val="bottom"/>
          </w:tcPr>
          <w:p w14:paraId="7DD01482" w14:textId="77777777" w:rsidR="00C1563E" w:rsidRDefault="000B648B">
            <w:pPr>
              <w:textAlignment w:val="bottom"/>
            </w:pPr>
            <w:r>
              <w:rPr>
                <w:rFonts w:ascii="Times New Roman" w:eastAsia="宋体" w:hAnsi="Times New Roman"/>
                <w:color w:val="000000"/>
                <w:sz w:val="20"/>
                <w:szCs w:val="20"/>
              </w:rPr>
              <w:t>Cash proceeds</w:t>
            </w:r>
          </w:p>
        </w:tc>
        <w:tc>
          <w:tcPr>
            <w:tcW w:w="0" w:type="auto"/>
            <w:shd w:val="clear" w:color="auto" w:fill="CCEEFF"/>
            <w:tcMar>
              <w:top w:w="40" w:type="dxa"/>
              <w:left w:w="20" w:type="dxa"/>
              <w:bottom w:w="40" w:type="dxa"/>
              <w:right w:w="0" w:type="dxa"/>
            </w:tcMar>
            <w:vAlign w:val="bottom"/>
          </w:tcPr>
          <w:p w14:paraId="7DD0148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84" w14:textId="77777777" w:rsidR="00C1563E" w:rsidRDefault="000B648B">
            <w:pPr>
              <w:jc w:val="right"/>
              <w:textAlignment w:val="bottom"/>
            </w:pPr>
            <w:r>
              <w:rPr>
                <w:rFonts w:ascii="Times New Roman" w:eastAsia="宋体" w:hAnsi="Times New Roman"/>
                <w:color w:val="000000"/>
                <w:sz w:val="20"/>
                <w:szCs w:val="20"/>
              </w:rPr>
              <w:t>207 </w:t>
            </w:r>
          </w:p>
        </w:tc>
        <w:tc>
          <w:tcPr>
            <w:tcW w:w="0" w:type="auto"/>
            <w:shd w:val="clear" w:color="auto" w:fill="CCEEFF"/>
            <w:tcMar>
              <w:top w:w="40" w:type="dxa"/>
              <w:left w:w="0" w:type="dxa"/>
              <w:bottom w:w="40" w:type="dxa"/>
              <w:right w:w="20" w:type="dxa"/>
            </w:tcMar>
            <w:vAlign w:val="bottom"/>
          </w:tcPr>
          <w:p w14:paraId="7DD0148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86"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8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88" w14:textId="77777777" w:rsidR="00C1563E" w:rsidRDefault="000B648B">
            <w:pPr>
              <w:jc w:val="right"/>
              <w:textAlignment w:val="bottom"/>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bottom"/>
          </w:tcPr>
          <w:p w14:paraId="7DD014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8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8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8C" w14:textId="77777777" w:rsidR="00C1563E" w:rsidRDefault="000B648B">
            <w:pPr>
              <w:jc w:val="right"/>
              <w:textAlignment w:val="bottom"/>
            </w:pPr>
            <w:r>
              <w:rPr>
                <w:rFonts w:ascii="Times New Roman" w:eastAsia="宋体" w:hAnsi="Times New Roman"/>
                <w:color w:val="000000"/>
                <w:sz w:val="20"/>
                <w:szCs w:val="20"/>
              </w:rPr>
              <w:t>161 </w:t>
            </w:r>
          </w:p>
        </w:tc>
        <w:tc>
          <w:tcPr>
            <w:tcW w:w="0" w:type="auto"/>
            <w:shd w:val="clear" w:color="auto" w:fill="CCEEFF"/>
            <w:tcMar>
              <w:top w:w="40" w:type="dxa"/>
              <w:left w:w="0" w:type="dxa"/>
              <w:bottom w:w="40" w:type="dxa"/>
              <w:right w:w="20" w:type="dxa"/>
            </w:tcMar>
            <w:vAlign w:val="bottom"/>
          </w:tcPr>
          <w:p w14:paraId="7DD0148D" w14:textId="77777777" w:rsidR="00C1563E" w:rsidRDefault="00C1563E">
            <w:pPr>
              <w:jc w:val="right"/>
              <w:rPr>
                <w:rFonts w:ascii="宋体"/>
              </w:rPr>
            </w:pPr>
          </w:p>
        </w:tc>
      </w:tr>
      <w:tr w:rsidR="00C1563E" w14:paraId="7DD01498" w14:textId="77777777">
        <w:trPr>
          <w:jc w:val="center"/>
        </w:trPr>
        <w:tc>
          <w:tcPr>
            <w:tcW w:w="0" w:type="auto"/>
            <w:gridSpan w:val="3"/>
            <w:shd w:val="clear" w:color="auto" w:fill="FFFFFF"/>
            <w:tcMar>
              <w:top w:w="40" w:type="dxa"/>
              <w:left w:w="20" w:type="dxa"/>
              <w:bottom w:w="40" w:type="dxa"/>
              <w:right w:w="20" w:type="dxa"/>
            </w:tcMar>
            <w:vAlign w:val="bottom"/>
          </w:tcPr>
          <w:p w14:paraId="7DD0148F" w14:textId="77777777" w:rsidR="00C1563E" w:rsidRDefault="000B648B">
            <w:pPr>
              <w:textAlignment w:val="bottom"/>
            </w:pPr>
            <w:r>
              <w:rPr>
                <w:rFonts w:ascii="Times New Roman" w:eastAsia="宋体" w:hAnsi="Times New Roman"/>
                <w:color w:val="000000"/>
                <w:sz w:val="20"/>
                <w:szCs w:val="20"/>
              </w:rPr>
              <w:t>Class A common shares purchased</w:t>
            </w:r>
          </w:p>
        </w:tc>
        <w:tc>
          <w:tcPr>
            <w:tcW w:w="0" w:type="auto"/>
            <w:gridSpan w:val="2"/>
            <w:shd w:val="clear" w:color="auto" w:fill="FFFFFF"/>
            <w:tcMar>
              <w:top w:w="40" w:type="dxa"/>
              <w:left w:w="20" w:type="dxa"/>
              <w:bottom w:w="40" w:type="dxa"/>
              <w:right w:w="0" w:type="dxa"/>
            </w:tcMar>
            <w:vAlign w:val="bottom"/>
          </w:tcPr>
          <w:p w14:paraId="7DD01490"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DD0149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9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493"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DD0149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9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496" w14:textId="77777777" w:rsidR="00C1563E" w:rsidRDefault="000B648B">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DD01497" w14:textId="77777777" w:rsidR="00C1563E" w:rsidRDefault="00C1563E">
            <w:pPr>
              <w:jc w:val="right"/>
              <w:rPr>
                <w:rFonts w:ascii="宋体"/>
              </w:rPr>
            </w:pPr>
          </w:p>
        </w:tc>
      </w:tr>
      <w:tr w:rsidR="00C1563E" w14:paraId="7DD014A5" w14:textId="77777777">
        <w:trPr>
          <w:jc w:val="center"/>
        </w:trPr>
        <w:tc>
          <w:tcPr>
            <w:tcW w:w="0" w:type="auto"/>
            <w:gridSpan w:val="3"/>
            <w:shd w:val="clear" w:color="auto" w:fill="CCEEFF"/>
            <w:tcMar>
              <w:top w:w="40" w:type="dxa"/>
              <w:left w:w="20" w:type="dxa"/>
              <w:bottom w:w="40" w:type="dxa"/>
              <w:right w:w="20" w:type="dxa"/>
            </w:tcMar>
            <w:vAlign w:val="bottom"/>
          </w:tcPr>
          <w:p w14:paraId="7DD01499" w14:textId="77777777" w:rsidR="00C1563E" w:rsidRDefault="000B648B">
            <w:pPr>
              <w:textAlignment w:val="bottom"/>
            </w:pPr>
            <w:r>
              <w:rPr>
                <w:rFonts w:ascii="Times New Roman" w:eastAsia="宋体" w:hAnsi="Times New Roman"/>
                <w:color w:val="000000"/>
                <w:sz w:val="20"/>
                <w:szCs w:val="20"/>
              </w:rPr>
              <w:t>Weighted-average price per share</w:t>
            </w:r>
          </w:p>
        </w:tc>
        <w:tc>
          <w:tcPr>
            <w:tcW w:w="0" w:type="auto"/>
            <w:shd w:val="clear" w:color="auto" w:fill="CCEEFF"/>
            <w:tcMar>
              <w:top w:w="40" w:type="dxa"/>
              <w:left w:w="20" w:type="dxa"/>
              <w:bottom w:w="40" w:type="dxa"/>
              <w:right w:w="0" w:type="dxa"/>
            </w:tcMar>
            <w:vAlign w:val="bottom"/>
          </w:tcPr>
          <w:p w14:paraId="7DD0149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9B" w14:textId="77777777" w:rsidR="00C1563E" w:rsidRDefault="000B648B">
            <w:pPr>
              <w:jc w:val="right"/>
              <w:textAlignment w:val="bottom"/>
            </w:pPr>
            <w:r>
              <w:rPr>
                <w:rFonts w:ascii="Times New Roman" w:eastAsia="宋体" w:hAnsi="Times New Roman"/>
                <w:color w:val="000000"/>
                <w:sz w:val="20"/>
                <w:szCs w:val="20"/>
              </w:rPr>
              <w:t>102.44 </w:t>
            </w:r>
          </w:p>
        </w:tc>
        <w:tc>
          <w:tcPr>
            <w:tcW w:w="0" w:type="auto"/>
            <w:shd w:val="clear" w:color="auto" w:fill="CCEEFF"/>
            <w:tcMar>
              <w:top w:w="40" w:type="dxa"/>
              <w:left w:w="0" w:type="dxa"/>
              <w:bottom w:w="40" w:type="dxa"/>
              <w:right w:w="20" w:type="dxa"/>
            </w:tcMar>
            <w:vAlign w:val="bottom"/>
          </w:tcPr>
          <w:p w14:paraId="7DD0149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9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9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9F" w14:textId="77777777" w:rsidR="00C1563E" w:rsidRDefault="000B648B">
            <w:pPr>
              <w:jc w:val="right"/>
              <w:textAlignment w:val="bottom"/>
            </w:pPr>
            <w:r>
              <w:rPr>
                <w:rFonts w:ascii="Times New Roman" w:eastAsia="宋体" w:hAnsi="Times New Roman"/>
                <w:color w:val="000000"/>
                <w:sz w:val="20"/>
                <w:szCs w:val="20"/>
              </w:rPr>
              <w:t>115.51 </w:t>
            </w:r>
          </w:p>
        </w:tc>
        <w:tc>
          <w:tcPr>
            <w:tcW w:w="0" w:type="auto"/>
            <w:shd w:val="clear" w:color="auto" w:fill="CCEEFF"/>
            <w:tcMar>
              <w:top w:w="40" w:type="dxa"/>
              <w:left w:w="0" w:type="dxa"/>
              <w:bottom w:w="40" w:type="dxa"/>
              <w:right w:w="20" w:type="dxa"/>
            </w:tcMar>
            <w:vAlign w:val="bottom"/>
          </w:tcPr>
          <w:p w14:paraId="7DD014A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A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A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A3" w14:textId="77777777" w:rsidR="00C1563E" w:rsidRDefault="000B648B">
            <w:pPr>
              <w:jc w:val="right"/>
              <w:textAlignment w:val="bottom"/>
            </w:pPr>
            <w:r>
              <w:rPr>
                <w:rFonts w:ascii="Times New Roman" w:eastAsia="宋体" w:hAnsi="Times New Roman"/>
                <w:color w:val="000000"/>
                <w:sz w:val="20"/>
                <w:szCs w:val="20"/>
              </w:rPr>
              <w:t>84.95 </w:t>
            </w:r>
          </w:p>
        </w:tc>
        <w:tc>
          <w:tcPr>
            <w:tcW w:w="0" w:type="auto"/>
            <w:shd w:val="clear" w:color="auto" w:fill="CCEEFF"/>
            <w:tcMar>
              <w:top w:w="40" w:type="dxa"/>
              <w:left w:w="0" w:type="dxa"/>
              <w:bottom w:w="40" w:type="dxa"/>
              <w:right w:w="20" w:type="dxa"/>
            </w:tcMar>
            <w:vAlign w:val="bottom"/>
          </w:tcPr>
          <w:p w14:paraId="7DD014A4" w14:textId="77777777" w:rsidR="00C1563E" w:rsidRDefault="00C1563E">
            <w:pPr>
              <w:jc w:val="right"/>
              <w:rPr>
                <w:rFonts w:ascii="宋体"/>
              </w:rPr>
            </w:pPr>
          </w:p>
        </w:tc>
      </w:tr>
    </w:tbl>
    <w:p w14:paraId="7DD014A6" w14:textId="77777777" w:rsidR="00C1563E" w:rsidRDefault="000B648B">
      <w:r>
        <w:rPr>
          <w:rFonts w:ascii="Times New Roman" w:eastAsia="宋体" w:hAnsi="Times New Roman"/>
          <w:color w:val="000000"/>
          <w:sz w:val="20"/>
          <w:szCs w:val="20"/>
        </w:rPr>
        <w:t>____________________</w:t>
      </w:r>
    </w:p>
    <w:p w14:paraId="7DD014A7" w14:textId="77777777" w:rsidR="00C1563E" w:rsidRDefault="000B648B">
      <w:pPr>
        <w:ind w:hanging="360"/>
      </w:pPr>
      <w:r>
        <w:rPr>
          <w:rFonts w:ascii="Times New Roman" w:eastAsia="宋体" w:hAnsi="Times New Roman"/>
          <w:color w:val="000000"/>
          <w:sz w:val="20"/>
          <w:szCs w:val="20"/>
        </w:rPr>
        <w:t xml:space="preserve">(a) During the fiscal year ended January 29, 2021, $107 million of ESPP withholdings was recorded as a liability in accrued and other on the Consolidated Statements of Financial Position related to a purchase under </w:t>
      </w:r>
      <w:r>
        <w:rPr>
          <w:rFonts w:ascii="Times New Roman" w:eastAsia="宋体" w:hAnsi="Times New Roman"/>
          <w:color w:val="000000"/>
          <w:sz w:val="20"/>
          <w:szCs w:val="20"/>
        </w:rPr>
        <w:t>the ESPP that occurred on February 28, 2021, subsequent to the fiscal year ended January 29, 2021.</w:t>
      </w:r>
    </w:p>
    <w:p w14:paraId="7DD014A8" w14:textId="77777777" w:rsidR="00C1563E" w:rsidRDefault="00C1563E">
      <w:pPr>
        <w:ind w:hanging="360"/>
      </w:pPr>
    </w:p>
    <w:p w14:paraId="7DD014A9" w14:textId="77777777" w:rsidR="00C1563E" w:rsidRDefault="000B648B">
      <w:r>
        <w:rPr>
          <w:rFonts w:ascii="Times New Roman" w:eastAsia="宋体" w:hAnsi="Times New Roman"/>
          <w:color w:val="000000"/>
          <w:sz w:val="20"/>
          <w:szCs w:val="20"/>
        </w:rPr>
        <w:t>Total unrecognized stock-based compensation expense as of January 29, 2021 for the ESPP was $11 million.</w:t>
      </w:r>
    </w:p>
    <w:p w14:paraId="7DD014AA" w14:textId="77777777" w:rsidR="00C1563E" w:rsidRDefault="00C1563E"/>
    <w:p w14:paraId="7DD014AB" w14:textId="77777777" w:rsidR="00C1563E" w:rsidRDefault="000B648B">
      <w:pPr>
        <w:spacing w:after="120"/>
      </w:pPr>
      <w:r>
        <w:rPr>
          <w:rFonts w:ascii="Times New Roman" w:eastAsia="宋体" w:hAnsi="Times New Roman"/>
          <w:i/>
          <w:iCs/>
          <w:color w:val="000000"/>
          <w:sz w:val="20"/>
          <w:szCs w:val="20"/>
        </w:rPr>
        <w:t xml:space="preserve">VMware, Inc. 2007 Equity and Incentive Plan Stock </w:t>
      </w:r>
      <w:r>
        <w:rPr>
          <w:rFonts w:ascii="Times New Roman" w:eastAsia="宋体" w:hAnsi="Times New Roman"/>
          <w:i/>
          <w:iCs/>
          <w:color w:val="000000"/>
          <w:sz w:val="20"/>
          <w:szCs w:val="20"/>
        </w:rPr>
        <w:t>Options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The following table presents stock option activity for VMware, Inc. employees in VMware, Inc. stock options for the periods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2784"/>
        <w:gridCol w:w="38"/>
        <w:gridCol w:w="60"/>
        <w:gridCol w:w="687"/>
        <w:gridCol w:w="36"/>
        <w:gridCol w:w="36"/>
        <w:gridCol w:w="36"/>
        <w:gridCol w:w="36"/>
        <w:gridCol w:w="121"/>
        <w:gridCol w:w="1523"/>
        <w:gridCol w:w="36"/>
        <w:gridCol w:w="36"/>
        <w:gridCol w:w="36"/>
        <w:gridCol w:w="36"/>
        <w:gridCol w:w="97"/>
        <w:gridCol w:w="1534"/>
        <w:gridCol w:w="36"/>
        <w:gridCol w:w="36"/>
        <w:gridCol w:w="36"/>
        <w:gridCol w:w="36"/>
        <w:gridCol w:w="121"/>
        <w:gridCol w:w="847"/>
        <w:gridCol w:w="36"/>
      </w:tblGrid>
      <w:tr w:rsidR="00C1563E" w14:paraId="7DD014C4" w14:textId="77777777">
        <w:trPr>
          <w:jc w:val="center"/>
        </w:trPr>
        <w:tc>
          <w:tcPr>
            <w:tcW w:w="50" w:type="pct"/>
            <w:shd w:val="clear" w:color="auto" w:fill="auto"/>
          </w:tcPr>
          <w:p w14:paraId="7DD014AC" w14:textId="77777777" w:rsidR="00C1563E" w:rsidRDefault="00C1563E">
            <w:pPr>
              <w:rPr>
                <w:rFonts w:ascii="宋体"/>
              </w:rPr>
            </w:pPr>
          </w:p>
        </w:tc>
        <w:tc>
          <w:tcPr>
            <w:tcW w:w="1870" w:type="pct"/>
            <w:shd w:val="clear" w:color="auto" w:fill="auto"/>
          </w:tcPr>
          <w:p w14:paraId="7DD014AD" w14:textId="77777777" w:rsidR="00C1563E" w:rsidRDefault="00C1563E">
            <w:pPr>
              <w:rPr>
                <w:rFonts w:ascii="宋体"/>
              </w:rPr>
            </w:pPr>
          </w:p>
        </w:tc>
        <w:tc>
          <w:tcPr>
            <w:tcW w:w="5" w:type="pct"/>
            <w:shd w:val="clear" w:color="auto" w:fill="auto"/>
          </w:tcPr>
          <w:p w14:paraId="7DD014AE" w14:textId="77777777" w:rsidR="00C1563E" w:rsidRDefault="00C1563E">
            <w:pPr>
              <w:rPr>
                <w:rFonts w:ascii="宋体"/>
              </w:rPr>
            </w:pPr>
          </w:p>
        </w:tc>
        <w:tc>
          <w:tcPr>
            <w:tcW w:w="50" w:type="pct"/>
            <w:shd w:val="clear" w:color="auto" w:fill="auto"/>
          </w:tcPr>
          <w:p w14:paraId="7DD014AF" w14:textId="77777777" w:rsidR="00C1563E" w:rsidRDefault="00C1563E">
            <w:pPr>
              <w:rPr>
                <w:rFonts w:ascii="宋体"/>
              </w:rPr>
            </w:pPr>
          </w:p>
        </w:tc>
        <w:tc>
          <w:tcPr>
            <w:tcW w:w="581" w:type="pct"/>
            <w:shd w:val="clear" w:color="auto" w:fill="auto"/>
          </w:tcPr>
          <w:p w14:paraId="7DD014B0" w14:textId="77777777" w:rsidR="00C1563E" w:rsidRDefault="00C1563E">
            <w:pPr>
              <w:rPr>
                <w:rFonts w:ascii="宋体"/>
              </w:rPr>
            </w:pPr>
          </w:p>
        </w:tc>
        <w:tc>
          <w:tcPr>
            <w:tcW w:w="5" w:type="pct"/>
            <w:shd w:val="clear" w:color="auto" w:fill="auto"/>
          </w:tcPr>
          <w:p w14:paraId="7DD014B1" w14:textId="77777777" w:rsidR="00C1563E" w:rsidRDefault="00C1563E">
            <w:pPr>
              <w:rPr>
                <w:rFonts w:ascii="宋体"/>
              </w:rPr>
            </w:pPr>
          </w:p>
        </w:tc>
        <w:tc>
          <w:tcPr>
            <w:tcW w:w="5" w:type="pct"/>
            <w:shd w:val="clear" w:color="auto" w:fill="auto"/>
          </w:tcPr>
          <w:p w14:paraId="7DD014B2" w14:textId="77777777" w:rsidR="00C1563E" w:rsidRDefault="00C1563E">
            <w:pPr>
              <w:rPr>
                <w:rFonts w:ascii="宋体"/>
              </w:rPr>
            </w:pPr>
          </w:p>
        </w:tc>
        <w:tc>
          <w:tcPr>
            <w:tcW w:w="26" w:type="pct"/>
            <w:shd w:val="clear" w:color="auto" w:fill="auto"/>
          </w:tcPr>
          <w:p w14:paraId="7DD014B3" w14:textId="77777777" w:rsidR="00C1563E" w:rsidRDefault="00C1563E">
            <w:pPr>
              <w:rPr>
                <w:rFonts w:ascii="宋体"/>
              </w:rPr>
            </w:pPr>
          </w:p>
        </w:tc>
        <w:tc>
          <w:tcPr>
            <w:tcW w:w="5" w:type="pct"/>
            <w:shd w:val="clear" w:color="auto" w:fill="auto"/>
          </w:tcPr>
          <w:p w14:paraId="7DD014B4" w14:textId="77777777" w:rsidR="00C1563E" w:rsidRDefault="00C1563E">
            <w:pPr>
              <w:rPr>
                <w:rFonts w:ascii="宋体"/>
              </w:rPr>
            </w:pPr>
          </w:p>
        </w:tc>
        <w:tc>
          <w:tcPr>
            <w:tcW w:w="50" w:type="pct"/>
            <w:shd w:val="clear" w:color="auto" w:fill="auto"/>
          </w:tcPr>
          <w:p w14:paraId="7DD014B5" w14:textId="77777777" w:rsidR="00C1563E" w:rsidRDefault="00C1563E">
            <w:pPr>
              <w:rPr>
                <w:rFonts w:ascii="宋体"/>
              </w:rPr>
            </w:pPr>
          </w:p>
        </w:tc>
        <w:tc>
          <w:tcPr>
            <w:tcW w:w="713" w:type="pct"/>
            <w:shd w:val="clear" w:color="auto" w:fill="auto"/>
          </w:tcPr>
          <w:p w14:paraId="7DD014B6" w14:textId="77777777" w:rsidR="00C1563E" w:rsidRDefault="00C1563E">
            <w:pPr>
              <w:rPr>
                <w:rFonts w:ascii="宋体"/>
              </w:rPr>
            </w:pPr>
          </w:p>
        </w:tc>
        <w:tc>
          <w:tcPr>
            <w:tcW w:w="5" w:type="pct"/>
            <w:shd w:val="clear" w:color="auto" w:fill="auto"/>
          </w:tcPr>
          <w:p w14:paraId="7DD014B7" w14:textId="77777777" w:rsidR="00C1563E" w:rsidRDefault="00C1563E">
            <w:pPr>
              <w:rPr>
                <w:rFonts w:ascii="宋体"/>
              </w:rPr>
            </w:pPr>
          </w:p>
        </w:tc>
        <w:tc>
          <w:tcPr>
            <w:tcW w:w="5" w:type="pct"/>
            <w:shd w:val="clear" w:color="auto" w:fill="auto"/>
          </w:tcPr>
          <w:p w14:paraId="7DD014B8" w14:textId="77777777" w:rsidR="00C1563E" w:rsidRDefault="00C1563E">
            <w:pPr>
              <w:rPr>
                <w:rFonts w:ascii="宋体"/>
              </w:rPr>
            </w:pPr>
          </w:p>
        </w:tc>
        <w:tc>
          <w:tcPr>
            <w:tcW w:w="26" w:type="pct"/>
            <w:shd w:val="clear" w:color="auto" w:fill="auto"/>
          </w:tcPr>
          <w:p w14:paraId="7DD014B9" w14:textId="77777777" w:rsidR="00C1563E" w:rsidRDefault="00C1563E">
            <w:pPr>
              <w:rPr>
                <w:rFonts w:ascii="宋体"/>
              </w:rPr>
            </w:pPr>
          </w:p>
        </w:tc>
        <w:tc>
          <w:tcPr>
            <w:tcW w:w="5" w:type="pct"/>
            <w:shd w:val="clear" w:color="auto" w:fill="auto"/>
          </w:tcPr>
          <w:p w14:paraId="7DD014BA" w14:textId="77777777" w:rsidR="00C1563E" w:rsidRDefault="00C1563E">
            <w:pPr>
              <w:rPr>
                <w:rFonts w:ascii="宋体"/>
              </w:rPr>
            </w:pPr>
          </w:p>
        </w:tc>
        <w:tc>
          <w:tcPr>
            <w:tcW w:w="50" w:type="pct"/>
            <w:shd w:val="clear" w:color="auto" w:fill="auto"/>
          </w:tcPr>
          <w:p w14:paraId="7DD014BB" w14:textId="77777777" w:rsidR="00C1563E" w:rsidRDefault="00C1563E">
            <w:pPr>
              <w:rPr>
                <w:rFonts w:ascii="宋体"/>
              </w:rPr>
            </w:pPr>
          </w:p>
        </w:tc>
        <w:tc>
          <w:tcPr>
            <w:tcW w:w="794" w:type="pct"/>
            <w:shd w:val="clear" w:color="auto" w:fill="auto"/>
          </w:tcPr>
          <w:p w14:paraId="7DD014BC" w14:textId="77777777" w:rsidR="00C1563E" w:rsidRDefault="00C1563E">
            <w:pPr>
              <w:rPr>
                <w:rFonts w:ascii="宋体"/>
              </w:rPr>
            </w:pPr>
          </w:p>
        </w:tc>
        <w:tc>
          <w:tcPr>
            <w:tcW w:w="5" w:type="pct"/>
            <w:shd w:val="clear" w:color="auto" w:fill="auto"/>
          </w:tcPr>
          <w:p w14:paraId="7DD014BD" w14:textId="77777777" w:rsidR="00C1563E" w:rsidRDefault="00C1563E">
            <w:pPr>
              <w:rPr>
                <w:rFonts w:ascii="宋体"/>
              </w:rPr>
            </w:pPr>
          </w:p>
        </w:tc>
        <w:tc>
          <w:tcPr>
            <w:tcW w:w="5" w:type="pct"/>
            <w:shd w:val="clear" w:color="auto" w:fill="auto"/>
          </w:tcPr>
          <w:p w14:paraId="7DD014BE" w14:textId="77777777" w:rsidR="00C1563E" w:rsidRDefault="00C1563E">
            <w:pPr>
              <w:rPr>
                <w:rFonts w:ascii="宋体"/>
              </w:rPr>
            </w:pPr>
          </w:p>
        </w:tc>
        <w:tc>
          <w:tcPr>
            <w:tcW w:w="26" w:type="pct"/>
            <w:shd w:val="clear" w:color="auto" w:fill="auto"/>
          </w:tcPr>
          <w:p w14:paraId="7DD014BF" w14:textId="77777777" w:rsidR="00C1563E" w:rsidRDefault="00C1563E">
            <w:pPr>
              <w:rPr>
                <w:rFonts w:ascii="宋体"/>
              </w:rPr>
            </w:pPr>
          </w:p>
        </w:tc>
        <w:tc>
          <w:tcPr>
            <w:tcW w:w="5" w:type="pct"/>
            <w:shd w:val="clear" w:color="auto" w:fill="auto"/>
          </w:tcPr>
          <w:p w14:paraId="7DD014C0" w14:textId="77777777" w:rsidR="00C1563E" w:rsidRDefault="00C1563E">
            <w:pPr>
              <w:rPr>
                <w:rFonts w:ascii="宋体"/>
              </w:rPr>
            </w:pPr>
          </w:p>
        </w:tc>
        <w:tc>
          <w:tcPr>
            <w:tcW w:w="50" w:type="pct"/>
            <w:shd w:val="clear" w:color="auto" w:fill="auto"/>
          </w:tcPr>
          <w:p w14:paraId="7DD014C1" w14:textId="77777777" w:rsidR="00C1563E" w:rsidRDefault="00C1563E">
            <w:pPr>
              <w:rPr>
                <w:rFonts w:ascii="宋体"/>
              </w:rPr>
            </w:pPr>
          </w:p>
        </w:tc>
        <w:tc>
          <w:tcPr>
            <w:tcW w:w="655" w:type="pct"/>
            <w:shd w:val="clear" w:color="auto" w:fill="auto"/>
          </w:tcPr>
          <w:p w14:paraId="7DD014C2" w14:textId="77777777" w:rsidR="00C1563E" w:rsidRDefault="00C1563E">
            <w:pPr>
              <w:rPr>
                <w:rFonts w:ascii="宋体"/>
              </w:rPr>
            </w:pPr>
          </w:p>
        </w:tc>
        <w:tc>
          <w:tcPr>
            <w:tcW w:w="5" w:type="pct"/>
            <w:shd w:val="clear" w:color="auto" w:fill="auto"/>
          </w:tcPr>
          <w:p w14:paraId="7DD014C3" w14:textId="77777777" w:rsidR="00C1563E" w:rsidRDefault="00C1563E">
            <w:pPr>
              <w:rPr>
                <w:rFonts w:ascii="宋体"/>
              </w:rPr>
            </w:pPr>
          </w:p>
        </w:tc>
      </w:tr>
      <w:tr w:rsidR="00C1563E" w14:paraId="7DD014CD" w14:textId="77777777">
        <w:trPr>
          <w:jc w:val="center"/>
        </w:trPr>
        <w:tc>
          <w:tcPr>
            <w:tcW w:w="0" w:type="auto"/>
            <w:gridSpan w:val="3"/>
            <w:shd w:val="clear" w:color="auto" w:fill="auto"/>
            <w:tcMar>
              <w:top w:w="0" w:type="dxa"/>
              <w:left w:w="20" w:type="dxa"/>
              <w:bottom w:w="0" w:type="dxa"/>
              <w:right w:w="20" w:type="dxa"/>
            </w:tcMar>
          </w:tcPr>
          <w:p w14:paraId="7DD014C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C6" w14:textId="77777777" w:rsidR="00C1563E" w:rsidRDefault="000B648B">
            <w:pPr>
              <w:jc w:val="center"/>
              <w:textAlignment w:val="bottom"/>
            </w:pPr>
            <w:r>
              <w:rPr>
                <w:rFonts w:ascii="Times New Roman" w:eastAsia="宋体" w:hAnsi="Times New Roman"/>
                <w:b/>
                <w:bCs/>
                <w:color w:val="000000"/>
                <w:sz w:val="20"/>
                <w:szCs w:val="20"/>
              </w:rPr>
              <w:t>Number of Options</w:t>
            </w:r>
          </w:p>
        </w:tc>
        <w:tc>
          <w:tcPr>
            <w:tcW w:w="0" w:type="auto"/>
            <w:gridSpan w:val="3"/>
            <w:shd w:val="clear" w:color="auto" w:fill="auto"/>
            <w:tcMar>
              <w:top w:w="0" w:type="dxa"/>
              <w:left w:w="20" w:type="dxa"/>
              <w:bottom w:w="0" w:type="dxa"/>
              <w:right w:w="20" w:type="dxa"/>
            </w:tcMar>
          </w:tcPr>
          <w:p w14:paraId="7DD014C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C8" w14:textId="77777777" w:rsidR="00C1563E" w:rsidRDefault="000B648B">
            <w:pPr>
              <w:jc w:val="center"/>
              <w:textAlignment w:val="bottom"/>
            </w:pPr>
            <w:r>
              <w:rPr>
                <w:rFonts w:ascii="Times New Roman" w:eastAsia="宋体" w:hAnsi="Times New Roman"/>
                <w:b/>
                <w:bCs/>
                <w:color w:val="000000"/>
                <w:sz w:val="20"/>
                <w:szCs w:val="20"/>
              </w:rPr>
              <w:t>Weighted-Average Exercise Price</w:t>
            </w:r>
          </w:p>
        </w:tc>
        <w:tc>
          <w:tcPr>
            <w:tcW w:w="0" w:type="auto"/>
            <w:gridSpan w:val="3"/>
            <w:shd w:val="clear" w:color="auto" w:fill="auto"/>
            <w:tcMar>
              <w:top w:w="0" w:type="dxa"/>
              <w:left w:w="20" w:type="dxa"/>
              <w:bottom w:w="0" w:type="dxa"/>
              <w:right w:w="20" w:type="dxa"/>
            </w:tcMar>
          </w:tcPr>
          <w:p w14:paraId="7DD014C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CA" w14:textId="77777777" w:rsidR="00C1563E" w:rsidRDefault="000B648B">
            <w:pPr>
              <w:jc w:val="center"/>
              <w:textAlignment w:val="bottom"/>
            </w:pPr>
            <w:r>
              <w:rPr>
                <w:rFonts w:ascii="Times New Roman" w:eastAsia="宋体" w:hAnsi="Times New Roman"/>
                <w:b/>
                <w:bCs/>
                <w:color w:val="000000"/>
                <w:sz w:val="20"/>
                <w:szCs w:val="20"/>
              </w:rPr>
              <w:t>Weighted-Average Remaining Contractual Term</w:t>
            </w:r>
          </w:p>
        </w:tc>
        <w:tc>
          <w:tcPr>
            <w:tcW w:w="0" w:type="auto"/>
            <w:gridSpan w:val="3"/>
            <w:shd w:val="clear" w:color="auto" w:fill="auto"/>
            <w:tcMar>
              <w:top w:w="0" w:type="dxa"/>
              <w:left w:w="20" w:type="dxa"/>
              <w:bottom w:w="0" w:type="dxa"/>
              <w:right w:w="20" w:type="dxa"/>
            </w:tcMar>
          </w:tcPr>
          <w:p w14:paraId="7DD014C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4CC" w14:textId="77777777" w:rsidR="00C1563E" w:rsidRDefault="000B648B">
            <w:pPr>
              <w:jc w:val="center"/>
              <w:textAlignment w:val="bottom"/>
            </w:pPr>
            <w:r>
              <w:rPr>
                <w:rFonts w:ascii="Times New Roman" w:eastAsia="宋体" w:hAnsi="Times New Roman"/>
                <w:b/>
                <w:bCs/>
                <w:color w:val="000000"/>
                <w:sz w:val="20"/>
                <w:szCs w:val="20"/>
              </w:rPr>
              <w:t>Aggregate Intrinsic Value (a)</w:t>
            </w:r>
          </w:p>
        </w:tc>
      </w:tr>
      <w:tr w:rsidR="00C1563E" w14:paraId="7DD014D6" w14:textId="77777777">
        <w:trPr>
          <w:jc w:val="center"/>
        </w:trPr>
        <w:tc>
          <w:tcPr>
            <w:tcW w:w="0" w:type="auto"/>
            <w:gridSpan w:val="3"/>
            <w:shd w:val="clear" w:color="auto" w:fill="auto"/>
            <w:tcMar>
              <w:top w:w="0" w:type="dxa"/>
              <w:left w:w="20" w:type="dxa"/>
              <w:bottom w:w="0" w:type="dxa"/>
              <w:right w:w="20" w:type="dxa"/>
            </w:tcMar>
          </w:tcPr>
          <w:p w14:paraId="7DD014C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CF"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14D0"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D1" w14:textId="77777777" w:rsidR="00C1563E" w:rsidRDefault="000B648B">
            <w:pPr>
              <w:jc w:val="center"/>
              <w:textAlignment w:val="bottom"/>
            </w:pPr>
            <w:r>
              <w:rPr>
                <w:rFonts w:ascii="Times New Roman" w:eastAsia="宋体" w:hAnsi="Times New Roman"/>
                <w:color w:val="000000"/>
                <w:sz w:val="20"/>
                <w:szCs w:val="20"/>
              </w:rPr>
              <w:t>(per share)</w:t>
            </w:r>
          </w:p>
        </w:tc>
        <w:tc>
          <w:tcPr>
            <w:tcW w:w="0" w:type="auto"/>
            <w:gridSpan w:val="3"/>
            <w:shd w:val="clear" w:color="auto" w:fill="auto"/>
            <w:tcMar>
              <w:top w:w="0" w:type="dxa"/>
              <w:left w:w="20" w:type="dxa"/>
              <w:bottom w:w="0" w:type="dxa"/>
              <w:right w:w="20" w:type="dxa"/>
            </w:tcMar>
          </w:tcPr>
          <w:p w14:paraId="7DD014D2"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D3" w14:textId="77777777" w:rsidR="00C1563E" w:rsidRDefault="000B648B">
            <w:pPr>
              <w:jc w:val="center"/>
              <w:textAlignment w:val="bottom"/>
            </w:pPr>
            <w:r>
              <w:rPr>
                <w:rFonts w:ascii="Times New Roman" w:eastAsia="宋体" w:hAnsi="Times New Roman"/>
                <w:color w:val="000000"/>
                <w:sz w:val="20"/>
                <w:szCs w:val="20"/>
              </w:rPr>
              <w:t>(in years)</w:t>
            </w:r>
          </w:p>
        </w:tc>
        <w:tc>
          <w:tcPr>
            <w:tcW w:w="0" w:type="auto"/>
            <w:gridSpan w:val="3"/>
            <w:shd w:val="clear" w:color="auto" w:fill="auto"/>
            <w:tcMar>
              <w:top w:w="0" w:type="dxa"/>
              <w:left w:w="20" w:type="dxa"/>
              <w:bottom w:w="0" w:type="dxa"/>
              <w:right w:w="20" w:type="dxa"/>
            </w:tcMar>
          </w:tcPr>
          <w:p w14:paraId="7DD014D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4D5"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4E2" w14:textId="77777777">
        <w:trPr>
          <w:jc w:val="center"/>
        </w:trPr>
        <w:tc>
          <w:tcPr>
            <w:tcW w:w="0" w:type="auto"/>
            <w:gridSpan w:val="3"/>
            <w:shd w:val="clear" w:color="auto" w:fill="CCEEFF"/>
            <w:tcMar>
              <w:top w:w="40" w:type="dxa"/>
              <w:left w:w="20" w:type="dxa"/>
              <w:bottom w:w="40" w:type="dxa"/>
              <w:right w:w="20" w:type="dxa"/>
            </w:tcMar>
            <w:vAlign w:val="bottom"/>
          </w:tcPr>
          <w:p w14:paraId="7DD014D7" w14:textId="77777777" w:rsidR="00C1563E" w:rsidRDefault="000B648B">
            <w:pPr>
              <w:textAlignment w:val="bottom"/>
            </w:pPr>
            <w:r>
              <w:rPr>
                <w:rFonts w:ascii="Times New Roman" w:eastAsia="宋体" w:hAnsi="Times New Roman"/>
                <w:i/>
                <w:iCs/>
                <w:color w:val="000000"/>
                <w:sz w:val="20"/>
                <w:szCs w:val="20"/>
              </w:rPr>
              <w:t xml:space="preserve">Options outstanding as of February 2, </w:t>
            </w:r>
            <w:r>
              <w:rPr>
                <w:rFonts w:ascii="Times New Roman" w:eastAsia="宋体" w:hAnsi="Times New Roman"/>
                <w:i/>
                <w:iCs/>
                <w:color w:val="000000"/>
                <w:sz w:val="20"/>
                <w:szCs w:val="20"/>
              </w:rPr>
              <w:t>2018</w:t>
            </w:r>
          </w:p>
        </w:tc>
        <w:tc>
          <w:tcPr>
            <w:tcW w:w="0" w:type="auto"/>
            <w:gridSpan w:val="2"/>
            <w:shd w:val="clear" w:color="auto" w:fill="CCEEFF"/>
            <w:tcMar>
              <w:top w:w="40" w:type="dxa"/>
              <w:left w:w="20" w:type="dxa"/>
              <w:bottom w:w="40" w:type="dxa"/>
              <w:right w:w="0" w:type="dxa"/>
            </w:tcMar>
            <w:vAlign w:val="bottom"/>
          </w:tcPr>
          <w:p w14:paraId="7DD014D8"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D014D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D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4D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4DC" w14:textId="77777777" w:rsidR="00C1563E" w:rsidRDefault="000B648B">
            <w:pPr>
              <w:jc w:val="right"/>
              <w:textAlignment w:val="bottom"/>
            </w:pPr>
            <w:r>
              <w:rPr>
                <w:rFonts w:ascii="Times New Roman" w:eastAsia="宋体" w:hAnsi="Times New Roman"/>
                <w:color w:val="000000"/>
                <w:sz w:val="20"/>
                <w:szCs w:val="20"/>
              </w:rPr>
              <w:t>54.63 </w:t>
            </w:r>
          </w:p>
        </w:tc>
        <w:tc>
          <w:tcPr>
            <w:tcW w:w="0" w:type="auto"/>
            <w:shd w:val="clear" w:color="auto" w:fill="CCEEFF"/>
            <w:tcMar>
              <w:top w:w="40" w:type="dxa"/>
              <w:left w:w="0" w:type="dxa"/>
              <w:bottom w:w="40" w:type="dxa"/>
              <w:right w:w="20" w:type="dxa"/>
            </w:tcMar>
            <w:vAlign w:val="bottom"/>
          </w:tcPr>
          <w:p w14:paraId="7DD014D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D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D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E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E1" w14:textId="77777777" w:rsidR="00C1563E" w:rsidRDefault="00C1563E">
            <w:pPr>
              <w:rPr>
                <w:rFonts w:ascii="宋体"/>
              </w:rPr>
            </w:pPr>
          </w:p>
        </w:tc>
      </w:tr>
      <w:tr w:rsidR="00C1563E" w14:paraId="7DD014ED" w14:textId="77777777">
        <w:trPr>
          <w:jc w:val="center"/>
        </w:trPr>
        <w:tc>
          <w:tcPr>
            <w:tcW w:w="0" w:type="auto"/>
            <w:gridSpan w:val="3"/>
            <w:shd w:val="clear" w:color="auto" w:fill="FFFFFF"/>
            <w:tcMar>
              <w:top w:w="40" w:type="dxa"/>
              <w:left w:w="245" w:type="dxa"/>
              <w:bottom w:w="40" w:type="dxa"/>
              <w:right w:w="20" w:type="dxa"/>
            </w:tcMar>
            <w:vAlign w:val="bottom"/>
          </w:tcPr>
          <w:p w14:paraId="7DD014E3"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4E4"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D014E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E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4E7" w14:textId="77777777" w:rsidR="00C1563E" w:rsidRDefault="000B648B">
            <w:pPr>
              <w:jc w:val="right"/>
              <w:textAlignment w:val="bottom"/>
            </w:pPr>
            <w:r>
              <w:rPr>
                <w:rFonts w:ascii="Times New Roman" w:eastAsia="宋体" w:hAnsi="Times New Roman"/>
                <w:color w:val="000000"/>
                <w:sz w:val="20"/>
                <w:szCs w:val="20"/>
              </w:rPr>
              <w:t>16.07 </w:t>
            </w:r>
          </w:p>
        </w:tc>
        <w:tc>
          <w:tcPr>
            <w:tcW w:w="0" w:type="auto"/>
            <w:shd w:val="clear" w:color="auto" w:fill="FFFFFF"/>
            <w:tcMar>
              <w:top w:w="40" w:type="dxa"/>
              <w:left w:w="0" w:type="dxa"/>
              <w:bottom w:w="40" w:type="dxa"/>
              <w:right w:w="20" w:type="dxa"/>
            </w:tcMar>
            <w:vAlign w:val="bottom"/>
          </w:tcPr>
          <w:p w14:paraId="7DD014E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E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4E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4E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4EC" w14:textId="77777777" w:rsidR="00C1563E" w:rsidRDefault="00C1563E">
            <w:pPr>
              <w:rPr>
                <w:rFonts w:ascii="宋体"/>
              </w:rPr>
            </w:pPr>
          </w:p>
        </w:tc>
      </w:tr>
      <w:tr w:rsidR="00C1563E" w14:paraId="7DD014F8" w14:textId="77777777">
        <w:trPr>
          <w:jc w:val="center"/>
        </w:trPr>
        <w:tc>
          <w:tcPr>
            <w:tcW w:w="0" w:type="auto"/>
            <w:gridSpan w:val="3"/>
            <w:shd w:val="clear" w:color="auto" w:fill="CCEEFF"/>
            <w:tcMar>
              <w:top w:w="40" w:type="dxa"/>
              <w:left w:w="245" w:type="dxa"/>
              <w:bottom w:w="40" w:type="dxa"/>
              <w:right w:w="20" w:type="dxa"/>
            </w:tcMar>
            <w:vAlign w:val="bottom"/>
          </w:tcPr>
          <w:p w14:paraId="7DD014EE" w14:textId="77777777" w:rsidR="00C1563E" w:rsidRDefault="000B648B">
            <w:pPr>
              <w:textAlignment w:val="bottom"/>
            </w:pPr>
            <w:r>
              <w:rPr>
                <w:rFonts w:ascii="Times New Roman" w:eastAsia="宋体" w:hAnsi="Times New Roman"/>
                <w:color w:val="000000"/>
                <w:sz w:val="20"/>
                <w:szCs w:val="20"/>
              </w:rPr>
              <w:t xml:space="preserve">Adjustment for special cash dividend </w:t>
            </w:r>
          </w:p>
        </w:tc>
        <w:tc>
          <w:tcPr>
            <w:tcW w:w="0" w:type="auto"/>
            <w:gridSpan w:val="2"/>
            <w:shd w:val="clear" w:color="auto" w:fill="CCEEFF"/>
            <w:tcMar>
              <w:top w:w="40" w:type="dxa"/>
              <w:left w:w="20" w:type="dxa"/>
              <w:bottom w:w="40" w:type="dxa"/>
              <w:right w:w="0" w:type="dxa"/>
            </w:tcMar>
            <w:vAlign w:val="bottom"/>
          </w:tcPr>
          <w:p w14:paraId="7DD014E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4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F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4F2"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4F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4F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F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F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4F7" w14:textId="77777777" w:rsidR="00C1563E" w:rsidRDefault="00C1563E">
            <w:pPr>
              <w:rPr>
                <w:rFonts w:ascii="宋体"/>
              </w:rPr>
            </w:pPr>
          </w:p>
        </w:tc>
      </w:tr>
      <w:tr w:rsidR="00C1563E" w14:paraId="7DD01503" w14:textId="77777777">
        <w:trPr>
          <w:jc w:val="center"/>
        </w:trPr>
        <w:tc>
          <w:tcPr>
            <w:tcW w:w="0" w:type="auto"/>
            <w:gridSpan w:val="3"/>
            <w:shd w:val="clear" w:color="auto" w:fill="FFFFFF"/>
            <w:tcMar>
              <w:top w:w="40" w:type="dxa"/>
              <w:left w:w="245" w:type="dxa"/>
              <w:bottom w:w="40" w:type="dxa"/>
              <w:right w:w="20" w:type="dxa"/>
            </w:tcMar>
            <w:vAlign w:val="bottom"/>
          </w:tcPr>
          <w:p w14:paraId="7DD014F9"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FFFFFF"/>
            <w:tcMar>
              <w:top w:w="40" w:type="dxa"/>
              <w:left w:w="20" w:type="dxa"/>
              <w:bottom w:w="40" w:type="dxa"/>
              <w:right w:w="0" w:type="dxa"/>
            </w:tcMar>
            <w:vAlign w:val="bottom"/>
          </w:tcPr>
          <w:p w14:paraId="7DD014FA"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DD014F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F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4FD" w14:textId="77777777" w:rsidR="00C1563E" w:rsidRDefault="000B648B">
            <w:pPr>
              <w:jc w:val="right"/>
              <w:textAlignment w:val="bottom"/>
            </w:pPr>
            <w:r>
              <w:rPr>
                <w:rFonts w:ascii="Times New Roman" w:eastAsia="宋体" w:hAnsi="Times New Roman"/>
                <w:color w:val="000000"/>
                <w:sz w:val="20"/>
                <w:szCs w:val="20"/>
              </w:rPr>
              <w:t>46.73 </w:t>
            </w:r>
          </w:p>
        </w:tc>
        <w:tc>
          <w:tcPr>
            <w:tcW w:w="0" w:type="auto"/>
            <w:shd w:val="clear" w:color="auto" w:fill="FFFFFF"/>
            <w:tcMar>
              <w:top w:w="40" w:type="dxa"/>
              <w:left w:w="0" w:type="dxa"/>
              <w:bottom w:w="40" w:type="dxa"/>
              <w:right w:w="20" w:type="dxa"/>
            </w:tcMar>
            <w:vAlign w:val="bottom"/>
          </w:tcPr>
          <w:p w14:paraId="7DD014F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4F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0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0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02" w14:textId="77777777" w:rsidR="00C1563E" w:rsidRDefault="00C1563E">
            <w:pPr>
              <w:rPr>
                <w:rFonts w:ascii="宋体"/>
              </w:rPr>
            </w:pPr>
          </w:p>
        </w:tc>
      </w:tr>
      <w:tr w:rsidR="00C1563E" w14:paraId="7DD0150E" w14:textId="77777777">
        <w:trPr>
          <w:jc w:val="center"/>
        </w:trPr>
        <w:tc>
          <w:tcPr>
            <w:tcW w:w="0" w:type="auto"/>
            <w:gridSpan w:val="3"/>
            <w:shd w:val="clear" w:color="auto" w:fill="CCEEFF"/>
            <w:tcMar>
              <w:top w:w="40" w:type="dxa"/>
              <w:left w:w="245" w:type="dxa"/>
              <w:bottom w:w="40" w:type="dxa"/>
              <w:right w:w="20" w:type="dxa"/>
            </w:tcMar>
            <w:vAlign w:val="bottom"/>
          </w:tcPr>
          <w:p w14:paraId="7DD01504"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505"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0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0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0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0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0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0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0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0D" w14:textId="77777777" w:rsidR="00C1563E" w:rsidRDefault="00C1563E">
            <w:pPr>
              <w:rPr>
                <w:rFonts w:ascii="宋体"/>
              </w:rPr>
            </w:pPr>
          </w:p>
        </w:tc>
      </w:tr>
      <w:tr w:rsidR="00C1563E" w14:paraId="7DD01519" w14:textId="77777777">
        <w:trPr>
          <w:jc w:val="center"/>
        </w:trPr>
        <w:tc>
          <w:tcPr>
            <w:tcW w:w="0" w:type="auto"/>
            <w:gridSpan w:val="3"/>
            <w:shd w:val="clear" w:color="auto" w:fill="FFFFFF"/>
            <w:tcMar>
              <w:top w:w="40" w:type="dxa"/>
              <w:left w:w="245" w:type="dxa"/>
              <w:bottom w:w="40" w:type="dxa"/>
              <w:right w:w="20" w:type="dxa"/>
            </w:tcMar>
            <w:vAlign w:val="bottom"/>
          </w:tcPr>
          <w:p w14:paraId="7DD0150F"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FFFFFF"/>
            <w:tcMar>
              <w:top w:w="40" w:type="dxa"/>
              <w:left w:w="20" w:type="dxa"/>
              <w:bottom w:w="40" w:type="dxa"/>
              <w:right w:w="0" w:type="dxa"/>
            </w:tcMar>
            <w:vAlign w:val="bottom"/>
          </w:tcPr>
          <w:p w14:paraId="7DD0151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1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1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1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1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1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1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1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18" w14:textId="77777777" w:rsidR="00C1563E" w:rsidRDefault="00C1563E">
            <w:pPr>
              <w:rPr>
                <w:rFonts w:ascii="宋体"/>
              </w:rPr>
            </w:pPr>
          </w:p>
        </w:tc>
      </w:tr>
      <w:tr w:rsidR="00C1563E" w14:paraId="7DD01524" w14:textId="77777777">
        <w:trPr>
          <w:jc w:val="center"/>
        </w:trPr>
        <w:tc>
          <w:tcPr>
            <w:tcW w:w="0" w:type="auto"/>
            <w:gridSpan w:val="3"/>
            <w:shd w:val="clear" w:color="auto" w:fill="CCEEFF"/>
            <w:tcMar>
              <w:top w:w="40" w:type="dxa"/>
              <w:left w:w="20" w:type="dxa"/>
              <w:bottom w:w="40" w:type="dxa"/>
              <w:right w:w="20" w:type="dxa"/>
            </w:tcMar>
            <w:vAlign w:val="bottom"/>
          </w:tcPr>
          <w:p w14:paraId="7DD0151A" w14:textId="77777777" w:rsidR="00C1563E" w:rsidRDefault="000B648B">
            <w:pPr>
              <w:textAlignment w:val="bottom"/>
            </w:pPr>
            <w:r>
              <w:rPr>
                <w:rFonts w:ascii="Times New Roman" w:eastAsia="宋体" w:hAnsi="Times New Roman"/>
                <w:i/>
                <w:iCs/>
                <w:color w:val="000000"/>
                <w:sz w:val="20"/>
                <w:szCs w:val="20"/>
              </w:rPr>
              <w:t>Options outstanding as of February 1, 2019 (b)</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51B" w14:textId="77777777" w:rsidR="00C1563E" w:rsidRDefault="000B648B">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51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1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1E" w14:textId="77777777" w:rsidR="00C1563E" w:rsidRDefault="000B648B">
            <w:pPr>
              <w:jc w:val="right"/>
              <w:textAlignment w:val="bottom"/>
            </w:pPr>
            <w:r>
              <w:rPr>
                <w:rFonts w:ascii="Times New Roman" w:eastAsia="宋体" w:hAnsi="Times New Roman"/>
                <w:color w:val="000000"/>
                <w:sz w:val="20"/>
                <w:szCs w:val="20"/>
              </w:rPr>
              <w:t>36.50 </w:t>
            </w:r>
          </w:p>
        </w:tc>
        <w:tc>
          <w:tcPr>
            <w:tcW w:w="0" w:type="auto"/>
            <w:shd w:val="clear" w:color="auto" w:fill="CCEEFF"/>
            <w:tcMar>
              <w:top w:w="40" w:type="dxa"/>
              <w:left w:w="0" w:type="dxa"/>
              <w:bottom w:w="40" w:type="dxa"/>
              <w:right w:w="20" w:type="dxa"/>
            </w:tcMar>
            <w:vAlign w:val="bottom"/>
          </w:tcPr>
          <w:p w14:paraId="7DD0151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2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2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2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23" w14:textId="77777777" w:rsidR="00C1563E" w:rsidRDefault="00C1563E">
            <w:pPr>
              <w:rPr>
                <w:rFonts w:ascii="宋体"/>
              </w:rPr>
            </w:pPr>
          </w:p>
        </w:tc>
      </w:tr>
      <w:tr w:rsidR="00C1563E" w14:paraId="7DD0152F" w14:textId="77777777">
        <w:trPr>
          <w:jc w:val="center"/>
        </w:trPr>
        <w:tc>
          <w:tcPr>
            <w:tcW w:w="0" w:type="auto"/>
            <w:gridSpan w:val="3"/>
            <w:shd w:val="clear" w:color="auto" w:fill="FFFFFF"/>
            <w:tcMar>
              <w:top w:w="40" w:type="dxa"/>
              <w:left w:w="245" w:type="dxa"/>
              <w:bottom w:w="40" w:type="dxa"/>
              <w:right w:w="20" w:type="dxa"/>
            </w:tcMar>
            <w:vAlign w:val="bottom"/>
          </w:tcPr>
          <w:p w14:paraId="7DD01525"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526"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DD0152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2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29" w14:textId="77777777" w:rsidR="00C1563E" w:rsidRDefault="000B648B">
            <w:pPr>
              <w:jc w:val="right"/>
              <w:textAlignment w:val="bottom"/>
            </w:pPr>
            <w:r>
              <w:rPr>
                <w:rFonts w:ascii="Times New Roman" w:eastAsia="宋体" w:hAnsi="Times New Roman"/>
                <w:color w:val="000000"/>
                <w:sz w:val="20"/>
                <w:szCs w:val="20"/>
              </w:rPr>
              <w:t>73.19 </w:t>
            </w:r>
          </w:p>
        </w:tc>
        <w:tc>
          <w:tcPr>
            <w:tcW w:w="0" w:type="auto"/>
            <w:shd w:val="clear" w:color="auto" w:fill="FFFFFF"/>
            <w:tcMar>
              <w:top w:w="40" w:type="dxa"/>
              <w:left w:w="0" w:type="dxa"/>
              <w:bottom w:w="40" w:type="dxa"/>
              <w:right w:w="20" w:type="dxa"/>
            </w:tcMar>
            <w:vAlign w:val="bottom"/>
          </w:tcPr>
          <w:p w14:paraId="7DD0152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2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2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2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2E" w14:textId="77777777" w:rsidR="00C1563E" w:rsidRDefault="00C1563E">
            <w:pPr>
              <w:rPr>
                <w:rFonts w:ascii="宋体"/>
              </w:rPr>
            </w:pPr>
          </w:p>
        </w:tc>
      </w:tr>
      <w:tr w:rsidR="00C1563E" w14:paraId="7DD0153A" w14:textId="77777777">
        <w:trPr>
          <w:jc w:val="center"/>
        </w:trPr>
        <w:tc>
          <w:tcPr>
            <w:tcW w:w="0" w:type="auto"/>
            <w:gridSpan w:val="3"/>
            <w:shd w:val="clear" w:color="auto" w:fill="CCEEFF"/>
            <w:tcMar>
              <w:top w:w="40" w:type="dxa"/>
              <w:left w:w="245" w:type="dxa"/>
              <w:bottom w:w="40" w:type="dxa"/>
              <w:right w:w="20" w:type="dxa"/>
            </w:tcMar>
            <w:vAlign w:val="bottom"/>
          </w:tcPr>
          <w:p w14:paraId="7DD01530"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CCEEFF"/>
            <w:tcMar>
              <w:top w:w="40" w:type="dxa"/>
              <w:left w:w="20" w:type="dxa"/>
              <w:bottom w:w="40" w:type="dxa"/>
              <w:right w:w="0" w:type="dxa"/>
            </w:tcMar>
            <w:vAlign w:val="bottom"/>
          </w:tcPr>
          <w:p w14:paraId="7DD01531"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D0153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3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34" w14:textId="77777777" w:rsidR="00C1563E" w:rsidRDefault="000B648B">
            <w:pPr>
              <w:jc w:val="right"/>
              <w:textAlignment w:val="bottom"/>
            </w:pPr>
            <w:r>
              <w:rPr>
                <w:rFonts w:ascii="Times New Roman" w:eastAsia="宋体" w:hAnsi="Times New Roman"/>
                <w:color w:val="000000"/>
                <w:sz w:val="20"/>
                <w:szCs w:val="20"/>
              </w:rPr>
              <w:t>39.94 </w:t>
            </w:r>
          </w:p>
        </w:tc>
        <w:tc>
          <w:tcPr>
            <w:tcW w:w="0" w:type="auto"/>
            <w:shd w:val="clear" w:color="auto" w:fill="CCEEFF"/>
            <w:tcMar>
              <w:top w:w="40" w:type="dxa"/>
              <w:left w:w="0" w:type="dxa"/>
              <w:bottom w:w="40" w:type="dxa"/>
              <w:right w:w="20" w:type="dxa"/>
            </w:tcMar>
            <w:vAlign w:val="bottom"/>
          </w:tcPr>
          <w:p w14:paraId="7DD0153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3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3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3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39" w14:textId="77777777" w:rsidR="00C1563E" w:rsidRDefault="00C1563E">
            <w:pPr>
              <w:rPr>
                <w:rFonts w:ascii="宋体"/>
              </w:rPr>
            </w:pPr>
          </w:p>
        </w:tc>
      </w:tr>
      <w:tr w:rsidR="00C1563E" w14:paraId="7DD01545" w14:textId="77777777">
        <w:trPr>
          <w:jc w:val="center"/>
        </w:trPr>
        <w:tc>
          <w:tcPr>
            <w:tcW w:w="0" w:type="auto"/>
            <w:gridSpan w:val="3"/>
            <w:shd w:val="clear" w:color="auto" w:fill="FFFFFF"/>
            <w:tcMar>
              <w:top w:w="40" w:type="dxa"/>
              <w:left w:w="245" w:type="dxa"/>
              <w:bottom w:w="40" w:type="dxa"/>
              <w:right w:w="20" w:type="dxa"/>
            </w:tcMar>
            <w:vAlign w:val="bottom"/>
          </w:tcPr>
          <w:p w14:paraId="7DD0153B"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DD0153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3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3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3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4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4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4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4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44" w14:textId="77777777" w:rsidR="00C1563E" w:rsidRDefault="00C1563E">
            <w:pPr>
              <w:rPr>
                <w:rFonts w:ascii="宋体"/>
              </w:rPr>
            </w:pPr>
          </w:p>
        </w:tc>
      </w:tr>
      <w:tr w:rsidR="00C1563E" w14:paraId="7DD01550" w14:textId="77777777">
        <w:trPr>
          <w:jc w:val="center"/>
        </w:trPr>
        <w:tc>
          <w:tcPr>
            <w:tcW w:w="0" w:type="auto"/>
            <w:gridSpan w:val="3"/>
            <w:shd w:val="clear" w:color="auto" w:fill="CCEEFF"/>
            <w:tcMar>
              <w:top w:w="40" w:type="dxa"/>
              <w:left w:w="245" w:type="dxa"/>
              <w:bottom w:w="40" w:type="dxa"/>
              <w:right w:w="20" w:type="dxa"/>
            </w:tcMar>
            <w:vAlign w:val="bottom"/>
          </w:tcPr>
          <w:p w14:paraId="7DD01546"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CCEEFF"/>
            <w:tcMar>
              <w:top w:w="40" w:type="dxa"/>
              <w:left w:w="20" w:type="dxa"/>
              <w:bottom w:w="40" w:type="dxa"/>
              <w:right w:w="0" w:type="dxa"/>
            </w:tcMar>
            <w:vAlign w:val="bottom"/>
          </w:tcPr>
          <w:p w14:paraId="7DD01547"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4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4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4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4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4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4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4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4F" w14:textId="77777777" w:rsidR="00C1563E" w:rsidRDefault="00C1563E">
            <w:pPr>
              <w:rPr>
                <w:rFonts w:ascii="宋体"/>
              </w:rPr>
            </w:pPr>
          </w:p>
        </w:tc>
      </w:tr>
      <w:tr w:rsidR="00C1563E" w14:paraId="7DD0155B" w14:textId="77777777">
        <w:trPr>
          <w:jc w:val="center"/>
        </w:trPr>
        <w:tc>
          <w:tcPr>
            <w:tcW w:w="0" w:type="auto"/>
            <w:gridSpan w:val="3"/>
            <w:shd w:val="clear" w:color="auto" w:fill="FFFFFF"/>
            <w:tcMar>
              <w:top w:w="40" w:type="dxa"/>
              <w:left w:w="20" w:type="dxa"/>
              <w:bottom w:w="40" w:type="dxa"/>
              <w:right w:w="20" w:type="dxa"/>
            </w:tcMar>
            <w:vAlign w:val="bottom"/>
          </w:tcPr>
          <w:p w14:paraId="7DD01551" w14:textId="77777777" w:rsidR="00C1563E" w:rsidRDefault="000B648B">
            <w:pPr>
              <w:textAlignment w:val="bottom"/>
            </w:pPr>
            <w:r>
              <w:rPr>
                <w:rFonts w:ascii="Times New Roman" w:eastAsia="宋体" w:hAnsi="Times New Roman"/>
                <w:i/>
                <w:iCs/>
                <w:color w:val="000000"/>
                <w:sz w:val="20"/>
                <w:szCs w:val="20"/>
              </w:rPr>
              <w:t>Options outstanding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552" w14:textId="77777777" w:rsidR="00C1563E" w:rsidRDefault="000B648B">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55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5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55" w14:textId="77777777" w:rsidR="00C1563E" w:rsidRDefault="000B648B">
            <w:pPr>
              <w:jc w:val="right"/>
              <w:textAlignment w:val="bottom"/>
            </w:pPr>
            <w:r>
              <w:rPr>
                <w:rFonts w:ascii="Times New Roman" w:eastAsia="宋体" w:hAnsi="Times New Roman"/>
                <w:color w:val="000000"/>
                <w:sz w:val="20"/>
                <w:szCs w:val="20"/>
              </w:rPr>
              <w:t>56.58 </w:t>
            </w:r>
          </w:p>
        </w:tc>
        <w:tc>
          <w:tcPr>
            <w:tcW w:w="0" w:type="auto"/>
            <w:shd w:val="clear" w:color="auto" w:fill="FFFFFF"/>
            <w:tcMar>
              <w:top w:w="40" w:type="dxa"/>
              <w:left w:w="0" w:type="dxa"/>
              <w:bottom w:w="40" w:type="dxa"/>
              <w:right w:w="20" w:type="dxa"/>
            </w:tcMar>
            <w:vAlign w:val="bottom"/>
          </w:tcPr>
          <w:p w14:paraId="7DD0155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5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5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5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5A" w14:textId="77777777" w:rsidR="00C1563E" w:rsidRDefault="00C1563E">
            <w:pPr>
              <w:rPr>
                <w:rFonts w:ascii="宋体"/>
              </w:rPr>
            </w:pPr>
          </w:p>
        </w:tc>
      </w:tr>
      <w:tr w:rsidR="00C1563E" w14:paraId="7DD01566" w14:textId="77777777">
        <w:trPr>
          <w:jc w:val="center"/>
        </w:trPr>
        <w:tc>
          <w:tcPr>
            <w:tcW w:w="0" w:type="auto"/>
            <w:gridSpan w:val="3"/>
            <w:shd w:val="clear" w:color="auto" w:fill="CCEEFF"/>
            <w:tcMar>
              <w:top w:w="40" w:type="dxa"/>
              <w:left w:w="245" w:type="dxa"/>
              <w:bottom w:w="40" w:type="dxa"/>
              <w:right w:w="20" w:type="dxa"/>
            </w:tcMar>
            <w:vAlign w:val="bottom"/>
          </w:tcPr>
          <w:p w14:paraId="7DD0155C"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CCEEFF"/>
            <w:tcMar>
              <w:top w:w="40" w:type="dxa"/>
              <w:left w:w="20" w:type="dxa"/>
              <w:bottom w:w="40" w:type="dxa"/>
              <w:right w:w="0" w:type="dxa"/>
            </w:tcMar>
            <w:vAlign w:val="bottom"/>
          </w:tcPr>
          <w:p w14:paraId="7DD0155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5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5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6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6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6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6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6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65" w14:textId="77777777" w:rsidR="00C1563E" w:rsidRDefault="00C1563E">
            <w:pPr>
              <w:rPr>
                <w:rFonts w:ascii="宋体"/>
              </w:rPr>
            </w:pPr>
          </w:p>
        </w:tc>
      </w:tr>
      <w:tr w:rsidR="00C1563E" w14:paraId="7DD01571" w14:textId="77777777">
        <w:trPr>
          <w:jc w:val="center"/>
        </w:trPr>
        <w:tc>
          <w:tcPr>
            <w:tcW w:w="0" w:type="auto"/>
            <w:gridSpan w:val="3"/>
            <w:shd w:val="clear" w:color="auto" w:fill="FFFFFF"/>
            <w:tcMar>
              <w:top w:w="40" w:type="dxa"/>
              <w:left w:w="245" w:type="dxa"/>
              <w:bottom w:w="40" w:type="dxa"/>
              <w:right w:w="20" w:type="dxa"/>
            </w:tcMar>
            <w:vAlign w:val="bottom"/>
          </w:tcPr>
          <w:p w14:paraId="7DD01567" w14:textId="77777777" w:rsidR="00C1563E" w:rsidRDefault="000B648B">
            <w:pPr>
              <w:textAlignment w:val="bottom"/>
            </w:pPr>
            <w:r>
              <w:rPr>
                <w:rFonts w:ascii="Times New Roman" w:eastAsia="宋体" w:hAnsi="Times New Roman"/>
                <w:color w:val="000000"/>
                <w:sz w:val="20"/>
                <w:szCs w:val="20"/>
              </w:rPr>
              <w:t>Exercised</w:t>
            </w:r>
          </w:p>
        </w:tc>
        <w:tc>
          <w:tcPr>
            <w:tcW w:w="0" w:type="auto"/>
            <w:gridSpan w:val="2"/>
            <w:shd w:val="clear" w:color="auto" w:fill="FFFFFF"/>
            <w:tcMar>
              <w:top w:w="40" w:type="dxa"/>
              <w:left w:w="20" w:type="dxa"/>
              <w:bottom w:w="40" w:type="dxa"/>
              <w:right w:w="0" w:type="dxa"/>
            </w:tcMar>
            <w:vAlign w:val="bottom"/>
          </w:tcPr>
          <w:p w14:paraId="7DD01568" w14:textId="77777777" w:rsidR="00C1563E" w:rsidRDefault="000B648B">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7DD0156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6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6B" w14:textId="77777777" w:rsidR="00C1563E" w:rsidRDefault="000B648B">
            <w:pPr>
              <w:jc w:val="right"/>
              <w:textAlignment w:val="bottom"/>
            </w:pPr>
            <w:r>
              <w:rPr>
                <w:rFonts w:ascii="Times New Roman" w:eastAsia="宋体" w:hAnsi="Times New Roman"/>
                <w:color w:val="000000"/>
                <w:sz w:val="20"/>
                <w:szCs w:val="20"/>
              </w:rPr>
              <w:t>52.34 </w:t>
            </w:r>
          </w:p>
        </w:tc>
        <w:tc>
          <w:tcPr>
            <w:tcW w:w="0" w:type="auto"/>
            <w:shd w:val="clear" w:color="auto" w:fill="FFFFFF"/>
            <w:tcMar>
              <w:top w:w="40" w:type="dxa"/>
              <w:left w:w="0" w:type="dxa"/>
              <w:bottom w:w="40" w:type="dxa"/>
              <w:right w:w="20" w:type="dxa"/>
            </w:tcMar>
            <w:vAlign w:val="bottom"/>
          </w:tcPr>
          <w:p w14:paraId="7DD0156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6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6E"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6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70" w14:textId="77777777" w:rsidR="00C1563E" w:rsidRDefault="00C1563E">
            <w:pPr>
              <w:rPr>
                <w:rFonts w:ascii="宋体"/>
              </w:rPr>
            </w:pPr>
          </w:p>
        </w:tc>
      </w:tr>
      <w:tr w:rsidR="00C1563E" w14:paraId="7DD0157C" w14:textId="77777777">
        <w:trPr>
          <w:jc w:val="center"/>
        </w:trPr>
        <w:tc>
          <w:tcPr>
            <w:tcW w:w="0" w:type="auto"/>
            <w:gridSpan w:val="3"/>
            <w:shd w:val="clear" w:color="auto" w:fill="CCEEFF"/>
            <w:tcMar>
              <w:top w:w="40" w:type="dxa"/>
              <w:left w:w="245" w:type="dxa"/>
              <w:bottom w:w="40" w:type="dxa"/>
              <w:right w:w="20" w:type="dxa"/>
            </w:tcMar>
            <w:vAlign w:val="bottom"/>
          </w:tcPr>
          <w:p w14:paraId="7DD01572"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573"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7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7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76"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5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7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7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7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57B" w14:textId="77777777" w:rsidR="00C1563E" w:rsidRDefault="00C1563E">
            <w:pPr>
              <w:rPr>
                <w:rFonts w:ascii="宋体"/>
              </w:rPr>
            </w:pPr>
          </w:p>
        </w:tc>
      </w:tr>
      <w:tr w:rsidR="00C1563E" w14:paraId="7DD01587" w14:textId="77777777">
        <w:trPr>
          <w:jc w:val="center"/>
        </w:trPr>
        <w:tc>
          <w:tcPr>
            <w:tcW w:w="0" w:type="auto"/>
            <w:gridSpan w:val="3"/>
            <w:shd w:val="clear" w:color="auto" w:fill="FFFFFF"/>
            <w:tcMar>
              <w:top w:w="40" w:type="dxa"/>
              <w:left w:w="245" w:type="dxa"/>
              <w:bottom w:w="40" w:type="dxa"/>
              <w:right w:w="20" w:type="dxa"/>
            </w:tcMar>
            <w:vAlign w:val="bottom"/>
          </w:tcPr>
          <w:p w14:paraId="7DD0157D" w14:textId="77777777" w:rsidR="00C1563E" w:rsidRDefault="000B648B">
            <w:pPr>
              <w:textAlignment w:val="bottom"/>
            </w:pPr>
            <w:r>
              <w:rPr>
                <w:rFonts w:ascii="Times New Roman" w:eastAsia="宋体" w:hAnsi="Times New Roman"/>
                <w:color w:val="000000"/>
                <w:sz w:val="20"/>
                <w:szCs w:val="20"/>
              </w:rPr>
              <w:t>Canceled/expired</w:t>
            </w:r>
          </w:p>
        </w:tc>
        <w:tc>
          <w:tcPr>
            <w:tcW w:w="0" w:type="auto"/>
            <w:gridSpan w:val="2"/>
            <w:shd w:val="clear" w:color="auto" w:fill="FFFFFF"/>
            <w:tcMar>
              <w:top w:w="40" w:type="dxa"/>
              <w:left w:w="20" w:type="dxa"/>
              <w:bottom w:w="40" w:type="dxa"/>
              <w:right w:w="0" w:type="dxa"/>
            </w:tcMar>
            <w:vAlign w:val="bottom"/>
          </w:tcPr>
          <w:p w14:paraId="7DD0157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8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58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58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8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8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8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586" w14:textId="77777777" w:rsidR="00C1563E" w:rsidRDefault="00C1563E">
            <w:pPr>
              <w:rPr>
                <w:rFonts w:ascii="宋体"/>
              </w:rPr>
            </w:pPr>
          </w:p>
        </w:tc>
      </w:tr>
      <w:tr w:rsidR="00C1563E" w14:paraId="7DD01595" w14:textId="77777777">
        <w:trPr>
          <w:jc w:val="center"/>
        </w:trPr>
        <w:tc>
          <w:tcPr>
            <w:tcW w:w="0" w:type="auto"/>
            <w:gridSpan w:val="3"/>
            <w:shd w:val="clear" w:color="auto" w:fill="CCEEFF"/>
            <w:tcMar>
              <w:top w:w="40" w:type="dxa"/>
              <w:left w:w="20" w:type="dxa"/>
              <w:bottom w:w="40" w:type="dxa"/>
              <w:right w:w="20" w:type="dxa"/>
            </w:tcMar>
            <w:vAlign w:val="bottom"/>
          </w:tcPr>
          <w:p w14:paraId="7DD01588" w14:textId="77777777" w:rsidR="00C1563E" w:rsidRDefault="000B648B">
            <w:pPr>
              <w:textAlignment w:val="bottom"/>
            </w:pPr>
            <w:r>
              <w:rPr>
                <w:rFonts w:ascii="Times New Roman" w:eastAsia="宋体" w:hAnsi="Times New Roman"/>
                <w:i/>
                <w:iCs/>
                <w:color w:val="000000"/>
                <w:sz w:val="20"/>
                <w:szCs w:val="20"/>
              </w:rPr>
              <w:t>Options outstanding as of January 29,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589"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58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8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8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58D" w14:textId="77777777" w:rsidR="00C1563E" w:rsidRDefault="000B648B">
            <w:pPr>
              <w:jc w:val="right"/>
              <w:textAlignment w:val="bottom"/>
            </w:pPr>
            <w:r>
              <w:rPr>
                <w:rFonts w:ascii="Times New Roman" w:eastAsia="宋体" w:hAnsi="Times New Roman"/>
                <w:color w:val="000000"/>
                <w:sz w:val="20"/>
                <w:szCs w:val="20"/>
              </w:rPr>
              <w:t>58.68 </w:t>
            </w:r>
          </w:p>
        </w:tc>
        <w:tc>
          <w:tcPr>
            <w:tcW w:w="0" w:type="auto"/>
            <w:shd w:val="clear" w:color="auto" w:fill="CCEEFF"/>
            <w:tcMar>
              <w:top w:w="40" w:type="dxa"/>
              <w:left w:w="0" w:type="dxa"/>
              <w:bottom w:w="40" w:type="dxa"/>
              <w:right w:w="20" w:type="dxa"/>
            </w:tcMar>
            <w:vAlign w:val="bottom"/>
          </w:tcPr>
          <w:p w14:paraId="7DD015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8F"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590" w14:textId="77777777" w:rsidR="00C1563E" w:rsidRDefault="000B648B">
            <w:pPr>
              <w:jc w:val="right"/>
              <w:textAlignment w:val="bottom"/>
            </w:pPr>
            <w:r>
              <w:rPr>
                <w:rFonts w:ascii="Times New Roman" w:eastAsia="宋体" w:hAnsi="Times New Roman"/>
                <w:color w:val="000000"/>
                <w:sz w:val="20"/>
                <w:szCs w:val="20"/>
              </w:rPr>
              <w:t>5.9</w:t>
            </w:r>
          </w:p>
        </w:tc>
        <w:tc>
          <w:tcPr>
            <w:tcW w:w="0" w:type="auto"/>
            <w:gridSpan w:val="3"/>
            <w:shd w:val="clear" w:color="auto" w:fill="CCEEFF"/>
            <w:tcMar>
              <w:top w:w="0" w:type="dxa"/>
              <w:left w:w="20" w:type="dxa"/>
              <w:bottom w:w="0" w:type="dxa"/>
              <w:right w:w="20" w:type="dxa"/>
            </w:tcMar>
          </w:tcPr>
          <w:p w14:paraId="7DD0159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9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593" w14:textId="77777777" w:rsidR="00C1563E" w:rsidRDefault="000B648B">
            <w:pPr>
              <w:jc w:val="right"/>
              <w:textAlignment w:val="bottom"/>
            </w:pPr>
            <w:r>
              <w:rPr>
                <w:rFonts w:ascii="Times New Roman" w:eastAsia="宋体" w:hAnsi="Times New Roman"/>
                <w:color w:val="000000"/>
                <w:sz w:val="20"/>
                <w:szCs w:val="20"/>
              </w:rPr>
              <w:t>98 </w:t>
            </w:r>
          </w:p>
        </w:tc>
        <w:tc>
          <w:tcPr>
            <w:tcW w:w="0" w:type="auto"/>
            <w:shd w:val="clear" w:color="auto" w:fill="CCEEFF"/>
            <w:tcMar>
              <w:top w:w="40" w:type="dxa"/>
              <w:left w:w="0" w:type="dxa"/>
              <w:bottom w:w="40" w:type="dxa"/>
              <w:right w:w="20" w:type="dxa"/>
            </w:tcMar>
            <w:vAlign w:val="bottom"/>
          </w:tcPr>
          <w:p w14:paraId="7DD01594" w14:textId="77777777" w:rsidR="00C1563E" w:rsidRDefault="00C1563E">
            <w:pPr>
              <w:jc w:val="right"/>
              <w:rPr>
                <w:rFonts w:ascii="宋体"/>
              </w:rPr>
            </w:pPr>
          </w:p>
        </w:tc>
      </w:tr>
      <w:tr w:rsidR="00C1563E" w14:paraId="7DD015A3" w14:textId="77777777">
        <w:trPr>
          <w:jc w:val="center"/>
        </w:trPr>
        <w:tc>
          <w:tcPr>
            <w:tcW w:w="0" w:type="auto"/>
            <w:gridSpan w:val="3"/>
            <w:shd w:val="clear" w:color="auto" w:fill="FFFFFF"/>
            <w:tcMar>
              <w:top w:w="40" w:type="dxa"/>
              <w:left w:w="20" w:type="dxa"/>
              <w:bottom w:w="40" w:type="dxa"/>
              <w:right w:w="20" w:type="dxa"/>
            </w:tcMar>
            <w:vAlign w:val="bottom"/>
          </w:tcPr>
          <w:p w14:paraId="7DD01596" w14:textId="77777777" w:rsidR="00C1563E" w:rsidRDefault="000B648B">
            <w:pPr>
              <w:textAlignment w:val="bottom"/>
            </w:pPr>
            <w:r>
              <w:rPr>
                <w:rFonts w:ascii="Times New Roman" w:eastAsia="宋体" w:hAnsi="Times New Roman"/>
                <w:color w:val="000000"/>
                <w:sz w:val="20"/>
                <w:szCs w:val="20"/>
              </w:rPr>
              <w:t>Exercisable as of January 29,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DD01597"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59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9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59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59B" w14:textId="77777777" w:rsidR="00C1563E" w:rsidRDefault="000B648B">
            <w:pPr>
              <w:jc w:val="right"/>
              <w:textAlignment w:val="bottom"/>
            </w:pPr>
            <w:r>
              <w:rPr>
                <w:rFonts w:ascii="Times New Roman" w:eastAsia="宋体" w:hAnsi="Times New Roman"/>
                <w:color w:val="000000"/>
                <w:sz w:val="20"/>
                <w:szCs w:val="20"/>
              </w:rPr>
              <w:t>54.72 </w:t>
            </w:r>
          </w:p>
        </w:tc>
        <w:tc>
          <w:tcPr>
            <w:tcW w:w="0" w:type="auto"/>
            <w:shd w:val="clear" w:color="auto" w:fill="FFFFFF"/>
            <w:tcMar>
              <w:top w:w="40" w:type="dxa"/>
              <w:left w:w="0" w:type="dxa"/>
              <w:bottom w:w="40" w:type="dxa"/>
              <w:right w:w="20" w:type="dxa"/>
            </w:tcMar>
            <w:vAlign w:val="bottom"/>
          </w:tcPr>
          <w:p w14:paraId="7DD0159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59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59E" w14:textId="77777777" w:rsidR="00C1563E" w:rsidRDefault="000B648B">
            <w:pPr>
              <w:jc w:val="right"/>
              <w:textAlignment w:val="bottom"/>
            </w:pPr>
            <w:r>
              <w:rPr>
                <w:rFonts w:ascii="Times New Roman" w:eastAsia="宋体" w:hAnsi="Times New Roman"/>
                <w:color w:val="000000"/>
                <w:sz w:val="20"/>
                <w:szCs w:val="20"/>
              </w:rPr>
              <w:t>5.1</w:t>
            </w:r>
          </w:p>
        </w:tc>
        <w:tc>
          <w:tcPr>
            <w:tcW w:w="0" w:type="auto"/>
            <w:gridSpan w:val="3"/>
            <w:shd w:val="clear" w:color="auto" w:fill="FFFFFF"/>
            <w:tcMar>
              <w:top w:w="0" w:type="dxa"/>
              <w:left w:w="20" w:type="dxa"/>
              <w:bottom w:w="0" w:type="dxa"/>
              <w:right w:w="20" w:type="dxa"/>
            </w:tcMar>
          </w:tcPr>
          <w:p w14:paraId="7DD0159F"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5A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5A1" w14:textId="77777777" w:rsidR="00C1563E" w:rsidRDefault="000B648B">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7DD015A2" w14:textId="77777777" w:rsidR="00C1563E" w:rsidRDefault="00C1563E">
            <w:pPr>
              <w:jc w:val="right"/>
              <w:rPr>
                <w:rFonts w:ascii="宋体"/>
              </w:rPr>
            </w:pPr>
          </w:p>
        </w:tc>
      </w:tr>
      <w:tr w:rsidR="00C1563E" w14:paraId="7DD015B1" w14:textId="77777777">
        <w:trPr>
          <w:jc w:val="center"/>
        </w:trPr>
        <w:tc>
          <w:tcPr>
            <w:tcW w:w="0" w:type="auto"/>
            <w:gridSpan w:val="3"/>
            <w:shd w:val="clear" w:color="auto" w:fill="CCEEFF"/>
            <w:tcMar>
              <w:top w:w="40" w:type="dxa"/>
              <w:left w:w="20" w:type="dxa"/>
              <w:bottom w:w="40" w:type="dxa"/>
              <w:right w:w="20" w:type="dxa"/>
            </w:tcMar>
            <w:vAlign w:val="bottom"/>
          </w:tcPr>
          <w:p w14:paraId="7DD015A4" w14:textId="77777777" w:rsidR="00C1563E" w:rsidRDefault="000B648B">
            <w:pPr>
              <w:textAlignment w:val="bottom"/>
            </w:pPr>
            <w:r>
              <w:rPr>
                <w:rFonts w:ascii="Times New Roman" w:eastAsia="宋体" w:hAnsi="Times New Roman"/>
                <w:color w:val="000000"/>
                <w:sz w:val="20"/>
                <w:szCs w:val="20"/>
              </w:rPr>
              <w:t>Vested and expected to vest (net of estimated forfeitures) as of January 29, 2021</w:t>
            </w:r>
          </w:p>
        </w:tc>
        <w:tc>
          <w:tcPr>
            <w:tcW w:w="0" w:type="auto"/>
            <w:gridSpan w:val="2"/>
            <w:shd w:val="clear" w:color="auto" w:fill="CCEEFF"/>
            <w:tcMar>
              <w:top w:w="40" w:type="dxa"/>
              <w:left w:w="20" w:type="dxa"/>
              <w:bottom w:w="40" w:type="dxa"/>
              <w:right w:w="0" w:type="dxa"/>
            </w:tcMar>
            <w:vAlign w:val="bottom"/>
          </w:tcPr>
          <w:p w14:paraId="7DD015A5"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DD015A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A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A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5A9" w14:textId="77777777" w:rsidR="00C1563E" w:rsidRDefault="000B648B">
            <w:pPr>
              <w:jc w:val="right"/>
              <w:textAlignment w:val="bottom"/>
            </w:pPr>
            <w:r>
              <w:rPr>
                <w:rFonts w:ascii="Times New Roman" w:eastAsia="宋体" w:hAnsi="Times New Roman"/>
                <w:color w:val="000000"/>
                <w:sz w:val="20"/>
                <w:szCs w:val="20"/>
              </w:rPr>
              <w:t>58.26 </w:t>
            </w:r>
          </w:p>
        </w:tc>
        <w:tc>
          <w:tcPr>
            <w:tcW w:w="0" w:type="auto"/>
            <w:shd w:val="clear" w:color="auto" w:fill="CCEEFF"/>
            <w:tcMar>
              <w:top w:w="40" w:type="dxa"/>
              <w:left w:w="0" w:type="dxa"/>
              <w:bottom w:w="40" w:type="dxa"/>
              <w:right w:w="20" w:type="dxa"/>
            </w:tcMar>
            <w:vAlign w:val="bottom"/>
          </w:tcPr>
          <w:p w14:paraId="7DD015A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5AB"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5AC" w14:textId="77777777" w:rsidR="00C1563E" w:rsidRDefault="000B648B">
            <w:pPr>
              <w:jc w:val="right"/>
              <w:textAlignment w:val="bottom"/>
            </w:pPr>
            <w:r>
              <w:rPr>
                <w:rFonts w:ascii="Times New Roman" w:eastAsia="宋体" w:hAnsi="Times New Roman"/>
                <w:color w:val="000000"/>
                <w:sz w:val="20"/>
                <w:szCs w:val="20"/>
              </w:rPr>
              <w:t>5.9</w:t>
            </w:r>
          </w:p>
        </w:tc>
        <w:tc>
          <w:tcPr>
            <w:tcW w:w="0" w:type="auto"/>
            <w:gridSpan w:val="3"/>
            <w:shd w:val="clear" w:color="auto" w:fill="CCEEFF"/>
            <w:tcMar>
              <w:top w:w="0" w:type="dxa"/>
              <w:left w:w="20" w:type="dxa"/>
              <w:bottom w:w="0" w:type="dxa"/>
              <w:right w:w="20" w:type="dxa"/>
            </w:tcMar>
          </w:tcPr>
          <w:p w14:paraId="7DD015A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A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5AF" w14:textId="77777777" w:rsidR="00C1563E" w:rsidRDefault="000B648B">
            <w:pPr>
              <w:jc w:val="right"/>
              <w:textAlignment w:val="bottom"/>
            </w:pPr>
            <w:r>
              <w:rPr>
                <w:rFonts w:ascii="Times New Roman" w:eastAsia="宋体" w:hAnsi="Times New Roman"/>
                <w:color w:val="000000"/>
                <w:sz w:val="20"/>
                <w:szCs w:val="20"/>
              </w:rPr>
              <w:t>98 </w:t>
            </w:r>
          </w:p>
        </w:tc>
        <w:tc>
          <w:tcPr>
            <w:tcW w:w="0" w:type="auto"/>
            <w:shd w:val="clear" w:color="auto" w:fill="CCEEFF"/>
            <w:tcMar>
              <w:top w:w="40" w:type="dxa"/>
              <w:left w:w="0" w:type="dxa"/>
              <w:bottom w:w="40" w:type="dxa"/>
              <w:right w:w="20" w:type="dxa"/>
            </w:tcMar>
            <w:vAlign w:val="bottom"/>
          </w:tcPr>
          <w:p w14:paraId="7DD015B0" w14:textId="77777777" w:rsidR="00C1563E" w:rsidRDefault="00C1563E">
            <w:pPr>
              <w:jc w:val="right"/>
              <w:rPr>
                <w:rFonts w:ascii="宋体"/>
              </w:rPr>
            </w:pPr>
          </w:p>
        </w:tc>
      </w:tr>
    </w:tbl>
    <w:p w14:paraId="7DD015B2" w14:textId="77777777" w:rsidR="00C1563E" w:rsidRDefault="000B648B">
      <w:r>
        <w:rPr>
          <w:rFonts w:ascii="Times New Roman" w:eastAsia="宋体" w:hAnsi="Times New Roman"/>
          <w:color w:val="000000"/>
          <w:sz w:val="20"/>
          <w:szCs w:val="20"/>
        </w:rPr>
        <w:t>____________________</w:t>
      </w:r>
    </w:p>
    <w:p w14:paraId="7DD015B3" w14:textId="77777777" w:rsidR="00C1563E" w:rsidRDefault="000B648B">
      <w:pPr>
        <w:ind w:hanging="360"/>
      </w:pPr>
      <w:r>
        <w:rPr>
          <w:rFonts w:ascii="Times New Roman" w:eastAsia="宋体" w:hAnsi="Times New Roman"/>
          <w:color w:val="000000"/>
          <w:sz w:val="20"/>
          <w:szCs w:val="20"/>
        </w:rPr>
        <w:t>(a)    The aggregate intrinsic value r</w:t>
      </w:r>
      <w:r>
        <w:rPr>
          <w:rFonts w:ascii="Times New Roman" w:eastAsia="宋体" w:hAnsi="Times New Roman"/>
          <w:color w:val="000000"/>
          <w:sz w:val="20"/>
          <w:szCs w:val="20"/>
        </w:rPr>
        <w:t>epresents the total pre-tax intrinsic values based on VMware, Inc.’s closing stock price of $137.85 on January 29, 2021 as reported on the NYSE that would have been received by the option holders had all in-the-money options been exercised as of that date.</w:t>
      </w:r>
      <w:r>
        <w:rPr>
          <w:rFonts w:ascii="Times New Roman" w:eastAsia="宋体" w:hAnsi="Times New Roman"/>
          <w:color w:val="000000"/>
          <w:sz w:val="20"/>
          <w:szCs w:val="20"/>
        </w:rPr>
        <w:t xml:space="preserve"> </w:t>
      </w:r>
    </w:p>
    <w:p w14:paraId="7DD015B4" w14:textId="77777777" w:rsidR="00C1563E" w:rsidRDefault="000B648B">
      <w:pPr>
        <w:ind w:hanging="360"/>
      </w:pPr>
      <w:r>
        <w:rPr>
          <w:rFonts w:ascii="Times New Roman" w:eastAsia="宋体" w:hAnsi="Times New Roman"/>
          <w:color w:val="000000"/>
          <w:sz w:val="20"/>
          <w:szCs w:val="20"/>
        </w:rPr>
        <w:t xml:space="preserve">(b)    The number of options and weighted-average exercise price of options outstanding as of February 1, 2019 reflect the non-cash adjustments to the options as a result of the special cash dividend paid by VMware, Inc. in connection with the Class V </w:t>
      </w:r>
      <w:r>
        <w:rPr>
          <w:rFonts w:ascii="Times New Roman" w:eastAsia="宋体" w:hAnsi="Times New Roman"/>
          <w:color w:val="000000"/>
          <w:sz w:val="20"/>
          <w:szCs w:val="20"/>
        </w:rPr>
        <w:t>transaction described in Note 1 of the Notes to the Consolidated Financial Statements and below.</w:t>
      </w:r>
    </w:p>
    <w:p w14:paraId="7DD015B5" w14:textId="77777777" w:rsidR="00C1563E" w:rsidRDefault="00C1563E"/>
    <w:p w14:paraId="7DD015B6" w14:textId="77777777" w:rsidR="00C1563E" w:rsidRDefault="00C1563E">
      <w:pPr>
        <w:jc w:val="center"/>
      </w:pPr>
    </w:p>
    <w:p w14:paraId="7DD015B7" w14:textId="77777777" w:rsidR="00C1563E" w:rsidRDefault="000B648B">
      <w:pPr>
        <w:jc w:val="center"/>
      </w:pPr>
      <w:r>
        <w:rPr>
          <w:rFonts w:ascii="Times New Roman" w:eastAsia="宋体" w:hAnsi="Times New Roman"/>
          <w:color w:val="000000"/>
          <w:sz w:val="20"/>
          <w:szCs w:val="20"/>
        </w:rPr>
        <w:t>150</w:t>
      </w:r>
    </w:p>
    <w:p w14:paraId="7DD015B8" w14:textId="77777777" w:rsidR="00C1563E" w:rsidRDefault="00C1563E">
      <w:pPr>
        <w:jc w:val="center"/>
      </w:pPr>
    </w:p>
    <w:p w14:paraId="7DD015B9" w14:textId="77777777" w:rsidR="00C1563E" w:rsidRDefault="000B648B">
      <w:r>
        <w:pict w14:anchorId="7DD02600">
          <v:rect id="_x0000_i1174" style="width:415.3pt;height:1.5pt" o:hralign="center" o:hrstd="t" o:hr="t" fillcolor="#a0a0a0" stroked="f"/>
        </w:pict>
      </w:r>
    </w:p>
    <w:p w14:paraId="7DD015BA" w14:textId="77777777" w:rsidR="00C1563E" w:rsidRDefault="000B648B">
      <w:hyperlink r:id="rId333" w:anchor="i418e32e4a35149ffbf7d3a25d66881b8_10" w:history="1">
        <w:r>
          <w:rPr>
            <w:rStyle w:val="a5"/>
            <w:rFonts w:ascii="Times New Roman" w:eastAsia="宋体" w:hAnsi="Times New Roman"/>
            <w:sz w:val="20"/>
            <w:szCs w:val="20"/>
          </w:rPr>
          <w:t>Table of Contents</w:t>
        </w:r>
      </w:hyperlink>
    </w:p>
    <w:p w14:paraId="7DD015BB" w14:textId="77777777" w:rsidR="00C1563E" w:rsidRDefault="000B648B">
      <w:r>
        <w:rPr>
          <w:rFonts w:ascii="Times New Roman" w:eastAsia="宋体" w:hAnsi="Times New Roman"/>
          <w:color w:val="000000"/>
          <w:sz w:val="20"/>
          <w:szCs w:val="20"/>
        </w:rPr>
        <w:t>The above table includes stock options granted in conjunction with unvested stock options assumed in business combinations, including 0.6 million options issued for unvested options assumed as part of the Pivotal acquisition. As a res</w:t>
      </w:r>
      <w:r>
        <w:rPr>
          <w:rFonts w:ascii="Times New Roman" w:eastAsia="宋体" w:hAnsi="Times New Roman"/>
          <w:color w:val="000000"/>
          <w:sz w:val="20"/>
          <w:szCs w:val="20"/>
        </w:rPr>
        <w:t>ult, the weighted-average exercise price per share may vary from the VMware, Inc. stock price at time of grant. The total fair value of VMware, Inc. stock options that vested during the fiscal years ended January 29, 2021, January 31, 2020, and February 1,</w:t>
      </w:r>
      <w:r>
        <w:rPr>
          <w:rFonts w:ascii="Times New Roman" w:eastAsia="宋体" w:hAnsi="Times New Roman"/>
          <w:color w:val="000000"/>
          <w:sz w:val="20"/>
          <w:szCs w:val="20"/>
        </w:rPr>
        <w:t xml:space="preserve"> 2019 was $92 million, $64 million, and $35 million, respectively. The pre-tax intrinsic value of the options exercised during the fiscal years ended January 29, 2021, January 31, 2020, and February 1, 2019 was $111 million, $103 million, and $56 million, </w:t>
      </w:r>
      <w:r>
        <w:rPr>
          <w:rFonts w:ascii="Times New Roman" w:eastAsia="宋体" w:hAnsi="Times New Roman"/>
          <w:color w:val="000000"/>
          <w:sz w:val="20"/>
          <w:szCs w:val="20"/>
        </w:rPr>
        <w:t xml:space="preserve">respectively. </w:t>
      </w:r>
    </w:p>
    <w:p w14:paraId="7DD015BC" w14:textId="77777777" w:rsidR="00C1563E" w:rsidRDefault="00C1563E"/>
    <w:p w14:paraId="7DD015BD" w14:textId="77777777" w:rsidR="00C1563E" w:rsidRDefault="000B648B">
      <w:r>
        <w:rPr>
          <w:rFonts w:ascii="Times New Roman" w:eastAsia="宋体" w:hAnsi="Times New Roman"/>
          <w:color w:val="000000"/>
          <w:sz w:val="20"/>
          <w:szCs w:val="20"/>
        </w:rPr>
        <w:t>The tax benefit realized from the exercise of stock options was $24 million, $25 million, and $13 million for the fiscal years ended January 29, 2021, January 31, 2020, and February 1, 2019, respectively. As of January 29, 2021, there was $</w:t>
      </w:r>
      <w:r>
        <w:rPr>
          <w:rFonts w:ascii="Times New Roman" w:eastAsia="宋体" w:hAnsi="Times New Roman"/>
          <w:color w:val="000000"/>
          <w:sz w:val="20"/>
          <w:szCs w:val="20"/>
        </w:rPr>
        <w:t>35 million of total unrecognized stock-based compensation expense, net of estimated forfeitures, related to unvested stock options expected to be recognized over a weighted-average period of less than one year.</w:t>
      </w:r>
    </w:p>
    <w:p w14:paraId="7DD015BE" w14:textId="77777777" w:rsidR="00C1563E" w:rsidRDefault="00C1563E"/>
    <w:p w14:paraId="7DD015BF" w14:textId="77777777" w:rsidR="00C1563E" w:rsidRDefault="000B648B">
      <w:pPr>
        <w:spacing w:after="120"/>
      </w:pPr>
      <w:r>
        <w:rPr>
          <w:rFonts w:ascii="Times New Roman" w:eastAsia="宋体" w:hAnsi="Times New Roman"/>
          <w:i/>
          <w:iCs/>
          <w:color w:val="000000"/>
          <w:sz w:val="20"/>
          <w:szCs w:val="20"/>
        </w:rPr>
        <w:t>Fair Value of VMware, Inc. Options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 The </w:t>
      </w:r>
      <w:r>
        <w:rPr>
          <w:rFonts w:ascii="Times New Roman" w:eastAsia="宋体" w:hAnsi="Times New Roman"/>
          <w:color w:val="000000"/>
          <w:sz w:val="20"/>
          <w:szCs w:val="20"/>
        </w:rPr>
        <w:t>fair value of each option to acquire VMware, Inc. Class A common stock granted is estimated on the date of grant using the Black-Scholes option-pricing model. The following tables present the assumptions utilized in this model, as well as the weighted-aver</w:t>
      </w:r>
      <w:r>
        <w:rPr>
          <w:rFonts w:ascii="Times New Roman" w:eastAsia="宋体" w:hAnsi="Times New Roman"/>
          <w:color w:val="000000"/>
          <w:sz w:val="20"/>
          <w:szCs w:val="20"/>
        </w:rPr>
        <w:t>age assumptions for the periods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983"/>
        <w:gridCol w:w="37"/>
        <w:gridCol w:w="121"/>
        <w:gridCol w:w="1112"/>
        <w:gridCol w:w="187"/>
        <w:gridCol w:w="36"/>
        <w:gridCol w:w="36"/>
        <w:gridCol w:w="36"/>
        <w:gridCol w:w="121"/>
        <w:gridCol w:w="1006"/>
        <w:gridCol w:w="187"/>
        <w:gridCol w:w="36"/>
        <w:gridCol w:w="36"/>
        <w:gridCol w:w="36"/>
        <w:gridCol w:w="121"/>
        <w:gridCol w:w="1008"/>
        <w:gridCol w:w="187"/>
      </w:tblGrid>
      <w:tr w:rsidR="00C1563E" w14:paraId="7DD015D2" w14:textId="77777777">
        <w:trPr>
          <w:jc w:val="center"/>
        </w:trPr>
        <w:tc>
          <w:tcPr>
            <w:tcW w:w="50" w:type="pct"/>
            <w:shd w:val="clear" w:color="auto" w:fill="auto"/>
          </w:tcPr>
          <w:p w14:paraId="7DD015C0" w14:textId="77777777" w:rsidR="00C1563E" w:rsidRDefault="00C1563E">
            <w:pPr>
              <w:rPr>
                <w:rFonts w:ascii="宋体"/>
              </w:rPr>
            </w:pPr>
          </w:p>
        </w:tc>
        <w:tc>
          <w:tcPr>
            <w:tcW w:w="2499" w:type="pct"/>
            <w:shd w:val="clear" w:color="auto" w:fill="auto"/>
          </w:tcPr>
          <w:p w14:paraId="7DD015C1" w14:textId="77777777" w:rsidR="00C1563E" w:rsidRDefault="00C1563E">
            <w:pPr>
              <w:rPr>
                <w:rFonts w:ascii="宋体"/>
              </w:rPr>
            </w:pPr>
          </w:p>
        </w:tc>
        <w:tc>
          <w:tcPr>
            <w:tcW w:w="5" w:type="pct"/>
            <w:shd w:val="clear" w:color="auto" w:fill="auto"/>
          </w:tcPr>
          <w:p w14:paraId="7DD015C2" w14:textId="77777777" w:rsidR="00C1563E" w:rsidRDefault="00C1563E">
            <w:pPr>
              <w:rPr>
                <w:rFonts w:ascii="宋体"/>
              </w:rPr>
            </w:pPr>
          </w:p>
        </w:tc>
        <w:tc>
          <w:tcPr>
            <w:tcW w:w="50" w:type="pct"/>
            <w:shd w:val="clear" w:color="auto" w:fill="auto"/>
          </w:tcPr>
          <w:p w14:paraId="7DD015C3" w14:textId="77777777" w:rsidR="00C1563E" w:rsidRDefault="00C1563E">
            <w:pPr>
              <w:rPr>
                <w:rFonts w:ascii="宋体"/>
              </w:rPr>
            </w:pPr>
          </w:p>
        </w:tc>
        <w:tc>
          <w:tcPr>
            <w:tcW w:w="735" w:type="pct"/>
            <w:shd w:val="clear" w:color="auto" w:fill="auto"/>
          </w:tcPr>
          <w:p w14:paraId="7DD015C4" w14:textId="77777777" w:rsidR="00C1563E" w:rsidRDefault="00C1563E">
            <w:pPr>
              <w:rPr>
                <w:rFonts w:ascii="宋体"/>
              </w:rPr>
            </w:pPr>
          </w:p>
        </w:tc>
        <w:tc>
          <w:tcPr>
            <w:tcW w:w="5" w:type="pct"/>
            <w:shd w:val="clear" w:color="auto" w:fill="auto"/>
          </w:tcPr>
          <w:p w14:paraId="7DD015C5" w14:textId="77777777" w:rsidR="00C1563E" w:rsidRDefault="00C1563E">
            <w:pPr>
              <w:rPr>
                <w:rFonts w:ascii="宋体"/>
              </w:rPr>
            </w:pPr>
          </w:p>
        </w:tc>
        <w:tc>
          <w:tcPr>
            <w:tcW w:w="5" w:type="pct"/>
            <w:shd w:val="clear" w:color="auto" w:fill="auto"/>
          </w:tcPr>
          <w:p w14:paraId="7DD015C6" w14:textId="77777777" w:rsidR="00C1563E" w:rsidRDefault="00C1563E">
            <w:pPr>
              <w:rPr>
                <w:rFonts w:ascii="宋体"/>
              </w:rPr>
            </w:pPr>
          </w:p>
        </w:tc>
        <w:tc>
          <w:tcPr>
            <w:tcW w:w="26" w:type="pct"/>
            <w:shd w:val="clear" w:color="auto" w:fill="auto"/>
          </w:tcPr>
          <w:p w14:paraId="7DD015C7" w14:textId="77777777" w:rsidR="00C1563E" w:rsidRDefault="00C1563E">
            <w:pPr>
              <w:rPr>
                <w:rFonts w:ascii="宋体"/>
              </w:rPr>
            </w:pPr>
          </w:p>
        </w:tc>
        <w:tc>
          <w:tcPr>
            <w:tcW w:w="5" w:type="pct"/>
            <w:shd w:val="clear" w:color="auto" w:fill="auto"/>
          </w:tcPr>
          <w:p w14:paraId="7DD015C8" w14:textId="77777777" w:rsidR="00C1563E" w:rsidRDefault="00C1563E">
            <w:pPr>
              <w:rPr>
                <w:rFonts w:ascii="宋体"/>
              </w:rPr>
            </w:pPr>
          </w:p>
        </w:tc>
        <w:tc>
          <w:tcPr>
            <w:tcW w:w="50" w:type="pct"/>
            <w:shd w:val="clear" w:color="auto" w:fill="auto"/>
          </w:tcPr>
          <w:p w14:paraId="7DD015C9" w14:textId="77777777" w:rsidR="00C1563E" w:rsidRDefault="00C1563E">
            <w:pPr>
              <w:rPr>
                <w:rFonts w:ascii="宋体"/>
              </w:rPr>
            </w:pPr>
          </w:p>
        </w:tc>
        <w:tc>
          <w:tcPr>
            <w:tcW w:w="735" w:type="pct"/>
            <w:shd w:val="clear" w:color="auto" w:fill="auto"/>
          </w:tcPr>
          <w:p w14:paraId="7DD015CA" w14:textId="77777777" w:rsidR="00C1563E" w:rsidRDefault="00C1563E">
            <w:pPr>
              <w:rPr>
                <w:rFonts w:ascii="宋体"/>
              </w:rPr>
            </w:pPr>
          </w:p>
        </w:tc>
        <w:tc>
          <w:tcPr>
            <w:tcW w:w="5" w:type="pct"/>
            <w:shd w:val="clear" w:color="auto" w:fill="auto"/>
          </w:tcPr>
          <w:p w14:paraId="7DD015CB" w14:textId="77777777" w:rsidR="00C1563E" w:rsidRDefault="00C1563E">
            <w:pPr>
              <w:rPr>
                <w:rFonts w:ascii="宋体"/>
              </w:rPr>
            </w:pPr>
          </w:p>
        </w:tc>
        <w:tc>
          <w:tcPr>
            <w:tcW w:w="5" w:type="pct"/>
            <w:shd w:val="clear" w:color="auto" w:fill="auto"/>
          </w:tcPr>
          <w:p w14:paraId="7DD015CC" w14:textId="77777777" w:rsidR="00C1563E" w:rsidRDefault="00C1563E">
            <w:pPr>
              <w:rPr>
                <w:rFonts w:ascii="宋体"/>
              </w:rPr>
            </w:pPr>
          </w:p>
        </w:tc>
        <w:tc>
          <w:tcPr>
            <w:tcW w:w="26" w:type="pct"/>
            <w:shd w:val="clear" w:color="auto" w:fill="auto"/>
          </w:tcPr>
          <w:p w14:paraId="7DD015CD" w14:textId="77777777" w:rsidR="00C1563E" w:rsidRDefault="00C1563E">
            <w:pPr>
              <w:rPr>
                <w:rFonts w:ascii="宋体"/>
              </w:rPr>
            </w:pPr>
          </w:p>
        </w:tc>
        <w:tc>
          <w:tcPr>
            <w:tcW w:w="5" w:type="pct"/>
            <w:shd w:val="clear" w:color="auto" w:fill="auto"/>
          </w:tcPr>
          <w:p w14:paraId="7DD015CE" w14:textId="77777777" w:rsidR="00C1563E" w:rsidRDefault="00C1563E">
            <w:pPr>
              <w:rPr>
                <w:rFonts w:ascii="宋体"/>
              </w:rPr>
            </w:pPr>
          </w:p>
        </w:tc>
        <w:tc>
          <w:tcPr>
            <w:tcW w:w="50" w:type="pct"/>
            <w:shd w:val="clear" w:color="auto" w:fill="auto"/>
          </w:tcPr>
          <w:p w14:paraId="7DD015CF" w14:textId="77777777" w:rsidR="00C1563E" w:rsidRDefault="00C1563E">
            <w:pPr>
              <w:rPr>
                <w:rFonts w:ascii="宋体"/>
              </w:rPr>
            </w:pPr>
          </w:p>
        </w:tc>
        <w:tc>
          <w:tcPr>
            <w:tcW w:w="735" w:type="pct"/>
            <w:shd w:val="clear" w:color="auto" w:fill="auto"/>
          </w:tcPr>
          <w:p w14:paraId="7DD015D0" w14:textId="77777777" w:rsidR="00C1563E" w:rsidRDefault="00C1563E">
            <w:pPr>
              <w:rPr>
                <w:rFonts w:ascii="宋体"/>
              </w:rPr>
            </w:pPr>
          </w:p>
        </w:tc>
        <w:tc>
          <w:tcPr>
            <w:tcW w:w="5" w:type="pct"/>
            <w:shd w:val="clear" w:color="auto" w:fill="auto"/>
          </w:tcPr>
          <w:p w14:paraId="7DD015D1" w14:textId="77777777" w:rsidR="00C1563E" w:rsidRDefault="00C1563E">
            <w:pPr>
              <w:rPr>
                <w:rFonts w:ascii="宋体"/>
              </w:rPr>
            </w:pPr>
          </w:p>
        </w:tc>
      </w:tr>
      <w:tr w:rsidR="00C1563E" w14:paraId="7DD015D5" w14:textId="77777777">
        <w:trPr>
          <w:jc w:val="center"/>
        </w:trPr>
        <w:tc>
          <w:tcPr>
            <w:tcW w:w="0" w:type="auto"/>
            <w:gridSpan w:val="3"/>
            <w:shd w:val="clear" w:color="auto" w:fill="auto"/>
            <w:tcMar>
              <w:top w:w="0" w:type="dxa"/>
              <w:left w:w="20" w:type="dxa"/>
              <w:bottom w:w="0" w:type="dxa"/>
              <w:right w:w="20" w:type="dxa"/>
            </w:tcMar>
          </w:tcPr>
          <w:p w14:paraId="7DD015D3"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5D4"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5DC" w14:textId="77777777">
        <w:trPr>
          <w:jc w:val="center"/>
        </w:trPr>
        <w:tc>
          <w:tcPr>
            <w:tcW w:w="0" w:type="auto"/>
            <w:gridSpan w:val="3"/>
            <w:shd w:val="clear" w:color="auto" w:fill="auto"/>
            <w:tcMar>
              <w:top w:w="0" w:type="dxa"/>
              <w:left w:w="20" w:type="dxa"/>
              <w:bottom w:w="0" w:type="dxa"/>
              <w:right w:w="20" w:type="dxa"/>
            </w:tcMar>
          </w:tcPr>
          <w:p w14:paraId="7DD015D6"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5D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5D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5D9"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5D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5DB"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5E3" w14:textId="77777777">
        <w:trPr>
          <w:jc w:val="center"/>
        </w:trPr>
        <w:tc>
          <w:tcPr>
            <w:tcW w:w="0" w:type="auto"/>
            <w:gridSpan w:val="3"/>
            <w:shd w:val="clear" w:color="auto" w:fill="auto"/>
            <w:tcMar>
              <w:top w:w="40" w:type="dxa"/>
              <w:left w:w="20" w:type="dxa"/>
              <w:bottom w:w="40" w:type="dxa"/>
              <w:right w:w="20" w:type="dxa"/>
            </w:tcMar>
            <w:vAlign w:val="bottom"/>
          </w:tcPr>
          <w:p w14:paraId="7DD015DD" w14:textId="77777777" w:rsidR="00C1563E" w:rsidRDefault="000B648B">
            <w:pPr>
              <w:textAlignment w:val="bottom"/>
            </w:pPr>
            <w:r>
              <w:rPr>
                <w:rFonts w:ascii="Times New Roman" w:eastAsia="宋体" w:hAnsi="Times New Roman"/>
                <w:i/>
                <w:iCs/>
                <w:color w:val="000000"/>
                <w:sz w:val="20"/>
                <w:szCs w:val="20"/>
                <w:u w:val="single"/>
              </w:rPr>
              <w:t xml:space="preserve">VMware, Inc. 2007 Equity and Incentive Plan </w:t>
            </w:r>
          </w:p>
        </w:tc>
        <w:tc>
          <w:tcPr>
            <w:tcW w:w="0" w:type="auto"/>
            <w:gridSpan w:val="3"/>
            <w:tcBorders>
              <w:top w:val="single" w:sz="8" w:space="0" w:color="000000"/>
            </w:tcBorders>
            <w:shd w:val="clear" w:color="auto" w:fill="auto"/>
            <w:tcMar>
              <w:top w:w="0" w:type="dxa"/>
              <w:left w:w="20" w:type="dxa"/>
              <w:bottom w:w="0" w:type="dxa"/>
              <w:right w:w="20" w:type="dxa"/>
            </w:tcMar>
          </w:tcPr>
          <w:p w14:paraId="7DD015D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15DF"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15E0"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15E1"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15E2" w14:textId="77777777" w:rsidR="00C1563E" w:rsidRDefault="00C1563E">
            <w:pPr>
              <w:rPr>
                <w:rFonts w:ascii="宋体"/>
              </w:rPr>
            </w:pPr>
          </w:p>
        </w:tc>
      </w:tr>
      <w:tr w:rsidR="00C1563E" w14:paraId="7DD015ED" w14:textId="77777777">
        <w:trPr>
          <w:jc w:val="center"/>
        </w:trPr>
        <w:tc>
          <w:tcPr>
            <w:tcW w:w="0" w:type="auto"/>
            <w:gridSpan w:val="3"/>
            <w:shd w:val="clear" w:color="auto" w:fill="CCEEFF"/>
            <w:tcMar>
              <w:top w:w="40" w:type="dxa"/>
              <w:left w:w="20" w:type="dxa"/>
              <w:bottom w:w="40" w:type="dxa"/>
              <w:right w:w="20" w:type="dxa"/>
            </w:tcMar>
            <w:vAlign w:val="bottom"/>
          </w:tcPr>
          <w:p w14:paraId="7DD015E4" w14:textId="77777777" w:rsidR="00C1563E" w:rsidRDefault="000B648B">
            <w:pPr>
              <w:textAlignment w:val="bottom"/>
            </w:pPr>
            <w:r>
              <w:rPr>
                <w:rFonts w:ascii="Times New Roman" w:eastAsia="宋体" w:hAnsi="Times New Roman"/>
                <w:color w:val="000000"/>
                <w:sz w:val="20"/>
                <w:szCs w:val="20"/>
              </w:rPr>
              <w:t xml:space="preserve">Weighted-average grant date fair value of stock options </w:t>
            </w:r>
            <w:r>
              <w:rPr>
                <w:rFonts w:ascii="Times New Roman" w:eastAsia="宋体" w:hAnsi="Times New Roman"/>
                <w:color w:val="000000"/>
                <w:sz w:val="20"/>
                <w:szCs w:val="20"/>
              </w:rPr>
              <w:t>granted per option</w:t>
            </w:r>
          </w:p>
        </w:tc>
        <w:tc>
          <w:tcPr>
            <w:tcW w:w="0" w:type="auto"/>
            <w:shd w:val="clear" w:color="auto" w:fill="CCEEFF"/>
            <w:tcMar>
              <w:top w:w="40" w:type="dxa"/>
              <w:left w:w="20" w:type="dxa"/>
              <w:bottom w:w="40" w:type="dxa"/>
              <w:right w:w="0" w:type="dxa"/>
            </w:tcMar>
            <w:vAlign w:val="bottom"/>
          </w:tcPr>
          <w:p w14:paraId="7DD015E5"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5E6" w14:textId="77777777" w:rsidR="00C1563E" w:rsidRDefault="000B648B">
            <w:pPr>
              <w:jc w:val="right"/>
              <w:textAlignment w:val="bottom"/>
            </w:pPr>
            <w:r>
              <w:rPr>
                <w:rFonts w:ascii="Times New Roman" w:eastAsia="宋体" w:hAnsi="Times New Roman"/>
                <w:color w:val="000000"/>
                <w:sz w:val="20"/>
                <w:szCs w:val="20"/>
              </w:rPr>
              <w:t>102.55</w:t>
            </w:r>
          </w:p>
        </w:tc>
        <w:tc>
          <w:tcPr>
            <w:tcW w:w="0" w:type="auto"/>
            <w:gridSpan w:val="3"/>
            <w:shd w:val="clear" w:color="auto" w:fill="CCEEFF"/>
            <w:tcMar>
              <w:top w:w="0" w:type="dxa"/>
              <w:left w:w="20" w:type="dxa"/>
              <w:bottom w:w="0" w:type="dxa"/>
              <w:right w:w="20" w:type="dxa"/>
            </w:tcMar>
          </w:tcPr>
          <w:p w14:paraId="7DD015E7"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E8"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5E9" w14:textId="77777777" w:rsidR="00C1563E" w:rsidRDefault="000B648B">
            <w:pPr>
              <w:jc w:val="right"/>
              <w:textAlignment w:val="bottom"/>
            </w:pPr>
            <w:r>
              <w:rPr>
                <w:rFonts w:ascii="Times New Roman" w:eastAsia="宋体" w:hAnsi="Times New Roman"/>
                <w:color w:val="000000"/>
                <w:sz w:val="20"/>
                <w:szCs w:val="20"/>
              </w:rPr>
              <w:t>98.00</w:t>
            </w:r>
          </w:p>
        </w:tc>
        <w:tc>
          <w:tcPr>
            <w:tcW w:w="0" w:type="auto"/>
            <w:gridSpan w:val="3"/>
            <w:shd w:val="clear" w:color="auto" w:fill="CCEEFF"/>
            <w:tcMar>
              <w:top w:w="0" w:type="dxa"/>
              <w:left w:w="20" w:type="dxa"/>
              <w:bottom w:w="0" w:type="dxa"/>
              <w:right w:w="20" w:type="dxa"/>
            </w:tcMar>
          </w:tcPr>
          <w:p w14:paraId="7DD015EA"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5EB"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5EC" w14:textId="77777777" w:rsidR="00C1563E" w:rsidRDefault="000B648B">
            <w:pPr>
              <w:jc w:val="right"/>
              <w:textAlignment w:val="bottom"/>
            </w:pPr>
            <w:r>
              <w:rPr>
                <w:rFonts w:ascii="Times New Roman" w:eastAsia="宋体" w:hAnsi="Times New Roman"/>
                <w:color w:val="000000"/>
                <w:sz w:val="20"/>
                <w:szCs w:val="20"/>
              </w:rPr>
              <w:t>143.01</w:t>
            </w:r>
          </w:p>
        </w:tc>
      </w:tr>
      <w:tr w:rsidR="00C1563E" w14:paraId="7DD015F4" w14:textId="77777777">
        <w:trPr>
          <w:jc w:val="center"/>
        </w:trPr>
        <w:tc>
          <w:tcPr>
            <w:tcW w:w="0" w:type="auto"/>
            <w:gridSpan w:val="3"/>
            <w:shd w:val="clear" w:color="auto" w:fill="FFFFFF"/>
            <w:tcMar>
              <w:top w:w="40" w:type="dxa"/>
              <w:left w:w="20" w:type="dxa"/>
              <w:bottom w:w="40" w:type="dxa"/>
              <w:right w:w="20" w:type="dxa"/>
            </w:tcMar>
            <w:vAlign w:val="bottom"/>
          </w:tcPr>
          <w:p w14:paraId="7DD015EE" w14:textId="77777777" w:rsidR="00C1563E" w:rsidRDefault="000B648B">
            <w:pPr>
              <w:textAlignment w:val="bottom"/>
            </w:pPr>
            <w:r>
              <w:rPr>
                <w:rFonts w:ascii="Times New Roman" w:eastAsia="宋体" w:hAnsi="Times New Roman"/>
                <w:color w:val="000000"/>
                <w:sz w:val="20"/>
                <w:szCs w:val="20"/>
              </w:rPr>
              <w:t>Expected term (in years)</w:t>
            </w:r>
          </w:p>
        </w:tc>
        <w:tc>
          <w:tcPr>
            <w:tcW w:w="0" w:type="auto"/>
            <w:gridSpan w:val="3"/>
            <w:shd w:val="clear" w:color="auto" w:fill="FFFFFF"/>
            <w:tcMar>
              <w:top w:w="40" w:type="dxa"/>
              <w:left w:w="20" w:type="dxa"/>
              <w:bottom w:w="40" w:type="dxa"/>
              <w:right w:w="20" w:type="dxa"/>
            </w:tcMar>
            <w:vAlign w:val="bottom"/>
          </w:tcPr>
          <w:p w14:paraId="7DD015EF" w14:textId="77777777" w:rsidR="00C1563E" w:rsidRDefault="000B648B">
            <w:pPr>
              <w:jc w:val="right"/>
              <w:textAlignment w:val="bottom"/>
            </w:pPr>
            <w:r>
              <w:rPr>
                <w:rFonts w:ascii="Times New Roman" w:eastAsia="宋体" w:hAnsi="Times New Roman"/>
                <w:color w:val="000000"/>
                <w:sz w:val="20"/>
                <w:szCs w:val="20"/>
              </w:rPr>
              <w:t>2.6</w:t>
            </w:r>
          </w:p>
        </w:tc>
        <w:tc>
          <w:tcPr>
            <w:tcW w:w="0" w:type="auto"/>
            <w:gridSpan w:val="3"/>
            <w:shd w:val="clear" w:color="auto" w:fill="FFFFFF"/>
            <w:tcMar>
              <w:top w:w="0" w:type="dxa"/>
              <w:left w:w="20" w:type="dxa"/>
              <w:bottom w:w="0" w:type="dxa"/>
              <w:right w:w="20" w:type="dxa"/>
            </w:tcMar>
          </w:tcPr>
          <w:p w14:paraId="7DD015F0"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5F1" w14:textId="77777777" w:rsidR="00C1563E" w:rsidRDefault="000B648B">
            <w:pPr>
              <w:jc w:val="right"/>
              <w:textAlignment w:val="bottom"/>
            </w:pPr>
            <w:r>
              <w:rPr>
                <w:rFonts w:ascii="Times New Roman" w:eastAsia="宋体" w:hAnsi="Times New Roman"/>
                <w:color w:val="000000"/>
                <w:sz w:val="20"/>
                <w:szCs w:val="20"/>
              </w:rPr>
              <w:t>2.7</w:t>
            </w:r>
          </w:p>
        </w:tc>
        <w:tc>
          <w:tcPr>
            <w:tcW w:w="0" w:type="auto"/>
            <w:gridSpan w:val="3"/>
            <w:shd w:val="clear" w:color="auto" w:fill="FFFFFF"/>
            <w:tcMar>
              <w:top w:w="0" w:type="dxa"/>
              <w:left w:w="20" w:type="dxa"/>
              <w:bottom w:w="0" w:type="dxa"/>
              <w:right w:w="20" w:type="dxa"/>
            </w:tcMar>
          </w:tcPr>
          <w:p w14:paraId="7DD015F2"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5F3" w14:textId="77777777" w:rsidR="00C1563E" w:rsidRDefault="000B648B">
            <w:pPr>
              <w:jc w:val="right"/>
              <w:textAlignment w:val="bottom"/>
            </w:pPr>
            <w:r>
              <w:rPr>
                <w:rFonts w:ascii="Times New Roman" w:eastAsia="宋体" w:hAnsi="Times New Roman"/>
                <w:color w:val="000000"/>
                <w:sz w:val="20"/>
                <w:szCs w:val="20"/>
              </w:rPr>
              <w:t>3.2</w:t>
            </w:r>
          </w:p>
        </w:tc>
      </w:tr>
      <w:tr w:rsidR="00C1563E" w14:paraId="7DD015FE" w14:textId="77777777">
        <w:trPr>
          <w:jc w:val="center"/>
        </w:trPr>
        <w:tc>
          <w:tcPr>
            <w:tcW w:w="0" w:type="auto"/>
            <w:gridSpan w:val="3"/>
            <w:shd w:val="clear" w:color="auto" w:fill="CCEEFF"/>
            <w:tcMar>
              <w:top w:w="40" w:type="dxa"/>
              <w:left w:w="20" w:type="dxa"/>
              <w:bottom w:w="40" w:type="dxa"/>
              <w:right w:w="20" w:type="dxa"/>
            </w:tcMar>
            <w:vAlign w:val="bottom"/>
          </w:tcPr>
          <w:p w14:paraId="7DD015F5" w14:textId="77777777" w:rsidR="00C1563E" w:rsidRDefault="000B648B">
            <w:pPr>
              <w:textAlignment w:val="bottom"/>
            </w:pPr>
            <w:r>
              <w:rPr>
                <w:rFonts w:ascii="Times New Roman" w:eastAsia="宋体" w:hAnsi="Times New Roman"/>
                <w:color w:val="000000"/>
                <w:sz w:val="20"/>
                <w:szCs w:val="20"/>
              </w:rPr>
              <w:t>Risk-free rate (U.S. Government Treasury Note)</w:t>
            </w:r>
          </w:p>
        </w:tc>
        <w:tc>
          <w:tcPr>
            <w:tcW w:w="0" w:type="auto"/>
            <w:gridSpan w:val="2"/>
            <w:shd w:val="clear" w:color="auto" w:fill="CCEEFF"/>
            <w:tcMar>
              <w:top w:w="40" w:type="dxa"/>
              <w:left w:w="20" w:type="dxa"/>
              <w:bottom w:w="40" w:type="dxa"/>
              <w:right w:w="0" w:type="dxa"/>
            </w:tcMar>
            <w:vAlign w:val="bottom"/>
          </w:tcPr>
          <w:p w14:paraId="7DD015F6" w14:textId="77777777" w:rsidR="00C1563E" w:rsidRDefault="000B648B">
            <w:pPr>
              <w:jc w:val="right"/>
              <w:textAlignment w:val="bottom"/>
            </w:pPr>
            <w:r>
              <w:rPr>
                <w:rFonts w:ascii="Times New Roman" w:eastAsia="宋体" w:hAnsi="Times New Roman"/>
                <w:color w:val="000000"/>
                <w:sz w:val="20"/>
                <w:szCs w:val="20"/>
              </w:rPr>
              <w:t>0.4 </w:t>
            </w:r>
          </w:p>
        </w:tc>
        <w:tc>
          <w:tcPr>
            <w:tcW w:w="0" w:type="auto"/>
            <w:shd w:val="clear" w:color="auto" w:fill="CCEEFF"/>
            <w:tcMar>
              <w:top w:w="40" w:type="dxa"/>
              <w:left w:w="0" w:type="dxa"/>
              <w:bottom w:w="40" w:type="dxa"/>
              <w:right w:w="20" w:type="dxa"/>
            </w:tcMar>
            <w:vAlign w:val="bottom"/>
          </w:tcPr>
          <w:p w14:paraId="7DD015F7"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5F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F9"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D015FA"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5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5FC" w14:textId="77777777" w:rsidR="00C1563E" w:rsidRDefault="000B648B">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7DD015FD"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608" w14:textId="77777777">
        <w:trPr>
          <w:jc w:val="center"/>
        </w:trPr>
        <w:tc>
          <w:tcPr>
            <w:tcW w:w="0" w:type="auto"/>
            <w:gridSpan w:val="3"/>
            <w:shd w:val="clear" w:color="auto" w:fill="FFFFFF"/>
            <w:tcMar>
              <w:top w:w="40" w:type="dxa"/>
              <w:left w:w="20" w:type="dxa"/>
              <w:bottom w:w="40" w:type="dxa"/>
              <w:right w:w="20" w:type="dxa"/>
            </w:tcMar>
            <w:vAlign w:val="bottom"/>
          </w:tcPr>
          <w:p w14:paraId="7DD015FF" w14:textId="77777777" w:rsidR="00C1563E" w:rsidRDefault="000B648B">
            <w:pPr>
              <w:textAlignment w:val="bottom"/>
            </w:pPr>
            <w:r>
              <w:rPr>
                <w:rFonts w:ascii="Times New Roman" w:eastAsia="宋体" w:hAnsi="Times New Roman"/>
                <w:color w:val="000000"/>
                <w:sz w:val="20"/>
                <w:szCs w:val="20"/>
              </w:rPr>
              <w:t>Expected volatility</w:t>
            </w:r>
          </w:p>
        </w:tc>
        <w:tc>
          <w:tcPr>
            <w:tcW w:w="0" w:type="auto"/>
            <w:gridSpan w:val="2"/>
            <w:shd w:val="clear" w:color="auto" w:fill="FFFFFF"/>
            <w:tcMar>
              <w:top w:w="40" w:type="dxa"/>
              <w:left w:w="20" w:type="dxa"/>
              <w:bottom w:w="40" w:type="dxa"/>
              <w:right w:w="0" w:type="dxa"/>
            </w:tcMar>
            <w:vAlign w:val="bottom"/>
          </w:tcPr>
          <w:p w14:paraId="7DD01600" w14:textId="77777777" w:rsidR="00C1563E" w:rsidRDefault="000B648B">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7DD01601"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160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03" w14:textId="77777777" w:rsidR="00C1563E" w:rsidRDefault="000B648B">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7DD01604"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160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06" w14:textId="77777777" w:rsidR="00C1563E" w:rsidRDefault="000B648B">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7DD01607"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612" w14:textId="77777777">
        <w:trPr>
          <w:jc w:val="center"/>
        </w:trPr>
        <w:tc>
          <w:tcPr>
            <w:tcW w:w="0" w:type="auto"/>
            <w:gridSpan w:val="3"/>
            <w:shd w:val="clear" w:color="auto" w:fill="CCEEFF"/>
            <w:tcMar>
              <w:top w:w="40" w:type="dxa"/>
              <w:left w:w="20" w:type="dxa"/>
              <w:bottom w:w="40" w:type="dxa"/>
              <w:right w:w="20" w:type="dxa"/>
            </w:tcMar>
            <w:vAlign w:val="bottom"/>
          </w:tcPr>
          <w:p w14:paraId="7DD01609" w14:textId="77777777" w:rsidR="00C1563E" w:rsidRDefault="000B648B">
            <w:pPr>
              <w:textAlignment w:val="bottom"/>
            </w:pPr>
            <w:r>
              <w:rPr>
                <w:rFonts w:ascii="Times New Roman" w:eastAsia="宋体" w:hAnsi="Times New Roman"/>
                <w:color w:val="000000"/>
                <w:sz w:val="20"/>
                <w:szCs w:val="20"/>
              </w:rPr>
              <w:t>Expected dividend yield</w:t>
            </w:r>
          </w:p>
        </w:tc>
        <w:tc>
          <w:tcPr>
            <w:tcW w:w="0" w:type="auto"/>
            <w:gridSpan w:val="2"/>
            <w:shd w:val="clear" w:color="auto" w:fill="CCEEFF"/>
            <w:tcMar>
              <w:top w:w="40" w:type="dxa"/>
              <w:left w:w="20" w:type="dxa"/>
              <w:bottom w:w="40" w:type="dxa"/>
              <w:right w:w="0" w:type="dxa"/>
            </w:tcMar>
            <w:vAlign w:val="bottom"/>
          </w:tcPr>
          <w:p w14:paraId="7DD0160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0B"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0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0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0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0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1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11" w14:textId="77777777" w:rsidR="00C1563E" w:rsidRDefault="000B648B">
            <w:pPr>
              <w:jc w:val="right"/>
              <w:textAlignment w:val="bottom"/>
            </w:pPr>
            <w:r>
              <w:rPr>
                <w:rFonts w:ascii="Times New Roman" w:eastAsia="宋体" w:hAnsi="Times New Roman"/>
                <w:color w:val="000000"/>
                <w:sz w:val="20"/>
                <w:szCs w:val="20"/>
              </w:rPr>
              <w:t>%</w:t>
            </w:r>
          </w:p>
        </w:tc>
      </w:tr>
    </w:tbl>
    <w:p w14:paraId="7DD01613" w14:textId="77777777" w:rsidR="00C1563E" w:rsidRDefault="00C1563E">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983"/>
        <w:gridCol w:w="37"/>
        <w:gridCol w:w="121"/>
        <w:gridCol w:w="1112"/>
        <w:gridCol w:w="187"/>
        <w:gridCol w:w="36"/>
        <w:gridCol w:w="36"/>
        <w:gridCol w:w="36"/>
        <w:gridCol w:w="121"/>
        <w:gridCol w:w="1006"/>
        <w:gridCol w:w="187"/>
        <w:gridCol w:w="36"/>
        <w:gridCol w:w="36"/>
        <w:gridCol w:w="36"/>
        <w:gridCol w:w="121"/>
        <w:gridCol w:w="1008"/>
        <w:gridCol w:w="187"/>
      </w:tblGrid>
      <w:tr w:rsidR="00C1563E" w14:paraId="7DD01626" w14:textId="77777777">
        <w:trPr>
          <w:jc w:val="center"/>
        </w:trPr>
        <w:tc>
          <w:tcPr>
            <w:tcW w:w="50" w:type="pct"/>
            <w:shd w:val="clear" w:color="auto" w:fill="auto"/>
          </w:tcPr>
          <w:p w14:paraId="7DD01614" w14:textId="77777777" w:rsidR="00C1563E" w:rsidRDefault="00C1563E">
            <w:pPr>
              <w:rPr>
                <w:rFonts w:ascii="宋体"/>
              </w:rPr>
            </w:pPr>
          </w:p>
        </w:tc>
        <w:tc>
          <w:tcPr>
            <w:tcW w:w="2499" w:type="pct"/>
            <w:shd w:val="clear" w:color="auto" w:fill="auto"/>
          </w:tcPr>
          <w:p w14:paraId="7DD01615" w14:textId="77777777" w:rsidR="00C1563E" w:rsidRDefault="00C1563E">
            <w:pPr>
              <w:rPr>
                <w:rFonts w:ascii="宋体"/>
              </w:rPr>
            </w:pPr>
          </w:p>
        </w:tc>
        <w:tc>
          <w:tcPr>
            <w:tcW w:w="5" w:type="pct"/>
            <w:shd w:val="clear" w:color="auto" w:fill="auto"/>
          </w:tcPr>
          <w:p w14:paraId="7DD01616" w14:textId="77777777" w:rsidR="00C1563E" w:rsidRDefault="00C1563E">
            <w:pPr>
              <w:rPr>
                <w:rFonts w:ascii="宋体"/>
              </w:rPr>
            </w:pPr>
          </w:p>
        </w:tc>
        <w:tc>
          <w:tcPr>
            <w:tcW w:w="50" w:type="pct"/>
            <w:shd w:val="clear" w:color="auto" w:fill="auto"/>
          </w:tcPr>
          <w:p w14:paraId="7DD01617" w14:textId="77777777" w:rsidR="00C1563E" w:rsidRDefault="00C1563E">
            <w:pPr>
              <w:rPr>
                <w:rFonts w:ascii="宋体"/>
              </w:rPr>
            </w:pPr>
          </w:p>
        </w:tc>
        <w:tc>
          <w:tcPr>
            <w:tcW w:w="735" w:type="pct"/>
            <w:shd w:val="clear" w:color="auto" w:fill="auto"/>
          </w:tcPr>
          <w:p w14:paraId="7DD01618" w14:textId="77777777" w:rsidR="00C1563E" w:rsidRDefault="00C1563E">
            <w:pPr>
              <w:rPr>
                <w:rFonts w:ascii="宋体"/>
              </w:rPr>
            </w:pPr>
          </w:p>
        </w:tc>
        <w:tc>
          <w:tcPr>
            <w:tcW w:w="5" w:type="pct"/>
            <w:shd w:val="clear" w:color="auto" w:fill="auto"/>
          </w:tcPr>
          <w:p w14:paraId="7DD01619" w14:textId="77777777" w:rsidR="00C1563E" w:rsidRDefault="00C1563E">
            <w:pPr>
              <w:rPr>
                <w:rFonts w:ascii="宋体"/>
              </w:rPr>
            </w:pPr>
          </w:p>
        </w:tc>
        <w:tc>
          <w:tcPr>
            <w:tcW w:w="5" w:type="pct"/>
            <w:shd w:val="clear" w:color="auto" w:fill="auto"/>
          </w:tcPr>
          <w:p w14:paraId="7DD0161A" w14:textId="77777777" w:rsidR="00C1563E" w:rsidRDefault="00C1563E">
            <w:pPr>
              <w:rPr>
                <w:rFonts w:ascii="宋体"/>
              </w:rPr>
            </w:pPr>
          </w:p>
        </w:tc>
        <w:tc>
          <w:tcPr>
            <w:tcW w:w="26" w:type="pct"/>
            <w:shd w:val="clear" w:color="auto" w:fill="auto"/>
          </w:tcPr>
          <w:p w14:paraId="7DD0161B" w14:textId="77777777" w:rsidR="00C1563E" w:rsidRDefault="00C1563E">
            <w:pPr>
              <w:rPr>
                <w:rFonts w:ascii="宋体"/>
              </w:rPr>
            </w:pPr>
          </w:p>
        </w:tc>
        <w:tc>
          <w:tcPr>
            <w:tcW w:w="5" w:type="pct"/>
            <w:shd w:val="clear" w:color="auto" w:fill="auto"/>
          </w:tcPr>
          <w:p w14:paraId="7DD0161C" w14:textId="77777777" w:rsidR="00C1563E" w:rsidRDefault="00C1563E">
            <w:pPr>
              <w:rPr>
                <w:rFonts w:ascii="宋体"/>
              </w:rPr>
            </w:pPr>
          </w:p>
        </w:tc>
        <w:tc>
          <w:tcPr>
            <w:tcW w:w="50" w:type="pct"/>
            <w:shd w:val="clear" w:color="auto" w:fill="auto"/>
          </w:tcPr>
          <w:p w14:paraId="7DD0161D" w14:textId="77777777" w:rsidR="00C1563E" w:rsidRDefault="00C1563E">
            <w:pPr>
              <w:rPr>
                <w:rFonts w:ascii="宋体"/>
              </w:rPr>
            </w:pPr>
          </w:p>
        </w:tc>
        <w:tc>
          <w:tcPr>
            <w:tcW w:w="735" w:type="pct"/>
            <w:shd w:val="clear" w:color="auto" w:fill="auto"/>
          </w:tcPr>
          <w:p w14:paraId="7DD0161E" w14:textId="77777777" w:rsidR="00C1563E" w:rsidRDefault="00C1563E">
            <w:pPr>
              <w:rPr>
                <w:rFonts w:ascii="宋体"/>
              </w:rPr>
            </w:pPr>
          </w:p>
        </w:tc>
        <w:tc>
          <w:tcPr>
            <w:tcW w:w="5" w:type="pct"/>
            <w:shd w:val="clear" w:color="auto" w:fill="auto"/>
          </w:tcPr>
          <w:p w14:paraId="7DD0161F" w14:textId="77777777" w:rsidR="00C1563E" w:rsidRDefault="00C1563E">
            <w:pPr>
              <w:rPr>
                <w:rFonts w:ascii="宋体"/>
              </w:rPr>
            </w:pPr>
          </w:p>
        </w:tc>
        <w:tc>
          <w:tcPr>
            <w:tcW w:w="5" w:type="pct"/>
            <w:shd w:val="clear" w:color="auto" w:fill="auto"/>
          </w:tcPr>
          <w:p w14:paraId="7DD01620" w14:textId="77777777" w:rsidR="00C1563E" w:rsidRDefault="00C1563E">
            <w:pPr>
              <w:rPr>
                <w:rFonts w:ascii="宋体"/>
              </w:rPr>
            </w:pPr>
          </w:p>
        </w:tc>
        <w:tc>
          <w:tcPr>
            <w:tcW w:w="26" w:type="pct"/>
            <w:shd w:val="clear" w:color="auto" w:fill="auto"/>
          </w:tcPr>
          <w:p w14:paraId="7DD01621" w14:textId="77777777" w:rsidR="00C1563E" w:rsidRDefault="00C1563E">
            <w:pPr>
              <w:rPr>
                <w:rFonts w:ascii="宋体"/>
              </w:rPr>
            </w:pPr>
          </w:p>
        </w:tc>
        <w:tc>
          <w:tcPr>
            <w:tcW w:w="5" w:type="pct"/>
            <w:shd w:val="clear" w:color="auto" w:fill="auto"/>
          </w:tcPr>
          <w:p w14:paraId="7DD01622" w14:textId="77777777" w:rsidR="00C1563E" w:rsidRDefault="00C1563E">
            <w:pPr>
              <w:rPr>
                <w:rFonts w:ascii="宋体"/>
              </w:rPr>
            </w:pPr>
          </w:p>
        </w:tc>
        <w:tc>
          <w:tcPr>
            <w:tcW w:w="50" w:type="pct"/>
            <w:shd w:val="clear" w:color="auto" w:fill="auto"/>
          </w:tcPr>
          <w:p w14:paraId="7DD01623" w14:textId="77777777" w:rsidR="00C1563E" w:rsidRDefault="00C1563E">
            <w:pPr>
              <w:rPr>
                <w:rFonts w:ascii="宋体"/>
              </w:rPr>
            </w:pPr>
          </w:p>
        </w:tc>
        <w:tc>
          <w:tcPr>
            <w:tcW w:w="735" w:type="pct"/>
            <w:shd w:val="clear" w:color="auto" w:fill="auto"/>
          </w:tcPr>
          <w:p w14:paraId="7DD01624" w14:textId="77777777" w:rsidR="00C1563E" w:rsidRDefault="00C1563E">
            <w:pPr>
              <w:rPr>
                <w:rFonts w:ascii="宋体"/>
              </w:rPr>
            </w:pPr>
          </w:p>
        </w:tc>
        <w:tc>
          <w:tcPr>
            <w:tcW w:w="5" w:type="pct"/>
            <w:shd w:val="clear" w:color="auto" w:fill="auto"/>
          </w:tcPr>
          <w:p w14:paraId="7DD01625" w14:textId="77777777" w:rsidR="00C1563E" w:rsidRDefault="00C1563E">
            <w:pPr>
              <w:rPr>
                <w:rFonts w:ascii="宋体"/>
              </w:rPr>
            </w:pPr>
          </w:p>
        </w:tc>
      </w:tr>
      <w:tr w:rsidR="00C1563E" w14:paraId="7DD01629" w14:textId="77777777">
        <w:trPr>
          <w:jc w:val="center"/>
        </w:trPr>
        <w:tc>
          <w:tcPr>
            <w:tcW w:w="0" w:type="auto"/>
            <w:gridSpan w:val="3"/>
            <w:shd w:val="clear" w:color="auto" w:fill="auto"/>
            <w:tcMar>
              <w:top w:w="0" w:type="dxa"/>
              <w:left w:w="20" w:type="dxa"/>
              <w:bottom w:w="0" w:type="dxa"/>
              <w:right w:w="20" w:type="dxa"/>
            </w:tcMar>
          </w:tcPr>
          <w:p w14:paraId="7DD01627"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628"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630" w14:textId="77777777">
        <w:trPr>
          <w:jc w:val="center"/>
        </w:trPr>
        <w:tc>
          <w:tcPr>
            <w:tcW w:w="0" w:type="auto"/>
            <w:gridSpan w:val="3"/>
            <w:shd w:val="clear" w:color="auto" w:fill="auto"/>
            <w:tcMar>
              <w:top w:w="0" w:type="dxa"/>
              <w:left w:w="20" w:type="dxa"/>
              <w:bottom w:w="0" w:type="dxa"/>
              <w:right w:w="20" w:type="dxa"/>
            </w:tcMar>
          </w:tcPr>
          <w:p w14:paraId="7DD0162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62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62C"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62D"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62E"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62F"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637" w14:textId="77777777">
        <w:trPr>
          <w:jc w:val="center"/>
        </w:trPr>
        <w:tc>
          <w:tcPr>
            <w:tcW w:w="0" w:type="auto"/>
            <w:gridSpan w:val="3"/>
            <w:shd w:val="clear" w:color="auto" w:fill="auto"/>
            <w:tcMar>
              <w:top w:w="40" w:type="dxa"/>
              <w:left w:w="20" w:type="dxa"/>
              <w:bottom w:w="40" w:type="dxa"/>
              <w:right w:w="20" w:type="dxa"/>
            </w:tcMar>
            <w:vAlign w:val="bottom"/>
          </w:tcPr>
          <w:p w14:paraId="7DD01631" w14:textId="77777777" w:rsidR="00C1563E" w:rsidRDefault="000B648B">
            <w:pPr>
              <w:textAlignment w:val="bottom"/>
            </w:pPr>
            <w:r>
              <w:rPr>
                <w:rFonts w:ascii="Times New Roman" w:eastAsia="宋体" w:hAnsi="Times New Roman"/>
                <w:i/>
                <w:iCs/>
                <w:color w:val="000000"/>
                <w:sz w:val="20"/>
                <w:szCs w:val="20"/>
                <w:u w:val="single"/>
              </w:rPr>
              <w:t>VMware, Inc. Employee Stock Purchase Plan</w:t>
            </w:r>
          </w:p>
        </w:tc>
        <w:tc>
          <w:tcPr>
            <w:tcW w:w="0" w:type="auto"/>
            <w:gridSpan w:val="3"/>
            <w:tcBorders>
              <w:top w:val="single" w:sz="8" w:space="0" w:color="000000"/>
            </w:tcBorders>
            <w:shd w:val="clear" w:color="auto" w:fill="auto"/>
            <w:tcMar>
              <w:top w:w="0" w:type="dxa"/>
              <w:left w:w="20" w:type="dxa"/>
              <w:bottom w:w="0" w:type="dxa"/>
              <w:right w:w="20" w:type="dxa"/>
            </w:tcMar>
          </w:tcPr>
          <w:p w14:paraId="7DD0163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1633"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1634"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1635" w14:textId="77777777" w:rsidR="00C1563E" w:rsidRDefault="00C1563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DD01636" w14:textId="77777777" w:rsidR="00C1563E" w:rsidRDefault="00C1563E">
            <w:pPr>
              <w:rPr>
                <w:rFonts w:ascii="宋体"/>
              </w:rPr>
            </w:pPr>
          </w:p>
        </w:tc>
      </w:tr>
      <w:tr w:rsidR="00C1563E" w14:paraId="7DD01641" w14:textId="77777777">
        <w:trPr>
          <w:jc w:val="center"/>
        </w:trPr>
        <w:tc>
          <w:tcPr>
            <w:tcW w:w="0" w:type="auto"/>
            <w:gridSpan w:val="3"/>
            <w:shd w:val="clear" w:color="auto" w:fill="CCEEFF"/>
            <w:tcMar>
              <w:top w:w="40" w:type="dxa"/>
              <w:left w:w="20" w:type="dxa"/>
              <w:bottom w:w="40" w:type="dxa"/>
              <w:right w:w="20" w:type="dxa"/>
            </w:tcMar>
            <w:vAlign w:val="bottom"/>
          </w:tcPr>
          <w:p w14:paraId="7DD01638" w14:textId="77777777" w:rsidR="00C1563E" w:rsidRDefault="000B648B">
            <w:pPr>
              <w:textAlignment w:val="bottom"/>
            </w:pPr>
            <w:r>
              <w:rPr>
                <w:rFonts w:ascii="Times New Roman" w:eastAsia="宋体" w:hAnsi="Times New Roman"/>
                <w:color w:val="000000"/>
                <w:sz w:val="20"/>
                <w:szCs w:val="20"/>
              </w:rPr>
              <w:t>Weighted-average grant date fair value of stock options granted per option</w:t>
            </w:r>
          </w:p>
        </w:tc>
        <w:tc>
          <w:tcPr>
            <w:tcW w:w="0" w:type="auto"/>
            <w:shd w:val="clear" w:color="auto" w:fill="CCEEFF"/>
            <w:tcMar>
              <w:top w:w="40" w:type="dxa"/>
              <w:left w:w="20" w:type="dxa"/>
              <w:bottom w:w="40" w:type="dxa"/>
              <w:right w:w="0" w:type="dxa"/>
            </w:tcMar>
            <w:vAlign w:val="bottom"/>
          </w:tcPr>
          <w:p w14:paraId="7DD01639"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63A" w14:textId="77777777" w:rsidR="00C1563E" w:rsidRDefault="000B648B">
            <w:pPr>
              <w:jc w:val="right"/>
              <w:textAlignment w:val="bottom"/>
            </w:pPr>
            <w:r>
              <w:rPr>
                <w:rFonts w:ascii="Times New Roman" w:eastAsia="宋体" w:hAnsi="Times New Roman"/>
                <w:color w:val="000000"/>
                <w:sz w:val="20"/>
                <w:szCs w:val="20"/>
              </w:rPr>
              <w:t>33.60</w:t>
            </w:r>
          </w:p>
        </w:tc>
        <w:tc>
          <w:tcPr>
            <w:tcW w:w="0" w:type="auto"/>
            <w:gridSpan w:val="3"/>
            <w:shd w:val="clear" w:color="auto" w:fill="CCEEFF"/>
            <w:tcMar>
              <w:top w:w="0" w:type="dxa"/>
              <w:left w:w="20" w:type="dxa"/>
              <w:bottom w:w="0" w:type="dxa"/>
              <w:right w:w="20" w:type="dxa"/>
            </w:tcMar>
          </w:tcPr>
          <w:p w14:paraId="7DD0163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63C"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63D" w14:textId="77777777" w:rsidR="00C1563E" w:rsidRDefault="000B648B">
            <w:pPr>
              <w:jc w:val="right"/>
              <w:textAlignment w:val="bottom"/>
            </w:pPr>
            <w:r>
              <w:rPr>
                <w:rFonts w:ascii="Times New Roman" w:eastAsia="宋体" w:hAnsi="Times New Roman"/>
                <w:color w:val="000000"/>
                <w:sz w:val="20"/>
                <w:szCs w:val="20"/>
              </w:rPr>
              <w:t>35.66</w:t>
            </w:r>
          </w:p>
        </w:tc>
        <w:tc>
          <w:tcPr>
            <w:tcW w:w="0" w:type="auto"/>
            <w:gridSpan w:val="3"/>
            <w:shd w:val="clear" w:color="auto" w:fill="CCEEFF"/>
            <w:tcMar>
              <w:top w:w="0" w:type="dxa"/>
              <w:left w:w="20" w:type="dxa"/>
              <w:bottom w:w="0" w:type="dxa"/>
              <w:right w:w="20" w:type="dxa"/>
            </w:tcMar>
          </w:tcPr>
          <w:p w14:paraId="7DD0163E"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63F" w14:textId="77777777" w:rsidR="00C1563E" w:rsidRDefault="000B648B">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DD01640" w14:textId="77777777" w:rsidR="00C1563E" w:rsidRDefault="000B648B">
            <w:pPr>
              <w:jc w:val="right"/>
              <w:textAlignment w:val="bottom"/>
            </w:pPr>
            <w:r>
              <w:rPr>
                <w:rFonts w:ascii="Times New Roman" w:eastAsia="宋体" w:hAnsi="Times New Roman"/>
                <w:color w:val="000000"/>
                <w:sz w:val="20"/>
                <w:szCs w:val="20"/>
              </w:rPr>
              <w:t>34.72</w:t>
            </w:r>
          </w:p>
        </w:tc>
      </w:tr>
      <w:tr w:rsidR="00C1563E" w14:paraId="7DD01648" w14:textId="77777777">
        <w:trPr>
          <w:jc w:val="center"/>
        </w:trPr>
        <w:tc>
          <w:tcPr>
            <w:tcW w:w="0" w:type="auto"/>
            <w:gridSpan w:val="3"/>
            <w:shd w:val="clear" w:color="auto" w:fill="FFFFFF"/>
            <w:tcMar>
              <w:top w:w="40" w:type="dxa"/>
              <w:left w:w="20" w:type="dxa"/>
              <w:bottom w:w="40" w:type="dxa"/>
              <w:right w:w="20" w:type="dxa"/>
            </w:tcMar>
            <w:vAlign w:val="bottom"/>
          </w:tcPr>
          <w:p w14:paraId="7DD01642" w14:textId="77777777" w:rsidR="00C1563E" w:rsidRDefault="000B648B">
            <w:pPr>
              <w:textAlignment w:val="bottom"/>
            </w:pPr>
            <w:r>
              <w:rPr>
                <w:rFonts w:ascii="Times New Roman" w:eastAsia="宋体" w:hAnsi="Times New Roman"/>
                <w:color w:val="000000"/>
                <w:sz w:val="20"/>
                <w:szCs w:val="20"/>
              </w:rPr>
              <w:t xml:space="preserve">Expected term (in </w:t>
            </w:r>
            <w:r>
              <w:rPr>
                <w:rFonts w:ascii="Times New Roman" w:eastAsia="宋体" w:hAnsi="Times New Roman"/>
                <w:color w:val="000000"/>
                <w:sz w:val="20"/>
                <w:szCs w:val="20"/>
              </w:rPr>
              <w:t>years)</w:t>
            </w:r>
          </w:p>
        </w:tc>
        <w:tc>
          <w:tcPr>
            <w:tcW w:w="0" w:type="auto"/>
            <w:gridSpan w:val="3"/>
            <w:shd w:val="clear" w:color="auto" w:fill="FFFFFF"/>
            <w:tcMar>
              <w:top w:w="40" w:type="dxa"/>
              <w:left w:w="20" w:type="dxa"/>
              <w:bottom w:w="40" w:type="dxa"/>
              <w:right w:w="20" w:type="dxa"/>
            </w:tcMar>
            <w:vAlign w:val="bottom"/>
          </w:tcPr>
          <w:p w14:paraId="7DD01643" w14:textId="77777777" w:rsidR="00C1563E" w:rsidRDefault="000B648B">
            <w:pPr>
              <w:jc w:val="right"/>
              <w:textAlignment w:val="bottom"/>
            </w:pPr>
            <w:r>
              <w:rPr>
                <w:rFonts w:ascii="Times New Roman" w:eastAsia="宋体" w:hAnsi="Times New Roman"/>
                <w:color w:val="000000"/>
                <w:sz w:val="20"/>
                <w:szCs w:val="20"/>
              </w:rPr>
              <w:t>0.7</w:t>
            </w:r>
          </w:p>
        </w:tc>
        <w:tc>
          <w:tcPr>
            <w:tcW w:w="0" w:type="auto"/>
            <w:gridSpan w:val="3"/>
            <w:shd w:val="clear" w:color="auto" w:fill="FFFFFF"/>
            <w:tcMar>
              <w:top w:w="0" w:type="dxa"/>
              <w:left w:w="20" w:type="dxa"/>
              <w:bottom w:w="0" w:type="dxa"/>
              <w:right w:w="20" w:type="dxa"/>
            </w:tcMar>
          </w:tcPr>
          <w:p w14:paraId="7DD01644"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645" w14:textId="77777777" w:rsidR="00C1563E" w:rsidRDefault="000B648B">
            <w:pPr>
              <w:jc w:val="right"/>
              <w:textAlignment w:val="bottom"/>
            </w:pPr>
            <w:r>
              <w:rPr>
                <w:rFonts w:ascii="Times New Roman" w:eastAsia="宋体" w:hAnsi="Times New Roman"/>
                <w:color w:val="000000"/>
                <w:sz w:val="20"/>
                <w:szCs w:val="20"/>
              </w:rPr>
              <w:t>0.6</w:t>
            </w:r>
          </w:p>
        </w:tc>
        <w:tc>
          <w:tcPr>
            <w:tcW w:w="0" w:type="auto"/>
            <w:gridSpan w:val="3"/>
            <w:shd w:val="clear" w:color="auto" w:fill="FFFFFF"/>
            <w:tcMar>
              <w:top w:w="0" w:type="dxa"/>
              <w:left w:w="20" w:type="dxa"/>
              <w:bottom w:w="0" w:type="dxa"/>
              <w:right w:w="20" w:type="dxa"/>
            </w:tcMar>
          </w:tcPr>
          <w:p w14:paraId="7DD01646" w14:textId="77777777" w:rsidR="00C1563E" w:rsidRDefault="00C1563E">
            <w:pPr>
              <w:rPr>
                <w:rFonts w:ascii="宋体"/>
              </w:rPr>
            </w:pPr>
          </w:p>
        </w:tc>
        <w:tc>
          <w:tcPr>
            <w:tcW w:w="0" w:type="auto"/>
            <w:gridSpan w:val="3"/>
            <w:shd w:val="clear" w:color="auto" w:fill="FFFFFF"/>
            <w:tcMar>
              <w:top w:w="40" w:type="dxa"/>
              <w:left w:w="20" w:type="dxa"/>
              <w:bottom w:w="40" w:type="dxa"/>
              <w:right w:w="20" w:type="dxa"/>
            </w:tcMar>
            <w:vAlign w:val="bottom"/>
          </w:tcPr>
          <w:p w14:paraId="7DD01647" w14:textId="77777777" w:rsidR="00C1563E" w:rsidRDefault="000B648B">
            <w:pPr>
              <w:jc w:val="right"/>
              <w:textAlignment w:val="bottom"/>
            </w:pPr>
            <w:r>
              <w:rPr>
                <w:rFonts w:ascii="Times New Roman" w:eastAsia="宋体" w:hAnsi="Times New Roman"/>
                <w:color w:val="000000"/>
                <w:sz w:val="20"/>
                <w:szCs w:val="20"/>
              </w:rPr>
              <w:t>0.8</w:t>
            </w:r>
          </w:p>
        </w:tc>
      </w:tr>
      <w:tr w:rsidR="00C1563E" w14:paraId="7DD01652" w14:textId="77777777">
        <w:trPr>
          <w:jc w:val="center"/>
        </w:trPr>
        <w:tc>
          <w:tcPr>
            <w:tcW w:w="0" w:type="auto"/>
            <w:gridSpan w:val="3"/>
            <w:shd w:val="clear" w:color="auto" w:fill="CCEEFF"/>
            <w:tcMar>
              <w:top w:w="40" w:type="dxa"/>
              <w:left w:w="20" w:type="dxa"/>
              <w:bottom w:w="40" w:type="dxa"/>
              <w:right w:w="20" w:type="dxa"/>
            </w:tcMar>
            <w:vAlign w:val="bottom"/>
          </w:tcPr>
          <w:p w14:paraId="7DD01649" w14:textId="77777777" w:rsidR="00C1563E" w:rsidRDefault="000B648B">
            <w:pPr>
              <w:textAlignment w:val="bottom"/>
            </w:pPr>
            <w:r>
              <w:rPr>
                <w:rFonts w:ascii="Times New Roman" w:eastAsia="宋体" w:hAnsi="Times New Roman"/>
                <w:color w:val="000000"/>
                <w:sz w:val="20"/>
                <w:szCs w:val="20"/>
              </w:rPr>
              <w:t>Risk-free rate (U.S. Government Treasury Note)</w:t>
            </w:r>
          </w:p>
        </w:tc>
        <w:tc>
          <w:tcPr>
            <w:tcW w:w="0" w:type="auto"/>
            <w:gridSpan w:val="2"/>
            <w:shd w:val="clear" w:color="auto" w:fill="CCEEFF"/>
            <w:tcMar>
              <w:top w:w="40" w:type="dxa"/>
              <w:left w:w="20" w:type="dxa"/>
              <w:bottom w:w="40" w:type="dxa"/>
              <w:right w:w="0" w:type="dxa"/>
            </w:tcMar>
            <w:vAlign w:val="bottom"/>
          </w:tcPr>
          <w:p w14:paraId="7DD0164A" w14:textId="77777777" w:rsidR="00C1563E" w:rsidRDefault="000B648B">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DD0164B"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4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4D" w14:textId="77777777" w:rsidR="00C1563E" w:rsidRDefault="000B648B">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7DD0164E"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4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50" w14:textId="77777777" w:rsidR="00C1563E" w:rsidRDefault="000B648B">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7DD01651"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65C" w14:textId="77777777">
        <w:trPr>
          <w:jc w:val="center"/>
        </w:trPr>
        <w:tc>
          <w:tcPr>
            <w:tcW w:w="0" w:type="auto"/>
            <w:gridSpan w:val="3"/>
            <w:shd w:val="clear" w:color="auto" w:fill="FFFFFF"/>
            <w:tcMar>
              <w:top w:w="40" w:type="dxa"/>
              <w:left w:w="20" w:type="dxa"/>
              <w:bottom w:w="40" w:type="dxa"/>
              <w:right w:w="20" w:type="dxa"/>
            </w:tcMar>
            <w:vAlign w:val="bottom"/>
          </w:tcPr>
          <w:p w14:paraId="7DD01653" w14:textId="77777777" w:rsidR="00C1563E" w:rsidRDefault="000B648B">
            <w:pPr>
              <w:textAlignment w:val="bottom"/>
            </w:pPr>
            <w:r>
              <w:rPr>
                <w:rFonts w:ascii="Times New Roman" w:eastAsia="宋体" w:hAnsi="Times New Roman"/>
                <w:color w:val="000000"/>
                <w:sz w:val="20"/>
                <w:szCs w:val="20"/>
              </w:rPr>
              <w:t>Expected volatility</w:t>
            </w:r>
          </w:p>
        </w:tc>
        <w:tc>
          <w:tcPr>
            <w:tcW w:w="0" w:type="auto"/>
            <w:gridSpan w:val="2"/>
            <w:shd w:val="clear" w:color="auto" w:fill="FFFFFF"/>
            <w:tcMar>
              <w:top w:w="40" w:type="dxa"/>
              <w:left w:w="20" w:type="dxa"/>
              <w:bottom w:w="40" w:type="dxa"/>
              <w:right w:w="0" w:type="dxa"/>
            </w:tcMar>
            <w:vAlign w:val="bottom"/>
          </w:tcPr>
          <w:p w14:paraId="7DD01654" w14:textId="77777777" w:rsidR="00C1563E" w:rsidRDefault="000B648B">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DD01655"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165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57" w14:textId="77777777" w:rsidR="00C1563E" w:rsidRDefault="000B648B">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7DD01658"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DD0165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5A" w14:textId="77777777" w:rsidR="00C1563E" w:rsidRDefault="000B648B">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7DD0165B" w14:textId="77777777" w:rsidR="00C1563E" w:rsidRDefault="000B648B">
            <w:pPr>
              <w:jc w:val="right"/>
              <w:textAlignment w:val="bottom"/>
            </w:pPr>
            <w:r>
              <w:rPr>
                <w:rFonts w:ascii="Times New Roman" w:eastAsia="宋体" w:hAnsi="Times New Roman"/>
                <w:color w:val="000000"/>
                <w:sz w:val="20"/>
                <w:szCs w:val="20"/>
              </w:rPr>
              <w:t>%</w:t>
            </w:r>
          </w:p>
        </w:tc>
      </w:tr>
      <w:tr w:rsidR="00C1563E" w14:paraId="7DD01666" w14:textId="77777777">
        <w:trPr>
          <w:jc w:val="center"/>
        </w:trPr>
        <w:tc>
          <w:tcPr>
            <w:tcW w:w="0" w:type="auto"/>
            <w:gridSpan w:val="3"/>
            <w:shd w:val="clear" w:color="auto" w:fill="CCEEFF"/>
            <w:tcMar>
              <w:top w:w="40" w:type="dxa"/>
              <w:left w:w="20" w:type="dxa"/>
              <w:bottom w:w="40" w:type="dxa"/>
              <w:right w:w="20" w:type="dxa"/>
            </w:tcMar>
            <w:vAlign w:val="bottom"/>
          </w:tcPr>
          <w:p w14:paraId="7DD0165D" w14:textId="77777777" w:rsidR="00C1563E" w:rsidRDefault="000B648B">
            <w:pPr>
              <w:textAlignment w:val="bottom"/>
            </w:pPr>
            <w:r>
              <w:rPr>
                <w:rFonts w:ascii="Times New Roman" w:eastAsia="宋体" w:hAnsi="Times New Roman"/>
                <w:color w:val="000000"/>
                <w:sz w:val="20"/>
                <w:szCs w:val="20"/>
              </w:rPr>
              <w:t>Expected dividend yield</w:t>
            </w:r>
          </w:p>
        </w:tc>
        <w:tc>
          <w:tcPr>
            <w:tcW w:w="0" w:type="auto"/>
            <w:gridSpan w:val="2"/>
            <w:shd w:val="clear" w:color="auto" w:fill="CCEEFF"/>
            <w:tcMar>
              <w:top w:w="40" w:type="dxa"/>
              <w:left w:w="20" w:type="dxa"/>
              <w:bottom w:w="40" w:type="dxa"/>
              <w:right w:w="0" w:type="dxa"/>
            </w:tcMar>
            <w:vAlign w:val="bottom"/>
          </w:tcPr>
          <w:p w14:paraId="7DD0165E"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5F"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6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61"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62" w14:textId="77777777" w:rsidR="00C1563E" w:rsidRDefault="000B648B">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DD0166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6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665" w14:textId="77777777" w:rsidR="00C1563E" w:rsidRDefault="000B648B">
            <w:pPr>
              <w:jc w:val="right"/>
              <w:textAlignment w:val="bottom"/>
            </w:pPr>
            <w:r>
              <w:rPr>
                <w:rFonts w:ascii="Times New Roman" w:eastAsia="宋体" w:hAnsi="Times New Roman"/>
                <w:color w:val="000000"/>
                <w:sz w:val="20"/>
                <w:szCs w:val="20"/>
              </w:rPr>
              <w:t>%</w:t>
            </w:r>
          </w:p>
        </w:tc>
      </w:tr>
    </w:tbl>
    <w:p w14:paraId="7DD01667" w14:textId="77777777" w:rsidR="00C1563E" w:rsidRDefault="00C1563E"/>
    <w:p w14:paraId="7DD01668" w14:textId="77777777" w:rsidR="00C1563E" w:rsidRDefault="000B648B">
      <w:r>
        <w:rPr>
          <w:rFonts w:ascii="Times New Roman" w:eastAsia="宋体" w:hAnsi="Times New Roman"/>
          <w:color w:val="000000"/>
          <w:sz w:val="20"/>
          <w:szCs w:val="20"/>
        </w:rPr>
        <w:t>The weighted-average grant date fair value of VMware, Inc. stock options can fluctuate from period to period primarily due to higher valued options assumed through business combinations with exercise prices lower than the fair market value of VMware, Inc.’</w:t>
      </w:r>
      <w:r>
        <w:rPr>
          <w:rFonts w:ascii="Times New Roman" w:eastAsia="宋体" w:hAnsi="Times New Roman"/>
          <w:color w:val="000000"/>
          <w:sz w:val="20"/>
          <w:szCs w:val="20"/>
        </w:rPr>
        <w:t xml:space="preserve">s stock on the date of grant. </w:t>
      </w:r>
    </w:p>
    <w:p w14:paraId="7DD01669" w14:textId="77777777" w:rsidR="00C1563E" w:rsidRDefault="00C1563E"/>
    <w:p w14:paraId="7DD0166A" w14:textId="77777777" w:rsidR="00C1563E" w:rsidRDefault="000B648B">
      <w:r>
        <w:rPr>
          <w:rFonts w:ascii="Times New Roman" w:eastAsia="宋体" w:hAnsi="Times New Roman"/>
          <w:color w:val="000000"/>
          <w:sz w:val="20"/>
          <w:szCs w:val="20"/>
        </w:rPr>
        <w:t xml:space="preserve">For equity awards granted, volatility was based on an analysis of historical stock prices and implied volatilities of VMware, Inc.’s Class A common stock. The expected term was based on historical exercise patterns and </w:t>
      </w:r>
      <w:r>
        <w:rPr>
          <w:rFonts w:ascii="Times New Roman" w:eastAsia="宋体" w:hAnsi="Times New Roman"/>
          <w:color w:val="000000"/>
          <w:sz w:val="20"/>
          <w:szCs w:val="20"/>
        </w:rPr>
        <w:t>post-vesting termination behavior, the term of the option period for grants made under the ESPP, or the weighted-average remaining term for options assumed in acquisitions. VMware, Inc.’s expected dividend yield input was zero as it has not historically pa</w:t>
      </w:r>
      <w:r>
        <w:rPr>
          <w:rFonts w:ascii="Times New Roman" w:eastAsia="宋体" w:hAnsi="Times New Roman"/>
          <w:color w:val="000000"/>
          <w:sz w:val="20"/>
          <w:szCs w:val="20"/>
        </w:rPr>
        <w:t>id cash dividends on its common stock, other than the special cash dividend paid in connection with the Class V transaction described in Note 1 of the Notes to the Consolidated Financial Statements and below, and does not expect to pay cash dividends in th</w:t>
      </w:r>
      <w:r>
        <w:rPr>
          <w:rFonts w:ascii="Times New Roman" w:eastAsia="宋体" w:hAnsi="Times New Roman"/>
          <w:color w:val="000000"/>
          <w:sz w:val="20"/>
          <w:szCs w:val="20"/>
        </w:rPr>
        <w:t>e future. The risk-free interest rate was based on a U.S. Treasury instrument whose term is consistent with the expected term of the stock options.</w:t>
      </w:r>
    </w:p>
    <w:p w14:paraId="7DD0166B" w14:textId="77777777" w:rsidR="00C1563E" w:rsidRDefault="00C1563E"/>
    <w:p w14:paraId="7DD0166C" w14:textId="77777777" w:rsidR="00C1563E" w:rsidRDefault="000B648B">
      <w:r>
        <w:rPr>
          <w:rFonts w:ascii="Times New Roman" w:eastAsia="宋体" w:hAnsi="Times New Roman"/>
          <w:color w:val="000000"/>
          <w:sz w:val="20"/>
          <w:szCs w:val="20"/>
        </w:rPr>
        <w:t>On July 1, 2018, in connection with the Class V transaction, VMware, Inc.’s board of directors declared a $</w:t>
      </w:r>
      <w:r>
        <w:rPr>
          <w:rFonts w:ascii="Times New Roman" w:eastAsia="宋体" w:hAnsi="Times New Roman"/>
          <w:color w:val="000000"/>
          <w:sz w:val="20"/>
          <w:szCs w:val="20"/>
        </w:rPr>
        <w:t>11 billion special cash dividend, paid pro-rata to VMware, Inc. stockholders on December 28, 2018 in the amount of $26.81 per outstanding share of VMware, Inc. common stock.</w:t>
      </w:r>
    </w:p>
    <w:p w14:paraId="7DD0166D" w14:textId="77777777" w:rsidR="00C1563E" w:rsidRDefault="00C1563E"/>
    <w:p w14:paraId="7DD0166E" w14:textId="77777777" w:rsidR="00C1563E" w:rsidRDefault="00C1563E">
      <w:pPr>
        <w:jc w:val="center"/>
      </w:pPr>
    </w:p>
    <w:p w14:paraId="7DD0166F" w14:textId="77777777" w:rsidR="00C1563E" w:rsidRDefault="000B648B">
      <w:pPr>
        <w:jc w:val="center"/>
      </w:pPr>
      <w:r>
        <w:rPr>
          <w:rFonts w:ascii="Times New Roman" w:eastAsia="宋体" w:hAnsi="Times New Roman"/>
          <w:color w:val="000000"/>
          <w:sz w:val="20"/>
          <w:szCs w:val="20"/>
        </w:rPr>
        <w:t>151</w:t>
      </w:r>
    </w:p>
    <w:p w14:paraId="7DD01670" w14:textId="77777777" w:rsidR="00C1563E" w:rsidRDefault="00C1563E">
      <w:pPr>
        <w:jc w:val="center"/>
      </w:pPr>
    </w:p>
    <w:p w14:paraId="7DD01671" w14:textId="77777777" w:rsidR="00C1563E" w:rsidRDefault="000B648B">
      <w:r>
        <w:pict w14:anchorId="7DD02601">
          <v:rect id="_x0000_i1175" style="width:415.3pt;height:1.5pt" o:hralign="center" o:hrstd="t" o:hr="t" fillcolor="#a0a0a0" stroked="f"/>
        </w:pict>
      </w:r>
    </w:p>
    <w:p w14:paraId="7DD01672" w14:textId="77777777" w:rsidR="00C1563E" w:rsidRDefault="000B648B">
      <w:hyperlink r:id="rId334" w:anchor="i418e32e4a35149ffbf7d3a25d66881b8_10" w:history="1">
        <w:r>
          <w:rPr>
            <w:rStyle w:val="a5"/>
            <w:rFonts w:ascii="Times New Roman" w:eastAsia="宋体" w:hAnsi="Times New Roman"/>
            <w:sz w:val="20"/>
            <w:szCs w:val="20"/>
          </w:rPr>
          <w:t>Table of Contents</w:t>
        </w:r>
      </w:hyperlink>
    </w:p>
    <w:p w14:paraId="7DD01673" w14:textId="77777777" w:rsidR="00C1563E" w:rsidRDefault="000B648B">
      <w:r>
        <w:rPr>
          <w:rFonts w:ascii="Times New Roman" w:eastAsia="宋体" w:hAnsi="Times New Roman"/>
          <w:color w:val="000000"/>
          <w:sz w:val="20"/>
          <w:szCs w:val="20"/>
        </w:rPr>
        <w:t xml:space="preserve">VMware, Inc. stock awards that were outstanding at the time of the special cash dividend were adjusted pursuant to anti-dilution provisions in VMware, </w:t>
      </w:r>
      <w:r>
        <w:rPr>
          <w:rFonts w:ascii="Times New Roman" w:eastAsia="宋体" w:hAnsi="Times New Roman"/>
          <w:color w:val="000000"/>
          <w:sz w:val="20"/>
          <w:szCs w:val="20"/>
        </w:rPr>
        <w:t>Inc. equity incentive plan documents that provide for equitable adjustments to be determined by VMware’s Compensation and Corporate Governance Committee in the event of an extraordinary cash dividend. The adjustments to awards included increasing the numbe</w:t>
      </w:r>
      <w:r>
        <w:rPr>
          <w:rFonts w:ascii="Times New Roman" w:eastAsia="宋体" w:hAnsi="Times New Roman"/>
          <w:color w:val="000000"/>
          <w:sz w:val="20"/>
          <w:szCs w:val="20"/>
        </w:rPr>
        <w:t>r of outstanding restricted stock units and stock options, as well as reducing the exercise prices of outstanding stock options. The adjustments did not result in incremental stock-based compensation expense as the anti-dilutive adjustments were required b</w:t>
      </w:r>
      <w:r>
        <w:rPr>
          <w:rFonts w:ascii="Times New Roman" w:eastAsia="宋体" w:hAnsi="Times New Roman"/>
          <w:color w:val="000000"/>
          <w:sz w:val="20"/>
          <w:szCs w:val="20"/>
        </w:rPr>
        <w:t>y VMware, Inc.’s equity incentive plan.</w:t>
      </w:r>
    </w:p>
    <w:p w14:paraId="7DD01674" w14:textId="77777777" w:rsidR="00C1563E" w:rsidRDefault="00C1563E"/>
    <w:p w14:paraId="7DD01675" w14:textId="77777777" w:rsidR="00C1563E" w:rsidRDefault="000B648B">
      <w:pPr>
        <w:spacing w:after="120"/>
      </w:pPr>
      <w:r>
        <w:rPr>
          <w:rFonts w:ascii="Times New Roman" w:eastAsia="宋体" w:hAnsi="Times New Roman"/>
          <w:i/>
          <w:iCs/>
          <w:color w:val="000000"/>
          <w:sz w:val="20"/>
          <w:szCs w:val="20"/>
        </w:rPr>
        <w:t>VMware, Inc. Restricted Stock</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The following table presents VMware, Inc.’s restricted stock activity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4743"/>
        <w:gridCol w:w="37"/>
        <w:gridCol w:w="54"/>
        <w:gridCol w:w="1585"/>
        <w:gridCol w:w="36"/>
        <w:gridCol w:w="36"/>
        <w:gridCol w:w="36"/>
        <w:gridCol w:w="36"/>
        <w:gridCol w:w="121"/>
        <w:gridCol w:w="1563"/>
        <w:gridCol w:w="36"/>
      </w:tblGrid>
      <w:tr w:rsidR="00C1563E" w14:paraId="7DD01682" w14:textId="77777777">
        <w:trPr>
          <w:jc w:val="center"/>
        </w:trPr>
        <w:tc>
          <w:tcPr>
            <w:tcW w:w="50" w:type="pct"/>
            <w:shd w:val="clear" w:color="auto" w:fill="auto"/>
          </w:tcPr>
          <w:p w14:paraId="7DD01676" w14:textId="77777777" w:rsidR="00C1563E" w:rsidRDefault="00C1563E">
            <w:pPr>
              <w:rPr>
                <w:rFonts w:ascii="宋体"/>
              </w:rPr>
            </w:pPr>
          </w:p>
        </w:tc>
        <w:tc>
          <w:tcPr>
            <w:tcW w:w="2861" w:type="pct"/>
            <w:shd w:val="clear" w:color="auto" w:fill="auto"/>
          </w:tcPr>
          <w:p w14:paraId="7DD01677" w14:textId="77777777" w:rsidR="00C1563E" w:rsidRDefault="00C1563E">
            <w:pPr>
              <w:rPr>
                <w:rFonts w:ascii="宋体"/>
              </w:rPr>
            </w:pPr>
          </w:p>
        </w:tc>
        <w:tc>
          <w:tcPr>
            <w:tcW w:w="5" w:type="pct"/>
            <w:shd w:val="clear" w:color="auto" w:fill="auto"/>
          </w:tcPr>
          <w:p w14:paraId="7DD01678" w14:textId="77777777" w:rsidR="00C1563E" w:rsidRDefault="00C1563E">
            <w:pPr>
              <w:rPr>
                <w:rFonts w:ascii="宋体"/>
              </w:rPr>
            </w:pPr>
          </w:p>
        </w:tc>
        <w:tc>
          <w:tcPr>
            <w:tcW w:w="50" w:type="pct"/>
            <w:shd w:val="clear" w:color="auto" w:fill="auto"/>
          </w:tcPr>
          <w:p w14:paraId="7DD01679" w14:textId="77777777" w:rsidR="00C1563E" w:rsidRDefault="00C1563E">
            <w:pPr>
              <w:rPr>
                <w:rFonts w:ascii="宋体"/>
              </w:rPr>
            </w:pPr>
          </w:p>
        </w:tc>
        <w:tc>
          <w:tcPr>
            <w:tcW w:w="968" w:type="pct"/>
            <w:shd w:val="clear" w:color="auto" w:fill="auto"/>
          </w:tcPr>
          <w:p w14:paraId="7DD0167A" w14:textId="77777777" w:rsidR="00C1563E" w:rsidRDefault="00C1563E">
            <w:pPr>
              <w:rPr>
                <w:rFonts w:ascii="宋体"/>
              </w:rPr>
            </w:pPr>
          </w:p>
        </w:tc>
        <w:tc>
          <w:tcPr>
            <w:tcW w:w="5" w:type="pct"/>
            <w:shd w:val="clear" w:color="auto" w:fill="auto"/>
          </w:tcPr>
          <w:p w14:paraId="7DD0167B" w14:textId="77777777" w:rsidR="00C1563E" w:rsidRDefault="00C1563E">
            <w:pPr>
              <w:rPr>
                <w:rFonts w:ascii="宋体"/>
              </w:rPr>
            </w:pPr>
          </w:p>
        </w:tc>
        <w:tc>
          <w:tcPr>
            <w:tcW w:w="5" w:type="pct"/>
            <w:shd w:val="clear" w:color="auto" w:fill="auto"/>
          </w:tcPr>
          <w:p w14:paraId="7DD0167C" w14:textId="77777777" w:rsidR="00C1563E" w:rsidRDefault="00C1563E">
            <w:pPr>
              <w:rPr>
                <w:rFonts w:ascii="宋体"/>
              </w:rPr>
            </w:pPr>
          </w:p>
        </w:tc>
        <w:tc>
          <w:tcPr>
            <w:tcW w:w="26" w:type="pct"/>
            <w:shd w:val="clear" w:color="auto" w:fill="auto"/>
          </w:tcPr>
          <w:p w14:paraId="7DD0167D" w14:textId="77777777" w:rsidR="00C1563E" w:rsidRDefault="00C1563E">
            <w:pPr>
              <w:rPr>
                <w:rFonts w:ascii="宋体"/>
              </w:rPr>
            </w:pPr>
          </w:p>
        </w:tc>
        <w:tc>
          <w:tcPr>
            <w:tcW w:w="5" w:type="pct"/>
            <w:shd w:val="clear" w:color="auto" w:fill="auto"/>
          </w:tcPr>
          <w:p w14:paraId="7DD0167E" w14:textId="77777777" w:rsidR="00C1563E" w:rsidRDefault="00C1563E">
            <w:pPr>
              <w:rPr>
                <w:rFonts w:ascii="宋体"/>
              </w:rPr>
            </w:pPr>
          </w:p>
        </w:tc>
        <w:tc>
          <w:tcPr>
            <w:tcW w:w="50" w:type="pct"/>
            <w:shd w:val="clear" w:color="auto" w:fill="auto"/>
          </w:tcPr>
          <w:p w14:paraId="7DD0167F" w14:textId="77777777" w:rsidR="00C1563E" w:rsidRDefault="00C1563E">
            <w:pPr>
              <w:rPr>
                <w:rFonts w:ascii="宋体"/>
              </w:rPr>
            </w:pPr>
          </w:p>
        </w:tc>
        <w:tc>
          <w:tcPr>
            <w:tcW w:w="968" w:type="pct"/>
            <w:shd w:val="clear" w:color="auto" w:fill="auto"/>
          </w:tcPr>
          <w:p w14:paraId="7DD01680" w14:textId="77777777" w:rsidR="00C1563E" w:rsidRDefault="00C1563E">
            <w:pPr>
              <w:rPr>
                <w:rFonts w:ascii="宋体"/>
              </w:rPr>
            </w:pPr>
          </w:p>
        </w:tc>
        <w:tc>
          <w:tcPr>
            <w:tcW w:w="5" w:type="pct"/>
            <w:shd w:val="clear" w:color="auto" w:fill="auto"/>
          </w:tcPr>
          <w:p w14:paraId="7DD01681" w14:textId="77777777" w:rsidR="00C1563E" w:rsidRDefault="00C1563E">
            <w:pPr>
              <w:rPr>
                <w:rFonts w:ascii="宋体"/>
              </w:rPr>
            </w:pPr>
          </w:p>
        </w:tc>
      </w:tr>
      <w:tr w:rsidR="00C1563E" w14:paraId="7DD01687" w14:textId="77777777">
        <w:trPr>
          <w:jc w:val="center"/>
        </w:trPr>
        <w:tc>
          <w:tcPr>
            <w:tcW w:w="0" w:type="auto"/>
            <w:gridSpan w:val="3"/>
            <w:shd w:val="clear" w:color="auto" w:fill="auto"/>
            <w:tcMar>
              <w:top w:w="40" w:type="dxa"/>
              <w:left w:w="20" w:type="dxa"/>
              <w:bottom w:w="40" w:type="dxa"/>
              <w:right w:w="20" w:type="dxa"/>
            </w:tcMar>
            <w:vAlign w:val="bottom"/>
          </w:tcPr>
          <w:p w14:paraId="7DD01683" w14:textId="77777777" w:rsidR="00C1563E" w:rsidRDefault="000B648B">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DD01684" w14:textId="77777777" w:rsidR="00C1563E" w:rsidRDefault="000B648B">
            <w:pPr>
              <w:jc w:val="center"/>
              <w:textAlignment w:val="bottom"/>
            </w:pPr>
            <w:r>
              <w:rPr>
                <w:rFonts w:ascii="Times New Roman" w:eastAsia="宋体" w:hAnsi="Times New Roman"/>
                <w:b/>
                <w:bCs/>
                <w:color w:val="000000"/>
                <w:sz w:val="20"/>
                <w:szCs w:val="20"/>
              </w:rPr>
              <w:t>Number of Units</w:t>
            </w:r>
          </w:p>
        </w:tc>
        <w:tc>
          <w:tcPr>
            <w:tcW w:w="0" w:type="auto"/>
            <w:gridSpan w:val="3"/>
            <w:shd w:val="clear" w:color="auto" w:fill="auto"/>
            <w:tcMar>
              <w:top w:w="0" w:type="dxa"/>
              <w:left w:w="20" w:type="dxa"/>
              <w:bottom w:w="0" w:type="dxa"/>
              <w:right w:w="20" w:type="dxa"/>
            </w:tcMar>
          </w:tcPr>
          <w:p w14:paraId="7DD0168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686" w14:textId="77777777" w:rsidR="00C1563E" w:rsidRDefault="000B648B">
            <w:pPr>
              <w:jc w:val="center"/>
              <w:textAlignment w:val="bottom"/>
            </w:pPr>
            <w:r>
              <w:rPr>
                <w:rFonts w:ascii="Times New Roman" w:eastAsia="宋体" w:hAnsi="Times New Roman"/>
                <w:b/>
                <w:bCs/>
                <w:color w:val="000000"/>
                <w:sz w:val="20"/>
                <w:szCs w:val="20"/>
              </w:rPr>
              <w:t>Weighted-Average Grant Date Fair Value</w:t>
            </w:r>
          </w:p>
        </w:tc>
      </w:tr>
      <w:tr w:rsidR="00C1563E" w14:paraId="7DD0168C" w14:textId="77777777">
        <w:trPr>
          <w:jc w:val="center"/>
        </w:trPr>
        <w:tc>
          <w:tcPr>
            <w:tcW w:w="0" w:type="auto"/>
            <w:gridSpan w:val="3"/>
            <w:shd w:val="clear" w:color="auto" w:fill="auto"/>
            <w:tcMar>
              <w:top w:w="0" w:type="dxa"/>
              <w:left w:w="20" w:type="dxa"/>
              <w:bottom w:w="0" w:type="dxa"/>
              <w:right w:w="20" w:type="dxa"/>
            </w:tcMar>
          </w:tcPr>
          <w:p w14:paraId="7DD01688"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689" w14:textId="77777777" w:rsidR="00C1563E" w:rsidRDefault="000B648B">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c>
          <w:tcPr>
            <w:tcW w:w="0" w:type="auto"/>
            <w:gridSpan w:val="3"/>
            <w:shd w:val="clear" w:color="auto" w:fill="auto"/>
            <w:tcMar>
              <w:top w:w="0" w:type="dxa"/>
              <w:left w:w="20" w:type="dxa"/>
              <w:bottom w:w="0" w:type="dxa"/>
              <w:right w:w="20" w:type="dxa"/>
            </w:tcMar>
          </w:tcPr>
          <w:p w14:paraId="7DD0168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68B" w14:textId="77777777" w:rsidR="00C1563E" w:rsidRDefault="000B648B">
            <w:pPr>
              <w:jc w:val="center"/>
              <w:textAlignment w:val="bottom"/>
            </w:pPr>
            <w:r>
              <w:rPr>
                <w:rFonts w:ascii="Times New Roman" w:eastAsia="宋体" w:hAnsi="Times New Roman"/>
                <w:color w:val="000000"/>
                <w:sz w:val="20"/>
                <w:szCs w:val="20"/>
              </w:rPr>
              <w:t>(per unit)</w:t>
            </w:r>
          </w:p>
        </w:tc>
      </w:tr>
      <w:tr w:rsidR="00C1563E" w14:paraId="7DD01694" w14:textId="77777777">
        <w:trPr>
          <w:jc w:val="center"/>
        </w:trPr>
        <w:tc>
          <w:tcPr>
            <w:tcW w:w="0" w:type="auto"/>
            <w:gridSpan w:val="3"/>
            <w:shd w:val="clear" w:color="auto" w:fill="CCEEFF"/>
            <w:tcMar>
              <w:top w:w="40" w:type="dxa"/>
              <w:left w:w="20" w:type="dxa"/>
              <w:bottom w:w="40" w:type="dxa"/>
              <w:right w:w="20" w:type="dxa"/>
            </w:tcMar>
            <w:vAlign w:val="bottom"/>
          </w:tcPr>
          <w:p w14:paraId="7DD0168D" w14:textId="77777777" w:rsidR="00C1563E" w:rsidRDefault="000B648B">
            <w:pPr>
              <w:textAlignment w:val="bottom"/>
            </w:pPr>
            <w:r>
              <w:rPr>
                <w:rFonts w:ascii="Times New Roman" w:eastAsia="宋体" w:hAnsi="Times New Roman"/>
                <w:i/>
                <w:iCs/>
                <w:color w:val="000000"/>
                <w:sz w:val="20"/>
                <w:szCs w:val="20"/>
              </w:rPr>
              <w:t>Outstanding, February 2, 2018</w:t>
            </w:r>
          </w:p>
        </w:tc>
        <w:tc>
          <w:tcPr>
            <w:tcW w:w="0" w:type="auto"/>
            <w:gridSpan w:val="2"/>
            <w:shd w:val="clear" w:color="auto" w:fill="CCEEFF"/>
            <w:tcMar>
              <w:top w:w="40" w:type="dxa"/>
              <w:left w:w="20" w:type="dxa"/>
              <w:bottom w:w="40" w:type="dxa"/>
              <w:right w:w="0" w:type="dxa"/>
            </w:tcMar>
            <w:vAlign w:val="bottom"/>
          </w:tcPr>
          <w:p w14:paraId="7DD0168E" w14:textId="77777777" w:rsidR="00C1563E" w:rsidRDefault="000B648B">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7DD0168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90"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69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692" w14:textId="77777777" w:rsidR="00C1563E" w:rsidRDefault="000B648B">
            <w:pPr>
              <w:jc w:val="right"/>
              <w:textAlignment w:val="bottom"/>
            </w:pPr>
            <w:r>
              <w:rPr>
                <w:rFonts w:ascii="Times New Roman" w:eastAsia="宋体" w:hAnsi="Times New Roman"/>
                <w:color w:val="000000"/>
                <w:sz w:val="20"/>
                <w:szCs w:val="20"/>
              </w:rPr>
              <w:t>78.62 </w:t>
            </w:r>
          </w:p>
        </w:tc>
        <w:tc>
          <w:tcPr>
            <w:tcW w:w="0" w:type="auto"/>
            <w:shd w:val="clear" w:color="auto" w:fill="CCEEFF"/>
            <w:tcMar>
              <w:top w:w="40" w:type="dxa"/>
              <w:left w:w="0" w:type="dxa"/>
              <w:bottom w:w="40" w:type="dxa"/>
              <w:right w:w="20" w:type="dxa"/>
            </w:tcMar>
            <w:vAlign w:val="bottom"/>
          </w:tcPr>
          <w:p w14:paraId="7DD01693" w14:textId="77777777" w:rsidR="00C1563E" w:rsidRDefault="00C1563E">
            <w:pPr>
              <w:jc w:val="right"/>
              <w:rPr>
                <w:rFonts w:ascii="宋体"/>
              </w:rPr>
            </w:pPr>
          </w:p>
        </w:tc>
      </w:tr>
      <w:tr w:rsidR="00C1563E" w14:paraId="7DD0169B" w14:textId="77777777">
        <w:trPr>
          <w:jc w:val="center"/>
        </w:trPr>
        <w:tc>
          <w:tcPr>
            <w:tcW w:w="0" w:type="auto"/>
            <w:gridSpan w:val="3"/>
            <w:shd w:val="clear" w:color="auto" w:fill="FFFFFF"/>
            <w:tcMar>
              <w:top w:w="40" w:type="dxa"/>
              <w:left w:w="245" w:type="dxa"/>
              <w:bottom w:w="40" w:type="dxa"/>
              <w:right w:w="20" w:type="dxa"/>
            </w:tcMar>
            <w:vAlign w:val="bottom"/>
          </w:tcPr>
          <w:p w14:paraId="7DD01695"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DD01696" w14:textId="77777777" w:rsidR="00C1563E" w:rsidRDefault="000B648B">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DD0169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9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99" w14:textId="77777777" w:rsidR="00C1563E" w:rsidRDefault="000B648B">
            <w:pPr>
              <w:jc w:val="right"/>
              <w:textAlignment w:val="bottom"/>
            </w:pPr>
            <w:r>
              <w:rPr>
                <w:rFonts w:ascii="Times New Roman" w:eastAsia="宋体" w:hAnsi="Times New Roman"/>
                <w:color w:val="000000"/>
                <w:sz w:val="20"/>
                <w:szCs w:val="20"/>
              </w:rPr>
              <w:t>146.61 </w:t>
            </w:r>
          </w:p>
        </w:tc>
        <w:tc>
          <w:tcPr>
            <w:tcW w:w="0" w:type="auto"/>
            <w:shd w:val="clear" w:color="auto" w:fill="FFFFFF"/>
            <w:tcMar>
              <w:top w:w="40" w:type="dxa"/>
              <w:left w:w="0" w:type="dxa"/>
              <w:bottom w:w="40" w:type="dxa"/>
              <w:right w:w="20" w:type="dxa"/>
            </w:tcMar>
            <w:vAlign w:val="bottom"/>
          </w:tcPr>
          <w:p w14:paraId="7DD0169A" w14:textId="77777777" w:rsidR="00C1563E" w:rsidRDefault="00C1563E">
            <w:pPr>
              <w:jc w:val="right"/>
              <w:rPr>
                <w:rFonts w:ascii="宋体"/>
              </w:rPr>
            </w:pPr>
          </w:p>
        </w:tc>
      </w:tr>
      <w:tr w:rsidR="00C1563E" w14:paraId="7DD016A1" w14:textId="77777777">
        <w:trPr>
          <w:jc w:val="center"/>
        </w:trPr>
        <w:tc>
          <w:tcPr>
            <w:tcW w:w="0" w:type="auto"/>
            <w:gridSpan w:val="3"/>
            <w:shd w:val="clear" w:color="auto" w:fill="CCEEFF"/>
            <w:tcMar>
              <w:top w:w="40" w:type="dxa"/>
              <w:left w:w="245" w:type="dxa"/>
              <w:bottom w:w="40" w:type="dxa"/>
              <w:right w:w="20" w:type="dxa"/>
            </w:tcMar>
            <w:vAlign w:val="bottom"/>
          </w:tcPr>
          <w:p w14:paraId="7DD0169C" w14:textId="77777777" w:rsidR="00C1563E" w:rsidRDefault="000B648B">
            <w:pPr>
              <w:textAlignment w:val="bottom"/>
            </w:pPr>
            <w:r>
              <w:rPr>
                <w:rFonts w:ascii="Times New Roman" w:eastAsia="宋体" w:hAnsi="Times New Roman"/>
                <w:color w:val="000000"/>
                <w:sz w:val="20"/>
                <w:szCs w:val="20"/>
              </w:rPr>
              <w:t>Adjustment for special cash dividend (a)</w:t>
            </w:r>
          </w:p>
        </w:tc>
        <w:tc>
          <w:tcPr>
            <w:tcW w:w="0" w:type="auto"/>
            <w:gridSpan w:val="2"/>
            <w:shd w:val="clear" w:color="auto" w:fill="CCEEFF"/>
            <w:tcMar>
              <w:top w:w="40" w:type="dxa"/>
              <w:left w:w="20" w:type="dxa"/>
              <w:bottom w:w="40" w:type="dxa"/>
              <w:right w:w="0" w:type="dxa"/>
            </w:tcMar>
            <w:vAlign w:val="bottom"/>
          </w:tcPr>
          <w:p w14:paraId="7DD0169D" w14:textId="77777777" w:rsidR="00C1563E" w:rsidRDefault="000B648B">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DD016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9F"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6A0" w14:textId="77777777" w:rsidR="00C1563E" w:rsidRDefault="000B648B">
            <w:pPr>
              <w:jc w:val="right"/>
              <w:textAlignment w:val="bottom"/>
            </w:pPr>
            <w:r>
              <w:rPr>
                <w:rFonts w:ascii="Times New Roman" w:eastAsia="宋体" w:hAnsi="Times New Roman"/>
                <w:color w:val="000000"/>
                <w:sz w:val="20"/>
                <w:szCs w:val="20"/>
              </w:rPr>
              <w:t>NA</w:t>
            </w:r>
          </w:p>
        </w:tc>
      </w:tr>
      <w:tr w:rsidR="00C1563E" w14:paraId="7DD016A8" w14:textId="77777777">
        <w:trPr>
          <w:jc w:val="center"/>
        </w:trPr>
        <w:tc>
          <w:tcPr>
            <w:tcW w:w="0" w:type="auto"/>
            <w:gridSpan w:val="3"/>
            <w:shd w:val="clear" w:color="auto" w:fill="FFFFFF"/>
            <w:tcMar>
              <w:top w:w="40" w:type="dxa"/>
              <w:left w:w="245" w:type="dxa"/>
              <w:bottom w:w="40" w:type="dxa"/>
              <w:right w:w="20" w:type="dxa"/>
            </w:tcMar>
            <w:vAlign w:val="bottom"/>
          </w:tcPr>
          <w:p w14:paraId="7DD016A2"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7DD016A3" w14:textId="77777777" w:rsidR="00C1563E" w:rsidRDefault="000B648B">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DD016A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A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A6" w14:textId="77777777" w:rsidR="00C1563E" w:rsidRDefault="000B648B">
            <w:pPr>
              <w:jc w:val="right"/>
              <w:textAlignment w:val="bottom"/>
            </w:pPr>
            <w:r>
              <w:rPr>
                <w:rFonts w:ascii="Times New Roman" w:eastAsia="宋体" w:hAnsi="Times New Roman"/>
                <w:color w:val="000000"/>
                <w:sz w:val="20"/>
                <w:szCs w:val="20"/>
              </w:rPr>
              <w:t>75.45 </w:t>
            </w:r>
          </w:p>
        </w:tc>
        <w:tc>
          <w:tcPr>
            <w:tcW w:w="0" w:type="auto"/>
            <w:shd w:val="clear" w:color="auto" w:fill="FFFFFF"/>
            <w:tcMar>
              <w:top w:w="40" w:type="dxa"/>
              <w:left w:w="0" w:type="dxa"/>
              <w:bottom w:w="40" w:type="dxa"/>
              <w:right w:w="20" w:type="dxa"/>
            </w:tcMar>
            <w:vAlign w:val="bottom"/>
          </w:tcPr>
          <w:p w14:paraId="7DD016A7" w14:textId="77777777" w:rsidR="00C1563E" w:rsidRDefault="00C1563E">
            <w:pPr>
              <w:jc w:val="right"/>
              <w:rPr>
                <w:rFonts w:ascii="宋体"/>
              </w:rPr>
            </w:pPr>
          </w:p>
        </w:tc>
      </w:tr>
      <w:tr w:rsidR="00C1563E" w14:paraId="7DD016AF" w14:textId="77777777">
        <w:trPr>
          <w:jc w:val="center"/>
        </w:trPr>
        <w:tc>
          <w:tcPr>
            <w:tcW w:w="0" w:type="auto"/>
            <w:gridSpan w:val="3"/>
            <w:shd w:val="clear" w:color="auto" w:fill="CCEEFF"/>
            <w:tcMar>
              <w:top w:w="40" w:type="dxa"/>
              <w:left w:w="245" w:type="dxa"/>
              <w:bottom w:w="40" w:type="dxa"/>
              <w:right w:w="20" w:type="dxa"/>
            </w:tcMar>
            <w:vAlign w:val="bottom"/>
          </w:tcPr>
          <w:p w14:paraId="7DD016A9"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6AA" w14:textId="77777777" w:rsidR="00C1563E" w:rsidRDefault="000B648B">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DD016A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A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AD" w14:textId="77777777" w:rsidR="00C1563E" w:rsidRDefault="000B648B">
            <w:pPr>
              <w:jc w:val="right"/>
              <w:textAlignment w:val="bottom"/>
            </w:pPr>
            <w:r>
              <w:rPr>
                <w:rFonts w:ascii="Times New Roman" w:eastAsia="宋体" w:hAnsi="Times New Roman"/>
                <w:color w:val="000000"/>
                <w:sz w:val="20"/>
                <w:szCs w:val="20"/>
              </w:rPr>
              <w:t>86.90 </w:t>
            </w:r>
          </w:p>
        </w:tc>
        <w:tc>
          <w:tcPr>
            <w:tcW w:w="0" w:type="auto"/>
            <w:shd w:val="clear" w:color="auto" w:fill="CCEEFF"/>
            <w:tcMar>
              <w:top w:w="40" w:type="dxa"/>
              <w:left w:w="0" w:type="dxa"/>
              <w:bottom w:w="40" w:type="dxa"/>
              <w:right w:w="20" w:type="dxa"/>
            </w:tcMar>
            <w:vAlign w:val="bottom"/>
          </w:tcPr>
          <w:p w14:paraId="7DD016AE" w14:textId="77777777" w:rsidR="00C1563E" w:rsidRDefault="00C1563E">
            <w:pPr>
              <w:jc w:val="right"/>
              <w:rPr>
                <w:rFonts w:ascii="宋体"/>
              </w:rPr>
            </w:pPr>
          </w:p>
        </w:tc>
      </w:tr>
      <w:tr w:rsidR="00C1563E" w14:paraId="7DD016B7" w14:textId="77777777">
        <w:trPr>
          <w:jc w:val="center"/>
        </w:trPr>
        <w:tc>
          <w:tcPr>
            <w:tcW w:w="0" w:type="auto"/>
            <w:gridSpan w:val="3"/>
            <w:shd w:val="clear" w:color="auto" w:fill="FFFFFF"/>
            <w:tcMar>
              <w:top w:w="40" w:type="dxa"/>
              <w:left w:w="20" w:type="dxa"/>
              <w:bottom w:w="40" w:type="dxa"/>
              <w:right w:w="20" w:type="dxa"/>
            </w:tcMar>
            <w:vAlign w:val="bottom"/>
          </w:tcPr>
          <w:p w14:paraId="7DD016B0" w14:textId="77777777" w:rsidR="00C1563E" w:rsidRDefault="000B648B">
            <w:pPr>
              <w:textAlignment w:val="bottom"/>
            </w:pPr>
            <w:r>
              <w:rPr>
                <w:rFonts w:ascii="Times New Roman" w:eastAsia="宋体" w:hAnsi="Times New Roman"/>
                <w:i/>
                <w:iCs/>
                <w:color w:val="000000"/>
                <w:sz w:val="20"/>
                <w:szCs w:val="20"/>
              </w:rPr>
              <w:t>Outstanding, February 1, 2019 (a)</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6B1" w14:textId="77777777" w:rsidR="00C1563E" w:rsidRDefault="000B648B">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6B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B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6B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6B5" w14:textId="77777777" w:rsidR="00C1563E" w:rsidRDefault="000B648B">
            <w:pPr>
              <w:jc w:val="right"/>
              <w:textAlignment w:val="bottom"/>
            </w:pPr>
            <w:r>
              <w:rPr>
                <w:rFonts w:ascii="Times New Roman" w:eastAsia="宋体" w:hAnsi="Times New Roman"/>
                <w:color w:val="000000"/>
                <w:sz w:val="20"/>
                <w:szCs w:val="20"/>
              </w:rPr>
              <w:t>90.06 </w:t>
            </w:r>
          </w:p>
        </w:tc>
        <w:tc>
          <w:tcPr>
            <w:tcW w:w="0" w:type="auto"/>
            <w:shd w:val="clear" w:color="auto" w:fill="FFFFFF"/>
            <w:tcMar>
              <w:top w:w="40" w:type="dxa"/>
              <w:left w:w="0" w:type="dxa"/>
              <w:bottom w:w="40" w:type="dxa"/>
              <w:right w:w="20" w:type="dxa"/>
            </w:tcMar>
            <w:vAlign w:val="bottom"/>
          </w:tcPr>
          <w:p w14:paraId="7DD016B6" w14:textId="77777777" w:rsidR="00C1563E" w:rsidRDefault="00C1563E">
            <w:pPr>
              <w:jc w:val="right"/>
              <w:rPr>
                <w:rFonts w:ascii="宋体"/>
              </w:rPr>
            </w:pPr>
          </w:p>
        </w:tc>
      </w:tr>
      <w:tr w:rsidR="00C1563E" w14:paraId="7DD016BE" w14:textId="77777777">
        <w:trPr>
          <w:jc w:val="center"/>
        </w:trPr>
        <w:tc>
          <w:tcPr>
            <w:tcW w:w="0" w:type="auto"/>
            <w:gridSpan w:val="3"/>
            <w:shd w:val="clear" w:color="auto" w:fill="CCEEFF"/>
            <w:tcMar>
              <w:top w:w="40" w:type="dxa"/>
              <w:left w:w="245" w:type="dxa"/>
              <w:bottom w:w="40" w:type="dxa"/>
              <w:right w:w="20" w:type="dxa"/>
            </w:tcMar>
            <w:vAlign w:val="bottom"/>
          </w:tcPr>
          <w:p w14:paraId="7DD016B8"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CCEEFF"/>
            <w:tcMar>
              <w:top w:w="40" w:type="dxa"/>
              <w:left w:w="20" w:type="dxa"/>
              <w:bottom w:w="40" w:type="dxa"/>
              <w:right w:w="0" w:type="dxa"/>
            </w:tcMar>
            <w:vAlign w:val="bottom"/>
          </w:tcPr>
          <w:p w14:paraId="7DD016B9" w14:textId="77777777" w:rsidR="00C1563E" w:rsidRDefault="000B648B">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DD016B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B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BC" w14:textId="77777777" w:rsidR="00C1563E" w:rsidRDefault="000B648B">
            <w:pPr>
              <w:jc w:val="right"/>
              <w:textAlignment w:val="bottom"/>
            </w:pPr>
            <w:r>
              <w:rPr>
                <w:rFonts w:ascii="Times New Roman" w:eastAsia="宋体" w:hAnsi="Times New Roman"/>
                <w:color w:val="000000"/>
                <w:sz w:val="20"/>
                <w:szCs w:val="20"/>
              </w:rPr>
              <w:t>157.07 </w:t>
            </w:r>
          </w:p>
        </w:tc>
        <w:tc>
          <w:tcPr>
            <w:tcW w:w="0" w:type="auto"/>
            <w:shd w:val="clear" w:color="auto" w:fill="CCEEFF"/>
            <w:tcMar>
              <w:top w:w="40" w:type="dxa"/>
              <w:left w:w="0" w:type="dxa"/>
              <w:bottom w:w="40" w:type="dxa"/>
              <w:right w:w="20" w:type="dxa"/>
            </w:tcMar>
            <w:vAlign w:val="bottom"/>
          </w:tcPr>
          <w:p w14:paraId="7DD016BD" w14:textId="77777777" w:rsidR="00C1563E" w:rsidRDefault="00C1563E">
            <w:pPr>
              <w:jc w:val="right"/>
              <w:rPr>
                <w:rFonts w:ascii="宋体"/>
              </w:rPr>
            </w:pPr>
          </w:p>
        </w:tc>
      </w:tr>
      <w:tr w:rsidR="00C1563E" w14:paraId="7DD016C5" w14:textId="77777777">
        <w:trPr>
          <w:jc w:val="center"/>
        </w:trPr>
        <w:tc>
          <w:tcPr>
            <w:tcW w:w="0" w:type="auto"/>
            <w:gridSpan w:val="3"/>
            <w:shd w:val="clear" w:color="auto" w:fill="FFFFFF"/>
            <w:tcMar>
              <w:top w:w="40" w:type="dxa"/>
              <w:left w:w="245" w:type="dxa"/>
              <w:bottom w:w="40" w:type="dxa"/>
              <w:right w:w="20" w:type="dxa"/>
            </w:tcMar>
            <w:vAlign w:val="bottom"/>
          </w:tcPr>
          <w:p w14:paraId="7DD016BF"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7DD016C0"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7DD016C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C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C3" w14:textId="77777777" w:rsidR="00C1563E" w:rsidRDefault="000B648B">
            <w:pPr>
              <w:jc w:val="right"/>
              <w:textAlignment w:val="bottom"/>
            </w:pPr>
            <w:r>
              <w:rPr>
                <w:rFonts w:ascii="Times New Roman" w:eastAsia="宋体" w:hAnsi="Times New Roman"/>
                <w:color w:val="000000"/>
                <w:sz w:val="20"/>
                <w:szCs w:val="20"/>
              </w:rPr>
              <w:t>80.28 </w:t>
            </w:r>
          </w:p>
        </w:tc>
        <w:tc>
          <w:tcPr>
            <w:tcW w:w="0" w:type="auto"/>
            <w:shd w:val="clear" w:color="auto" w:fill="FFFFFF"/>
            <w:tcMar>
              <w:top w:w="40" w:type="dxa"/>
              <w:left w:w="0" w:type="dxa"/>
              <w:bottom w:w="40" w:type="dxa"/>
              <w:right w:w="20" w:type="dxa"/>
            </w:tcMar>
            <w:vAlign w:val="bottom"/>
          </w:tcPr>
          <w:p w14:paraId="7DD016C4" w14:textId="77777777" w:rsidR="00C1563E" w:rsidRDefault="00C1563E">
            <w:pPr>
              <w:jc w:val="right"/>
              <w:rPr>
                <w:rFonts w:ascii="宋体"/>
              </w:rPr>
            </w:pPr>
          </w:p>
        </w:tc>
      </w:tr>
      <w:tr w:rsidR="00C1563E" w14:paraId="7DD016CC" w14:textId="77777777">
        <w:trPr>
          <w:jc w:val="center"/>
        </w:trPr>
        <w:tc>
          <w:tcPr>
            <w:tcW w:w="0" w:type="auto"/>
            <w:gridSpan w:val="3"/>
            <w:shd w:val="clear" w:color="auto" w:fill="CCEEFF"/>
            <w:tcMar>
              <w:top w:w="40" w:type="dxa"/>
              <w:left w:w="245" w:type="dxa"/>
              <w:bottom w:w="40" w:type="dxa"/>
              <w:right w:w="20" w:type="dxa"/>
            </w:tcMar>
            <w:vAlign w:val="bottom"/>
          </w:tcPr>
          <w:p w14:paraId="7DD016C6"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6C7" w14:textId="77777777" w:rsidR="00C1563E" w:rsidRDefault="000B648B">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DD016C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C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CA" w14:textId="77777777" w:rsidR="00C1563E" w:rsidRDefault="000B648B">
            <w:pPr>
              <w:jc w:val="right"/>
              <w:textAlignment w:val="bottom"/>
            </w:pPr>
            <w:r>
              <w:rPr>
                <w:rFonts w:ascii="Times New Roman" w:eastAsia="宋体" w:hAnsi="Times New Roman"/>
                <w:color w:val="000000"/>
                <w:sz w:val="20"/>
                <w:szCs w:val="20"/>
              </w:rPr>
              <w:t>101.29 </w:t>
            </w:r>
          </w:p>
        </w:tc>
        <w:tc>
          <w:tcPr>
            <w:tcW w:w="0" w:type="auto"/>
            <w:shd w:val="clear" w:color="auto" w:fill="CCEEFF"/>
            <w:tcMar>
              <w:top w:w="40" w:type="dxa"/>
              <w:left w:w="0" w:type="dxa"/>
              <w:bottom w:w="40" w:type="dxa"/>
              <w:right w:w="20" w:type="dxa"/>
            </w:tcMar>
            <w:vAlign w:val="bottom"/>
          </w:tcPr>
          <w:p w14:paraId="7DD016CB" w14:textId="77777777" w:rsidR="00C1563E" w:rsidRDefault="00C1563E">
            <w:pPr>
              <w:jc w:val="right"/>
              <w:rPr>
                <w:rFonts w:ascii="宋体"/>
              </w:rPr>
            </w:pPr>
          </w:p>
        </w:tc>
      </w:tr>
      <w:tr w:rsidR="00C1563E" w14:paraId="7DD016D4" w14:textId="77777777">
        <w:trPr>
          <w:jc w:val="center"/>
        </w:trPr>
        <w:tc>
          <w:tcPr>
            <w:tcW w:w="0" w:type="auto"/>
            <w:gridSpan w:val="3"/>
            <w:shd w:val="clear" w:color="auto" w:fill="FFFFFF"/>
            <w:tcMar>
              <w:top w:w="40" w:type="dxa"/>
              <w:left w:w="20" w:type="dxa"/>
              <w:bottom w:w="40" w:type="dxa"/>
              <w:right w:w="20" w:type="dxa"/>
            </w:tcMar>
            <w:vAlign w:val="bottom"/>
          </w:tcPr>
          <w:p w14:paraId="7DD016CD" w14:textId="77777777" w:rsidR="00C1563E" w:rsidRDefault="000B648B">
            <w:pPr>
              <w:textAlignment w:val="bottom"/>
            </w:pPr>
            <w:r>
              <w:rPr>
                <w:rFonts w:ascii="Times New Roman" w:eastAsia="宋体" w:hAnsi="Times New Roman"/>
                <w:i/>
                <w:iCs/>
                <w:color w:val="000000"/>
                <w:sz w:val="20"/>
                <w:szCs w:val="20"/>
              </w:rPr>
              <w:t xml:space="preserve">Outstanding, January 31, 2020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6CE" w14:textId="77777777" w:rsidR="00C1563E" w:rsidRDefault="000B648B">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6C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D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6D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6D2" w14:textId="77777777" w:rsidR="00C1563E" w:rsidRDefault="000B648B">
            <w:pPr>
              <w:jc w:val="right"/>
              <w:textAlignment w:val="bottom"/>
            </w:pPr>
            <w:r>
              <w:rPr>
                <w:rFonts w:ascii="Times New Roman" w:eastAsia="宋体" w:hAnsi="Times New Roman"/>
                <w:color w:val="000000"/>
                <w:sz w:val="20"/>
                <w:szCs w:val="20"/>
              </w:rPr>
              <w:t>128.38 </w:t>
            </w:r>
          </w:p>
        </w:tc>
        <w:tc>
          <w:tcPr>
            <w:tcW w:w="0" w:type="auto"/>
            <w:shd w:val="clear" w:color="auto" w:fill="FFFFFF"/>
            <w:tcMar>
              <w:top w:w="40" w:type="dxa"/>
              <w:left w:w="0" w:type="dxa"/>
              <w:bottom w:w="40" w:type="dxa"/>
              <w:right w:w="20" w:type="dxa"/>
            </w:tcMar>
            <w:vAlign w:val="bottom"/>
          </w:tcPr>
          <w:p w14:paraId="7DD016D3" w14:textId="77777777" w:rsidR="00C1563E" w:rsidRDefault="00C1563E">
            <w:pPr>
              <w:jc w:val="right"/>
              <w:rPr>
                <w:rFonts w:ascii="宋体"/>
              </w:rPr>
            </w:pPr>
          </w:p>
        </w:tc>
      </w:tr>
      <w:tr w:rsidR="00C1563E" w14:paraId="7DD016DB" w14:textId="77777777">
        <w:trPr>
          <w:jc w:val="center"/>
        </w:trPr>
        <w:tc>
          <w:tcPr>
            <w:tcW w:w="0" w:type="auto"/>
            <w:gridSpan w:val="3"/>
            <w:shd w:val="clear" w:color="auto" w:fill="CCEEFF"/>
            <w:tcMar>
              <w:top w:w="40" w:type="dxa"/>
              <w:left w:w="245" w:type="dxa"/>
              <w:bottom w:w="40" w:type="dxa"/>
              <w:right w:w="20" w:type="dxa"/>
            </w:tcMar>
            <w:vAlign w:val="bottom"/>
          </w:tcPr>
          <w:p w14:paraId="7DD016D5" w14:textId="77777777" w:rsidR="00C1563E" w:rsidRDefault="000B648B">
            <w:pPr>
              <w:textAlignment w:val="bottom"/>
            </w:pPr>
            <w:r>
              <w:rPr>
                <w:rFonts w:ascii="Times New Roman" w:eastAsia="宋体" w:hAnsi="Times New Roman"/>
                <w:color w:val="000000"/>
                <w:sz w:val="20"/>
                <w:szCs w:val="20"/>
              </w:rPr>
              <w:t>Granted</w:t>
            </w:r>
          </w:p>
        </w:tc>
        <w:tc>
          <w:tcPr>
            <w:tcW w:w="0" w:type="auto"/>
            <w:gridSpan w:val="2"/>
            <w:shd w:val="clear" w:color="auto" w:fill="CCEEFF"/>
            <w:tcMar>
              <w:top w:w="40" w:type="dxa"/>
              <w:left w:w="20" w:type="dxa"/>
              <w:bottom w:w="40" w:type="dxa"/>
              <w:right w:w="0" w:type="dxa"/>
            </w:tcMar>
            <w:vAlign w:val="bottom"/>
          </w:tcPr>
          <w:p w14:paraId="7DD016D6" w14:textId="77777777" w:rsidR="00C1563E" w:rsidRDefault="000B648B">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DD016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D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D9" w14:textId="77777777" w:rsidR="00C1563E" w:rsidRDefault="000B648B">
            <w:pPr>
              <w:jc w:val="right"/>
              <w:textAlignment w:val="bottom"/>
            </w:pPr>
            <w:r>
              <w:rPr>
                <w:rFonts w:ascii="Times New Roman" w:eastAsia="宋体" w:hAnsi="Times New Roman"/>
                <w:color w:val="000000"/>
                <w:sz w:val="20"/>
                <w:szCs w:val="20"/>
              </w:rPr>
              <w:t>149.63 </w:t>
            </w:r>
          </w:p>
        </w:tc>
        <w:tc>
          <w:tcPr>
            <w:tcW w:w="0" w:type="auto"/>
            <w:shd w:val="clear" w:color="auto" w:fill="CCEEFF"/>
            <w:tcMar>
              <w:top w:w="40" w:type="dxa"/>
              <w:left w:w="0" w:type="dxa"/>
              <w:bottom w:w="40" w:type="dxa"/>
              <w:right w:w="20" w:type="dxa"/>
            </w:tcMar>
            <w:vAlign w:val="bottom"/>
          </w:tcPr>
          <w:p w14:paraId="7DD016DA" w14:textId="77777777" w:rsidR="00C1563E" w:rsidRDefault="00C1563E">
            <w:pPr>
              <w:jc w:val="right"/>
              <w:rPr>
                <w:rFonts w:ascii="宋体"/>
              </w:rPr>
            </w:pPr>
          </w:p>
        </w:tc>
      </w:tr>
      <w:tr w:rsidR="00C1563E" w14:paraId="7DD016E2" w14:textId="77777777">
        <w:trPr>
          <w:jc w:val="center"/>
        </w:trPr>
        <w:tc>
          <w:tcPr>
            <w:tcW w:w="0" w:type="auto"/>
            <w:gridSpan w:val="3"/>
            <w:shd w:val="clear" w:color="auto" w:fill="FFFFFF"/>
            <w:tcMar>
              <w:top w:w="40" w:type="dxa"/>
              <w:left w:w="245" w:type="dxa"/>
              <w:bottom w:w="40" w:type="dxa"/>
              <w:right w:w="20" w:type="dxa"/>
            </w:tcMar>
            <w:vAlign w:val="bottom"/>
          </w:tcPr>
          <w:p w14:paraId="7DD016DC" w14:textId="77777777" w:rsidR="00C1563E" w:rsidRDefault="000B648B">
            <w:pPr>
              <w:textAlignment w:val="bottom"/>
            </w:pPr>
            <w:r>
              <w:rPr>
                <w:rFonts w:ascii="Times New Roman" w:eastAsia="宋体" w:hAnsi="Times New Roman"/>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7DD016DD"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7DD016D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D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6E0" w14:textId="77777777" w:rsidR="00C1563E" w:rsidRDefault="000B648B">
            <w:pPr>
              <w:jc w:val="right"/>
              <w:textAlignment w:val="bottom"/>
            </w:pPr>
            <w:r>
              <w:rPr>
                <w:rFonts w:ascii="Times New Roman" w:eastAsia="宋体" w:hAnsi="Times New Roman"/>
                <w:color w:val="000000"/>
                <w:sz w:val="20"/>
                <w:szCs w:val="20"/>
              </w:rPr>
              <w:t>114.59 </w:t>
            </w:r>
          </w:p>
        </w:tc>
        <w:tc>
          <w:tcPr>
            <w:tcW w:w="0" w:type="auto"/>
            <w:shd w:val="clear" w:color="auto" w:fill="FFFFFF"/>
            <w:tcMar>
              <w:top w:w="40" w:type="dxa"/>
              <w:left w:w="0" w:type="dxa"/>
              <w:bottom w:w="40" w:type="dxa"/>
              <w:right w:w="20" w:type="dxa"/>
            </w:tcMar>
            <w:vAlign w:val="bottom"/>
          </w:tcPr>
          <w:p w14:paraId="7DD016E1" w14:textId="77777777" w:rsidR="00C1563E" w:rsidRDefault="00C1563E">
            <w:pPr>
              <w:jc w:val="right"/>
              <w:rPr>
                <w:rFonts w:ascii="宋体"/>
              </w:rPr>
            </w:pPr>
          </w:p>
        </w:tc>
      </w:tr>
      <w:tr w:rsidR="00C1563E" w14:paraId="7DD016E9" w14:textId="77777777">
        <w:trPr>
          <w:jc w:val="center"/>
        </w:trPr>
        <w:tc>
          <w:tcPr>
            <w:tcW w:w="0" w:type="auto"/>
            <w:gridSpan w:val="3"/>
            <w:shd w:val="clear" w:color="auto" w:fill="CCEEFF"/>
            <w:tcMar>
              <w:top w:w="40" w:type="dxa"/>
              <w:left w:w="245" w:type="dxa"/>
              <w:bottom w:w="40" w:type="dxa"/>
              <w:right w:w="20" w:type="dxa"/>
            </w:tcMar>
            <w:vAlign w:val="bottom"/>
          </w:tcPr>
          <w:p w14:paraId="7DD016E3" w14:textId="77777777" w:rsidR="00C1563E" w:rsidRDefault="000B648B">
            <w:pPr>
              <w:textAlignment w:val="bottom"/>
            </w:pPr>
            <w:r>
              <w:rPr>
                <w:rFonts w:ascii="Times New Roman" w:eastAsia="宋体" w:hAnsi="Times New Roman"/>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7DD016E4" w14:textId="77777777" w:rsidR="00C1563E" w:rsidRDefault="000B648B">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DD016E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6E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6E7" w14:textId="77777777" w:rsidR="00C1563E" w:rsidRDefault="000B648B">
            <w:pPr>
              <w:jc w:val="right"/>
              <w:textAlignment w:val="bottom"/>
            </w:pPr>
            <w:r>
              <w:rPr>
                <w:rFonts w:ascii="Times New Roman" w:eastAsia="宋体" w:hAnsi="Times New Roman"/>
                <w:color w:val="000000"/>
                <w:sz w:val="20"/>
                <w:szCs w:val="20"/>
              </w:rPr>
              <w:t>137.55 </w:t>
            </w:r>
          </w:p>
        </w:tc>
        <w:tc>
          <w:tcPr>
            <w:tcW w:w="0" w:type="auto"/>
            <w:shd w:val="clear" w:color="auto" w:fill="CCEEFF"/>
            <w:tcMar>
              <w:top w:w="40" w:type="dxa"/>
              <w:left w:w="0" w:type="dxa"/>
              <w:bottom w:w="40" w:type="dxa"/>
              <w:right w:w="20" w:type="dxa"/>
            </w:tcMar>
            <w:vAlign w:val="bottom"/>
          </w:tcPr>
          <w:p w14:paraId="7DD016E8" w14:textId="77777777" w:rsidR="00C1563E" w:rsidRDefault="00C1563E">
            <w:pPr>
              <w:jc w:val="right"/>
              <w:rPr>
                <w:rFonts w:ascii="宋体"/>
              </w:rPr>
            </w:pPr>
          </w:p>
        </w:tc>
      </w:tr>
      <w:tr w:rsidR="00C1563E" w14:paraId="7DD016F1" w14:textId="77777777">
        <w:trPr>
          <w:jc w:val="center"/>
        </w:trPr>
        <w:tc>
          <w:tcPr>
            <w:tcW w:w="0" w:type="auto"/>
            <w:gridSpan w:val="3"/>
            <w:shd w:val="clear" w:color="auto" w:fill="FFFFFF"/>
            <w:tcMar>
              <w:top w:w="40" w:type="dxa"/>
              <w:left w:w="20" w:type="dxa"/>
              <w:bottom w:w="40" w:type="dxa"/>
              <w:right w:w="20" w:type="dxa"/>
            </w:tcMar>
            <w:vAlign w:val="bottom"/>
          </w:tcPr>
          <w:p w14:paraId="7DD016EA" w14:textId="77777777" w:rsidR="00C1563E" w:rsidRDefault="000B648B">
            <w:pPr>
              <w:textAlignment w:val="bottom"/>
            </w:pPr>
            <w:r>
              <w:rPr>
                <w:rFonts w:ascii="Times New Roman" w:eastAsia="宋体" w:hAnsi="Times New Roman"/>
                <w:i/>
                <w:iCs/>
                <w:color w:val="000000"/>
                <w:sz w:val="20"/>
                <w:szCs w:val="20"/>
              </w:rPr>
              <w:t>Outstanding, January 29, 2021(b)</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6EB" w14:textId="77777777" w:rsidR="00C1563E" w:rsidRDefault="000B648B">
            <w:pPr>
              <w:jc w:val="right"/>
              <w:textAlignment w:val="bottom"/>
            </w:pPr>
            <w:r>
              <w:rPr>
                <w:rFonts w:ascii="Times New Roman" w:eastAsia="宋体" w:hAnsi="Times New Roman"/>
                <w:color w:val="000000"/>
                <w:sz w:val="20"/>
                <w:szCs w:val="20"/>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6E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6ED"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6E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6EF" w14:textId="77777777" w:rsidR="00C1563E" w:rsidRDefault="000B648B">
            <w:pPr>
              <w:jc w:val="right"/>
              <w:textAlignment w:val="bottom"/>
            </w:pPr>
            <w:r>
              <w:rPr>
                <w:rFonts w:ascii="Times New Roman" w:eastAsia="宋体" w:hAnsi="Times New Roman"/>
                <w:color w:val="000000"/>
                <w:sz w:val="20"/>
                <w:szCs w:val="20"/>
              </w:rPr>
              <w:t>147.46 </w:t>
            </w:r>
          </w:p>
        </w:tc>
        <w:tc>
          <w:tcPr>
            <w:tcW w:w="0" w:type="auto"/>
            <w:shd w:val="clear" w:color="auto" w:fill="FFFFFF"/>
            <w:tcMar>
              <w:top w:w="40" w:type="dxa"/>
              <w:left w:w="0" w:type="dxa"/>
              <w:bottom w:w="40" w:type="dxa"/>
              <w:right w:w="20" w:type="dxa"/>
            </w:tcMar>
            <w:vAlign w:val="bottom"/>
          </w:tcPr>
          <w:p w14:paraId="7DD016F0" w14:textId="77777777" w:rsidR="00C1563E" w:rsidRDefault="00C1563E">
            <w:pPr>
              <w:jc w:val="right"/>
              <w:rPr>
                <w:rFonts w:ascii="宋体"/>
              </w:rPr>
            </w:pPr>
          </w:p>
        </w:tc>
      </w:tr>
    </w:tbl>
    <w:p w14:paraId="7DD016F2" w14:textId="77777777" w:rsidR="00C1563E" w:rsidRDefault="000B648B">
      <w:r>
        <w:rPr>
          <w:rFonts w:ascii="Times New Roman" w:eastAsia="宋体" w:hAnsi="Times New Roman"/>
          <w:color w:val="000000"/>
          <w:sz w:val="20"/>
          <w:szCs w:val="20"/>
        </w:rPr>
        <w:t>____________________</w:t>
      </w:r>
    </w:p>
    <w:p w14:paraId="7DD016F3" w14:textId="77777777" w:rsidR="00C1563E" w:rsidRDefault="000B648B">
      <w:pPr>
        <w:ind w:hanging="360"/>
      </w:pPr>
      <w:r>
        <w:rPr>
          <w:rFonts w:ascii="Times New Roman" w:eastAsia="宋体" w:hAnsi="Times New Roman"/>
          <w:color w:val="252525"/>
          <w:sz w:val="20"/>
          <w:szCs w:val="20"/>
        </w:rPr>
        <w:t xml:space="preserve">(a)    The weighted-average grant date fair value of outstanding RSU awards as of </w:t>
      </w:r>
      <w:r>
        <w:rPr>
          <w:rFonts w:ascii="Times New Roman" w:eastAsia="宋体" w:hAnsi="Times New Roman"/>
          <w:color w:val="000000"/>
          <w:sz w:val="20"/>
          <w:szCs w:val="20"/>
        </w:rPr>
        <w:t>February 1, 2019</w:t>
      </w:r>
      <w:r>
        <w:rPr>
          <w:rFonts w:ascii="Times New Roman" w:eastAsia="宋体" w:hAnsi="Times New Roman"/>
          <w:color w:val="252525"/>
          <w:sz w:val="20"/>
          <w:szCs w:val="20"/>
        </w:rPr>
        <w:t xml:space="preserve"> reflects the non-cash adjustments to the awards as a result of the special cash dividend.</w:t>
      </w:r>
    </w:p>
    <w:p w14:paraId="7DD016F4" w14:textId="77777777" w:rsidR="00C1563E" w:rsidRDefault="000B648B">
      <w:pPr>
        <w:ind w:hanging="360"/>
      </w:pPr>
      <w:r>
        <w:rPr>
          <w:rFonts w:ascii="Times New Roman" w:eastAsia="宋体" w:hAnsi="Times New Roman"/>
          <w:color w:val="252525"/>
          <w:sz w:val="20"/>
          <w:szCs w:val="20"/>
        </w:rPr>
        <w:t xml:space="preserve">(b)    During the fiscal year ended </w:t>
      </w:r>
      <w:r>
        <w:rPr>
          <w:rFonts w:ascii="Times New Roman" w:eastAsia="宋体" w:hAnsi="Times New Roman"/>
          <w:color w:val="000000"/>
          <w:sz w:val="20"/>
          <w:szCs w:val="20"/>
        </w:rPr>
        <w:t>January 29</w:t>
      </w:r>
      <w:r>
        <w:rPr>
          <w:rFonts w:ascii="Times New Roman" w:eastAsia="宋体" w:hAnsi="Times New Roman"/>
          <w:color w:val="000000"/>
          <w:sz w:val="20"/>
          <w:szCs w:val="20"/>
        </w:rPr>
        <w:t>, 2021</w:t>
      </w:r>
      <w:r>
        <w:rPr>
          <w:rFonts w:ascii="Times New Roman" w:eastAsia="宋体" w:hAnsi="Times New Roman"/>
          <w:color w:val="252525"/>
          <w:sz w:val="20"/>
          <w:szCs w:val="20"/>
        </w:rPr>
        <w:t>, 18 million units outstanding included 17 million RSUs and 1 million PSUs. The above table includes RSUs issued for outstanding unvested RSUs in connection with business combinations, including 2.2 million</w:t>
      </w:r>
      <w:r>
        <w:rPr>
          <w:rFonts w:ascii="sans-serif" w:eastAsia="宋体" w:hAnsi="sans-serif" w:cs="sans-serif"/>
          <w:color w:val="000000"/>
          <w:sz w:val="22"/>
          <w:szCs w:val="22"/>
        </w:rPr>
        <w:t xml:space="preserve"> </w:t>
      </w:r>
      <w:r>
        <w:rPr>
          <w:rFonts w:ascii="Times New Roman" w:eastAsia="宋体" w:hAnsi="Times New Roman"/>
          <w:color w:val="252525"/>
          <w:sz w:val="20"/>
          <w:szCs w:val="20"/>
        </w:rPr>
        <w:t>RSUs issued for unvested RSUs assumed as pa</w:t>
      </w:r>
      <w:r>
        <w:rPr>
          <w:rFonts w:ascii="Times New Roman" w:eastAsia="宋体" w:hAnsi="Times New Roman"/>
          <w:color w:val="252525"/>
          <w:sz w:val="20"/>
          <w:szCs w:val="20"/>
        </w:rPr>
        <w:t>rt of the Pivotal acquisition during the fiscal year ended January 31, 2020.</w:t>
      </w:r>
    </w:p>
    <w:p w14:paraId="7DD016F5" w14:textId="77777777" w:rsidR="00C1563E" w:rsidRDefault="00C1563E"/>
    <w:p w14:paraId="7DD016F6" w14:textId="77777777" w:rsidR="00C1563E" w:rsidRDefault="000B648B">
      <w:pPr>
        <w:spacing w:after="120"/>
      </w:pPr>
      <w:r>
        <w:rPr>
          <w:rFonts w:ascii="Times New Roman" w:eastAsia="宋体" w:hAnsi="Times New Roman"/>
          <w:color w:val="000000"/>
          <w:sz w:val="20"/>
          <w:szCs w:val="20"/>
        </w:rPr>
        <w:t>The following table presents restricted stock that is expected to vest as of the date indicated: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3926"/>
        <w:gridCol w:w="36"/>
        <w:gridCol w:w="50"/>
        <w:gridCol w:w="1126"/>
        <w:gridCol w:w="36"/>
        <w:gridCol w:w="36"/>
        <w:gridCol w:w="36"/>
        <w:gridCol w:w="36"/>
        <w:gridCol w:w="85"/>
        <w:gridCol w:w="1547"/>
        <w:gridCol w:w="36"/>
        <w:gridCol w:w="36"/>
        <w:gridCol w:w="36"/>
        <w:gridCol w:w="36"/>
        <w:gridCol w:w="121"/>
        <w:gridCol w:w="1067"/>
        <w:gridCol w:w="36"/>
      </w:tblGrid>
      <w:tr w:rsidR="00C1563E" w14:paraId="7DD01709" w14:textId="77777777">
        <w:trPr>
          <w:jc w:val="center"/>
        </w:trPr>
        <w:tc>
          <w:tcPr>
            <w:tcW w:w="50" w:type="pct"/>
            <w:shd w:val="clear" w:color="auto" w:fill="auto"/>
          </w:tcPr>
          <w:p w14:paraId="7DD016F7" w14:textId="77777777" w:rsidR="00C1563E" w:rsidRDefault="00C1563E">
            <w:pPr>
              <w:rPr>
                <w:rFonts w:ascii="宋体"/>
              </w:rPr>
            </w:pPr>
          </w:p>
        </w:tc>
        <w:tc>
          <w:tcPr>
            <w:tcW w:w="2382" w:type="pct"/>
            <w:shd w:val="clear" w:color="auto" w:fill="auto"/>
          </w:tcPr>
          <w:p w14:paraId="7DD016F8" w14:textId="77777777" w:rsidR="00C1563E" w:rsidRDefault="00C1563E">
            <w:pPr>
              <w:rPr>
                <w:rFonts w:ascii="宋体"/>
              </w:rPr>
            </w:pPr>
          </w:p>
        </w:tc>
        <w:tc>
          <w:tcPr>
            <w:tcW w:w="5" w:type="pct"/>
            <w:shd w:val="clear" w:color="auto" w:fill="auto"/>
          </w:tcPr>
          <w:p w14:paraId="7DD016F9" w14:textId="77777777" w:rsidR="00C1563E" w:rsidRDefault="00C1563E">
            <w:pPr>
              <w:rPr>
                <w:rFonts w:ascii="宋体"/>
              </w:rPr>
            </w:pPr>
          </w:p>
        </w:tc>
        <w:tc>
          <w:tcPr>
            <w:tcW w:w="50" w:type="pct"/>
            <w:shd w:val="clear" w:color="auto" w:fill="auto"/>
          </w:tcPr>
          <w:p w14:paraId="7DD016FA" w14:textId="77777777" w:rsidR="00C1563E" w:rsidRDefault="00C1563E">
            <w:pPr>
              <w:rPr>
                <w:rFonts w:ascii="宋体"/>
              </w:rPr>
            </w:pPr>
          </w:p>
        </w:tc>
        <w:tc>
          <w:tcPr>
            <w:tcW w:w="706" w:type="pct"/>
            <w:shd w:val="clear" w:color="auto" w:fill="auto"/>
          </w:tcPr>
          <w:p w14:paraId="7DD016FB" w14:textId="77777777" w:rsidR="00C1563E" w:rsidRDefault="00C1563E">
            <w:pPr>
              <w:rPr>
                <w:rFonts w:ascii="宋体"/>
              </w:rPr>
            </w:pPr>
          </w:p>
        </w:tc>
        <w:tc>
          <w:tcPr>
            <w:tcW w:w="5" w:type="pct"/>
            <w:shd w:val="clear" w:color="auto" w:fill="auto"/>
          </w:tcPr>
          <w:p w14:paraId="7DD016FC" w14:textId="77777777" w:rsidR="00C1563E" w:rsidRDefault="00C1563E">
            <w:pPr>
              <w:rPr>
                <w:rFonts w:ascii="宋体"/>
              </w:rPr>
            </w:pPr>
          </w:p>
        </w:tc>
        <w:tc>
          <w:tcPr>
            <w:tcW w:w="5" w:type="pct"/>
            <w:shd w:val="clear" w:color="auto" w:fill="auto"/>
          </w:tcPr>
          <w:p w14:paraId="7DD016FD" w14:textId="77777777" w:rsidR="00C1563E" w:rsidRDefault="00C1563E">
            <w:pPr>
              <w:rPr>
                <w:rFonts w:ascii="宋体"/>
              </w:rPr>
            </w:pPr>
          </w:p>
        </w:tc>
        <w:tc>
          <w:tcPr>
            <w:tcW w:w="26" w:type="pct"/>
            <w:shd w:val="clear" w:color="auto" w:fill="auto"/>
          </w:tcPr>
          <w:p w14:paraId="7DD016FE" w14:textId="77777777" w:rsidR="00C1563E" w:rsidRDefault="00C1563E">
            <w:pPr>
              <w:rPr>
                <w:rFonts w:ascii="宋体"/>
              </w:rPr>
            </w:pPr>
          </w:p>
        </w:tc>
        <w:tc>
          <w:tcPr>
            <w:tcW w:w="5" w:type="pct"/>
            <w:shd w:val="clear" w:color="auto" w:fill="auto"/>
          </w:tcPr>
          <w:p w14:paraId="7DD016FF" w14:textId="77777777" w:rsidR="00C1563E" w:rsidRDefault="00C1563E">
            <w:pPr>
              <w:rPr>
                <w:rFonts w:ascii="宋体"/>
              </w:rPr>
            </w:pPr>
          </w:p>
        </w:tc>
        <w:tc>
          <w:tcPr>
            <w:tcW w:w="50" w:type="pct"/>
            <w:shd w:val="clear" w:color="auto" w:fill="auto"/>
          </w:tcPr>
          <w:p w14:paraId="7DD01700" w14:textId="77777777" w:rsidR="00C1563E" w:rsidRDefault="00C1563E">
            <w:pPr>
              <w:rPr>
                <w:rFonts w:ascii="宋体"/>
              </w:rPr>
            </w:pPr>
          </w:p>
        </w:tc>
        <w:tc>
          <w:tcPr>
            <w:tcW w:w="911" w:type="pct"/>
            <w:shd w:val="clear" w:color="auto" w:fill="auto"/>
          </w:tcPr>
          <w:p w14:paraId="7DD01701" w14:textId="77777777" w:rsidR="00C1563E" w:rsidRDefault="00C1563E">
            <w:pPr>
              <w:rPr>
                <w:rFonts w:ascii="宋体"/>
              </w:rPr>
            </w:pPr>
          </w:p>
        </w:tc>
        <w:tc>
          <w:tcPr>
            <w:tcW w:w="5" w:type="pct"/>
            <w:shd w:val="clear" w:color="auto" w:fill="auto"/>
          </w:tcPr>
          <w:p w14:paraId="7DD01702" w14:textId="77777777" w:rsidR="00C1563E" w:rsidRDefault="00C1563E">
            <w:pPr>
              <w:rPr>
                <w:rFonts w:ascii="宋体"/>
              </w:rPr>
            </w:pPr>
          </w:p>
        </w:tc>
        <w:tc>
          <w:tcPr>
            <w:tcW w:w="5" w:type="pct"/>
            <w:shd w:val="clear" w:color="auto" w:fill="auto"/>
          </w:tcPr>
          <w:p w14:paraId="7DD01703" w14:textId="77777777" w:rsidR="00C1563E" w:rsidRDefault="00C1563E">
            <w:pPr>
              <w:rPr>
                <w:rFonts w:ascii="宋体"/>
              </w:rPr>
            </w:pPr>
          </w:p>
        </w:tc>
        <w:tc>
          <w:tcPr>
            <w:tcW w:w="26" w:type="pct"/>
            <w:shd w:val="clear" w:color="auto" w:fill="auto"/>
          </w:tcPr>
          <w:p w14:paraId="7DD01704" w14:textId="77777777" w:rsidR="00C1563E" w:rsidRDefault="00C1563E">
            <w:pPr>
              <w:rPr>
                <w:rFonts w:ascii="宋体"/>
              </w:rPr>
            </w:pPr>
          </w:p>
        </w:tc>
        <w:tc>
          <w:tcPr>
            <w:tcW w:w="5" w:type="pct"/>
            <w:shd w:val="clear" w:color="auto" w:fill="auto"/>
          </w:tcPr>
          <w:p w14:paraId="7DD01705" w14:textId="77777777" w:rsidR="00C1563E" w:rsidRDefault="00C1563E">
            <w:pPr>
              <w:rPr>
                <w:rFonts w:ascii="宋体"/>
              </w:rPr>
            </w:pPr>
          </w:p>
        </w:tc>
        <w:tc>
          <w:tcPr>
            <w:tcW w:w="50" w:type="pct"/>
            <w:shd w:val="clear" w:color="auto" w:fill="auto"/>
          </w:tcPr>
          <w:p w14:paraId="7DD01706" w14:textId="77777777" w:rsidR="00C1563E" w:rsidRDefault="00C1563E">
            <w:pPr>
              <w:rPr>
                <w:rFonts w:ascii="宋体"/>
              </w:rPr>
            </w:pPr>
          </w:p>
        </w:tc>
        <w:tc>
          <w:tcPr>
            <w:tcW w:w="706" w:type="pct"/>
            <w:shd w:val="clear" w:color="auto" w:fill="auto"/>
          </w:tcPr>
          <w:p w14:paraId="7DD01707" w14:textId="77777777" w:rsidR="00C1563E" w:rsidRDefault="00C1563E">
            <w:pPr>
              <w:rPr>
                <w:rFonts w:ascii="宋体"/>
              </w:rPr>
            </w:pPr>
          </w:p>
        </w:tc>
        <w:tc>
          <w:tcPr>
            <w:tcW w:w="5" w:type="pct"/>
            <w:shd w:val="clear" w:color="auto" w:fill="auto"/>
          </w:tcPr>
          <w:p w14:paraId="7DD01708" w14:textId="77777777" w:rsidR="00C1563E" w:rsidRDefault="00C1563E">
            <w:pPr>
              <w:rPr>
                <w:rFonts w:ascii="宋体"/>
              </w:rPr>
            </w:pPr>
          </w:p>
        </w:tc>
      </w:tr>
      <w:tr w:rsidR="00C1563E" w14:paraId="7DD01710" w14:textId="77777777">
        <w:trPr>
          <w:jc w:val="center"/>
        </w:trPr>
        <w:tc>
          <w:tcPr>
            <w:tcW w:w="0" w:type="auto"/>
            <w:gridSpan w:val="3"/>
            <w:shd w:val="clear" w:color="auto" w:fill="auto"/>
            <w:tcMar>
              <w:top w:w="0" w:type="dxa"/>
              <w:left w:w="20" w:type="dxa"/>
              <w:bottom w:w="0" w:type="dxa"/>
              <w:right w:w="20" w:type="dxa"/>
            </w:tcMar>
          </w:tcPr>
          <w:p w14:paraId="7DD0170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70B" w14:textId="77777777" w:rsidR="00C1563E" w:rsidRDefault="000B648B">
            <w:pPr>
              <w:jc w:val="center"/>
              <w:textAlignment w:val="bottom"/>
            </w:pPr>
            <w:r>
              <w:rPr>
                <w:rFonts w:ascii="Times New Roman" w:eastAsia="宋体" w:hAnsi="Times New Roman"/>
                <w:b/>
                <w:bCs/>
                <w:color w:val="000000"/>
                <w:sz w:val="20"/>
                <w:szCs w:val="20"/>
              </w:rPr>
              <w:t>Number of Units</w:t>
            </w:r>
          </w:p>
        </w:tc>
        <w:tc>
          <w:tcPr>
            <w:tcW w:w="0" w:type="auto"/>
            <w:gridSpan w:val="3"/>
            <w:shd w:val="clear" w:color="auto" w:fill="auto"/>
            <w:tcMar>
              <w:top w:w="0" w:type="dxa"/>
              <w:left w:w="20" w:type="dxa"/>
              <w:bottom w:w="0" w:type="dxa"/>
              <w:right w:w="20" w:type="dxa"/>
            </w:tcMar>
          </w:tcPr>
          <w:p w14:paraId="7DD0170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70D" w14:textId="77777777" w:rsidR="00C1563E" w:rsidRDefault="000B648B">
            <w:pPr>
              <w:jc w:val="center"/>
              <w:textAlignment w:val="bottom"/>
            </w:pPr>
            <w:r>
              <w:rPr>
                <w:rFonts w:ascii="Times New Roman" w:eastAsia="宋体" w:hAnsi="Times New Roman"/>
                <w:b/>
                <w:bCs/>
                <w:color w:val="000000"/>
                <w:sz w:val="20"/>
                <w:szCs w:val="20"/>
              </w:rPr>
              <w:t xml:space="preserve">Weighted-Average Remaining </w:t>
            </w:r>
            <w:r>
              <w:rPr>
                <w:rFonts w:ascii="Times New Roman" w:eastAsia="宋体" w:hAnsi="Times New Roman"/>
                <w:b/>
                <w:bCs/>
                <w:color w:val="000000"/>
                <w:sz w:val="20"/>
                <w:szCs w:val="20"/>
              </w:rPr>
              <w:t>Contractual Term</w:t>
            </w:r>
          </w:p>
        </w:tc>
        <w:tc>
          <w:tcPr>
            <w:tcW w:w="0" w:type="auto"/>
            <w:gridSpan w:val="3"/>
            <w:shd w:val="clear" w:color="auto" w:fill="auto"/>
            <w:tcMar>
              <w:top w:w="0" w:type="dxa"/>
              <w:left w:w="20" w:type="dxa"/>
              <w:bottom w:w="0" w:type="dxa"/>
              <w:right w:w="20" w:type="dxa"/>
            </w:tcMar>
          </w:tcPr>
          <w:p w14:paraId="7DD0170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70F" w14:textId="77777777" w:rsidR="00C1563E" w:rsidRDefault="000B648B">
            <w:pPr>
              <w:jc w:val="center"/>
              <w:textAlignment w:val="bottom"/>
            </w:pPr>
            <w:r>
              <w:rPr>
                <w:rFonts w:ascii="Times New Roman" w:eastAsia="宋体" w:hAnsi="Times New Roman"/>
                <w:b/>
                <w:bCs/>
                <w:color w:val="000000"/>
                <w:sz w:val="20"/>
                <w:szCs w:val="20"/>
              </w:rPr>
              <w:t>Aggregate Intrinsic Value (a)</w:t>
            </w:r>
          </w:p>
        </w:tc>
      </w:tr>
      <w:tr w:rsidR="00C1563E" w14:paraId="7DD01717" w14:textId="77777777">
        <w:trPr>
          <w:jc w:val="center"/>
        </w:trPr>
        <w:tc>
          <w:tcPr>
            <w:tcW w:w="0" w:type="auto"/>
            <w:gridSpan w:val="3"/>
            <w:shd w:val="clear" w:color="auto" w:fill="auto"/>
            <w:tcMar>
              <w:top w:w="0" w:type="dxa"/>
              <w:left w:w="20" w:type="dxa"/>
              <w:bottom w:w="0" w:type="dxa"/>
              <w:right w:w="20" w:type="dxa"/>
            </w:tcMar>
          </w:tcPr>
          <w:p w14:paraId="7DD01711"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712" w14:textId="77777777" w:rsidR="00C1563E" w:rsidRDefault="000B648B">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tcPr>
          <w:p w14:paraId="7DD01713"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714" w14:textId="77777777" w:rsidR="00C1563E" w:rsidRDefault="000B648B">
            <w:pPr>
              <w:jc w:val="center"/>
              <w:textAlignment w:val="bottom"/>
            </w:pPr>
            <w:r>
              <w:rPr>
                <w:rFonts w:ascii="Times New Roman" w:eastAsia="宋体" w:hAnsi="Times New Roman"/>
                <w:color w:val="000000"/>
                <w:sz w:val="20"/>
                <w:szCs w:val="20"/>
              </w:rPr>
              <w:t>(in years)</w:t>
            </w:r>
          </w:p>
        </w:tc>
        <w:tc>
          <w:tcPr>
            <w:tcW w:w="0" w:type="auto"/>
            <w:gridSpan w:val="3"/>
            <w:shd w:val="clear" w:color="auto" w:fill="auto"/>
            <w:tcMar>
              <w:top w:w="0" w:type="dxa"/>
              <w:left w:w="20" w:type="dxa"/>
              <w:bottom w:w="0" w:type="dxa"/>
              <w:right w:w="20" w:type="dxa"/>
            </w:tcMar>
          </w:tcPr>
          <w:p w14:paraId="7DD01715"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716"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721" w14:textId="77777777">
        <w:trPr>
          <w:jc w:val="center"/>
        </w:trPr>
        <w:tc>
          <w:tcPr>
            <w:tcW w:w="0" w:type="auto"/>
            <w:gridSpan w:val="3"/>
            <w:shd w:val="clear" w:color="auto" w:fill="CCEEFF"/>
            <w:tcMar>
              <w:top w:w="40" w:type="dxa"/>
              <w:left w:w="20" w:type="dxa"/>
              <w:bottom w:w="40" w:type="dxa"/>
              <w:right w:w="20" w:type="dxa"/>
            </w:tcMar>
            <w:vAlign w:val="bottom"/>
          </w:tcPr>
          <w:p w14:paraId="7DD01718" w14:textId="77777777" w:rsidR="00C1563E" w:rsidRDefault="000B648B">
            <w:pPr>
              <w:textAlignment w:val="bottom"/>
            </w:pPr>
            <w:r>
              <w:rPr>
                <w:rFonts w:ascii="Times New Roman" w:eastAsia="宋体" w:hAnsi="Times New Roman"/>
                <w:color w:val="000000"/>
                <w:sz w:val="20"/>
                <w:szCs w:val="20"/>
              </w:rPr>
              <w:t>Expected to vest, January 29, 2021</w:t>
            </w:r>
          </w:p>
        </w:tc>
        <w:tc>
          <w:tcPr>
            <w:tcW w:w="0" w:type="auto"/>
            <w:gridSpan w:val="2"/>
            <w:shd w:val="clear" w:color="auto" w:fill="CCEEFF"/>
            <w:tcMar>
              <w:top w:w="40" w:type="dxa"/>
              <w:left w:w="20" w:type="dxa"/>
              <w:bottom w:w="40" w:type="dxa"/>
              <w:right w:w="0" w:type="dxa"/>
            </w:tcMar>
            <w:vAlign w:val="bottom"/>
          </w:tcPr>
          <w:p w14:paraId="7DD01719"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D017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1B"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71C" w14:textId="77777777" w:rsidR="00C1563E" w:rsidRDefault="000B648B">
            <w:pPr>
              <w:jc w:val="right"/>
              <w:textAlignment w:val="bottom"/>
            </w:pPr>
            <w:r>
              <w:rPr>
                <w:rFonts w:ascii="Times New Roman" w:eastAsia="宋体" w:hAnsi="Times New Roman"/>
                <w:color w:val="000000"/>
                <w:sz w:val="20"/>
                <w:szCs w:val="20"/>
              </w:rPr>
              <w:t>2.6</w:t>
            </w:r>
          </w:p>
        </w:tc>
        <w:tc>
          <w:tcPr>
            <w:tcW w:w="0" w:type="auto"/>
            <w:gridSpan w:val="3"/>
            <w:shd w:val="clear" w:color="auto" w:fill="CCEEFF"/>
            <w:tcMar>
              <w:top w:w="0" w:type="dxa"/>
              <w:left w:w="20" w:type="dxa"/>
              <w:bottom w:w="0" w:type="dxa"/>
              <w:right w:w="20" w:type="dxa"/>
            </w:tcMar>
          </w:tcPr>
          <w:p w14:paraId="7DD0171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71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71F" w14:textId="77777777" w:rsidR="00C1563E" w:rsidRDefault="000B648B">
            <w:pPr>
              <w:jc w:val="right"/>
              <w:textAlignment w:val="bottom"/>
            </w:pPr>
            <w:r>
              <w:rPr>
                <w:rFonts w:ascii="Times New Roman" w:eastAsia="宋体" w:hAnsi="Times New Roman"/>
                <w:color w:val="000000"/>
                <w:sz w:val="20"/>
                <w:szCs w:val="20"/>
              </w:rPr>
              <w:t>2,097 </w:t>
            </w:r>
          </w:p>
        </w:tc>
        <w:tc>
          <w:tcPr>
            <w:tcW w:w="0" w:type="auto"/>
            <w:shd w:val="clear" w:color="auto" w:fill="CCEEFF"/>
            <w:tcMar>
              <w:top w:w="40" w:type="dxa"/>
              <w:left w:w="0" w:type="dxa"/>
              <w:bottom w:w="40" w:type="dxa"/>
              <w:right w:w="20" w:type="dxa"/>
            </w:tcMar>
            <w:vAlign w:val="bottom"/>
          </w:tcPr>
          <w:p w14:paraId="7DD01720" w14:textId="77777777" w:rsidR="00C1563E" w:rsidRDefault="00C1563E">
            <w:pPr>
              <w:jc w:val="right"/>
              <w:rPr>
                <w:rFonts w:ascii="宋体"/>
              </w:rPr>
            </w:pPr>
          </w:p>
        </w:tc>
      </w:tr>
    </w:tbl>
    <w:p w14:paraId="7DD01722" w14:textId="77777777" w:rsidR="00C1563E" w:rsidRDefault="000B648B">
      <w:r>
        <w:rPr>
          <w:rFonts w:ascii="Times New Roman" w:eastAsia="宋体" w:hAnsi="Times New Roman"/>
          <w:color w:val="000000"/>
          <w:sz w:val="20"/>
          <w:szCs w:val="20"/>
        </w:rPr>
        <w:t>____________________</w:t>
      </w:r>
    </w:p>
    <w:p w14:paraId="7DD01723" w14:textId="77777777" w:rsidR="00C1563E" w:rsidRDefault="000B648B">
      <w:pPr>
        <w:ind w:hanging="360"/>
      </w:pPr>
      <w:r>
        <w:rPr>
          <w:rFonts w:ascii="Times New Roman" w:eastAsia="宋体" w:hAnsi="Times New Roman"/>
          <w:color w:val="000000"/>
          <w:sz w:val="20"/>
          <w:szCs w:val="20"/>
        </w:rPr>
        <w:t xml:space="preserve">(a)The aggregate intrinsic value represents the total pre-tax intrinsic values </w:t>
      </w:r>
      <w:r>
        <w:rPr>
          <w:rFonts w:ascii="Times New Roman" w:eastAsia="宋体" w:hAnsi="Times New Roman"/>
          <w:color w:val="000000"/>
          <w:sz w:val="20"/>
          <w:szCs w:val="20"/>
        </w:rPr>
        <w:t>based on VMware, Inc.’s closing stock price of $137.85 on January 29, 2021 as reported on the NYSE that would have been received by the RSU holders had the RSUs been issued as of January 29, 2021.</w:t>
      </w:r>
    </w:p>
    <w:p w14:paraId="7DD01724" w14:textId="77777777" w:rsidR="00C1563E" w:rsidRDefault="00C1563E"/>
    <w:p w14:paraId="7DD01725" w14:textId="77777777" w:rsidR="00C1563E" w:rsidRDefault="00C1563E"/>
    <w:p w14:paraId="7DD01726" w14:textId="77777777" w:rsidR="00C1563E" w:rsidRDefault="00C1563E"/>
    <w:p w14:paraId="7DD01727" w14:textId="77777777" w:rsidR="00C1563E" w:rsidRDefault="00C1563E"/>
    <w:p w14:paraId="7DD01728" w14:textId="77777777" w:rsidR="00C1563E" w:rsidRDefault="00C1563E"/>
    <w:p w14:paraId="7DD01729" w14:textId="77777777" w:rsidR="00C1563E" w:rsidRDefault="00C1563E">
      <w:pPr>
        <w:jc w:val="center"/>
      </w:pPr>
    </w:p>
    <w:p w14:paraId="7DD0172A" w14:textId="77777777" w:rsidR="00C1563E" w:rsidRDefault="000B648B">
      <w:pPr>
        <w:jc w:val="center"/>
      </w:pPr>
      <w:r>
        <w:rPr>
          <w:rFonts w:ascii="Times New Roman" w:eastAsia="宋体" w:hAnsi="Times New Roman"/>
          <w:color w:val="000000"/>
          <w:sz w:val="20"/>
          <w:szCs w:val="20"/>
        </w:rPr>
        <w:t>152</w:t>
      </w:r>
    </w:p>
    <w:p w14:paraId="7DD0172B" w14:textId="77777777" w:rsidR="00C1563E" w:rsidRDefault="00C1563E">
      <w:pPr>
        <w:jc w:val="center"/>
      </w:pPr>
    </w:p>
    <w:p w14:paraId="7DD0172C" w14:textId="77777777" w:rsidR="00C1563E" w:rsidRDefault="000B648B">
      <w:r>
        <w:pict w14:anchorId="7DD02602">
          <v:rect id="_x0000_i1176" style="width:415.3pt;height:1.5pt" o:hralign="center" o:hrstd="t" o:hr="t" fillcolor="#a0a0a0" stroked="f"/>
        </w:pict>
      </w:r>
    </w:p>
    <w:p w14:paraId="7DD0172D" w14:textId="77777777" w:rsidR="00C1563E" w:rsidRDefault="000B648B">
      <w:hyperlink r:id="rId335" w:anchor="i418e32e4a35149ffbf7d3a25d66881b8_10" w:history="1">
        <w:r>
          <w:rPr>
            <w:rStyle w:val="a5"/>
            <w:rFonts w:ascii="Times New Roman" w:eastAsia="宋体" w:hAnsi="Times New Roman"/>
            <w:sz w:val="20"/>
            <w:szCs w:val="20"/>
          </w:rPr>
          <w:t>Table of Contents</w:t>
        </w:r>
      </w:hyperlink>
    </w:p>
    <w:p w14:paraId="7DD0172E" w14:textId="77777777" w:rsidR="00C1563E" w:rsidRDefault="000B648B">
      <w:r>
        <w:rPr>
          <w:rFonts w:ascii="Times New Roman" w:eastAsia="宋体" w:hAnsi="Times New Roman"/>
          <w:color w:val="252525"/>
          <w:sz w:val="20"/>
          <w:szCs w:val="20"/>
        </w:rPr>
        <w:t>The total fair value of VMware, Inc. restricted stock awards that vested during the</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fiscal years ended January 29, 2021, January 31, 2020, and February 1, 2019</w:t>
      </w:r>
      <w:r>
        <w:rPr>
          <w:rFonts w:ascii="Times New Roman" w:eastAsia="宋体" w:hAnsi="Times New Roman"/>
          <w:color w:val="252525"/>
          <w:sz w:val="20"/>
          <w:szCs w:val="20"/>
        </w:rPr>
        <w:t xml:space="preserve"> was $951 million, $657 million, and $556 million, respectively, and the pre-tax intrinsic value was $1,143 million, $1,414 million, and $1,061 million, respectively. As of </w:t>
      </w:r>
      <w:r>
        <w:rPr>
          <w:rFonts w:ascii="Times New Roman" w:eastAsia="宋体" w:hAnsi="Times New Roman"/>
          <w:color w:val="000000"/>
          <w:sz w:val="20"/>
          <w:szCs w:val="20"/>
        </w:rPr>
        <w:t>January </w:t>
      </w:r>
      <w:r>
        <w:rPr>
          <w:rFonts w:ascii="Times New Roman" w:eastAsia="宋体" w:hAnsi="Times New Roman"/>
          <w:color w:val="000000"/>
          <w:sz w:val="20"/>
          <w:szCs w:val="20"/>
        </w:rPr>
        <w:t>29, 2021</w:t>
      </w:r>
      <w:r>
        <w:rPr>
          <w:rFonts w:ascii="Times New Roman" w:eastAsia="宋体" w:hAnsi="Times New Roman"/>
          <w:color w:val="252525"/>
          <w:sz w:val="20"/>
          <w:szCs w:val="20"/>
        </w:rPr>
        <w:t xml:space="preserve">, 18 million restricted shares of VMware, Inc.’s Class A common stock were outstanding, with an aggregate intrinsic value of $2,452 million based on VMware, Inc.’s closing stock price on </w:t>
      </w:r>
      <w:r>
        <w:rPr>
          <w:rFonts w:ascii="Times New Roman" w:eastAsia="宋体" w:hAnsi="Times New Roman"/>
          <w:color w:val="000000"/>
          <w:sz w:val="20"/>
          <w:szCs w:val="20"/>
        </w:rPr>
        <w:t>January 29, 2021</w:t>
      </w:r>
      <w:r>
        <w:rPr>
          <w:rFonts w:ascii="Times New Roman" w:eastAsia="宋体" w:hAnsi="Times New Roman"/>
          <w:color w:val="252525"/>
          <w:sz w:val="20"/>
          <w:szCs w:val="20"/>
        </w:rPr>
        <w:t xml:space="preserve"> </w:t>
      </w:r>
      <w:r>
        <w:rPr>
          <w:rFonts w:ascii="Times New Roman" w:eastAsia="宋体" w:hAnsi="Times New Roman"/>
          <w:color w:val="000000"/>
          <w:sz w:val="20"/>
          <w:szCs w:val="20"/>
        </w:rPr>
        <w:t>as reported on the NYSE</w:t>
      </w:r>
      <w:r>
        <w:rPr>
          <w:rFonts w:ascii="Times New Roman" w:eastAsia="宋体" w:hAnsi="Times New Roman"/>
          <w:color w:val="252525"/>
          <w:sz w:val="20"/>
          <w:szCs w:val="20"/>
        </w:rPr>
        <w:t xml:space="preserve">. </w:t>
      </w:r>
    </w:p>
    <w:p w14:paraId="7DD0172F" w14:textId="77777777" w:rsidR="00C1563E" w:rsidRDefault="00C1563E"/>
    <w:p w14:paraId="7DD01730" w14:textId="77777777" w:rsidR="00C1563E" w:rsidRDefault="000B648B">
      <w:r>
        <w:rPr>
          <w:rFonts w:ascii="Times New Roman" w:eastAsia="宋体" w:hAnsi="Times New Roman"/>
          <w:color w:val="252525"/>
          <w:sz w:val="20"/>
          <w:szCs w:val="20"/>
        </w:rPr>
        <w:t xml:space="preserve">As of </w:t>
      </w:r>
      <w:r>
        <w:rPr>
          <w:rFonts w:ascii="Times New Roman" w:eastAsia="宋体" w:hAnsi="Times New Roman"/>
          <w:color w:val="000000"/>
          <w:sz w:val="20"/>
          <w:szCs w:val="20"/>
        </w:rPr>
        <w:t>January 29,</w:t>
      </w:r>
      <w:r>
        <w:rPr>
          <w:rFonts w:ascii="Times New Roman" w:eastAsia="宋体" w:hAnsi="Times New Roman"/>
          <w:color w:val="000000"/>
          <w:sz w:val="20"/>
          <w:szCs w:val="20"/>
        </w:rPr>
        <w:t xml:space="preserve"> 2021</w:t>
      </w:r>
      <w:r>
        <w:rPr>
          <w:rFonts w:ascii="Times New Roman" w:eastAsia="宋体" w:hAnsi="Times New Roman"/>
          <w:color w:val="252525"/>
          <w:sz w:val="20"/>
          <w:szCs w:val="20"/>
        </w:rPr>
        <w:t xml:space="preserve">, there was $1,830 million of unrecognized stock-based compensation expense, net of estimated forfeitures, related to these awards expected to be recognized over a weighted-average period of approximately </w:t>
      </w:r>
      <w:r>
        <w:rPr>
          <w:rFonts w:ascii="Times New Roman" w:eastAsia="宋体" w:hAnsi="Times New Roman"/>
          <w:color w:val="000000"/>
          <w:sz w:val="20"/>
          <w:szCs w:val="20"/>
        </w:rPr>
        <w:t>1.6</w:t>
      </w:r>
      <w:r>
        <w:rPr>
          <w:rFonts w:ascii="Times New Roman" w:eastAsia="宋体" w:hAnsi="Times New Roman"/>
          <w:color w:val="252525"/>
          <w:sz w:val="20"/>
          <w:szCs w:val="20"/>
        </w:rPr>
        <w:t xml:space="preserve"> years.</w:t>
      </w:r>
    </w:p>
    <w:p w14:paraId="7DD01731" w14:textId="77777777" w:rsidR="00C1563E" w:rsidRDefault="00C1563E"/>
    <w:p w14:paraId="7DD01732" w14:textId="77777777" w:rsidR="00C1563E" w:rsidRDefault="000B648B">
      <w:r>
        <w:rPr>
          <w:rFonts w:ascii="Times New Roman" w:eastAsia="宋体" w:hAnsi="Times New Roman"/>
          <w:i/>
          <w:iCs/>
          <w:color w:val="000000"/>
          <w:sz w:val="20"/>
          <w:szCs w:val="20"/>
        </w:rPr>
        <w:t>VMware, Inc. Shares Withheld for T</w:t>
      </w:r>
      <w:r>
        <w:rPr>
          <w:rFonts w:ascii="Times New Roman" w:eastAsia="宋体" w:hAnsi="Times New Roman"/>
          <w:i/>
          <w:iCs/>
          <w:color w:val="000000"/>
          <w:sz w:val="20"/>
          <w:szCs w:val="20"/>
        </w:rPr>
        <w:t>axes</w:t>
      </w:r>
      <w:r>
        <w:rPr>
          <w:rFonts w:ascii="Times New Roman" w:eastAsia="宋体" w:hAnsi="Times New Roman"/>
          <w:color w:val="000000"/>
          <w:sz w:val="20"/>
          <w:szCs w:val="20"/>
        </w:rPr>
        <w:t xml:space="preserve"> — For the fiscal years ended January 29, 2021, January 31, 2020, and February 1, 2019, VMware, Inc. repurchased and retired or withheld 3 million shares of VMware, Inc. Class A common stock, each year; for $413 million, $521 million, and $373 million,</w:t>
      </w:r>
      <w:r>
        <w:rPr>
          <w:rFonts w:ascii="Times New Roman" w:eastAsia="宋体" w:hAnsi="Times New Roman"/>
          <w:color w:val="000000"/>
          <w:sz w:val="20"/>
          <w:szCs w:val="20"/>
        </w:rPr>
        <w:t xml:space="preserve"> respectively, to cover tax withholding obligations. These amounts may differ from the amounts of cash remitted for tax withholding obligations on the Consolidated Statements of Cash Flows due to the timing of payments. Pursuant to the respective award agr</w:t>
      </w:r>
      <w:r>
        <w:rPr>
          <w:rFonts w:ascii="Times New Roman" w:eastAsia="宋体" w:hAnsi="Times New Roman"/>
          <w:color w:val="000000"/>
          <w:sz w:val="20"/>
          <w:szCs w:val="20"/>
        </w:rPr>
        <w:t>eements, these shares were withheld in conjunction with the net share settlement upon the vesting of restricted stock and restricted stock units (including PSUs) during the period. The value of the withheld shares, including restricted stock units, was cla</w:t>
      </w:r>
      <w:r>
        <w:rPr>
          <w:rFonts w:ascii="Times New Roman" w:eastAsia="宋体" w:hAnsi="Times New Roman"/>
          <w:color w:val="000000"/>
          <w:sz w:val="20"/>
          <w:szCs w:val="20"/>
        </w:rPr>
        <w:t>ssified as a reduction to additional paid-in capital.</w:t>
      </w:r>
    </w:p>
    <w:p w14:paraId="7DD01733" w14:textId="77777777" w:rsidR="00C1563E" w:rsidRDefault="00C1563E"/>
    <w:p w14:paraId="7DD01734" w14:textId="77777777" w:rsidR="00C1563E" w:rsidRDefault="000B648B">
      <w:r>
        <w:rPr>
          <w:rFonts w:ascii="Times New Roman" w:eastAsia="宋体" w:hAnsi="Times New Roman"/>
          <w:b/>
          <w:bCs/>
          <w:color w:val="000000"/>
          <w:sz w:val="20"/>
          <w:szCs w:val="20"/>
        </w:rPr>
        <w:t>Other Plans</w:t>
      </w:r>
    </w:p>
    <w:p w14:paraId="7DD01735" w14:textId="77777777" w:rsidR="00C1563E" w:rsidRDefault="00C1563E"/>
    <w:p w14:paraId="7DD01736" w14:textId="77777777" w:rsidR="00C1563E" w:rsidRDefault="000B648B">
      <w:r>
        <w:rPr>
          <w:rFonts w:ascii="Times New Roman" w:eastAsia="宋体" w:hAnsi="Times New Roman"/>
          <w:color w:val="000000"/>
          <w:sz w:val="20"/>
          <w:szCs w:val="20"/>
        </w:rPr>
        <w:t>In addition to the plans disclosed above, the Company has a consolidated subsidiary, Secureworks, that maintains its own equity plan and issues equity grants settling in its own Class A common stock. The stock option and restricted stock unit activity unde</w:t>
      </w:r>
      <w:r>
        <w:rPr>
          <w:rFonts w:ascii="Times New Roman" w:eastAsia="宋体" w:hAnsi="Times New Roman"/>
          <w:color w:val="000000"/>
          <w:sz w:val="20"/>
          <w:szCs w:val="20"/>
        </w:rPr>
        <w:t xml:space="preserve">r this plan was not material during the fiscal years ended January 29, 2021, January 31, 2020, and February 1, 2019. </w:t>
      </w:r>
    </w:p>
    <w:p w14:paraId="7DD01737" w14:textId="77777777" w:rsidR="00C1563E" w:rsidRDefault="00C1563E"/>
    <w:p w14:paraId="7DD01738" w14:textId="77777777" w:rsidR="00C1563E" w:rsidRDefault="00C1563E">
      <w:pPr>
        <w:jc w:val="center"/>
      </w:pPr>
    </w:p>
    <w:p w14:paraId="7DD01739" w14:textId="77777777" w:rsidR="00C1563E" w:rsidRDefault="000B648B">
      <w:pPr>
        <w:jc w:val="center"/>
      </w:pPr>
      <w:r>
        <w:rPr>
          <w:rFonts w:ascii="Times New Roman" w:eastAsia="宋体" w:hAnsi="Times New Roman"/>
          <w:color w:val="000000"/>
          <w:sz w:val="20"/>
          <w:szCs w:val="20"/>
        </w:rPr>
        <w:t>153</w:t>
      </w:r>
    </w:p>
    <w:p w14:paraId="7DD0173A" w14:textId="77777777" w:rsidR="00C1563E" w:rsidRDefault="00C1563E">
      <w:pPr>
        <w:jc w:val="center"/>
      </w:pPr>
    </w:p>
    <w:p w14:paraId="7DD0173B" w14:textId="77777777" w:rsidR="00C1563E" w:rsidRDefault="000B648B">
      <w:r>
        <w:pict w14:anchorId="7DD02603">
          <v:rect id="_x0000_i1177" style="width:415.3pt;height:1.5pt" o:hralign="center" o:hrstd="t" o:hr="t" fillcolor="#a0a0a0" stroked="f"/>
        </w:pict>
      </w:r>
    </w:p>
    <w:p w14:paraId="7DD0173C" w14:textId="77777777" w:rsidR="00C1563E" w:rsidRDefault="000B648B">
      <w:hyperlink r:id="rId336" w:anchor="i418e32e4a35149ffbf7d3a25d66881b8_10" w:history="1">
        <w:r>
          <w:rPr>
            <w:rStyle w:val="a5"/>
            <w:rFonts w:ascii="Times New Roman" w:eastAsia="宋体" w:hAnsi="Times New Roman"/>
            <w:sz w:val="20"/>
            <w:szCs w:val="20"/>
          </w:rPr>
          <w:t>Table of Contents</w:t>
        </w:r>
      </w:hyperlink>
    </w:p>
    <w:p w14:paraId="7DD0173D" w14:textId="77777777" w:rsidR="00C1563E" w:rsidRDefault="000B648B">
      <w:r>
        <w:rPr>
          <w:rFonts w:ascii="Times New Roman" w:eastAsia="宋体" w:hAnsi="Times New Roman"/>
          <w:b/>
          <w:bCs/>
          <w:color w:val="000000"/>
          <w:sz w:val="20"/>
          <w:szCs w:val="20"/>
        </w:rPr>
        <w:t xml:space="preserve">NOTE 17 — REDEEMABLE SHARES </w:t>
      </w:r>
    </w:p>
    <w:p w14:paraId="7DD0173E" w14:textId="77777777" w:rsidR="00C1563E" w:rsidRDefault="00C1563E"/>
    <w:p w14:paraId="7DD0173F" w14:textId="77777777" w:rsidR="00C1563E" w:rsidRDefault="000B648B">
      <w:r>
        <w:rPr>
          <w:rFonts w:ascii="Times New Roman" w:eastAsia="宋体" w:hAnsi="Times New Roman"/>
          <w:color w:val="000000"/>
          <w:sz w:val="20"/>
          <w:szCs w:val="20"/>
        </w:rPr>
        <w:t>Awards under the Company’s stock incentive plans include certain rights that allow the holder to exercise a put feature for the underlying Class A or Class C Common Stock after a six-</w:t>
      </w:r>
      <w:r>
        <w:rPr>
          <w:rFonts w:ascii="Times New Roman" w:eastAsia="宋体" w:hAnsi="Times New Roman"/>
          <w:color w:val="000000"/>
          <w:sz w:val="20"/>
          <w:szCs w:val="20"/>
        </w:rPr>
        <w:t xml:space="preserve">month holding period following the issuance of such common stock. The put feature requires the Company to purchase the stock at its fair market value. Accordingly, these awards and such common stock are subject to reclassification from equity to temporary </w:t>
      </w:r>
      <w:r>
        <w:rPr>
          <w:rFonts w:ascii="Times New Roman" w:eastAsia="宋体" w:hAnsi="Times New Roman"/>
          <w:color w:val="000000"/>
          <w:sz w:val="20"/>
          <w:szCs w:val="20"/>
        </w:rPr>
        <w:t>equity, and the Company determines the award amounts to be classified as temporary equity as follows:</w:t>
      </w:r>
    </w:p>
    <w:p w14:paraId="7DD01740" w14:textId="77777777" w:rsidR="00C1563E" w:rsidRDefault="000B648B">
      <w:pPr>
        <w:spacing w:before="120"/>
        <w:ind w:hanging="360"/>
      </w:pPr>
      <w:r>
        <w:rPr>
          <w:rFonts w:ascii="Times New Roman" w:eastAsia="宋体" w:hAnsi="Times New Roman"/>
          <w:color w:val="000000"/>
          <w:sz w:val="20"/>
          <w:szCs w:val="20"/>
        </w:rPr>
        <w:t xml:space="preserve">•For stock options to purchase Class C Common Stock subject to service requirements, the intrinsic value of the option is multiplied by the portion of </w:t>
      </w:r>
      <w:r>
        <w:rPr>
          <w:rFonts w:ascii="Times New Roman" w:eastAsia="宋体" w:hAnsi="Times New Roman"/>
          <w:color w:val="000000"/>
          <w:sz w:val="20"/>
          <w:szCs w:val="20"/>
        </w:rPr>
        <w:t>the option for which services have been rendered. Upon exercise of the option, the amount in temporary equity represents the fair value of the Class C Common Stock.</w:t>
      </w:r>
    </w:p>
    <w:p w14:paraId="7DD01741" w14:textId="77777777" w:rsidR="00C1563E" w:rsidRDefault="00C1563E"/>
    <w:p w14:paraId="7DD01742" w14:textId="77777777" w:rsidR="00C1563E" w:rsidRDefault="000B648B">
      <w:pPr>
        <w:ind w:hanging="360"/>
      </w:pPr>
      <w:r>
        <w:rPr>
          <w:rFonts w:ascii="Times New Roman" w:eastAsia="宋体" w:hAnsi="Times New Roman"/>
          <w:color w:val="000000"/>
          <w:sz w:val="20"/>
          <w:szCs w:val="20"/>
        </w:rPr>
        <w:t xml:space="preserve">•For stock appreciation rights, RSUs, or RSAs, any of which stock award types are subject </w:t>
      </w:r>
      <w:r>
        <w:rPr>
          <w:rFonts w:ascii="Times New Roman" w:eastAsia="宋体" w:hAnsi="Times New Roman"/>
          <w:color w:val="000000"/>
          <w:sz w:val="20"/>
          <w:szCs w:val="20"/>
        </w:rPr>
        <w:t>to service requirements, the fair value of the share is multiplied by the portion of the share for which services have been rendered.</w:t>
      </w:r>
    </w:p>
    <w:p w14:paraId="7DD01743" w14:textId="77777777" w:rsidR="00C1563E" w:rsidRDefault="00C1563E"/>
    <w:p w14:paraId="7DD01744" w14:textId="77777777" w:rsidR="00C1563E" w:rsidRDefault="000B648B">
      <w:pPr>
        <w:ind w:hanging="360"/>
      </w:pPr>
      <w:r>
        <w:rPr>
          <w:rFonts w:ascii="Times New Roman" w:eastAsia="宋体" w:hAnsi="Times New Roman"/>
          <w:color w:val="000000"/>
          <w:sz w:val="20"/>
          <w:szCs w:val="20"/>
        </w:rPr>
        <w:t>•For share-based arrangements that are subject to the occurrence of a contingent event, those amounts are reclassified to</w:t>
      </w:r>
      <w:r>
        <w:rPr>
          <w:rFonts w:ascii="Times New Roman" w:eastAsia="宋体" w:hAnsi="Times New Roman"/>
          <w:color w:val="000000"/>
          <w:sz w:val="20"/>
          <w:szCs w:val="20"/>
        </w:rPr>
        <w:t xml:space="preserve"> temporary equity based on a probability assessment performed by the Company on a periodic basis. Contingent events include the achievement of performance-based metrics.</w:t>
      </w:r>
    </w:p>
    <w:p w14:paraId="7DD01745" w14:textId="77777777" w:rsidR="00C1563E" w:rsidRDefault="00C1563E"/>
    <w:p w14:paraId="7DD01746" w14:textId="77777777" w:rsidR="00C1563E" w:rsidRDefault="000B648B">
      <w:r>
        <w:rPr>
          <w:rFonts w:ascii="Times New Roman" w:eastAsia="宋体" w:hAnsi="Times New Roman"/>
          <w:color w:val="000000"/>
          <w:sz w:val="20"/>
          <w:szCs w:val="20"/>
        </w:rPr>
        <w:t>In connection with the Class V transaction described in Note 1 of the Notes to the Co</w:t>
      </w:r>
      <w:r>
        <w:rPr>
          <w:rFonts w:ascii="Times New Roman" w:eastAsia="宋体" w:hAnsi="Times New Roman"/>
          <w:color w:val="000000"/>
          <w:sz w:val="20"/>
          <w:szCs w:val="20"/>
        </w:rPr>
        <w:t>nsolidated Financial Statements, the put feature provisions were amended to provide that the put feature will terminate upon the earlier of June 27, 2021 or the consummation of any underwritten public offering of shares of Class C Common Stock.</w:t>
      </w:r>
    </w:p>
    <w:p w14:paraId="7DD01747" w14:textId="77777777" w:rsidR="00C1563E" w:rsidRDefault="00C1563E"/>
    <w:p w14:paraId="7DD01748" w14:textId="77777777" w:rsidR="00C1563E" w:rsidRDefault="000B648B">
      <w:pPr>
        <w:spacing w:after="120"/>
      </w:pPr>
      <w:r>
        <w:rPr>
          <w:rFonts w:ascii="Times New Roman" w:eastAsia="宋体" w:hAnsi="Times New Roman"/>
          <w:color w:val="000000"/>
          <w:sz w:val="20"/>
          <w:szCs w:val="20"/>
        </w:rPr>
        <w:t>The follow</w:t>
      </w:r>
      <w:r>
        <w:rPr>
          <w:rFonts w:ascii="Times New Roman" w:eastAsia="宋体" w:hAnsi="Times New Roman"/>
          <w:color w:val="000000"/>
          <w:sz w:val="20"/>
          <w:szCs w:val="20"/>
        </w:rPr>
        <w:t>ing table presents the amount of redeemable shares classified as temporary equity and summarizes the award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6"/>
        <w:gridCol w:w="121"/>
        <w:gridCol w:w="1218"/>
        <w:gridCol w:w="36"/>
        <w:gridCol w:w="36"/>
        <w:gridCol w:w="36"/>
        <w:gridCol w:w="36"/>
        <w:gridCol w:w="121"/>
        <w:gridCol w:w="1183"/>
        <w:gridCol w:w="36"/>
      </w:tblGrid>
      <w:tr w:rsidR="00C1563E" w14:paraId="7DD01755" w14:textId="77777777">
        <w:tc>
          <w:tcPr>
            <w:tcW w:w="50" w:type="pct"/>
            <w:shd w:val="clear" w:color="auto" w:fill="auto"/>
          </w:tcPr>
          <w:p w14:paraId="7DD01749" w14:textId="77777777" w:rsidR="00C1563E" w:rsidRDefault="00C1563E">
            <w:pPr>
              <w:rPr>
                <w:rFonts w:ascii="宋体"/>
              </w:rPr>
            </w:pPr>
          </w:p>
        </w:tc>
        <w:tc>
          <w:tcPr>
            <w:tcW w:w="3285" w:type="pct"/>
            <w:shd w:val="clear" w:color="auto" w:fill="auto"/>
          </w:tcPr>
          <w:p w14:paraId="7DD0174A" w14:textId="77777777" w:rsidR="00C1563E" w:rsidRDefault="00C1563E">
            <w:pPr>
              <w:rPr>
                <w:rFonts w:ascii="宋体"/>
              </w:rPr>
            </w:pPr>
          </w:p>
        </w:tc>
        <w:tc>
          <w:tcPr>
            <w:tcW w:w="5" w:type="pct"/>
            <w:shd w:val="clear" w:color="auto" w:fill="auto"/>
          </w:tcPr>
          <w:p w14:paraId="7DD0174B" w14:textId="77777777" w:rsidR="00C1563E" w:rsidRDefault="00C1563E">
            <w:pPr>
              <w:rPr>
                <w:rFonts w:ascii="宋体"/>
              </w:rPr>
            </w:pPr>
          </w:p>
        </w:tc>
        <w:tc>
          <w:tcPr>
            <w:tcW w:w="50" w:type="pct"/>
            <w:shd w:val="clear" w:color="auto" w:fill="auto"/>
          </w:tcPr>
          <w:p w14:paraId="7DD0174C" w14:textId="77777777" w:rsidR="00C1563E" w:rsidRDefault="00C1563E">
            <w:pPr>
              <w:rPr>
                <w:rFonts w:ascii="宋体"/>
              </w:rPr>
            </w:pPr>
          </w:p>
        </w:tc>
        <w:tc>
          <w:tcPr>
            <w:tcW w:w="756" w:type="pct"/>
            <w:shd w:val="clear" w:color="auto" w:fill="auto"/>
          </w:tcPr>
          <w:p w14:paraId="7DD0174D" w14:textId="77777777" w:rsidR="00C1563E" w:rsidRDefault="00C1563E">
            <w:pPr>
              <w:rPr>
                <w:rFonts w:ascii="宋体"/>
              </w:rPr>
            </w:pPr>
          </w:p>
        </w:tc>
        <w:tc>
          <w:tcPr>
            <w:tcW w:w="5" w:type="pct"/>
            <w:shd w:val="clear" w:color="auto" w:fill="auto"/>
          </w:tcPr>
          <w:p w14:paraId="7DD0174E" w14:textId="77777777" w:rsidR="00C1563E" w:rsidRDefault="00C1563E">
            <w:pPr>
              <w:rPr>
                <w:rFonts w:ascii="宋体"/>
              </w:rPr>
            </w:pPr>
          </w:p>
        </w:tc>
        <w:tc>
          <w:tcPr>
            <w:tcW w:w="5" w:type="pct"/>
            <w:shd w:val="clear" w:color="auto" w:fill="auto"/>
          </w:tcPr>
          <w:p w14:paraId="7DD0174F" w14:textId="77777777" w:rsidR="00C1563E" w:rsidRDefault="00C1563E">
            <w:pPr>
              <w:rPr>
                <w:rFonts w:ascii="宋体"/>
              </w:rPr>
            </w:pPr>
          </w:p>
        </w:tc>
        <w:tc>
          <w:tcPr>
            <w:tcW w:w="26" w:type="pct"/>
            <w:shd w:val="clear" w:color="auto" w:fill="auto"/>
          </w:tcPr>
          <w:p w14:paraId="7DD01750" w14:textId="77777777" w:rsidR="00C1563E" w:rsidRDefault="00C1563E">
            <w:pPr>
              <w:rPr>
                <w:rFonts w:ascii="宋体"/>
              </w:rPr>
            </w:pPr>
          </w:p>
        </w:tc>
        <w:tc>
          <w:tcPr>
            <w:tcW w:w="5" w:type="pct"/>
            <w:shd w:val="clear" w:color="auto" w:fill="auto"/>
          </w:tcPr>
          <w:p w14:paraId="7DD01751" w14:textId="77777777" w:rsidR="00C1563E" w:rsidRDefault="00C1563E">
            <w:pPr>
              <w:rPr>
                <w:rFonts w:ascii="宋体"/>
              </w:rPr>
            </w:pPr>
          </w:p>
        </w:tc>
        <w:tc>
          <w:tcPr>
            <w:tcW w:w="50" w:type="pct"/>
            <w:shd w:val="clear" w:color="auto" w:fill="auto"/>
          </w:tcPr>
          <w:p w14:paraId="7DD01752" w14:textId="77777777" w:rsidR="00C1563E" w:rsidRDefault="00C1563E">
            <w:pPr>
              <w:rPr>
                <w:rFonts w:ascii="宋体"/>
              </w:rPr>
            </w:pPr>
          </w:p>
        </w:tc>
        <w:tc>
          <w:tcPr>
            <w:tcW w:w="756" w:type="pct"/>
            <w:shd w:val="clear" w:color="auto" w:fill="auto"/>
          </w:tcPr>
          <w:p w14:paraId="7DD01753" w14:textId="77777777" w:rsidR="00C1563E" w:rsidRDefault="00C1563E">
            <w:pPr>
              <w:rPr>
                <w:rFonts w:ascii="宋体"/>
              </w:rPr>
            </w:pPr>
          </w:p>
        </w:tc>
        <w:tc>
          <w:tcPr>
            <w:tcW w:w="5" w:type="pct"/>
            <w:shd w:val="clear" w:color="auto" w:fill="auto"/>
          </w:tcPr>
          <w:p w14:paraId="7DD01754" w14:textId="77777777" w:rsidR="00C1563E" w:rsidRDefault="00C1563E">
            <w:pPr>
              <w:rPr>
                <w:rFonts w:ascii="宋体"/>
              </w:rPr>
            </w:pPr>
          </w:p>
        </w:tc>
      </w:tr>
      <w:tr w:rsidR="00C1563E" w14:paraId="7DD0175A" w14:textId="77777777">
        <w:tc>
          <w:tcPr>
            <w:tcW w:w="0" w:type="auto"/>
            <w:gridSpan w:val="3"/>
            <w:shd w:val="clear" w:color="auto" w:fill="auto"/>
            <w:tcMar>
              <w:top w:w="0" w:type="dxa"/>
              <w:left w:w="20" w:type="dxa"/>
              <w:bottom w:w="0" w:type="dxa"/>
              <w:right w:w="20" w:type="dxa"/>
            </w:tcMar>
          </w:tcPr>
          <w:p w14:paraId="7DD0175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75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758"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759"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75D" w14:textId="77777777">
        <w:tc>
          <w:tcPr>
            <w:tcW w:w="0" w:type="auto"/>
            <w:gridSpan w:val="3"/>
            <w:shd w:val="clear" w:color="auto" w:fill="auto"/>
            <w:tcMar>
              <w:top w:w="0" w:type="dxa"/>
              <w:left w:w="20" w:type="dxa"/>
              <w:bottom w:w="0" w:type="dxa"/>
              <w:right w:w="20" w:type="dxa"/>
            </w:tcMar>
          </w:tcPr>
          <w:p w14:paraId="7DD0175B"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175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766" w14:textId="77777777">
        <w:tc>
          <w:tcPr>
            <w:tcW w:w="0" w:type="auto"/>
            <w:gridSpan w:val="3"/>
            <w:shd w:val="clear" w:color="auto" w:fill="CCEEFF"/>
            <w:tcMar>
              <w:top w:w="40" w:type="dxa"/>
              <w:left w:w="20" w:type="dxa"/>
              <w:bottom w:w="40" w:type="dxa"/>
              <w:right w:w="20" w:type="dxa"/>
            </w:tcMar>
            <w:vAlign w:val="bottom"/>
          </w:tcPr>
          <w:p w14:paraId="7DD0175E" w14:textId="77777777" w:rsidR="00C1563E" w:rsidRDefault="000B648B">
            <w:pPr>
              <w:textAlignment w:val="bottom"/>
            </w:pPr>
            <w:r>
              <w:rPr>
                <w:rFonts w:ascii="Times New Roman" w:eastAsia="宋体" w:hAnsi="Times New Roman"/>
                <w:color w:val="000000"/>
                <w:sz w:val="20"/>
                <w:szCs w:val="20"/>
              </w:rPr>
              <w:t xml:space="preserve">Redeemable shares classified as temporary </w:t>
            </w:r>
            <w:r>
              <w:rPr>
                <w:rFonts w:ascii="Times New Roman" w:eastAsia="宋体" w:hAnsi="Times New Roman"/>
                <w:color w:val="000000"/>
                <w:sz w:val="20"/>
                <w:szCs w:val="20"/>
              </w:rPr>
              <w:t>equity</w:t>
            </w:r>
          </w:p>
        </w:tc>
        <w:tc>
          <w:tcPr>
            <w:tcW w:w="0" w:type="auto"/>
            <w:shd w:val="clear" w:color="auto" w:fill="CCEEFF"/>
            <w:tcMar>
              <w:top w:w="40" w:type="dxa"/>
              <w:left w:w="20" w:type="dxa"/>
              <w:bottom w:w="40" w:type="dxa"/>
              <w:right w:w="0" w:type="dxa"/>
            </w:tcMar>
            <w:vAlign w:val="bottom"/>
          </w:tcPr>
          <w:p w14:paraId="7DD0175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760" w14:textId="77777777" w:rsidR="00C1563E" w:rsidRDefault="000B648B">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7DD0176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62"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76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764" w14:textId="77777777" w:rsidR="00C1563E" w:rsidRDefault="000B648B">
            <w:pPr>
              <w:jc w:val="right"/>
              <w:textAlignment w:val="bottom"/>
            </w:pPr>
            <w:r>
              <w:rPr>
                <w:rFonts w:ascii="Times New Roman" w:eastAsia="宋体" w:hAnsi="Times New Roman"/>
                <w:color w:val="000000"/>
                <w:sz w:val="20"/>
                <w:szCs w:val="20"/>
              </w:rPr>
              <w:t>629 </w:t>
            </w:r>
          </w:p>
        </w:tc>
        <w:tc>
          <w:tcPr>
            <w:tcW w:w="0" w:type="auto"/>
            <w:shd w:val="clear" w:color="auto" w:fill="CCEEFF"/>
            <w:tcMar>
              <w:top w:w="40" w:type="dxa"/>
              <w:left w:w="0" w:type="dxa"/>
              <w:bottom w:w="40" w:type="dxa"/>
              <w:right w:w="20" w:type="dxa"/>
            </w:tcMar>
            <w:vAlign w:val="bottom"/>
          </w:tcPr>
          <w:p w14:paraId="7DD01765" w14:textId="77777777" w:rsidR="00C1563E" w:rsidRDefault="00C1563E">
            <w:pPr>
              <w:jc w:val="right"/>
              <w:rPr>
                <w:rFonts w:ascii="宋体"/>
              </w:rPr>
            </w:pPr>
          </w:p>
        </w:tc>
      </w:tr>
      <w:tr w:rsidR="00C1563E" w14:paraId="7DD0176B" w14:textId="77777777">
        <w:trPr>
          <w:trHeight w:val="300"/>
        </w:trPr>
        <w:tc>
          <w:tcPr>
            <w:tcW w:w="0" w:type="auto"/>
            <w:gridSpan w:val="3"/>
            <w:shd w:val="clear" w:color="auto" w:fill="FFFFFF"/>
            <w:tcMar>
              <w:top w:w="0" w:type="dxa"/>
              <w:left w:w="20" w:type="dxa"/>
              <w:bottom w:w="0" w:type="dxa"/>
              <w:right w:w="20" w:type="dxa"/>
            </w:tcMar>
          </w:tcPr>
          <w:p w14:paraId="7DD0176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76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76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76A" w14:textId="77777777" w:rsidR="00C1563E" w:rsidRDefault="00C1563E">
            <w:pPr>
              <w:rPr>
                <w:rFonts w:ascii="宋体"/>
              </w:rPr>
            </w:pPr>
          </w:p>
        </w:tc>
      </w:tr>
      <w:tr w:rsidR="00C1563E" w14:paraId="7DD01772" w14:textId="77777777">
        <w:tc>
          <w:tcPr>
            <w:tcW w:w="0" w:type="auto"/>
            <w:gridSpan w:val="3"/>
            <w:shd w:val="clear" w:color="auto" w:fill="CCEEFF"/>
            <w:tcMar>
              <w:top w:w="40" w:type="dxa"/>
              <w:left w:w="20" w:type="dxa"/>
              <w:bottom w:w="40" w:type="dxa"/>
              <w:right w:w="20" w:type="dxa"/>
            </w:tcMar>
            <w:vAlign w:val="bottom"/>
          </w:tcPr>
          <w:p w14:paraId="7DD0176C" w14:textId="77777777" w:rsidR="00C1563E" w:rsidRDefault="000B648B">
            <w:pPr>
              <w:textAlignment w:val="bottom"/>
            </w:pPr>
            <w:r>
              <w:rPr>
                <w:rFonts w:ascii="Times New Roman" w:eastAsia="宋体" w:hAnsi="Times New Roman"/>
                <w:color w:val="000000"/>
                <w:sz w:val="20"/>
                <w:szCs w:val="20"/>
              </w:rPr>
              <w:t>Issued and outstanding unrestricted common shares</w:t>
            </w:r>
          </w:p>
        </w:tc>
        <w:tc>
          <w:tcPr>
            <w:tcW w:w="0" w:type="auto"/>
            <w:gridSpan w:val="2"/>
            <w:shd w:val="clear" w:color="auto" w:fill="CCEEFF"/>
            <w:tcMar>
              <w:top w:w="40" w:type="dxa"/>
              <w:left w:w="20" w:type="dxa"/>
              <w:bottom w:w="40" w:type="dxa"/>
              <w:right w:w="0" w:type="dxa"/>
            </w:tcMar>
            <w:vAlign w:val="bottom"/>
          </w:tcPr>
          <w:p w14:paraId="7DD0176D"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D017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770"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DD01771" w14:textId="77777777" w:rsidR="00C1563E" w:rsidRDefault="00C1563E">
            <w:pPr>
              <w:jc w:val="right"/>
              <w:rPr>
                <w:rFonts w:ascii="宋体"/>
              </w:rPr>
            </w:pPr>
          </w:p>
        </w:tc>
      </w:tr>
      <w:tr w:rsidR="00C1563E" w14:paraId="7DD01779" w14:textId="77777777">
        <w:tc>
          <w:tcPr>
            <w:tcW w:w="0" w:type="auto"/>
            <w:gridSpan w:val="3"/>
            <w:shd w:val="clear" w:color="auto" w:fill="FFFFFF"/>
            <w:tcMar>
              <w:top w:w="40" w:type="dxa"/>
              <w:left w:w="20" w:type="dxa"/>
              <w:bottom w:w="40" w:type="dxa"/>
              <w:right w:w="20" w:type="dxa"/>
            </w:tcMar>
            <w:vAlign w:val="bottom"/>
          </w:tcPr>
          <w:p w14:paraId="7DD01773" w14:textId="77777777" w:rsidR="00C1563E" w:rsidRDefault="000B648B">
            <w:pPr>
              <w:textAlignment w:val="bottom"/>
            </w:pPr>
            <w:r>
              <w:rPr>
                <w:rFonts w:ascii="Times New Roman" w:eastAsia="宋体" w:hAnsi="Times New Roman"/>
                <w:color w:val="000000"/>
                <w:sz w:val="20"/>
                <w:szCs w:val="20"/>
              </w:rPr>
              <w:t>Restricted stock units</w:t>
            </w:r>
          </w:p>
        </w:tc>
        <w:tc>
          <w:tcPr>
            <w:tcW w:w="0" w:type="auto"/>
            <w:gridSpan w:val="2"/>
            <w:shd w:val="clear" w:color="auto" w:fill="FFFFFF"/>
            <w:tcMar>
              <w:top w:w="40" w:type="dxa"/>
              <w:left w:w="20" w:type="dxa"/>
              <w:bottom w:w="40" w:type="dxa"/>
              <w:right w:w="0" w:type="dxa"/>
            </w:tcMar>
            <w:vAlign w:val="bottom"/>
          </w:tcPr>
          <w:p w14:paraId="7DD0177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77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77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777"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D01778" w14:textId="77777777" w:rsidR="00C1563E" w:rsidRDefault="00C1563E">
            <w:pPr>
              <w:jc w:val="right"/>
              <w:rPr>
                <w:rFonts w:ascii="宋体"/>
              </w:rPr>
            </w:pPr>
          </w:p>
        </w:tc>
      </w:tr>
      <w:tr w:rsidR="00C1563E" w14:paraId="7DD01780" w14:textId="77777777">
        <w:tc>
          <w:tcPr>
            <w:tcW w:w="0" w:type="auto"/>
            <w:gridSpan w:val="3"/>
            <w:shd w:val="clear" w:color="auto" w:fill="CCEEFF"/>
            <w:tcMar>
              <w:top w:w="40" w:type="dxa"/>
              <w:left w:w="20" w:type="dxa"/>
              <w:bottom w:w="40" w:type="dxa"/>
              <w:right w:w="20" w:type="dxa"/>
            </w:tcMar>
            <w:vAlign w:val="bottom"/>
          </w:tcPr>
          <w:p w14:paraId="7DD0177A" w14:textId="77777777" w:rsidR="00C1563E" w:rsidRDefault="000B648B">
            <w:pPr>
              <w:textAlignment w:val="bottom"/>
            </w:pPr>
            <w:r>
              <w:rPr>
                <w:rFonts w:ascii="Times New Roman" w:eastAsia="宋体" w:hAnsi="Times New Roman"/>
                <w:color w:val="000000"/>
                <w:sz w:val="20"/>
                <w:szCs w:val="20"/>
              </w:rPr>
              <w:t>Outstanding stock options</w:t>
            </w:r>
          </w:p>
        </w:tc>
        <w:tc>
          <w:tcPr>
            <w:tcW w:w="0" w:type="auto"/>
            <w:gridSpan w:val="2"/>
            <w:shd w:val="clear" w:color="auto" w:fill="CCEEFF"/>
            <w:tcMar>
              <w:top w:w="40" w:type="dxa"/>
              <w:left w:w="20" w:type="dxa"/>
              <w:bottom w:w="40" w:type="dxa"/>
              <w:right w:w="0" w:type="dxa"/>
            </w:tcMar>
            <w:vAlign w:val="bottom"/>
          </w:tcPr>
          <w:p w14:paraId="7DD0177B"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DD0177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7D"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77E" w14:textId="77777777" w:rsidR="00C1563E" w:rsidRDefault="000B648B">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DD0177F" w14:textId="77777777" w:rsidR="00C1563E" w:rsidRDefault="00C1563E">
            <w:pPr>
              <w:jc w:val="right"/>
              <w:rPr>
                <w:rFonts w:ascii="宋体"/>
              </w:rPr>
            </w:pPr>
          </w:p>
        </w:tc>
      </w:tr>
    </w:tbl>
    <w:p w14:paraId="7DD01781" w14:textId="77777777" w:rsidR="00C1563E" w:rsidRDefault="00C1563E"/>
    <w:p w14:paraId="7DD01782" w14:textId="77777777" w:rsidR="00C1563E" w:rsidRDefault="000B648B">
      <w:r>
        <w:rPr>
          <w:rFonts w:ascii="Times New Roman" w:eastAsia="宋体" w:hAnsi="Times New Roman"/>
          <w:color w:val="000000"/>
          <w:sz w:val="20"/>
          <w:szCs w:val="20"/>
        </w:rPr>
        <w:t xml:space="preserve">The decrease in the value of redeemable shares during the fiscal year ended </w:t>
      </w:r>
      <w:r>
        <w:rPr>
          <w:rFonts w:ascii="Times New Roman" w:eastAsia="宋体" w:hAnsi="Times New Roman"/>
          <w:color w:val="000000"/>
          <w:sz w:val="20"/>
          <w:szCs w:val="20"/>
        </w:rPr>
        <w:t>January 29, 2021 was primarily attributable to the reduction in the number of shares eligible for put rights, offset by an increase in Class C Common Stock fair value.</w:t>
      </w:r>
    </w:p>
    <w:p w14:paraId="7DD01783" w14:textId="77777777" w:rsidR="00C1563E" w:rsidRDefault="00C1563E">
      <w:pPr>
        <w:spacing w:before="120"/>
      </w:pPr>
    </w:p>
    <w:p w14:paraId="7DD01784" w14:textId="77777777" w:rsidR="00C1563E" w:rsidRDefault="00C1563E">
      <w:pPr>
        <w:jc w:val="center"/>
      </w:pPr>
    </w:p>
    <w:p w14:paraId="7DD01785" w14:textId="77777777" w:rsidR="00C1563E" w:rsidRDefault="000B648B">
      <w:pPr>
        <w:jc w:val="center"/>
      </w:pPr>
      <w:r>
        <w:rPr>
          <w:rFonts w:ascii="Times New Roman" w:eastAsia="宋体" w:hAnsi="Times New Roman"/>
          <w:color w:val="000000"/>
          <w:sz w:val="20"/>
          <w:szCs w:val="20"/>
        </w:rPr>
        <w:t>154</w:t>
      </w:r>
    </w:p>
    <w:p w14:paraId="7DD01786" w14:textId="77777777" w:rsidR="00C1563E" w:rsidRDefault="00C1563E">
      <w:pPr>
        <w:jc w:val="center"/>
      </w:pPr>
    </w:p>
    <w:p w14:paraId="7DD01787" w14:textId="77777777" w:rsidR="00C1563E" w:rsidRDefault="000B648B">
      <w:r>
        <w:pict w14:anchorId="7DD02604">
          <v:rect id="_x0000_i1178" style="width:415.3pt;height:1.5pt" o:hralign="center" o:hrstd="t" o:hr="t" fillcolor="#a0a0a0" stroked="f"/>
        </w:pict>
      </w:r>
    </w:p>
    <w:p w14:paraId="7DD01788" w14:textId="77777777" w:rsidR="00C1563E" w:rsidRDefault="000B648B">
      <w:hyperlink r:id="rId337" w:anchor="i418e32e4a35149ffbf7d3a25d66881b8_10" w:history="1">
        <w:r>
          <w:rPr>
            <w:rStyle w:val="a5"/>
            <w:rFonts w:ascii="Times New Roman" w:eastAsia="宋体" w:hAnsi="Times New Roman"/>
            <w:sz w:val="20"/>
            <w:szCs w:val="20"/>
          </w:rPr>
          <w:t>Table of Contents</w:t>
        </w:r>
      </w:hyperlink>
    </w:p>
    <w:p w14:paraId="7DD01789" w14:textId="77777777" w:rsidR="00C1563E" w:rsidRDefault="000B648B">
      <w:r>
        <w:rPr>
          <w:rFonts w:ascii="Times New Roman" w:eastAsia="宋体" w:hAnsi="Times New Roman"/>
          <w:b/>
          <w:bCs/>
          <w:color w:val="000000"/>
          <w:sz w:val="20"/>
          <w:szCs w:val="20"/>
        </w:rPr>
        <w:t xml:space="preserve">NOTE 18 — RETIREMENT PLAN BENEFITS </w:t>
      </w:r>
    </w:p>
    <w:p w14:paraId="7DD0178A" w14:textId="77777777" w:rsidR="00C1563E" w:rsidRDefault="00C1563E"/>
    <w:p w14:paraId="7DD0178B" w14:textId="77777777" w:rsidR="00C1563E" w:rsidRDefault="000B648B">
      <w:r>
        <w:rPr>
          <w:rFonts w:ascii="Times New Roman" w:eastAsia="宋体" w:hAnsi="Times New Roman"/>
          <w:b/>
          <w:bCs/>
          <w:color w:val="000000"/>
          <w:sz w:val="20"/>
          <w:szCs w:val="20"/>
        </w:rPr>
        <w:t>Defined Benefit Retirement Plans</w:t>
      </w:r>
    </w:p>
    <w:p w14:paraId="7DD0178C" w14:textId="77777777" w:rsidR="00C1563E" w:rsidRDefault="00C1563E"/>
    <w:p w14:paraId="7DD0178D" w14:textId="77777777" w:rsidR="00C1563E" w:rsidRDefault="000B648B">
      <w:r>
        <w:rPr>
          <w:rFonts w:ascii="Times New Roman" w:eastAsia="宋体" w:hAnsi="Times New Roman"/>
          <w:color w:val="000000"/>
          <w:sz w:val="20"/>
          <w:szCs w:val="20"/>
        </w:rPr>
        <w:t>The Company sponsors retirement plans for certain employees in the United States and internationally, and some of these plans meet the criteria of a defined benefit retirement plan. Benefits under defined benefit retirement plans guarantee a particular pay</w:t>
      </w:r>
      <w:r>
        <w:rPr>
          <w:rFonts w:ascii="Times New Roman" w:eastAsia="宋体" w:hAnsi="Times New Roman"/>
          <w:color w:val="000000"/>
          <w:sz w:val="20"/>
          <w:szCs w:val="20"/>
        </w:rPr>
        <w:t xml:space="preserve">ment to the employee in retirement. The amount of retirement benefit is defined by the plan, and is typically a function of the number of years of service rendered by the employee and the employee’s average salary or salary at retirement. The annual costs </w:t>
      </w:r>
      <w:r>
        <w:rPr>
          <w:rFonts w:ascii="Times New Roman" w:eastAsia="宋体" w:hAnsi="Times New Roman"/>
          <w:color w:val="000000"/>
          <w:sz w:val="20"/>
          <w:szCs w:val="20"/>
        </w:rPr>
        <w:t xml:space="preserve">of the plans are determined using the projected unit credit actuarial cost method that includes actuarial assumptions and estimates which are subject to change. </w:t>
      </w:r>
    </w:p>
    <w:p w14:paraId="7DD0178E" w14:textId="77777777" w:rsidR="00C1563E" w:rsidRDefault="00C1563E"/>
    <w:p w14:paraId="7DD0178F" w14:textId="77777777" w:rsidR="00C1563E" w:rsidRDefault="000B648B">
      <w:r>
        <w:rPr>
          <w:rFonts w:ascii="Times New Roman" w:eastAsia="宋体" w:hAnsi="Times New Roman"/>
          <w:color w:val="000000"/>
          <w:sz w:val="20"/>
          <w:szCs w:val="20"/>
        </w:rPr>
        <w:t>Net periodic benefit costs related to defined benefit retirement plans were immaterial for th</w:t>
      </w:r>
      <w:r>
        <w:rPr>
          <w:rFonts w:ascii="Times New Roman" w:eastAsia="宋体" w:hAnsi="Times New Roman"/>
          <w:color w:val="000000"/>
          <w:sz w:val="20"/>
          <w:szCs w:val="20"/>
        </w:rPr>
        <w:t>e fiscal years ended January 29, 2021, January 31, 2020, and February 1, 2019. The Company did not make any significant contributions to defined benefit retirement plans for the fiscal years ended January 29, 2021, January 31, 2020, and February 1, 2019, a</w:t>
      </w:r>
      <w:r>
        <w:rPr>
          <w:rFonts w:ascii="Times New Roman" w:eastAsia="宋体" w:hAnsi="Times New Roman"/>
          <w:color w:val="000000"/>
          <w:sz w:val="20"/>
          <w:szCs w:val="20"/>
        </w:rPr>
        <w:t xml:space="preserve">nd does not expect to make any significant contributions in Fiscal 2022. </w:t>
      </w:r>
    </w:p>
    <w:p w14:paraId="7DD01790" w14:textId="77777777" w:rsidR="00C1563E" w:rsidRDefault="00C1563E"/>
    <w:p w14:paraId="7DD01791" w14:textId="77777777" w:rsidR="00C1563E" w:rsidRDefault="000B648B">
      <w:r>
        <w:rPr>
          <w:rFonts w:ascii="Times New Roman" w:eastAsia="宋体" w:hAnsi="Times New Roman"/>
          <w:i/>
          <w:iCs/>
          <w:color w:val="000000"/>
          <w:sz w:val="20"/>
          <w:szCs w:val="20"/>
          <w:u w:val="single"/>
        </w:rPr>
        <w:t>U.S. Pension Plan</w:t>
      </w:r>
      <w:r>
        <w:rPr>
          <w:rFonts w:ascii="Times New Roman" w:eastAsia="宋体" w:hAnsi="Times New Roman"/>
          <w:color w:val="000000"/>
          <w:sz w:val="20"/>
          <w:szCs w:val="20"/>
        </w:rPr>
        <w:t xml:space="preserve"> — The Company sponsors a noncontributory defined benefit retirement plan in the United States (the “U.S. pension plan”) which was assumed in connection with the EMC merger transaction. As of December 1999, the U.S. pension plan was frozen, so employees no</w:t>
      </w:r>
      <w:r>
        <w:rPr>
          <w:rFonts w:ascii="Times New Roman" w:eastAsia="宋体" w:hAnsi="Times New Roman"/>
          <w:color w:val="000000"/>
          <w:sz w:val="20"/>
          <w:szCs w:val="20"/>
        </w:rPr>
        <w:t xml:space="preserve"> longer accrue retirement benefits for future services. The measurement date for the U.S. pension plan is the end of the Company’s fiscal year.</w:t>
      </w:r>
    </w:p>
    <w:p w14:paraId="7DD01792" w14:textId="77777777" w:rsidR="00C1563E" w:rsidRDefault="00C1563E"/>
    <w:p w14:paraId="7DD01793" w14:textId="77777777" w:rsidR="00C1563E" w:rsidRDefault="000B648B">
      <w:pPr>
        <w:spacing w:after="120"/>
      </w:pPr>
      <w:r>
        <w:rPr>
          <w:rFonts w:ascii="Times New Roman" w:eastAsia="宋体" w:hAnsi="Times New Roman"/>
          <w:color w:val="000000"/>
          <w:sz w:val="20"/>
          <w:szCs w:val="20"/>
        </w:rPr>
        <w:t>The following table presents attributes of the U.S. pension plan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1"/>
        <w:gridCol w:w="1474"/>
        <w:gridCol w:w="36"/>
        <w:gridCol w:w="36"/>
        <w:gridCol w:w="36"/>
        <w:gridCol w:w="36"/>
        <w:gridCol w:w="121"/>
        <w:gridCol w:w="1474"/>
        <w:gridCol w:w="36"/>
      </w:tblGrid>
      <w:tr w:rsidR="00C1563E" w14:paraId="7DD017A0" w14:textId="77777777">
        <w:tc>
          <w:tcPr>
            <w:tcW w:w="50" w:type="pct"/>
            <w:shd w:val="clear" w:color="auto" w:fill="auto"/>
          </w:tcPr>
          <w:p w14:paraId="7DD01794" w14:textId="77777777" w:rsidR="00C1563E" w:rsidRDefault="00C1563E">
            <w:pPr>
              <w:rPr>
                <w:rFonts w:ascii="宋体"/>
              </w:rPr>
            </w:pPr>
          </w:p>
        </w:tc>
        <w:tc>
          <w:tcPr>
            <w:tcW w:w="2971" w:type="pct"/>
            <w:shd w:val="clear" w:color="auto" w:fill="auto"/>
          </w:tcPr>
          <w:p w14:paraId="7DD01795" w14:textId="77777777" w:rsidR="00C1563E" w:rsidRDefault="00C1563E">
            <w:pPr>
              <w:rPr>
                <w:rFonts w:ascii="宋体"/>
              </w:rPr>
            </w:pPr>
          </w:p>
        </w:tc>
        <w:tc>
          <w:tcPr>
            <w:tcW w:w="5" w:type="pct"/>
            <w:shd w:val="clear" w:color="auto" w:fill="auto"/>
          </w:tcPr>
          <w:p w14:paraId="7DD01796" w14:textId="77777777" w:rsidR="00C1563E" w:rsidRDefault="00C1563E">
            <w:pPr>
              <w:rPr>
                <w:rFonts w:ascii="宋体"/>
              </w:rPr>
            </w:pPr>
          </w:p>
        </w:tc>
        <w:tc>
          <w:tcPr>
            <w:tcW w:w="50" w:type="pct"/>
            <w:shd w:val="clear" w:color="auto" w:fill="auto"/>
          </w:tcPr>
          <w:p w14:paraId="7DD01797" w14:textId="77777777" w:rsidR="00C1563E" w:rsidRDefault="00C1563E">
            <w:pPr>
              <w:rPr>
                <w:rFonts w:ascii="宋体"/>
              </w:rPr>
            </w:pPr>
          </w:p>
        </w:tc>
        <w:tc>
          <w:tcPr>
            <w:tcW w:w="917" w:type="pct"/>
            <w:shd w:val="clear" w:color="auto" w:fill="auto"/>
          </w:tcPr>
          <w:p w14:paraId="7DD01798" w14:textId="77777777" w:rsidR="00C1563E" w:rsidRDefault="00C1563E">
            <w:pPr>
              <w:rPr>
                <w:rFonts w:ascii="宋体"/>
              </w:rPr>
            </w:pPr>
          </w:p>
        </w:tc>
        <w:tc>
          <w:tcPr>
            <w:tcW w:w="5" w:type="pct"/>
            <w:shd w:val="clear" w:color="auto" w:fill="auto"/>
          </w:tcPr>
          <w:p w14:paraId="7DD01799" w14:textId="77777777" w:rsidR="00C1563E" w:rsidRDefault="00C1563E">
            <w:pPr>
              <w:rPr>
                <w:rFonts w:ascii="宋体"/>
              </w:rPr>
            </w:pPr>
          </w:p>
        </w:tc>
        <w:tc>
          <w:tcPr>
            <w:tcW w:w="5" w:type="pct"/>
            <w:shd w:val="clear" w:color="auto" w:fill="auto"/>
          </w:tcPr>
          <w:p w14:paraId="7DD0179A" w14:textId="77777777" w:rsidR="00C1563E" w:rsidRDefault="00C1563E">
            <w:pPr>
              <w:rPr>
                <w:rFonts w:ascii="宋体"/>
              </w:rPr>
            </w:pPr>
          </w:p>
        </w:tc>
        <w:tc>
          <w:tcPr>
            <w:tcW w:w="19" w:type="pct"/>
            <w:shd w:val="clear" w:color="auto" w:fill="auto"/>
          </w:tcPr>
          <w:p w14:paraId="7DD0179B" w14:textId="77777777" w:rsidR="00C1563E" w:rsidRDefault="00C1563E">
            <w:pPr>
              <w:rPr>
                <w:rFonts w:ascii="宋体"/>
              </w:rPr>
            </w:pPr>
          </w:p>
        </w:tc>
        <w:tc>
          <w:tcPr>
            <w:tcW w:w="5" w:type="pct"/>
            <w:shd w:val="clear" w:color="auto" w:fill="auto"/>
          </w:tcPr>
          <w:p w14:paraId="7DD0179C" w14:textId="77777777" w:rsidR="00C1563E" w:rsidRDefault="00C1563E">
            <w:pPr>
              <w:rPr>
                <w:rFonts w:ascii="宋体"/>
              </w:rPr>
            </w:pPr>
          </w:p>
        </w:tc>
        <w:tc>
          <w:tcPr>
            <w:tcW w:w="50" w:type="pct"/>
            <w:shd w:val="clear" w:color="auto" w:fill="auto"/>
          </w:tcPr>
          <w:p w14:paraId="7DD0179D" w14:textId="77777777" w:rsidR="00C1563E" w:rsidRDefault="00C1563E">
            <w:pPr>
              <w:rPr>
                <w:rFonts w:ascii="宋体"/>
              </w:rPr>
            </w:pPr>
          </w:p>
        </w:tc>
        <w:tc>
          <w:tcPr>
            <w:tcW w:w="917" w:type="pct"/>
            <w:shd w:val="clear" w:color="auto" w:fill="auto"/>
          </w:tcPr>
          <w:p w14:paraId="7DD0179E" w14:textId="77777777" w:rsidR="00C1563E" w:rsidRDefault="00C1563E">
            <w:pPr>
              <w:rPr>
                <w:rFonts w:ascii="宋体"/>
              </w:rPr>
            </w:pPr>
          </w:p>
        </w:tc>
        <w:tc>
          <w:tcPr>
            <w:tcW w:w="5" w:type="pct"/>
            <w:shd w:val="clear" w:color="auto" w:fill="auto"/>
          </w:tcPr>
          <w:p w14:paraId="7DD0179F" w14:textId="77777777" w:rsidR="00C1563E" w:rsidRDefault="00C1563E">
            <w:pPr>
              <w:rPr>
                <w:rFonts w:ascii="宋体"/>
              </w:rPr>
            </w:pPr>
          </w:p>
        </w:tc>
      </w:tr>
      <w:tr w:rsidR="00C1563E" w14:paraId="7DD017A5" w14:textId="77777777">
        <w:tc>
          <w:tcPr>
            <w:tcW w:w="0" w:type="auto"/>
            <w:gridSpan w:val="3"/>
            <w:shd w:val="clear" w:color="auto" w:fill="auto"/>
            <w:tcMar>
              <w:top w:w="0" w:type="dxa"/>
              <w:left w:w="20" w:type="dxa"/>
              <w:bottom w:w="0" w:type="dxa"/>
              <w:right w:w="20" w:type="dxa"/>
            </w:tcMar>
          </w:tcPr>
          <w:p w14:paraId="7DD017A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7A2"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7A3"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7A4"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7A8" w14:textId="77777777">
        <w:tc>
          <w:tcPr>
            <w:tcW w:w="0" w:type="auto"/>
            <w:gridSpan w:val="3"/>
            <w:shd w:val="clear" w:color="auto" w:fill="FFFFFF"/>
            <w:tcMar>
              <w:top w:w="0" w:type="dxa"/>
              <w:left w:w="20" w:type="dxa"/>
              <w:bottom w:w="0" w:type="dxa"/>
              <w:right w:w="20" w:type="dxa"/>
            </w:tcMar>
          </w:tcPr>
          <w:p w14:paraId="7DD017A6" w14:textId="77777777" w:rsidR="00C1563E" w:rsidRDefault="00C1563E">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DD017A7"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7B1" w14:textId="77777777">
        <w:tc>
          <w:tcPr>
            <w:tcW w:w="0" w:type="auto"/>
            <w:gridSpan w:val="3"/>
            <w:shd w:val="clear" w:color="auto" w:fill="CCEEFF"/>
            <w:tcMar>
              <w:top w:w="40" w:type="dxa"/>
              <w:left w:w="20" w:type="dxa"/>
              <w:bottom w:w="40" w:type="dxa"/>
              <w:right w:w="20" w:type="dxa"/>
            </w:tcMar>
            <w:vAlign w:val="bottom"/>
          </w:tcPr>
          <w:p w14:paraId="7DD017A9" w14:textId="77777777" w:rsidR="00C1563E" w:rsidRDefault="000B648B">
            <w:pPr>
              <w:textAlignment w:val="bottom"/>
            </w:pPr>
            <w:r>
              <w:rPr>
                <w:rFonts w:ascii="Times New Roman" w:eastAsia="宋体" w:hAnsi="Times New Roman"/>
                <w:color w:val="000000"/>
                <w:sz w:val="20"/>
                <w:szCs w:val="20"/>
              </w:rPr>
              <w:t>Plan assets at fair value (a)</w:t>
            </w:r>
          </w:p>
        </w:tc>
        <w:tc>
          <w:tcPr>
            <w:tcW w:w="0" w:type="auto"/>
            <w:shd w:val="clear" w:color="auto" w:fill="CCEEFF"/>
            <w:tcMar>
              <w:top w:w="40" w:type="dxa"/>
              <w:left w:w="20" w:type="dxa"/>
              <w:bottom w:w="40" w:type="dxa"/>
              <w:right w:w="0" w:type="dxa"/>
            </w:tcMar>
            <w:vAlign w:val="bottom"/>
          </w:tcPr>
          <w:p w14:paraId="7DD017A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7AB" w14:textId="77777777" w:rsidR="00C1563E" w:rsidRDefault="000B648B">
            <w:pPr>
              <w:jc w:val="right"/>
              <w:textAlignment w:val="bottom"/>
            </w:pPr>
            <w:r>
              <w:rPr>
                <w:rFonts w:ascii="Times New Roman" w:eastAsia="宋体" w:hAnsi="Times New Roman"/>
                <w:color w:val="000000"/>
                <w:sz w:val="20"/>
                <w:szCs w:val="20"/>
              </w:rPr>
              <w:t>572 </w:t>
            </w:r>
          </w:p>
        </w:tc>
        <w:tc>
          <w:tcPr>
            <w:tcW w:w="0" w:type="auto"/>
            <w:shd w:val="clear" w:color="auto" w:fill="CCEEFF"/>
            <w:tcMar>
              <w:top w:w="40" w:type="dxa"/>
              <w:left w:w="0" w:type="dxa"/>
              <w:bottom w:w="40" w:type="dxa"/>
              <w:right w:w="20" w:type="dxa"/>
            </w:tcMar>
            <w:vAlign w:val="bottom"/>
          </w:tcPr>
          <w:p w14:paraId="7DD017A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A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7A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7AF" w14:textId="77777777" w:rsidR="00C1563E" w:rsidRDefault="000B648B">
            <w:pPr>
              <w:jc w:val="right"/>
              <w:textAlignment w:val="bottom"/>
            </w:pPr>
            <w:r>
              <w:rPr>
                <w:rFonts w:ascii="Times New Roman" w:eastAsia="宋体" w:hAnsi="Times New Roman"/>
                <w:color w:val="000000"/>
                <w:sz w:val="20"/>
                <w:szCs w:val="20"/>
              </w:rPr>
              <w:t>547 </w:t>
            </w:r>
          </w:p>
        </w:tc>
        <w:tc>
          <w:tcPr>
            <w:tcW w:w="0" w:type="auto"/>
            <w:shd w:val="clear" w:color="auto" w:fill="CCEEFF"/>
            <w:tcMar>
              <w:top w:w="40" w:type="dxa"/>
              <w:left w:w="0" w:type="dxa"/>
              <w:bottom w:w="40" w:type="dxa"/>
              <w:right w:w="20" w:type="dxa"/>
            </w:tcMar>
            <w:vAlign w:val="bottom"/>
          </w:tcPr>
          <w:p w14:paraId="7DD017B0" w14:textId="77777777" w:rsidR="00C1563E" w:rsidRDefault="00C1563E">
            <w:pPr>
              <w:jc w:val="right"/>
              <w:rPr>
                <w:rFonts w:ascii="宋体"/>
              </w:rPr>
            </w:pPr>
          </w:p>
        </w:tc>
      </w:tr>
      <w:tr w:rsidR="00C1563E" w14:paraId="7DD017B8" w14:textId="77777777">
        <w:tc>
          <w:tcPr>
            <w:tcW w:w="0" w:type="auto"/>
            <w:gridSpan w:val="3"/>
            <w:shd w:val="clear" w:color="auto" w:fill="FFFFFF"/>
            <w:tcMar>
              <w:top w:w="40" w:type="dxa"/>
              <w:left w:w="20" w:type="dxa"/>
              <w:bottom w:w="40" w:type="dxa"/>
              <w:right w:w="20" w:type="dxa"/>
            </w:tcMar>
            <w:vAlign w:val="bottom"/>
          </w:tcPr>
          <w:p w14:paraId="7DD017B2" w14:textId="77777777" w:rsidR="00C1563E" w:rsidRDefault="000B648B">
            <w:pPr>
              <w:textAlignment w:val="bottom"/>
            </w:pPr>
            <w:r>
              <w:rPr>
                <w:rFonts w:ascii="Times New Roman" w:eastAsia="宋体" w:hAnsi="Times New Roman"/>
                <w:color w:val="000000"/>
                <w:sz w:val="20"/>
                <w:szCs w:val="20"/>
              </w:rPr>
              <w:t>Benefit obligations</w:t>
            </w:r>
          </w:p>
        </w:tc>
        <w:tc>
          <w:tcPr>
            <w:tcW w:w="0" w:type="auto"/>
            <w:gridSpan w:val="2"/>
            <w:shd w:val="clear" w:color="auto" w:fill="FFFFFF"/>
            <w:tcMar>
              <w:top w:w="40" w:type="dxa"/>
              <w:left w:w="20" w:type="dxa"/>
              <w:bottom w:w="40" w:type="dxa"/>
              <w:right w:w="0" w:type="dxa"/>
            </w:tcMar>
            <w:vAlign w:val="bottom"/>
          </w:tcPr>
          <w:p w14:paraId="7DD017B3" w14:textId="77777777" w:rsidR="00C1563E" w:rsidRDefault="000B648B">
            <w:pPr>
              <w:jc w:val="right"/>
              <w:textAlignment w:val="bottom"/>
            </w:pPr>
            <w:r>
              <w:rPr>
                <w:rFonts w:ascii="Times New Roman" w:eastAsia="宋体" w:hAnsi="Times New Roman"/>
                <w:color w:val="000000"/>
                <w:sz w:val="20"/>
                <w:szCs w:val="20"/>
              </w:rPr>
              <w:t>(635)</w:t>
            </w:r>
          </w:p>
        </w:tc>
        <w:tc>
          <w:tcPr>
            <w:tcW w:w="0" w:type="auto"/>
            <w:shd w:val="clear" w:color="auto" w:fill="FFFFFF"/>
            <w:tcMar>
              <w:top w:w="40" w:type="dxa"/>
              <w:left w:w="0" w:type="dxa"/>
              <w:bottom w:w="40" w:type="dxa"/>
              <w:right w:w="20" w:type="dxa"/>
            </w:tcMar>
            <w:vAlign w:val="bottom"/>
          </w:tcPr>
          <w:p w14:paraId="7DD017B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7B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7B6" w14:textId="77777777" w:rsidR="00C1563E" w:rsidRDefault="000B648B">
            <w:pPr>
              <w:jc w:val="right"/>
              <w:textAlignment w:val="bottom"/>
            </w:pPr>
            <w:r>
              <w:rPr>
                <w:rFonts w:ascii="Times New Roman" w:eastAsia="宋体" w:hAnsi="Times New Roman"/>
                <w:color w:val="000000"/>
                <w:sz w:val="20"/>
                <w:szCs w:val="20"/>
              </w:rPr>
              <w:t>(588)</w:t>
            </w:r>
          </w:p>
        </w:tc>
        <w:tc>
          <w:tcPr>
            <w:tcW w:w="0" w:type="auto"/>
            <w:shd w:val="clear" w:color="auto" w:fill="FFFFFF"/>
            <w:tcMar>
              <w:top w:w="40" w:type="dxa"/>
              <w:left w:w="0" w:type="dxa"/>
              <w:bottom w:w="40" w:type="dxa"/>
              <w:right w:w="20" w:type="dxa"/>
            </w:tcMar>
            <w:vAlign w:val="bottom"/>
          </w:tcPr>
          <w:p w14:paraId="7DD017B7" w14:textId="77777777" w:rsidR="00C1563E" w:rsidRDefault="00C1563E">
            <w:pPr>
              <w:jc w:val="right"/>
              <w:rPr>
                <w:rFonts w:ascii="宋体"/>
              </w:rPr>
            </w:pPr>
          </w:p>
        </w:tc>
      </w:tr>
      <w:tr w:rsidR="00C1563E" w14:paraId="7DD017C1" w14:textId="77777777">
        <w:tc>
          <w:tcPr>
            <w:tcW w:w="0" w:type="auto"/>
            <w:gridSpan w:val="3"/>
            <w:shd w:val="clear" w:color="auto" w:fill="CCEEFF"/>
            <w:tcMar>
              <w:top w:w="40" w:type="dxa"/>
              <w:left w:w="245" w:type="dxa"/>
              <w:bottom w:w="40" w:type="dxa"/>
              <w:right w:w="20" w:type="dxa"/>
            </w:tcMar>
            <w:vAlign w:val="bottom"/>
          </w:tcPr>
          <w:p w14:paraId="7DD017B9" w14:textId="77777777" w:rsidR="00C1563E" w:rsidRDefault="000B648B">
            <w:pPr>
              <w:textAlignment w:val="bottom"/>
            </w:pPr>
            <w:r>
              <w:rPr>
                <w:rFonts w:ascii="Times New Roman" w:eastAsia="宋体" w:hAnsi="Times New Roman"/>
                <w:color w:val="000000"/>
                <w:sz w:val="20"/>
                <w:szCs w:val="20"/>
              </w:rPr>
              <w:t>Underfunded position (b)</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7B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7BB" w14:textId="77777777" w:rsidR="00C1563E" w:rsidRDefault="000B648B">
            <w:pPr>
              <w:jc w:val="right"/>
              <w:textAlignment w:val="bottom"/>
            </w:pPr>
            <w:r>
              <w:rPr>
                <w:rFonts w:ascii="Times New Roman" w:eastAsia="宋体" w:hAnsi="Times New Roman"/>
                <w:color w:val="000000"/>
                <w:sz w:val="20"/>
                <w:szCs w:val="20"/>
              </w:rPr>
              <w:t>(63)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7B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7BD"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7B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7BF" w14:textId="77777777" w:rsidR="00C1563E" w:rsidRDefault="000B648B">
            <w:pPr>
              <w:jc w:val="right"/>
              <w:textAlignment w:val="bottom"/>
            </w:pPr>
            <w:r>
              <w:rPr>
                <w:rFonts w:ascii="Times New Roman" w:eastAsia="宋体" w:hAnsi="Times New Roman"/>
                <w:color w:val="000000"/>
                <w:sz w:val="20"/>
                <w:szCs w:val="20"/>
              </w:rPr>
              <w:t>(41)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7C0" w14:textId="77777777" w:rsidR="00C1563E" w:rsidRDefault="00C1563E">
            <w:pPr>
              <w:jc w:val="right"/>
              <w:rPr>
                <w:rFonts w:ascii="宋体"/>
              </w:rPr>
            </w:pPr>
          </w:p>
        </w:tc>
      </w:tr>
    </w:tbl>
    <w:p w14:paraId="7DD017C2" w14:textId="77777777" w:rsidR="00C1563E" w:rsidRDefault="000B648B">
      <w:r>
        <w:rPr>
          <w:rFonts w:ascii="Times New Roman" w:eastAsia="宋体" w:hAnsi="Times New Roman"/>
          <w:color w:val="000000"/>
          <w:sz w:val="20"/>
          <w:szCs w:val="20"/>
        </w:rPr>
        <w:t>____________________</w:t>
      </w:r>
    </w:p>
    <w:p w14:paraId="7DD017C3" w14:textId="77777777" w:rsidR="00C1563E" w:rsidRDefault="000B648B">
      <w:pPr>
        <w:ind w:hanging="360"/>
      </w:pPr>
      <w:r>
        <w:rPr>
          <w:rFonts w:ascii="Times New Roman" w:eastAsia="宋体" w:hAnsi="Times New Roman"/>
          <w:color w:val="000000"/>
          <w:sz w:val="20"/>
          <w:szCs w:val="20"/>
        </w:rPr>
        <w:t xml:space="preserve">(a)    Plan assets are managed by outside </w:t>
      </w:r>
      <w:r>
        <w:rPr>
          <w:rFonts w:ascii="Times New Roman" w:eastAsia="宋体" w:hAnsi="Times New Roman"/>
          <w:color w:val="000000"/>
          <w:sz w:val="20"/>
          <w:szCs w:val="20"/>
        </w:rPr>
        <w:t>investment managers. The Company’s investment strategy with respect to plan assets is to achieve a long-term growth of capital, consistent with an appropriate level of risk. Assets are recognized at fair value and are primarily classified within Level 2 of</w:t>
      </w:r>
      <w:r>
        <w:rPr>
          <w:rFonts w:ascii="Times New Roman" w:eastAsia="宋体" w:hAnsi="Times New Roman"/>
          <w:color w:val="000000"/>
          <w:sz w:val="20"/>
          <w:szCs w:val="20"/>
        </w:rPr>
        <w:t xml:space="preserve"> the fair value hierarchy.</w:t>
      </w:r>
    </w:p>
    <w:p w14:paraId="7DD017C4" w14:textId="77777777" w:rsidR="00C1563E" w:rsidRDefault="000B648B">
      <w:pPr>
        <w:ind w:hanging="360"/>
      </w:pPr>
      <w:r>
        <w:rPr>
          <w:rFonts w:ascii="Times New Roman" w:eastAsia="宋体" w:hAnsi="Times New Roman"/>
          <w:color w:val="000000"/>
          <w:sz w:val="20"/>
          <w:szCs w:val="20"/>
        </w:rPr>
        <w:t xml:space="preserve">(b)    The underfunded position of the U.S. pension plan is recognized in other non-current liabilities in the Consolidated Statements of Financial Position. </w:t>
      </w:r>
    </w:p>
    <w:p w14:paraId="7DD017C5" w14:textId="77777777" w:rsidR="00C1563E" w:rsidRDefault="00C1563E"/>
    <w:p w14:paraId="7DD017C6" w14:textId="77777777" w:rsidR="00C1563E" w:rsidRDefault="000B648B">
      <w:r>
        <w:rPr>
          <w:rFonts w:ascii="Times New Roman" w:eastAsia="宋体" w:hAnsi="Times New Roman"/>
          <w:color w:val="000000"/>
          <w:sz w:val="20"/>
          <w:szCs w:val="20"/>
        </w:rPr>
        <w:t xml:space="preserve">As of January 29, 2021, future benefit payments for the U.S. pension </w:t>
      </w:r>
      <w:r>
        <w:rPr>
          <w:rFonts w:ascii="Times New Roman" w:eastAsia="宋体" w:hAnsi="Times New Roman"/>
          <w:color w:val="000000"/>
          <w:sz w:val="20"/>
          <w:szCs w:val="20"/>
        </w:rPr>
        <w:t>plan are expected to be paid as follows: $33 million in Fiscal 2022; $35 million in Fiscal 2023; $36 million in Fiscal 2024; $37 million in Fiscal 2025; $37 million in Fiscal 2026; and $185 million thereafter.</w:t>
      </w:r>
    </w:p>
    <w:p w14:paraId="7DD017C7" w14:textId="77777777" w:rsidR="00C1563E" w:rsidRDefault="00C1563E"/>
    <w:p w14:paraId="7DD017C8" w14:textId="77777777" w:rsidR="00C1563E" w:rsidRDefault="000B648B">
      <w:r>
        <w:rPr>
          <w:rFonts w:ascii="Times New Roman" w:eastAsia="宋体" w:hAnsi="Times New Roman"/>
          <w:i/>
          <w:iCs/>
          <w:color w:val="000000"/>
          <w:sz w:val="20"/>
          <w:szCs w:val="20"/>
          <w:u w:val="single"/>
        </w:rPr>
        <w:t>International Pension Plans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Company als</w:t>
      </w:r>
      <w:r>
        <w:rPr>
          <w:rFonts w:ascii="Times New Roman" w:eastAsia="宋体" w:hAnsi="Times New Roman"/>
          <w:color w:val="000000"/>
          <w:sz w:val="20"/>
          <w:szCs w:val="20"/>
        </w:rPr>
        <w:t>o sponsors retirement plans outside of the United States which qualify as defined benefit plans. As of January 29, 2021, the aggregate fair value of plan assets for the international pension plans was $0.2 billion, the aggregate benefit obligations were $0</w:t>
      </w:r>
      <w:r>
        <w:rPr>
          <w:rFonts w:ascii="Times New Roman" w:eastAsia="宋体" w:hAnsi="Times New Roman"/>
          <w:color w:val="000000"/>
          <w:sz w:val="20"/>
          <w:szCs w:val="20"/>
        </w:rPr>
        <w:t>.5 billion, and the aggregate net underfunded position was $0.3 billion. As of January 31, 2020, the aggregate fair value of plan assets for the international pension plans was $0.2 billion, the aggregate benefit obligations were $0.4 billion, and the aggr</w:t>
      </w:r>
      <w:r>
        <w:rPr>
          <w:rFonts w:ascii="Times New Roman" w:eastAsia="宋体" w:hAnsi="Times New Roman"/>
          <w:color w:val="000000"/>
          <w:sz w:val="20"/>
          <w:szCs w:val="20"/>
        </w:rPr>
        <w:t>egate net underfunded position was $0.2 billion. The underfunded position of the international pension plans is presented within other non-current liabilities on the Consolidated Statements of Financial Position as of the respective dates.</w:t>
      </w:r>
    </w:p>
    <w:p w14:paraId="7DD017C9" w14:textId="77777777" w:rsidR="00C1563E" w:rsidRDefault="00C1563E"/>
    <w:p w14:paraId="7DD017CA" w14:textId="77777777" w:rsidR="00C1563E" w:rsidRDefault="00C1563E">
      <w:pPr>
        <w:jc w:val="center"/>
      </w:pPr>
    </w:p>
    <w:p w14:paraId="7DD017CB" w14:textId="77777777" w:rsidR="00C1563E" w:rsidRDefault="000B648B">
      <w:pPr>
        <w:jc w:val="center"/>
      </w:pPr>
      <w:r>
        <w:rPr>
          <w:rFonts w:ascii="Times New Roman" w:eastAsia="宋体" w:hAnsi="Times New Roman"/>
          <w:color w:val="000000"/>
          <w:sz w:val="20"/>
          <w:szCs w:val="20"/>
        </w:rPr>
        <w:t>155</w:t>
      </w:r>
    </w:p>
    <w:p w14:paraId="7DD017CC" w14:textId="77777777" w:rsidR="00C1563E" w:rsidRDefault="00C1563E">
      <w:pPr>
        <w:jc w:val="center"/>
      </w:pPr>
    </w:p>
    <w:p w14:paraId="7DD017CD" w14:textId="77777777" w:rsidR="00C1563E" w:rsidRDefault="000B648B">
      <w:r>
        <w:pict w14:anchorId="7DD02605">
          <v:rect id="_x0000_i1179" style="width:415.3pt;height:1.5pt" o:hralign="center" o:hrstd="t" o:hr="t" fillcolor="#a0a0a0" stroked="f"/>
        </w:pict>
      </w:r>
    </w:p>
    <w:p w14:paraId="7DD017CE" w14:textId="77777777" w:rsidR="00C1563E" w:rsidRDefault="000B648B">
      <w:hyperlink r:id="rId338" w:anchor="i418e32e4a35149ffbf7d3a25d66881b8_10" w:history="1">
        <w:r>
          <w:rPr>
            <w:rStyle w:val="a5"/>
            <w:rFonts w:ascii="Times New Roman" w:eastAsia="宋体" w:hAnsi="Times New Roman"/>
            <w:sz w:val="20"/>
            <w:szCs w:val="20"/>
          </w:rPr>
          <w:t>Table of Contents</w:t>
        </w:r>
      </w:hyperlink>
    </w:p>
    <w:p w14:paraId="7DD017CF" w14:textId="77777777" w:rsidR="00C1563E" w:rsidRDefault="000B648B">
      <w:r>
        <w:rPr>
          <w:rFonts w:ascii="Times New Roman" w:eastAsia="宋体" w:hAnsi="Times New Roman"/>
          <w:b/>
          <w:bCs/>
          <w:color w:val="000000"/>
          <w:sz w:val="20"/>
          <w:szCs w:val="20"/>
        </w:rPr>
        <w:t>Defined Contribution Retirement Plans</w:t>
      </w:r>
    </w:p>
    <w:p w14:paraId="7DD017D0" w14:textId="77777777" w:rsidR="00C1563E" w:rsidRDefault="00C1563E"/>
    <w:p w14:paraId="7DD017D1" w14:textId="77777777" w:rsidR="00C1563E" w:rsidRDefault="000B648B">
      <w:r>
        <w:rPr>
          <w:rFonts w:ascii="Times New Roman" w:eastAsia="宋体" w:hAnsi="Times New Roman"/>
          <w:i/>
          <w:iCs/>
          <w:color w:val="000000"/>
          <w:sz w:val="20"/>
          <w:szCs w:val="20"/>
        </w:rPr>
        <w:t xml:space="preserve">Dell 401(k) Plan </w:t>
      </w:r>
      <w:r>
        <w:rPr>
          <w:rFonts w:ascii="Times New Roman" w:eastAsia="宋体" w:hAnsi="Times New Roman"/>
          <w:color w:val="000000"/>
          <w:sz w:val="20"/>
          <w:szCs w:val="20"/>
        </w:rPr>
        <w:t xml:space="preserve">— The Company has a defined </w:t>
      </w:r>
      <w:r>
        <w:rPr>
          <w:rFonts w:ascii="Times New Roman" w:eastAsia="宋体" w:hAnsi="Times New Roman"/>
          <w:color w:val="000000"/>
          <w:sz w:val="20"/>
          <w:szCs w:val="20"/>
        </w:rPr>
        <w:t>contribution retirement plan (the “Dell 401(k) Plan”) that complies with Section 401(k) of the Internal Revenue Code. Only U.S. employees are eligible to participate in the Dell 401(k) plan. Historically through May 31, 2020, the Company matched 100% of ea</w:t>
      </w:r>
      <w:r>
        <w:rPr>
          <w:rFonts w:ascii="Times New Roman" w:eastAsia="宋体" w:hAnsi="Times New Roman"/>
          <w:color w:val="000000"/>
          <w:sz w:val="20"/>
          <w:szCs w:val="20"/>
        </w:rPr>
        <w:t xml:space="preserve">ch participant’s voluntary contributions (the “Dell 401(k) employer match”), subject to a maximum contribution of 6% of the participant’s eligible compensation, up to an annual limit of $7,500, and participants vest immediately in all contributions to the </w:t>
      </w:r>
      <w:r>
        <w:rPr>
          <w:rFonts w:ascii="Times New Roman" w:eastAsia="宋体" w:hAnsi="Times New Roman"/>
          <w:color w:val="000000"/>
          <w:sz w:val="20"/>
          <w:szCs w:val="20"/>
        </w:rPr>
        <w:t>Dell 401(k) Plan. Effective June 1, 2020, the Company suspended the Dell 401(k) employer match for U.S. employees as a precautionary measure to preserve financial flexibility in light of COVID-19. Effective January 1, 2021, The Dell 401(k) employer match w</w:t>
      </w:r>
      <w:r>
        <w:rPr>
          <w:rFonts w:ascii="Times New Roman" w:eastAsia="宋体" w:hAnsi="Times New Roman"/>
          <w:color w:val="000000"/>
          <w:sz w:val="20"/>
          <w:szCs w:val="20"/>
        </w:rPr>
        <w:t>as reinstated, with no change to the employer match policy or participant eligibility requirements.</w:t>
      </w:r>
    </w:p>
    <w:p w14:paraId="7DD017D2" w14:textId="77777777" w:rsidR="00C1563E" w:rsidRDefault="00C1563E"/>
    <w:p w14:paraId="7DD017D3" w14:textId="77777777" w:rsidR="00C1563E" w:rsidRDefault="000B648B">
      <w:r>
        <w:rPr>
          <w:rFonts w:ascii="Times New Roman" w:eastAsia="宋体" w:hAnsi="Times New Roman"/>
          <w:color w:val="000000"/>
          <w:sz w:val="20"/>
          <w:szCs w:val="20"/>
        </w:rPr>
        <w:t>The Company’s matching contributions as well as participants’ voluntary contributions are invested according to each participant’s elections in the investm</w:t>
      </w:r>
      <w:r>
        <w:rPr>
          <w:rFonts w:ascii="Times New Roman" w:eastAsia="宋体" w:hAnsi="Times New Roman"/>
          <w:color w:val="000000"/>
          <w:sz w:val="20"/>
          <w:szCs w:val="20"/>
        </w:rPr>
        <w:t>ent options provided under the Dell 401(k) Plan. The Company’s contributions during the fiscal years ended January 29, 2021, January 31, 2020, and February 1, 2019 were $154 million, $267 million, and $254 million, respectively. The Company’s contributions</w:t>
      </w:r>
      <w:r>
        <w:rPr>
          <w:rFonts w:ascii="Times New Roman" w:eastAsia="宋体" w:hAnsi="Times New Roman"/>
          <w:color w:val="000000"/>
          <w:sz w:val="20"/>
          <w:szCs w:val="20"/>
        </w:rPr>
        <w:t xml:space="preserve"> decreased during the fiscal year ended January 29, 2021 due to the suspension of the Dell 401(k) employer match between June 1, 2020 and December 31, 2020, as discussed above. </w:t>
      </w:r>
    </w:p>
    <w:p w14:paraId="7DD017D4" w14:textId="77777777" w:rsidR="00C1563E" w:rsidRDefault="00C1563E"/>
    <w:p w14:paraId="7DD017D5" w14:textId="77777777" w:rsidR="00C1563E" w:rsidRDefault="000B648B">
      <w:r>
        <w:rPr>
          <w:rFonts w:ascii="Times New Roman" w:eastAsia="宋体" w:hAnsi="Times New Roman"/>
          <w:color w:val="000000"/>
          <w:sz w:val="20"/>
          <w:szCs w:val="20"/>
        </w:rPr>
        <w:t>VMware, Inc. and Pivotal have defined contribution programs for certain emplo</w:t>
      </w:r>
      <w:r>
        <w:rPr>
          <w:rFonts w:ascii="Times New Roman" w:eastAsia="宋体" w:hAnsi="Times New Roman"/>
          <w:color w:val="000000"/>
          <w:sz w:val="20"/>
          <w:szCs w:val="20"/>
        </w:rPr>
        <w:t>yees that comply with Section 401(k) of the Internal Revenue Code. Pivotal’s defined contribution program was acquired by VMware, Inc. in connection with VMware Inc.’s acquisition of Pivotal on December 30, 2019.</w:t>
      </w:r>
    </w:p>
    <w:p w14:paraId="7DD017D6" w14:textId="77777777" w:rsidR="00C1563E" w:rsidRDefault="00C1563E"/>
    <w:p w14:paraId="7DD017D7" w14:textId="77777777" w:rsidR="00C1563E" w:rsidRDefault="00C1563E">
      <w:pPr>
        <w:jc w:val="center"/>
      </w:pPr>
    </w:p>
    <w:p w14:paraId="7DD017D8" w14:textId="77777777" w:rsidR="00C1563E" w:rsidRDefault="000B648B">
      <w:pPr>
        <w:jc w:val="center"/>
      </w:pPr>
      <w:r>
        <w:rPr>
          <w:rFonts w:ascii="Times New Roman" w:eastAsia="宋体" w:hAnsi="Times New Roman"/>
          <w:color w:val="000000"/>
          <w:sz w:val="20"/>
          <w:szCs w:val="20"/>
        </w:rPr>
        <w:t>156</w:t>
      </w:r>
    </w:p>
    <w:p w14:paraId="7DD017D9" w14:textId="77777777" w:rsidR="00C1563E" w:rsidRDefault="00C1563E">
      <w:pPr>
        <w:jc w:val="center"/>
      </w:pPr>
    </w:p>
    <w:p w14:paraId="7DD017DA" w14:textId="77777777" w:rsidR="00C1563E" w:rsidRDefault="000B648B">
      <w:r>
        <w:pict w14:anchorId="7DD02606">
          <v:rect id="_x0000_i1180" style="width:415.3pt;height:1.5pt" o:hralign="center" o:hrstd="t" o:hr="t" fillcolor="#a0a0a0" stroked="f"/>
        </w:pict>
      </w:r>
    </w:p>
    <w:p w14:paraId="7DD017DB" w14:textId="77777777" w:rsidR="00C1563E" w:rsidRDefault="000B648B">
      <w:hyperlink r:id="rId339" w:anchor="i418e32e4a35149ffbf7d3a25d66881b8_10" w:history="1">
        <w:r>
          <w:rPr>
            <w:rStyle w:val="a5"/>
            <w:rFonts w:ascii="Times New Roman" w:eastAsia="宋体" w:hAnsi="Times New Roman"/>
            <w:sz w:val="20"/>
            <w:szCs w:val="20"/>
          </w:rPr>
          <w:t>Table of Contents</w:t>
        </w:r>
      </w:hyperlink>
    </w:p>
    <w:p w14:paraId="7DD017DC" w14:textId="77777777" w:rsidR="00C1563E" w:rsidRDefault="000B648B">
      <w:r>
        <w:rPr>
          <w:rFonts w:ascii="Times New Roman" w:eastAsia="宋体" w:hAnsi="Times New Roman"/>
          <w:b/>
          <w:bCs/>
          <w:color w:val="000000"/>
          <w:sz w:val="20"/>
          <w:szCs w:val="20"/>
        </w:rPr>
        <w:t xml:space="preserve">NOTE 19 — SEGMENT INFORMATION </w:t>
      </w:r>
    </w:p>
    <w:p w14:paraId="7DD017DD" w14:textId="77777777" w:rsidR="00C1563E" w:rsidRDefault="00C1563E"/>
    <w:p w14:paraId="7DD017DE" w14:textId="77777777" w:rsidR="00C1563E" w:rsidRDefault="000B648B">
      <w:r>
        <w:rPr>
          <w:rFonts w:ascii="Times New Roman" w:eastAsia="宋体" w:hAnsi="Times New Roman"/>
          <w:color w:val="000000"/>
          <w:sz w:val="20"/>
          <w:szCs w:val="20"/>
        </w:rPr>
        <w:t>The Company has three reportable segments that are based on the following business uni</w:t>
      </w:r>
      <w:r>
        <w:rPr>
          <w:rFonts w:ascii="Times New Roman" w:eastAsia="宋体" w:hAnsi="Times New Roman"/>
          <w:color w:val="000000"/>
          <w:sz w:val="20"/>
          <w:szCs w:val="20"/>
        </w:rPr>
        <w:t>ts: Infrastructure Solutions Group (“ISG”); Client Solutions Group (“CSG”); and VMware.</w:t>
      </w:r>
    </w:p>
    <w:p w14:paraId="7DD017DF" w14:textId="77777777" w:rsidR="00C1563E" w:rsidRDefault="00C1563E"/>
    <w:p w14:paraId="7DD017E0" w14:textId="77777777" w:rsidR="00C1563E" w:rsidRDefault="000B648B">
      <w:r>
        <w:rPr>
          <w:rFonts w:ascii="Times New Roman" w:eastAsia="宋体" w:hAnsi="Times New Roman"/>
          <w:color w:val="000000"/>
          <w:sz w:val="20"/>
          <w:szCs w:val="20"/>
        </w:rPr>
        <w:t xml:space="preserve">On December 30, 2019, VMware, Inc. completed its acquisition of Pivotal. Due to the Company’s ownership of a controlling interest in Pivotal, the Company and </w:t>
      </w:r>
      <w:r>
        <w:rPr>
          <w:rFonts w:ascii="Times New Roman" w:eastAsia="宋体" w:hAnsi="Times New Roman"/>
          <w:color w:val="000000"/>
          <w:sz w:val="20"/>
          <w:szCs w:val="20"/>
        </w:rPr>
        <w:t>VMware, Inc. accounted for the Pivotal acquisition as a transaction by entities under common control, and consequently the transaction had no net effect to the Company’s consolidated financial statements. Pivotal now operates as a wholly-owned subsidiary o</w:t>
      </w:r>
      <w:r>
        <w:rPr>
          <w:rFonts w:ascii="Times New Roman" w:eastAsia="宋体" w:hAnsi="Times New Roman"/>
          <w:color w:val="000000"/>
          <w:sz w:val="20"/>
          <w:szCs w:val="20"/>
        </w:rPr>
        <w:t>f VMware, Inc. and Dell Technologies reports Pivotal results within the VMware reportable segment. Previously, Pivotal results were reported within Other businesses. Prior period results have been recast to conform with the current period presentation.</w:t>
      </w:r>
    </w:p>
    <w:p w14:paraId="7DD017E1" w14:textId="77777777" w:rsidR="00C1563E" w:rsidRDefault="00C1563E"/>
    <w:p w14:paraId="7DD017E2" w14:textId="77777777" w:rsidR="00C1563E" w:rsidRDefault="000B648B">
      <w:r>
        <w:rPr>
          <w:rFonts w:ascii="Times New Roman" w:eastAsia="宋体" w:hAnsi="Times New Roman"/>
          <w:color w:val="000000"/>
          <w:sz w:val="20"/>
          <w:szCs w:val="20"/>
        </w:rPr>
        <w:t>IS</w:t>
      </w:r>
      <w:r>
        <w:rPr>
          <w:rFonts w:ascii="Times New Roman" w:eastAsia="宋体" w:hAnsi="Times New Roman"/>
          <w:color w:val="000000"/>
          <w:sz w:val="20"/>
          <w:szCs w:val="20"/>
        </w:rPr>
        <w:t>G enables the digital transformation of the Company’s customers through its trusted multi-cloud and big data solutions, which are built upon a modern data center infrastructure. The ISG comprehensive portfolio of advanced storage solutions includes traditi</w:t>
      </w:r>
      <w:r>
        <w:rPr>
          <w:rFonts w:ascii="Times New Roman" w:eastAsia="宋体" w:hAnsi="Times New Roman"/>
          <w:color w:val="000000"/>
          <w:sz w:val="20"/>
          <w:szCs w:val="20"/>
        </w:rPr>
        <w:t>onal storage solutions as well as next-generation storage solutions (such as all-flash arrays, scale-out file, object platforms, and software-defined solutions), while the Company’s server portfolio includes high-performance rack, blade, tower, and hypersc</w:t>
      </w:r>
      <w:r>
        <w:rPr>
          <w:rFonts w:ascii="Times New Roman" w:eastAsia="宋体" w:hAnsi="Times New Roman"/>
          <w:color w:val="000000"/>
          <w:sz w:val="20"/>
          <w:szCs w:val="20"/>
        </w:rPr>
        <w:t>ale servers. The ISG networking portfolio helps business customers transform and modernize their infrastructure, mobilize and enrich end-user experiences, and accelerate business applications and processes. ISG also offers attached software, peripherals, a</w:t>
      </w:r>
      <w:r>
        <w:rPr>
          <w:rFonts w:ascii="Times New Roman" w:eastAsia="宋体" w:hAnsi="Times New Roman"/>
          <w:color w:val="000000"/>
          <w:sz w:val="20"/>
          <w:szCs w:val="20"/>
        </w:rPr>
        <w:t>nd services, including support and deployment, configuration, and extended warranty services.</w:t>
      </w:r>
    </w:p>
    <w:p w14:paraId="7DD017E3" w14:textId="77777777" w:rsidR="00C1563E" w:rsidRDefault="00C1563E"/>
    <w:p w14:paraId="7DD017E4" w14:textId="77777777" w:rsidR="00C1563E" w:rsidRDefault="000B648B">
      <w:r>
        <w:rPr>
          <w:rFonts w:ascii="Times New Roman" w:eastAsia="宋体" w:hAnsi="Times New Roman"/>
          <w:color w:val="000000"/>
          <w:sz w:val="20"/>
          <w:szCs w:val="20"/>
        </w:rPr>
        <w:t>CSG includes sales to commercial and consumer customers of branded hardware (such as desktops, workstations, and notebooks) and branded peripherals (such as disp</w:t>
      </w:r>
      <w:r>
        <w:rPr>
          <w:rFonts w:ascii="Times New Roman" w:eastAsia="宋体" w:hAnsi="Times New Roman"/>
          <w:color w:val="000000"/>
          <w:sz w:val="20"/>
          <w:szCs w:val="20"/>
        </w:rPr>
        <w:t>lays and projectors), as well as services and third-party software and peripherals. CSG also offers attached software, peripherals, and services, including support and deployment, configuration, and extended warranty services.</w:t>
      </w:r>
    </w:p>
    <w:p w14:paraId="7DD017E5" w14:textId="77777777" w:rsidR="00C1563E" w:rsidRDefault="00C1563E"/>
    <w:p w14:paraId="7DD017E6" w14:textId="77777777" w:rsidR="00C1563E" w:rsidRDefault="000B648B">
      <w:r>
        <w:rPr>
          <w:rFonts w:ascii="Times New Roman" w:eastAsia="宋体" w:hAnsi="Times New Roman"/>
          <w:color w:val="000000"/>
          <w:sz w:val="20"/>
          <w:szCs w:val="20"/>
        </w:rPr>
        <w:t xml:space="preserve">VMware works with customers </w:t>
      </w:r>
      <w:r>
        <w:rPr>
          <w:rFonts w:ascii="Times New Roman" w:eastAsia="宋体" w:hAnsi="Times New Roman"/>
          <w:color w:val="000000"/>
          <w:sz w:val="20"/>
          <w:szCs w:val="20"/>
        </w:rPr>
        <w:t>in the areas of hybrid and multi-cloud, modern applications, networking, security, and digital workspaces, helping customers manage their IT resources across private clouds and complex multi-cloud, multi-device environments. VMware enables its customers to</w:t>
      </w:r>
      <w:r>
        <w:rPr>
          <w:rFonts w:ascii="Times New Roman" w:eastAsia="宋体" w:hAnsi="Times New Roman"/>
          <w:color w:val="000000"/>
          <w:sz w:val="20"/>
          <w:szCs w:val="20"/>
        </w:rPr>
        <w:t xml:space="preserve"> digitally transform their operations as they ready their applications, infrastructure, and employees for constantly evolving business needs. </w:t>
      </w:r>
    </w:p>
    <w:p w14:paraId="7DD017E7" w14:textId="77777777" w:rsidR="00C1563E" w:rsidRDefault="00C1563E"/>
    <w:p w14:paraId="7DD017E8" w14:textId="77777777" w:rsidR="00C1563E" w:rsidRDefault="000B648B">
      <w:r>
        <w:rPr>
          <w:rFonts w:ascii="Times New Roman" w:eastAsia="宋体" w:hAnsi="Times New Roman"/>
          <w:color w:val="000000"/>
          <w:sz w:val="20"/>
          <w:szCs w:val="20"/>
        </w:rPr>
        <w:t>The reportable segments disclosed herein are based on information reviewed by the Company’s management to evalua</w:t>
      </w:r>
      <w:r>
        <w:rPr>
          <w:rFonts w:ascii="Times New Roman" w:eastAsia="宋体" w:hAnsi="Times New Roman"/>
          <w:color w:val="000000"/>
          <w:sz w:val="20"/>
          <w:szCs w:val="20"/>
        </w:rPr>
        <w:t xml:space="preserve">te the business segment results. The Company’s measure of segment revenue and segment operating income for management reporting purposes excludes operating results of Other businesses, unallocated corporate transactions, the impact of purchase accounting, </w:t>
      </w:r>
      <w:r>
        <w:rPr>
          <w:rFonts w:ascii="Times New Roman" w:eastAsia="宋体" w:hAnsi="Times New Roman"/>
          <w:color w:val="000000"/>
          <w:sz w:val="20"/>
          <w:szCs w:val="20"/>
        </w:rPr>
        <w:t>amortization of intangible assets, transaction-related expenses, stock-based compensation expense, and other corporate expenses, as applicable. The Company does not allocate assets to the above reportable segments for internal reporting purposes.</w:t>
      </w:r>
    </w:p>
    <w:p w14:paraId="7DD017E9" w14:textId="77777777" w:rsidR="00C1563E" w:rsidRDefault="00C1563E"/>
    <w:p w14:paraId="7DD017EA" w14:textId="77777777" w:rsidR="00C1563E" w:rsidRDefault="00C1563E">
      <w:pPr>
        <w:jc w:val="center"/>
      </w:pPr>
    </w:p>
    <w:p w14:paraId="7DD017EB" w14:textId="77777777" w:rsidR="00C1563E" w:rsidRDefault="000B648B">
      <w:pPr>
        <w:jc w:val="center"/>
      </w:pPr>
      <w:r>
        <w:rPr>
          <w:rFonts w:ascii="Times New Roman" w:eastAsia="宋体" w:hAnsi="Times New Roman"/>
          <w:color w:val="000000"/>
          <w:sz w:val="20"/>
          <w:szCs w:val="20"/>
        </w:rPr>
        <w:t>157</w:t>
      </w:r>
    </w:p>
    <w:p w14:paraId="7DD017EC" w14:textId="77777777" w:rsidR="00C1563E" w:rsidRDefault="00C1563E">
      <w:pPr>
        <w:jc w:val="center"/>
      </w:pPr>
    </w:p>
    <w:p w14:paraId="7DD017ED" w14:textId="77777777" w:rsidR="00C1563E" w:rsidRDefault="000B648B">
      <w:r>
        <w:pict w14:anchorId="7DD02607">
          <v:rect id="_x0000_i1181" style="width:415.3pt;height:1.5pt" o:hralign="center" o:hrstd="t" o:hr="t" fillcolor="#a0a0a0" stroked="f"/>
        </w:pict>
      </w:r>
    </w:p>
    <w:p w14:paraId="7DD017EE" w14:textId="77777777" w:rsidR="00C1563E" w:rsidRDefault="000B648B">
      <w:hyperlink r:id="rId340" w:anchor="i418e32e4a35149ffbf7d3a25d66881b8_10" w:history="1">
        <w:r>
          <w:rPr>
            <w:rStyle w:val="a5"/>
            <w:rFonts w:ascii="Times New Roman" w:eastAsia="宋体" w:hAnsi="Times New Roman"/>
            <w:sz w:val="20"/>
            <w:szCs w:val="20"/>
          </w:rPr>
          <w:t>Table of Contents</w:t>
        </w:r>
      </w:hyperlink>
    </w:p>
    <w:p w14:paraId="7DD017EF" w14:textId="77777777" w:rsidR="00C1563E" w:rsidRDefault="000B648B">
      <w:pPr>
        <w:spacing w:after="120"/>
      </w:pPr>
      <w:r>
        <w:rPr>
          <w:rFonts w:ascii="Times New Roman" w:eastAsia="宋体" w:hAnsi="Times New Roman"/>
          <w:color w:val="000000"/>
          <w:sz w:val="20"/>
          <w:szCs w:val="20"/>
        </w:rPr>
        <w:t xml:space="preserve">The following table presents a reconciliation of net revenue by the </w:t>
      </w:r>
      <w:r>
        <w:rPr>
          <w:rFonts w:ascii="Times New Roman" w:eastAsia="宋体" w:hAnsi="Times New Roman"/>
          <w:color w:val="000000"/>
          <w:sz w:val="20"/>
          <w:szCs w:val="20"/>
        </w:rPr>
        <w:t>Company’s reportable segments to the Company’s consolidated net revenue as well as a reconciliation of consolidated segment operating income to the Company’s consolidated operating income (loss)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921"/>
        <w:gridCol w:w="39"/>
        <w:gridCol w:w="36"/>
        <w:gridCol w:w="36"/>
        <w:gridCol w:w="36"/>
        <w:gridCol w:w="36"/>
        <w:gridCol w:w="120"/>
        <w:gridCol w:w="1169"/>
        <w:gridCol w:w="36"/>
        <w:gridCol w:w="36"/>
        <w:gridCol w:w="36"/>
        <w:gridCol w:w="36"/>
        <w:gridCol w:w="120"/>
        <w:gridCol w:w="1169"/>
        <w:gridCol w:w="36"/>
        <w:gridCol w:w="36"/>
        <w:gridCol w:w="36"/>
        <w:gridCol w:w="36"/>
        <w:gridCol w:w="121"/>
        <w:gridCol w:w="1169"/>
        <w:gridCol w:w="36"/>
      </w:tblGrid>
      <w:tr w:rsidR="00C1563E" w14:paraId="7DD01806" w14:textId="77777777">
        <w:tc>
          <w:tcPr>
            <w:tcW w:w="50" w:type="pct"/>
            <w:shd w:val="clear" w:color="auto" w:fill="auto"/>
          </w:tcPr>
          <w:p w14:paraId="7DD017F0" w14:textId="77777777" w:rsidR="00C1563E" w:rsidRDefault="00C1563E">
            <w:pPr>
              <w:rPr>
                <w:rFonts w:ascii="宋体"/>
              </w:rPr>
            </w:pPr>
          </w:p>
        </w:tc>
        <w:tc>
          <w:tcPr>
            <w:tcW w:w="2452" w:type="pct"/>
            <w:shd w:val="clear" w:color="auto" w:fill="auto"/>
          </w:tcPr>
          <w:p w14:paraId="7DD017F1" w14:textId="77777777" w:rsidR="00C1563E" w:rsidRDefault="00C1563E">
            <w:pPr>
              <w:rPr>
                <w:rFonts w:ascii="宋体"/>
              </w:rPr>
            </w:pPr>
          </w:p>
        </w:tc>
        <w:tc>
          <w:tcPr>
            <w:tcW w:w="5" w:type="pct"/>
            <w:shd w:val="clear" w:color="auto" w:fill="auto"/>
          </w:tcPr>
          <w:p w14:paraId="7DD017F2" w14:textId="77777777" w:rsidR="00C1563E" w:rsidRDefault="00C1563E">
            <w:pPr>
              <w:rPr>
                <w:rFonts w:ascii="宋体"/>
              </w:rPr>
            </w:pPr>
          </w:p>
        </w:tc>
        <w:tc>
          <w:tcPr>
            <w:tcW w:w="0" w:type="auto"/>
            <w:shd w:val="clear" w:color="auto" w:fill="auto"/>
          </w:tcPr>
          <w:p w14:paraId="7DD017F3" w14:textId="77777777" w:rsidR="00C1563E" w:rsidRDefault="00C1563E">
            <w:pPr>
              <w:rPr>
                <w:rFonts w:ascii="宋体"/>
                <w:vanish/>
              </w:rPr>
            </w:pPr>
          </w:p>
        </w:tc>
        <w:tc>
          <w:tcPr>
            <w:tcW w:w="0" w:type="auto"/>
            <w:shd w:val="clear" w:color="auto" w:fill="auto"/>
          </w:tcPr>
          <w:p w14:paraId="7DD017F4" w14:textId="77777777" w:rsidR="00C1563E" w:rsidRDefault="00C1563E">
            <w:pPr>
              <w:rPr>
                <w:rFonts w:ascii="宋体"/>
                <w:vanish/>
              </w:rPr>
            </w:pPr>
          </w:p>
        </w:tc>
        <w:tc>
          <w:tcPr>
            <w:tcW w:w="0" w:type="auto"/>
            <w:shd w:val="clear" w:color="auto" w:fill="auto"/>
          </w:tcPr>
          <w:p w14:paraId="7DD017F5" w14:textId="77777777" w:rsidR="00C1563E" w:rsidRDefault="00C1563E">
            <w:pPr>
              <w:rPr>
                <w:rFonts w:ascii="宋体"/>
                <w:vanish/>
              </w:rPr>
            </w:pPr>
          </w:p>
        </w:tc>
        <w:tc>
          <w:tcPr>
            <w:tcW w:w="0" w:type="auto"/>
            <w:shd w:val="clear" w:color="auto" w:fill="auto"/>
          </w:tcPr>
          <w:p w14:paraId="7DD017F6" w14:textId="77777777" w:rsidR="00C1563E" w:rsidRDefault="00C1563E">
            <w:pPr>
              <w:rPr>
                <w:rFonts w:ascii="宋体"/>
                <w:vanish/>
              </w:rPr>
            </w:pPr>
          </w:p>
        </w:tc>
        <w:tc>
          <w:tcPr>
            <w:tcW w:w="50" w:type="pct"/>
            <w:shd w:val="clear" w:color="auto" w:fill="auto"/>
          </w:tcPr>
          <w:p w14:paraId="7DD017F7" w14:textId="77777777" w:rsidR="00C1563E" w:rsidRDefault="00C1563E">
            <w:pPr>
              <w:rPr>
                <w:rFonts w:ascii="宋体"/>
              </w:rPr>
            </w:pPr>
          </w:p>
        </w:tc>
        <w:tc>
          <w:tcPr>
            <w:tcW w:w="756" w:type="pct"/>
            <w:shd w:val="clear" w:color="auto" w:fill="auto"/>
          </w:tcPr>
          <w:p w14:paraId="7DD017F8" w14:textId="77777777" w:rsidR="00C1563E" w:rsidRDefault="00C1563E">
            <w:pPr>
              <w:rPr>
                <w:rFonts w:ascii="宋体"/>
              </w:rPr>
            </w:pPr>
          </w:p>
        </w:tc>
        <w:tc>
          <w:tcPr>
            <w:tcW w:w="5" w:type="pct"/>
            <w:shd w:val="clear" w:color="auto" w:fill="auto"/>
          </w:tcPr>
          <w:p w14:paraId="7DD017F9" w14:textId="77777777" w:rsidR="00C1563E" w:rsidRDefault="00C1563E">
            <w:pPr>
              <w:rPr>
                <w:rFonts w:ascii="宋体"/>
              </w:rPr>
            </w:pPr>
          </w:p>
        </w:tc>
        <w:tc>
          <w:tcPr>
            <w:tcW w:w="5" w:type="pct"/>
            <w:shd w:val="clear" w:color="auto" w:fill="auto"/>
          </w:tcPr>
          <w:p w14:paraId="7DD017FA" w14:textId="77777777" w:rsidR="00C1563E" w:rsidRDefault="00C1563E">
            <w:pPr>
              <w:rPr>
                <w:rFonts w:ascii="宋体"/>
              </w:rPr>
            </w:pPr>
          </w:p>
        </w:tc>
        <w:tc>
          <w:tcPr>
            <w:tcW w:w="19" w:type="pct"/>
            <w:shd w:val="clear" w:color="auto" w:fill="auto"/>
          </w:tcPr>
          <w:p w14:paraId="7DD017FB" w14:textId="77777777" w:rsidR="00C1563E" w:rsidRDefault="00C1563E">
            <w:pPr>
              <w:rPr>
                <w:rFonts w:ascii="宋体"/>
              </w:rPr>
            </w:pPr>
          </w:p>
        </w:tc>
        <w:tc>
          <w:tcPr>
            <w:tcW w:w="5" w:type="pct"/>
            <w:shd w:val="clear" w:color="auto" w:fill="auto"/>
          </w:tcPr>
          <w:p w14:paraId="7DD017FC" w14:textId="77777777" w:rsidR="00C1563E" w:rsidRDefault="00C1563E">
            <w:pPr>
              <w:rPr>
                <w:rFonts w:ascii="宋体"/>
              </w:rPr>
            </w:pPr>
          </w:p>
        </w:tc>
        <w:tc>
          <w:tcPr>
            <w:tcW w:w="50" w:type="pct"/>
            <w:shd w:val="clear" w:color="auto" w:fill="auto"/>
          </w:tcPr>
          <w:p w14:paraId="7DD017FD" w14:textId="77777777" w:rsidR="00C1563E" w:rsidRDefault="00C1563E">
            <w:pPr>
              <w:rPr>
                <w:rFonts w:ascii="宋体"/>
              </w:rPr>
            </w:pPr>
          </w:p>
        </w:tc>
        <w:tc>
          <w:tcPr>
            <w:tcW w:w="756" w:type="pct"/>
            <w:shd w:val="clear" w:color="auto" w:fill="auto"/>
          </w:tcPr>
          <w:p w14:paraId="7DD017FE" w14:textId="77777777" w:rsidR="00C1563E" w:rsidRDefault="00C1563E">
            <w:pPr>
              <w:rPr>
                <w:rFonts w:ascii="宋体"/>
              </w:rPr>
            </w:pPr>
          </w:p>
        </w:tc>
        <w:tc>
          <w:tcPr>
            <w:tcW w:w="5" w:type="pct"/>
            <w:shd w:val="clear" w:color="auto" w:fill="auto"/>
          </w:tcPr>
          <w:p w14:paraId="7DD017FF" w14:textId="77777777" w:rsidR="00C1563E" w:rsidRDefault="00C1563E">
            <w:pPr>
              <w:rPr>
                <w:rFonts w:ascii="宋体"/>
              </w:rPr>
            </w:pPr>
          </w:p>
        </w:tc>
        <w:tc>
          <w:tcPr>
            <w:tcW w:w="5" w:type="pct"/>
            <w:shd w:val="clear" w:color="auto" w:fill="auto"/>
          </w:tcPr>
          <w:p w14:paraId="7DD01800" w14:textId="77777777" w:rsidR="00C1563E" w:rsidRDefault="00C1563E">
            <w:pPr>
              <w:rPr>
                <w:rFonts w:ascii="宋体"/>
              </w:rPr>
            </w:pPr>
          </w:p>
        </w:tc>
        <w:tc>
          <w:tcPr>
            <w:tcW w:w="19" w:type="pct"/>
            <w:shd w:val="clear" w:color="auto" w:fill="auto"/>
          </w:tcPr>
          <w:p w14:paraId="7DD01801" w14:textId="77777777" w:rsidR="00C1563E" w:rsidRDefault="00C1563E">
            <w:pPr>
              <w:rPr>
                <w:rFonts w:ascii="宋体"/>
              </w:rPr>
            </w:pPr>
          </w:p>
        </w:tc>
        <w:tc>
          <w:tcPr>
            <w:tcW w:w="5" w:type="pct"/>
            <w:shd w:val="clear" w:color="auto" w:fill="auto"/>
          </w:tcPr>
          <w:p w14:paraId="7DD01802" w14:textId="77777777" w:rsidR="00C1563E" w:rsidRDefault="00C1563E">
            <w:pPr>
              <w:rPr>
                <w:rFonts w:ascii="宋体"/>
              </w:rPr>
            </w:pPr>
          </w:p>
        </w:tc>
        <w:tc>
          <w:tcPr>
            <w:tcW w:w="50" w:type="pct"/>
            <w:shd w:val="clear" w:color="auto" w:fill="auto"/>
          </w:tcPr>
          <w:p w14:paraId="7DD01803" w14:textId="77777777" w:rsidR="00C1563E" w:rsidRDefault="00C1563E">
            <w:pPr>
              <w:rPr>
                <w:rFonts w:ascii="宋体"/>
              </w:rPr>
            </w:pPr>
          </w:p>
        </w:tc>
        <w:tc>
          <w:tcPr>
            <w:tcW w:w="756" w:type="pct"/>
            <w:shd w:val="clear" w:color="auto" w:fill="auto"/>
          </w:tcPr>
          <w:p w14:paraId="7DD01804" w14:textId="77777777" w:rsidR="00C1563E" w:rsidRDefault="00C1563E">
            <w:pPr>
              <w:rPr>
                <w:rFonts w:ascii="宋体"/>
              </w:rPr>
            </w:pPr>
          </w:p>
        </w:tc>
        <w:tc>
          <w:tcPr>
            <w:tcW w:w="5" w:type="pct"/>
            <w:shd w:val="clear" w:color="auto" w:fill="auto"/>
          </w:tcPr>
          <w:p w14:paraId="7DD01805" w14:textId="77777777" w:rsidR="00C1563E" w:rsidRDefault="00C1563E">
            <w:pPr>
              <w:rPr>
                <w:rFonts w:ascii="宋体"/>
              </w:rPr>
            </w:pPr>
          </w:p>
        </w:tc>
      </w:tr>
      <w:tr w:rsidR="00C1563E" w14:paraId="7DD01811" w14:textId="77777777">
        <w:tc>
          <w:tcPr>
            <w:tcW w:w="0" w:type="auto"/>
            <w:gridSpan w:val="3"/>
            <w:shd w:val="clear" w:color="auto" w:fill="auto"/>
            <w:tcMar>
              <w:top w:w="40" w:type="dxa"/>
              <w:left w:w="20" w:type="dxa"/>
              <w:bottom w:w="40" w:type="dxa"/>
              <w:right w:w="20" w:type="dxa"/>
            </w:tcMar>
            <w:vAlign w:val="bottom"/>
          </w:tcPr>
          <w:p w14:paraId="7DD01807"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808" w14:textId="77777777" w:rsidR="00C1563E" w:rsidRDefault="00C1563E">
            <w:pPr>
              <w:rPr>
                <w:rFonts w:ascii="宋体"/>
                <w:vanish/>
              </w:rPr>
            </w:pPr>
          </w:p>
        </w:tc>
        <w:tc>
          <w:tcPr>
            <w:tcW w:w="0" w:type="auto"/>
            <w:shd w:val="clear" w:color="auto" w:fill="auto"/>
          </w:tcPr>
          <w:p w14:paraId="7DD01809"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D0180A" w14:textId="77777777" w:rsidR="00C1563E" w:rsidRDefault="000B648B">
            <w:pPr>
              <w:jc w:val="center"/>
              <w:textAlignment w:val="bottom"/>
            </w:pPr>
            <w:r>
              <w:rPr>
                <w:rFonts w:ascii="Times New Roman" w:eastAsia="宋体" w:hAnsi="Times New Roman"/>
                <w:b/>
                <w:bCs/>
                <w:color w:val="000000"/>
                <w:sz w:val="20"/>
                <w:szCs w:val="20"/>
              </w:rPr>
              <w:t>Fisca</w:t>
            </w:r>
            <w:r>
              <w:rPr>
                <w:rFonts w:ascii="Times New Roman" w:eastAsia="宋体" w:hAnsi="Times New Roman"/>
                <w:b/>
                <w:bCs/>
                <w:color w:val="000000"/>
                <w:sz w:val="20"/>
                <w:szCs w:val="20"/>
              </w:rPr>
              <w:t>l Year Ended</w:t>
            </w:r>
          </w:p>
        </w:tc>
        <w:tc>
          <w:tcPr>
            <w:tcW w:w="0" w:type="auto"/>
            <w:shd w:val="clear" w:color="auto" w:fill="auto"/>
          </w:tcPr>
          <w:p w14:paraId="7DD0180B" w14:textId="77777777" w:rsidR="00C1563E" w:rsidRDefault="00C1563E">
            <w:pPr>
              <w:rPr>
                <w:rFonts w:ascii="宋体"/>
              </w:rPr>
            </w:pPr>
          </w:p>
        </w:tc>
        <w:tc>
          <w:tcPr>
            <w:tcW w:w="0" w:type="auto"/>
            <w:shd w:val="clear" w:color="auto" w:fill="auto"/>
          </w:tcPr>
          <w:p w14:paraId="7DD0180C" w14:textId="77777777" w:rsidR="00C1563E" w:rsidRDefault="00C1563E">
            <w:pPr>
              <w:rPr>
                <w:rFonts w:ascii="宋体"/>
              </w:rPr>
            </w:pPr>
          </w:p>
        </w:tc>
        <w:tc>
          <w:tcPr>
            <w:tcW w:w="0" w:type="auto"/>
            <w:shd w:val="clear" w:color="auto" w:fill="auto"/>
          </w:tcPr>
          <w:p w14:paraId="7DD0180D" w14:textId="77777777" w:rsidR="00C1563E" w:rsidRDefault="00C1563E">
            <w:pPr>
              <w:rPr>
                <w:rFonts w:ascii="宋体"/>
              </w:rPr>
            </w:pPr>
          </w:p>
        </w:tc>
        <w:tc>
          <w:tcPr>
            <w:tcW w:w="0" w:type="auto"/>
            <w:shd w:val="clear" w:color="auto" w:fill="auto"/>
          </w:tcPr>
          <w:p w14:paraId="7DD0180E" w14:textId="77777777" w:rsidR="00C1563E" w:rsidRDefault="00C1563E">
            <w:pPr>
              <w:rPr>
                <w:rFonts w:ascii="宋体"/>
              </w:rPr>
            </w:pPr>
          </w:p>
        </w:tc>
        <w:tc>
          <w:tcPr>
            <w:tcW w:w="0" w:type="auto"/>
            <w:shd w:val="clear" w:color="auto" w:fill="auto"/>
          </w:tcPr>
          <w:p w14:paraId="7DD0180F" w14:textId="77777777" w:rsidR="00C1563E" w:rsidRDefault="00C1563E">
            <w:pPr>
              <w:rPr>
                <w:rFonts w:ascii="宋体"/>
              </w:rPr>
            </w:pPr>
          </w:p>
        </w:tc>
        <w:tc>
          <w:tcPr>
            <w:tcW w:w="0" w:type="auto"/>
            <w:shd w:val="clear" w:color="auto" w:fill="auto"/>
          </w:tcPr>
          <w:p w14:paraId="7DD01810" w14:textId="77777777" w:rsidR="00C1563E" w:rsidRDefault="00C1563E">
            <w:pPr>
              <w:rPr>
                <w:rFonts w:ascii="宋体"/>
              </w:rPr>
            </w:pPr>
          </w:p>
        </w:tc>
      </w:tr>
      <w:tr w:rsidR="00C1563E" w14:paraId="7DD0181C" w14:textId="77777777">
        <w:tc>
          <w:tcPr>
            <w:tcW w:w="0" w:type="auto"/>
            <w:gridSpan w:val="3"/>
            <w:shd w:val="clear" w:color="auto" w:fill="auto"/>
            <w:tcMar>
              <w:top w:w="40" w:type="dxa"/>
              <w:left w:w="20" w:type="dxa"/>
              <w:bottom w:w="40" w:type="dxa"/>
              <w:right w:w="20" w:type="dxa"/>
            </w:tcMar>
            <w:vAlign w:val="bottom"/>
          </w:tcPr>
          <w:p w14:paraId="7DD01812"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813" w14:textId="77777777" w:rsidR="00C1563E" w:rsidRDefault="00C1563E">
            <w:pPr>
              <w:rPr>
                <w:rFonts w:ascii="宋体"/>
                <w:vanish/>
              </w:rPr>
            </w:pPr>
          </w:p>
        </w:tc>
        <w:tc>
          <w:tcPr>
            <w:tcW w:w="0" w:type="auto"/>
            <w:shd w:val="clear" w:color="auto" w:fill="auto"/>
          </w:tcPr>
          <w:p w14:paraId="7DD01814" w14:textId="77777777" w:rsidR="00C1563E" w:rsidRDefault="00C1563E">
            <w:pPr>
              <w:rPr>
                <w:rFonts w:ascii="宋体"/>
                <w:vanish/>
              </w:rPr>
            </w:pPr>
          </w:p>
        </w:tc>
        <w:tc>
          <w:tcPr>
            <w:tcW w:w="0" w:type="auto"/>
            <w:shd w:val="clear" w:color="auto" w:fill="auto"/>
          </w:tcPr>
          <w:p w14:paraId="7DD01815" w14:textId="77777777" w:rsidR="00C1563E" w:rsidRDefault="00C1563E">
            <w:pPr>
              <w:rPr>
                <w:rFonts w:ascii="宋体"/>
                <w:vanish/>
              </w:rPr>
            </w:pPr>
          </w:p>
        </w:tc>
        <w:tc>
          <w:tcPr>
            <w:tcW w:w="0" w:type="auto"/>
            <w:shd w:val="clear" w:color="auto" w:fill="auto"/>
          </w:tcPr>
          <w:p w14:paraId="7DD01816"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817"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81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819"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81A"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81B"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823" w14:textId="77777777">
        <w:tc>
          <w:tcPr>
            <w:tcW w:w="0" w:type="auto"/>
            <w:gridSpan w:val="3"/>
            <w:shd w:val="clear" w:color="auto" w:fill="auto"/>
            <w:tcMar>
              <w:top w:w="40" w:type="dxa"/>
              <w:left w:w="20" w:type="dxa"/>
              <w:bottom w:w="40" w:type="dxa"/>
              <w:right w:w="20" w:type="dxa"/>
            </w:tcMar>
            <w:vAlign w:val="bottom"/>
          </w:tcPr>
          <w:p w14:paraId="7DD0181D"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81E" w14:textId="77777777" w:rsidR="00C1563E" w:rsidRDefault="00C1563E">
            <w:pPr>
              <w:rPr>
                <w:rFonts w:ascii="宋体"/>
                <w:vanish/>
              </w:rPr>
            </w:pPr>
          </w:p>
        </w:tc>
        <w:tc>
          <w:tcPr>
            <w:tcW w:w="0" w:type="auto"/>
            <w:shd w:val="clear" w:color="auto" w:fill="auto"/>
          </w:tcPr>
          <w:p w14:paraId="7DD0181F" w14:textId="77777777" w:rsidR="00C1563E" w:rsidRDefault="00C1563E">
            <w:pPr>
              <w:rPr>
                <w:rFonts w:ascii="宋体"/>
                <w:vanish/>
              </w:rPr>
            </w:pPr>
          </w:p>
        </w:tc>
        <w:tc>
          <w:tcPr>
            <w:tcW w:w="0" w:type="auto"/>
            <w:shd w:val="clear" w:color="auto" w:fill="auto"/>
          </w:tcPr>
          <w:p w14:paraId="7DD01820" w14:textId="77777777" w:rsidR="00C1563E" w:rsidRDefault="00C1563E">
            <w:pPr>
              <w:rPr>
                <w:rFonts w:ascii="宋体"/>
                <w:vanish/>
              </w:rPr>
            </w:pPr>
          </w:p>
        </w:tc>
        <w:tc>
          <w:tcPr>
            <w:tcW w:w="0" w:type="auto"/>
            <w:shd w:val="clear" w:color="auto" w:fill="auto"/>
          </w:tcPr>
          <w:p w14:paraId="7DD01821"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822"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82E" w14:textId="77777777">
        <w:tc>
          <w:tcPr>
            <w:tcW w:w="0" w:type="auto"/>
            <w:gridSpan w:val="3"/>
            <w:shd w:val="clear" w:color="auto" w:fill="CCEEFF"/>
            <w:tcMar>
              <w:top w:w="40" w:type="dxa"/>
              <w:left w:w="20" w:type="dxa"/>
              <w:bottom w:w="40" w:type="dxa"/>
              <w:right w:w="20" w:type="dxa"/>
            </w:tcMar>
            <w:vAlign w:val="bottom"/>
          </w:tcPr>
          <w:p w14:paraId="7DD01824" w14:textId="77777777" w:rsidR="00C1563E" w:rsidRDefault="000B648B">
            <w:pPr>
              <w:textAlignment w:val="bottom"/>
            </w:pPr>
            <w:r>
              <w:rPr>
                <w:rFonts w:ascii="Times New Roman" w:eastAsia="宋体" w:hAnsi="Times New Roman"/>
                <w:i/>
                <w:iCs/>
                <w:color w:val="000000"/>
                <w:sz w:val="20"/>
                <w:szCs w:val="20"/>
              </w:rPr>
              <w:t>Consolidated net revenue:</w:t>
            </w:r>
          </w:p>
        </w:tc>
        <w:tc>
          <w:tcPr>
            <w:tcW w:w="0" w:type="auto"/>
            <w:shd w:val="clear" w:color="auto" w:fill="auto"/>
          </w:tcPr>
          <w:p w14:paraId="7DD01825" w14:textId="77777777" w:rsidR="00C1563E" w:rsidRDefault="00C1563E">
            <w:pPr>
              <w:rPr>
                <w:rFonts w:ascii="宋体"/>
                <w:vanish/>
              </w:rPr>
            </w:pPr>
          </w:p>
        </w:tc>
        <w:tc>
          <w:tcPr>
            <w:tcW w:w="0" w:type="auto"/>
            <w:shd w:val="clear" w:color="auto" w:fill="auto"/>
          </w:tcPr>
          <w:p w14:paraId="7DD01826" w14:textId="77777777" w:rsidR="00C1563E" w:rsidRDefault="00C1563E">
            <w:pPr>
              <w:rPr>
                <w:rFonts w:ascii="宋体"/>
                <w:vanish/>
              </w:rPr>
            </w:pPr>
          </w:p>
        </w:tc>
        <w:tc>
          <w:tcPr>
            <w:tcW w:w="0" w:type="auto"/>
            <w:shd w:val="clear" w:color="auto" w:fill="auto"/>
          </w:tcPr>
          <w:p w14:paraId="7DD01827" w14:textId="77777777" w:rsidR="00C1563E" w:rsidRDefault="00C1563E">
            <w:pPr>
              <w:rPr>
                <w:rFonts w:ascii="宋体"/>
                <w:vanish/>
              </w:rPr>
            </w:pPr>
          </w:p>
        </w:tc>
        <w:tc>
          <w:tcPr>
            <w:tcW w:w="0" w:type="auto"/>
            <w:shd w:val="clear" w:color="auto" w:fill="auto"/>
          </w:tcPr>
          <w:p w14:paraId="7DD01828" w14:textId="77777777" w:rsidR="00C1563E" w:rsidRDefault="00C1563E">
            <w:pPr>
              <w:rPr>
                <w:rFonts w:ascii="宋体"/>
                <w:vanish/>
              </w:rPr>
            </w:pPr>
          </w:p>
        </w:tc>
        <w:tc>
          <w:tcPr>
            <w:tcW w:w="0" w:type="auto"/>
            <w:gridSpan w:val="3"/>
            <w:shd w:val="clear" w:color="auto" w:fill="CCEEFF"/>
            <w:tcMar>
              <w:top w:w="40" w:type="dxa"/>
              <w:left w:w="20" w:type="dxa"/>
              <w:bottom w:w="40" w:type="dxa"/>
              <w:right w:w="20" w:type="dxa"/>
            </w:tcMar>
            <w:vAlign w:val="bottom"/>
          </w:tcPr>
          <w:p w14:paraId="7DD01829"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182A"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82B"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182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82D" w14:textId="77777777" w:rsidR="00C1563E" w:rsidRDefault="00C1563E">
            <w:pPr>
              <w:rPr>
                <w:rFonts w:ascii="宋体"/>
              </w:rPr>
            </w:pPr>
          </w:p>
        </w:tc>
      </w:tr>
      <w:tr w:rsidR="00C1563E" w14:paraId="7DD0183F" w14:textId="77777777">
        <w:tc>
          <w:tcPr>
            <w:tcW w:w="0" w:type="auto"/>
            <w:gridSpan w:val="3"/>
            <w:shd w:val="clear" w:color="auto" w:fill="FFFFFF"/>
            <w:tcMar>
              <w:top w:w="40" w:type="dxa"/>
              <w:left w:w="20" w:type="dxa"/>
              <w:bottom w:w="40" w:type="dxa"/>
              <w:right w:w="20" w:type="dxa"/>
            </w:tcMar>
            <w:vAlign w:val="bottom"/>
          </w:tcPr>
          <w:p w14:paraId="7DD0182F" w14:textId="77777777" w:rsidR="00C1563E" w:rsidRDefault="000B648B">
            <w:pPr>
              <w:textAlignment w:val="bottom"/>
            </w:pPr>
            <w:r>
              <w:rPr>
                <w:rFonts w:ascii="Times New Roman" w:eastAsia="宋体" w:hAnsi="Times New Roman"/>
                <w:color w:val="000000"/>
                <w:sz w:val="20"/>
                <w:szCs w:val="20"/>
              </w:rPr>
              <w:t>Infrastructure Solutions Group</w:t>
            </w:r>
          </w:p>
        </w:tc>
        <w:tc>
          <w:tcPr>
            <w:tcW w:w="0" w:type="auto"/>
            <w:shd w:val="clear" w:color="auto" w:fill="auto"/>
          </w:tcPr>
          <w:p w14:paraId="7DD01830" w14:textId="77777777" w:rsidR="00C1563E" w:rsidRDefault="00C1563E">
            <w:pPr>
              <w:rPr>
                <w:rFonts w:ascii="宋体"/>
                <w:vanish/>
              </w:rPr>
            </w:pPr>
          </w:p>
        </w:tc>
        <w:tc>
          <w:tcPr>
            <w:tcW w:w="0" w:type="auto"/>
            <w:shd w:val="clear" w:color="auto" w:fill="auto"/>
          </w:tcPr>
          <w:p w14:paraId="7DD01831" w14:textId="77777777" w:rsidR="00C1563E" w:rsidRDefault="00C1563E">
            <w:pPr>
              <w:rPr>
                <w:rFonts w:ascii="宋体"/>
                <w:vanish/>
              </w:rPr>
            </w:pPr>
          </w:p>
        </w:tc>
        <w:tc>
          <w:tcPr>
            <w:tcW w:w="0" w:type="auto"/>
            <w:shd w:val="clear" w:color="auto" w:fill="auto"/>
          </w:tcPr>
          <w:p w14:paraId="7DD01832" w14:textId="77777777" w:rsidR="00C1563E" w:rsidRDefault="00C1563E">
            <w:pPr>
              <w:rPr>
                <w:rFonts w:ascii="宋体"/>
                <w:vanish/>
              </w:rPr>
            </w:pPr>
          </w:p>
        </w:tc>
        <w:tc>
          <w:tcPr>
            <w:tcW w:w="0" w:type="auto"/>
            <w:shd w:val="clear" w:color="auto" w:fill="auto"/>
          </w:tcPr>
          <w:p w14:paraId="7DD01833"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D0183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35" w14:textId="77777777" w:rsidR="00C1563E" w:rsidRDefault="000B648B">
            <w:pPr>
              <w:jc w:val="right"/>
              <w:textAlignment w:val="bottom"/>
            </w:pPr>
            <w:r>
              <w:rPr>
                <w:rFonts w:ascii="Times New Roman" w:eastAsia="宋体" w:hAnsi="Times New Roman"/>
                <w:color w:val="000000"/>
                <w:sz w:val="20"/>
                <w:szCs w:val="20"/>
              </w:rPr>
              <w:t>32,588 </w:t>
            </w:r>
          </w:p>
        </w:tc>
        <w:tc>
          <w:tcPr>
            <w:tcW w:w="0" w:type="auto"/>
            <w:shd w:val="clear" w:color="auto" w:fill="FFFFFF"/>
            <w:tcMar>
              <w:top w:w="40" w:type="dxa"/>
              <w:left w:w="0" w:type="dxa"/>
              <w:bottom w:w="40" w:type="dxa"/>
              <w:right w:w="20" w:type="dxa"/>
            </w:tcMar>
            <w:vAlign w:val="bottom"/>
          </w:tcPr>
          <w:p w14:paraId="7DD0183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3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83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39" w14:textId="77777777" w:rsidR="00C1563E" w:rsidRDefault="000B648B">
            <w:pPr>
              <w:jc w:val="right"/>
              <w:textAlignment w:val="bottom"/>
            </w:pPr>
            <w:r>
              <w:rPr>
                <w:rFonts w:ascii="Times New Roman" w:eastAsia="宋体" w:hAnsi="Times New Roman"/>
                <w:color w:val="000000"/>
                <w:sz w:val="20"/>
                <w:szCs w:val="20"/>
              </w:rPr>
              <w:t>33,969 </w:t>
            </w:r>
          </w:p>
        </w:tc>
        <w:tc>
          <w:tcPr>
            <w:tcW w:w="0" w:type="auto"/>
            <w:shd w:val="clear" w:color="auto" w:fill="FFFFFF"/>
            <w:tcMar>
              <w:top w:w="40" w:type="dxa"/>
              <w:left w:w="0" w:type="dxa"/>
              <w:bottom w:w="40" w:type="dxa"/>
              <w:right w:w="20" w:type="dxa"/>
            </w:tcMar>
            <w:vAlign w:val="bottom"/>
          </w:tcPr>
          <w:p w14:paraId="7DD0183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3B"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83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3D" w14:textId="77777777" w:rsidR="00C1563E" w:rsidRDefault="000B648B">
            <w:pPr>
              <w:jc w:val="right"/>
              <w:textAlignment w:val="bottom"/>
            </w:pPr>
            <w:r>
              <w:rPr>
                <w:rFonts w:ascii="Times New Roman" w:eastAsia="宋体" w:hAnsi="Times New Roman"/>
                <w:color w:val="000000"/>
                <w:sz w:val="20"/>
                <w:szCs w:val="20"/>
              </w:rPr>
              <w:t>36,720 </w:t>
            </w:r>
          </w:p>
        </w:tc>
        <w:tc>
          <w:tcPr>
            <w:tcW w:w="0" w:type="auto"/>
            <w:shd w:val="clear" w:color="auto" w:fill="FFFFFF"/>
            <w:tcMar>
              <w:top w:w="40" w:type="dxa"/>
              <w:left w:w="0" w:type="dxa"/>
              <w:bottom w:w="40" w:type="dxa"/>
              <w:right w:w="20" w:type="dxa"/>
            </w:tcMar>
            <w:vAlign w:val="bottom"/>
          </w:tcPr>
          <w:p w14:paraId="7DD0183E" w14:textId="77777777" w:rsidR="00C1563E" w:rsidRDefault="00C1563E">
            <w:pPr>
              <w:jc w:val="right"/>
              <w:rPr>
                <w:rFonts w:ascii="宋体"/>
              </w:rPr>
            </w:pPr>
          </w:p>
        </w:tc>
      </w:tr>
      <w:tr w:rsidR="00C1563E" w14:paraId="7DD0184D" w14:textId="77777777">
        <w:tc>
          <w:tcPr>
            <w:tcW w:w="0" w:type="auto"/>
            <w:gridSpan w:val="3"/>
            <w:shd w:val="clear" w:color="auto" w:fill="CCEEFF"/>
            <w:tcMar>
              <w:top w:w="40" w:type="dxa"/>
              <w:left w:w="20" w:type="dxa"/>
              <w:bottom w:w="40" w:type="dxa"/>
              <w:right w:w="20" w:type="dxa"/>
            </w:tcMar>
            <w:vAlign w:val="bottom"/>
          </w:tcPr>
          <w:p w14:paraId="7DD01840" w14:textId="77777777" w:rsidR="00C1563E" w:rsidRDefault="000B648B">
            <w:pPr>
              <w:textAlignment w:val="bottom"/>
            </w:pPr>
            <w:r>
              <w:rPr>
                <w:rFonts w:ascii="Times New Roman" w:eastAsia="宋体" w:hAnsi="Times New Roman"/>
                <w:color w:val="000000"/>
                <w:sz w:val="20"/>
                <w:szCs w:val="20"/>
              </w:rPr>
              <w:t>Client Solutions Group</w:t>
            </w:r>
          </w:p>
        </w:tc>
        <w:tc>
          <w:tcPr>
            <w:tcW w:w="0" w:type="auto"/>
            <w:shd w:val="clear" w:color="auto" w:fill="auto"/>
          </w:tcPr>
          <w:p w14:paraId="7DD01841" w14:textId="77777777" w:rsidR="00C1563E" w:rsidRDefault="00C1563E">
            <w:pPr>
              <w:rPr>
                <w:rFonts w:ascii="宋体"/>
                <w:vanish/>
              </w:rPr>
            </w:pPr>
          </w:p>
        </w:tc>
        <w:tc>
          <w:tcPr>
            <w:tcW w:w="0" w:type="auto"/>
            <w:shd w:val="clear" w:color="auto" w:fill="auto"/>
          </w:tcPr>
          <w:p w14:paraId="7DD01842" w14:textId="77777777" w:rsidR="00C1563E" w:rsidRDefault="00C1563E">
            <w:pPr>
              <w:rPr>
                <w:rFonts w:ascii="宋体"/>
                <w:vanish/>
              </w:rPr>
            </w:pPr>
          </w:p>
        </w:tc>
        <w:tc>
          <w:tcPr>
            <w:tcW w:w="0" w:type="auto"/>
            <w:shd w:val="clear" w:color="auto" w:fill="auto"/>
          </w:tcPr>
          <w:p w14:paraId="7DD01843" w14:textId="77777777" w:rsidR="00C1563E" w:rsidRDefault="00C1563E">
            <w:pPr>
              <w:rPr>
                <w:rFonts w:ascii="宋体"/>
                <w:vanish/>
              </w:rPr>
            </w:pPr>
          </w:p>
        </w:tc>
        <w:tc>
          <w:tcPr>
            <w:tcW w:w="0" w:type="auto"/>
            <w:shd w:val="clear" w:color="auto" w:fill="auto"/>
          </w:tcPr>
          <w:p w14:paraId="7DD0184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845" w14:textId="77777777" w:rsidR="00C1563E" w:rsidRDefault="000B648B">
            <w:pPr>
              <w:jc w:val="right"/>
              <w:textAlignment w:val="bottom"/>
            </w:pPr>
            <w:r>
              <w:rPr>
                <w:rFonts w:ascii="Times New Roman" w:eastAsia="宋体" w:hAnsi="Times New Roman"/>
                <w:color w:val="000000"/>
                <w:sz w:val="20"/>
                <w:szCs w:val="20"/>
              </w:rPr>
              <w:t>48,355 </w:t>
            </w:r>
          </w:p>
        </w:tc>
        <w:tc>
          <w:tcPr>
            <w:tcW w:w="0" w:type="auto"/>
            <w:shd w:val="clear" w:color="auto" w:fill="CCEEFF"/>
            <w:tcMar>
              <w:top w:w="40" w:type="dxa"/>
              <w:left w:w="0" w:type="dxa"/>
              <w:bottom w:w="40" w:type="dxa"/>
              <w:right w:w="20" w:type="dxa"/>
            </w:tcMar>
            <w:vAlign w:val="bottom"/>
          </w:tcPr>
          <w:p w14:paraId="7DD018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4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48" w14:textId="77777777" w:rsidR="00C1563E" w:rsidRDefault="000B648B">
            <w:pPr>
              <w:jc w:val="right"/>
              <w:textAlignment w:val="bottom"/>
            </w:pPr>
            <w:r>
              <w:rPr>
                <w:rFonts w:ascii="Times New Roman" w:eastAsia="宋体" w:hAnsi="Times New Roman"/>
                <w:color w:val="000000"/>
                <w:sz w:val="20"/>
                <w:szCs w:val="20"/>
              </w:rPr>
              <w:t>45,838 </w:t>
            </w:r>
          </w:p>
        </w:tc>
        <w:tc>
          <w:tcPr>
            <w:tcW w:w="0" w:type="auto"/>
            <w:shd w:val="clear" w:color="auto" w:fill="CCEEFF"/>
            <w:tcMar>
              <w:top w:w="40" w:type="dxa"/>
              <w:left w:w="0" w:type="dxa"/>
              <w:bottom w:w="40" w:type="dxa"/>
              <w:right w:w="20" w:type="dxa"/>
            </w:tcMar>
            <w:vAlign w:val="bottom"/>
          </w:tcPr>
          <w:p w14:paraId="7DD0184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4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4B" w14:textId="77777777" w:rsidR="00C1563E" w:rsidRDefault="000B648B">
            <w:pPr>
              <w:jc w:val="right"/>
              <w:textAlignment w:val="bottom"/>
            </w:pPr>
            <w:r>
              <w:rPr>
                <w:rFonts w:ascii="Times New Roman" w:eastAsia="宋体" w:hAnsi="Times New Roman"/>
                <w:color w:val="000000"/>
                <w:sz w:val="20"/>
                <w:szCs w:val="20"/>
              </w:rPr>
              <w:t>43,196 </w:t>
            </w:r>
          </w:p>
        </w:tc>
        <w:tc>
          <w:tcPr>
            <w:tcW w:w="0" w:type="auto"/>
            <w:shd w:val="clear" w:color="auto" w:fill="CCEEFF"/>
            <w:tcMar>
              <w:top w:w="40" w:type="dxa"/>
              <w:left w:w="0" w:type="dxa"/>
              <w:bottom w:w="40" w:type="dxa"/>
              <w:right w:w="20" w:type="dxa"/>
            </w:tcMar>
            <w:vAlign w:val="bottom"/>
          </w:tcPr>
          <w:p w14:paraId="7DD0184C" w14:textId="77777777" w:rsidR="00C1563E" w:rsidRDefault="00C1563E">
            <w:pPr>
              <w:jc w:val="right"/>
              <w:rPr>
                <w:rFonts w:ascii="宋体"/>
              </w:rPr>
            </w:pPr>
          </w:p>
        </w:tc>
      </w:tr>
      <w:tr w:rsidR="00C1563E" w14:paraId="7DD0185B" w14:textId="77777777">
        <w:tc>
          <w:tcPr>
            <w:tcW w:w="0" w:type="auto"/>
            <w:gridSpan w:val="3"/>
            <w:shd w:val="clear" w:color="auto" w:fill="FFFFFF"/>
            <w:tcMar>
              <w:top w:w="40" w:type="dxa"/>
              <w:left w:w="20" w:type="dxa"/>
              <w:bottom w:w="40" w:type="dxa"/>
              <w:right w:w="20" w:type="dxa"/>
            </w:tcMar>
            <w:vAlign w:val="bottom"/>
          </w:tcPr>
          <w:p w14:paraId="7DD0184E" w14:textId="77777777" w:rsidR="00C1563E" w:rsidRDefault="000B648B">
            <w:pPr>
              <w:textAlignment w:val="bottom"/>
            </w:pPr>
            <w:r>
              <w:rPr>
                <w:rFonts w:ascii="Times New Roman" w:eastAsia="宋体" w:hAnsi="Times New Roman"/>
                <w:color w:val="000000"/>
                <w:sz w:val="20"/>
                <w:szCs w:val="20"/>
              </w:rPr>
              <w:t>VMware</w:t>
            </w:r>
          </w:p>
        </w:tc>
        <w:tc>
          <w:tcPr>
            <w:tcW w:w="0" w:type="auto"/>
            <w:shd w:val="clear" w:color="auto" w:fill="auto"/>
          </w:tcPr>
          <w:p w14:paraId="7DD0184F" w14:textId="77777777" w:rsidR="00C1563E" w:rsidRDefault="00C1563E">
            <w:pPr>
              <w:rPr>
                <w:rFonts w:ascii="宋体"/>
                <w:vanish/>
              </w:rPr>
            </w:pPr>
          </w:p>
        </w:tc>
        <w:tc>
          <w:tcPr>
            <w:tcW w:w="0" w:type="auto"/>
            <w:shd w:val="clear" w:color="auto" w:fill="auto"/>
          </w:tcPr>
          <w:p w14:paraId="7DD01850" w14:textId="77777777" w:rsidR="00C1563E" w:rsidRDefault="00C1563E">
            <w:pPr>
              <w:rPr>
                <w:rFonts w:ascii="宋体"/>
                <w:vanish/>
              </w:rPr>
            </w:pPr>
          </w:p>
        </w:tc>
        <w:tc>
          <w:tcPr>
            <w:tcW w:w="0" w:type="auto"/>
            <w:shd w:val="clear" w:color="auto" w:fill="auto"/>
          </w:tcPr>
          <w:p w14:paraId="7DD01851" w14:textId="77777777" w:rsidR="00C1563E" w:rsidRDefault="00C1563E">
            <w:pPr>
              <w:rPr>
                <w:rFonts w:ascii="宋体"/>
                <w:vanish/>
              </w:rPr>
            </w:pPr>
          </w:p>
        </w:tc>
        <w:tc>
          <w:tcPr>
            <w:tcW w:w="0" w:type="auto"/>
            <w:shd w:val="clear" w:color="auto" w:fill="auto"/>
          </w:tcPr>
          <w:p w14:paraId="7DD01852"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853" w14:textId="77777777" w:rsidR="00C1563E" w:rsidRDefault="000B648B">
            <w:pPr>
              <w:jc w:val="right"/>
              <w:textAlignment w:val="bottom"/>
            </w:pPr>
            <w:r>
              <w:rPr>
                <w:rFonts w:ascii="Times New Roman" w:eastAsia="宋体" w:hAnsi="Times New Roman"/>
                <w:color w:val="000000"/>
                <w:sz w:val="20"/>
                <w:szCs w:val="20"/>
              </w:rPr>
              <w:t>11,873 </w:t>
            </w:r>
          </w:p>
        </w:tc>
        <w:tc>
          <w:tcPr>
            <w:tcW w:w="0" w:type="auto"/>
            <w:shd w:val="clear" w:color="auto" w:fill="FFFFFF"/>
            <w:tcMar>
              <w:top w:w="40" w:type="dxa"/>
              <w:left w:w="0" w:type="dxa"/>
              <w:bottom w:w="40" w:type="dxa"/>
              <w:right w:w="20" w:type="dxa"/>
            </w:tcMar>
            <w:vAlign w:val="bottom"/>
          </w:tcPr>
          <w:p w14:paraId="7DD0185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5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56" w14:textId="77777777" w:rsidR="00C1563E" w:rsidRDefault="000B648B">
            <w:pPr>
              <w:jc w:val="right"/>
              <w:textAlignment w:val="bottom"/>
            </w:pPr>
            <w:r>
              <w:rPr>
                <w:rFonts w:ascii="Times New Roman" w:eastAsia="宋体" w:hAnsi="Times New Roman"/>
                <w:color w:val="000000"/>
                <w:sz w:val="20"/>
                <w:szCs w:val="20"/>
              </w:rPr>
              <w:t>10,905 </w:t>
            </w:r>
          </w:p>
        </w:tc>
        <w:tc>
          <w:tcPr>
            <w:tcW w:w="0" w:type="auto"/>
            <w:shd w:val="clear" w:color="auto" w:fill="FFFFFF"/>
            <w:tcMar>
              <w:top w:w="40" w:type="dxa"/>
              <w:left w:w="0" w:type="dxa"/>
              <w:bottom w:w="40" w:type="dxa"/>
              <w:right w:w="20" w:type="dxa"/>
            </w:tcMar>
            <w:vAlign w:val="bottom"/>
          </w:tcPr>
          <w:p w14:paraId="7DD0185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5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59" w14:textId="77777777" w:rsidR="00C1563E" w:rsidRDefault="000B648B">
            <w:pPr>
              <w:jc w:val="right"/>
              <w:textAlignment w:val="bottom"/>
            </w:pPr>
            <w:r>
              <w:rPr>
                <w:rFonts w:ascii="Times New Roman" w:eastAsia="宋体" w:hAnsi="Times New Roman"/>
                <w:color w:val="000000"/>
                <w:sz w:val="20"/>
                <w:szCs w:val="20"/>
              </w:rPr>
              <w:t>9,741 </w:t>
            </w:r>
          </w:p>
        </w:tc>
        <w:tc>
          <w:tcPr>
            <w:tcW w:w="0" w:type="auto"/>
            <w:shd w:val="clear" w:color="auto" w:fill="FFFFFF"/>
            <w:tcMar>
              <w:top w:w="40" w:type="dxa"/>
              <w:left w:w="0" w:type="dxa"/>
              <w:bottom w:w="40" w:type="dxa"/>
              <w:right w:w="20" w:type="dxa"/>
            </w:tcMar>
            <w:vAlign w:val="bottom"/>
          </w:tcPr>
          <w:p w14:paraId="7DD0185A" w14:textId="77777777" w:rsidR="00C1563E" w:rsidRDefault="00C1563E">
            <w:pPr>
              <w:jc w:val="right"/>
              <w:rPr>
                <w:rFonts w:ascii="宋体"/>
              </w:rPr>
            </w:pPr>
          </w:p>
        </w:tc>
      </w:tr>
      <w:tr w:rsidR="00C1563E" w14:paraId="7DD01869" w14:textId="77777777">
        <w:tc>
          <w:tcPr>
            <w:tcW w:w="0" w:type="auto"/>
            <w:gridSpan w:val="3"/>
            <w:shd w:val="clear" w:color="auto" w:fill="CCEEFF"/>
            <w:tcMar>
              <w:top w:w="40" w:type="dxa"/>
              <w:left w:w="155" w:type="dxa"/>
              <w:bottom w:w="40" w:type="dxa"/>
              <w:right w:w="20" w:type="dxa"/>
            </w:tcMar>
            <w:vAlign w:val="bottom"/>
          </w:tcPr>
          <w:p w14:paraId="7DD0185C" w14:textId="77777777" w:rsidR="00C1563E" w:rsidRDefault="000B648B">
            <w:pPr>
              <w:textAlignment w:val="bottom"/>
            </w:pPr>
            <w:r>
              <w:rPr>
                <w:rFonts w:ascii="Times New Roman" w:eastAsia="宋体" w:hAnsi="Times New Roman"/>
                <w:color w:val="000000"/>
                <w:sz w:val="20"/>
                <w:szCs w:val="20"/>
              </w:rPr>
              <w:t>Reportable segment net revenue</w:t>
            </w:r>
          </w:p>
        </w:tc>
        <w:tc>
          <w:tcPr>
            <w:tcW w:w="0" w:type="auto"/>
            <w:shd w:val="clear" w:color="auto" w:fill="auto"/>
          </w:tcPr>
          <w:p w14:paraId="7DD0185D" w14:textId="77777777" w:rsidR="00C1563E" w:rsidRDefault="00C1563E">
            <w:pPr>
              <w:rPr>
                <w:rFonts w:ascii="宋体"/>
                <w:vanish/>
              </w:rPr>
            </w:pPr>
          </w:p>
        </w:tc>
        <w:tc>
          <w:tcPr>
            <w:tcW w:w="0" w:type="auto"/>
            <w:shd w:val="clear" w:color="auto" w:fill="auto"/>
          </w:tcPr>
          <w:p w14:paraId="7DD0185E" w14:textId="77777777" w:rsidR="00C1563E" w:rsidRDefault="00C1563E">
            <w:pPr>
              <w:rPr>
                <w:rFonts w:ascii="宋体"/>
                <w:vanish/>
              </w:rPr>
            </w:pPr>
          </w:p>
        </w:tc>
        <w:tc>
          <w:tcPr>
            <w:tcW w:w="0" w:type="auto"/>
            <w:shd w:val="clear" w:color="auto" w:fill="auto"/>
          </w:tcPr>
          <w:p w14:paraId="7DD0185F" w14:textId="77777777" w:rsidR="00C1563E" w:rsidRDefault="00C1563E">
            <w:pPr>
              <w:rPr>
                <w:rFonts w:ascii="宋体"/>
                <w:vanish/>
              </w:rPr>
            </w:pPr>
          </w:p>
        </w:tc>
        <w:tc>
          <w:tcPr>
            <w:tcW w:w="0" w:type="auto"/>
            <w:shd w:val="clear" w:color="auto" w:fill="auto"/>
          </w:tcPr>
          <w:p w14:paraId="7DD01860" w14:textId="77777777" w:rsidR="00C1563E" w:rsidRDefault="00C1563E">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61" w14:textId="77777777" w:rsidR="00C1563E" w:rsidRDefault="000B648B">
            <w:pPr>
              <w:jc w:val="right"/>
              <w:textAlignment w:val="bottom"/>
            </w:pPr>
            <w:r>
              <w:rPr>
                <w:rFonts w:ascii="Times New Roman" w:eastAsia="宋体" w:hAnsi="Times New Roman"/>
                <w:color w:val="000000"/>
                <w:sz w:val="20"/>
                <w:szCs w:val="20"/>
              </w:rPr>
              <w:t>92,816 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6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63"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64" w14:textId="77777777" w:rsidR="00C1563E" w:rsidRDefault="000B648B">
            <w:pPr>
              <w:jc w:val="right"/>
              <w:textAlignment w:val="bottom"/>
            </w:pPr>
            <w:r>
              <w:rPr>
                <w:rFonts w:ascii="Times New Roman" w:eastAsia="宋体" w:hAnsi="Times New Roman"/>
                <w:color w:val="000000"/>
                <w:sz w:val="20"/>
                <w:szCs w:val="20"/>
              </w:rPr>
              <w:t>90,712 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6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6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67" w14:textId="77777777" w:rsidR="00C1563E" w:rsidRDefault="000B648B">
            <w:pPr>
              <w:jc w:val="right"/>
              <w:textAlignment w:val="bottom"/>
            </w:pPr>
            <w:r>
              <w:rPr>
                <w:rFonts w:ascii="Times New Roman" w:eastAsia="宋体" w:hAnsi="Times New Roman"/>
                <w:color w:val="000000"/>
                <w:sz w:val="20"/>
                <w:szCs w:val="20"/>
              </w:rPr>
              <w:t>89,657 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68" w14:textId="77777777" w:rsidR="00C1563E" w:rsidRDefault="00C1563E">
            <w:pPr>
              <w:jc w:val="right"/>
              <w:rPr>
                <w:rFonts w:ascii="宋体"/>
              </w:rPr>
            </w:pPr>
          </w:p>
        </w:tc>
      </w:tr>
      <w:tr w:rsidR="00C1563E" w14:paraId="7DD01877" w14:textId="77777777">
        <w:tc>
          <w:tcPr>
            <w:tcW w:w="0" w:type="auto"/>
            <w:gridSpan w:val="3"/>
            <w:shd w:val="clear" w:color="auto" w:fill="FFFFFF"/>
            <w:tcMar>
              <w:top w:w="40" w:type="dxa"/>
              <w:left w:w="245" w:type="dxa"/>
              <w:bottom w:w="40" w:type="dxa"/>
              <w:right w:w="20" w:type="dxa"/>
            </w:tcMar>
            <w:vAlign w:val="bottom"/>
          </w:tcPr>
          <w:p w14:paraId="7DD0186A" w14:textId="77777777" w:rsidR="00C1563E" w:rsidRDefault="000B648B">
            <w:pPr>
              <w:textAlignment w:val="bottom"/>
            </w:pPr>
            <w:r>
              <w:rPr>
                <w:rFonts w:ascii="Times New Roman" w:eastAsia="宋体" w:hAnsi="Times New Roman"/>
                <w:color w:val="000000"/>
                <w:sz w:val="20"/>
                <w:szCs w:val="20"/>
              </w:rPr>
              <w:t>Other businesses (a)</w:t>
            </w:r>
          </w:p>
        </w:tc>
        <w:tc>
          <w:tcPr>
            <w:tcW w:w="0" w:type="auto"/>
            <w:shd w:val="clear" w:color="auto" w:fill="auto"/>
          </w:tcPr>
          <w:p w14:paraId="7DD0186B" w14:textId="77777777" w:rsidR="00C1563E" w:rsidRDefault="00C1563E">
            <w:pPr>
              <w:rPr>
                <w:rFonts w:ascii="宋体"/>
                <w:vanish/>
              </w:rPr>
            </w:pPr>
          </w:p>
        </w:tc>
        <w:tc>
          <w:tcPr>
            <w:tcW w:w="0" w:type="auto"/>
            <w:shd w:val="clear" w:color="auto" w:fill="auto"/>
          </w:tcPr>
          <w:p w14:paraId="7DD0186C" w14:textId="77777777" w:rsidR="00C1563E" w:rsidRDefault="00C1563E">
            <w:pPr>
              <w:rPr>
                <w:rFonts w:ascii="宋体"/>
                <w:vanish/>
              </w:rPr>
            </w:pPr>
          </w:p>
        </w:tc>
        <w:tc>
          <w:tcPr>
            <w:tcW w:w="0" w:type="auto"/>
            <w:shd w:val="clear" w:color="auto" w:fill="auto"/>
          </w:tcPr>
          <w:p w14:paraId="7DD0186D" w14:textId="77777777" w:rsidR="00C1563E" w:rsidRDefault="00C1563E">
            <w:pPr>
              <w:rPr>
                <w:rFonts w:ascii="宋体"/>
                <w:vanish/>
              </w:rPr>
            </w:pPr>
          </w:p>
        </w:tc>
        <w:tc>
          <w:tcPr>
            <w:tcW w:w="0" w:type="auto"/>
            <w:shd w:val="clear" w:color="auto" w:fill="auto"/>
          </w:tcPr>
          <w:p w14:paraId="7DD0186E" w14:textId="77777777" w:rsidR="00C1563E" w:rsidRDefault="00C1563E">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86F" w14:textId="77777777" w:rsidR="00C1563E" w:rsidRDefault="000B648B">
            <w:pPr>
              <w:jc w:val="right"/>
              <w:textAlignment w:val="bottom"/>
            </w:pPr>
            <w:r>
              <w:rPr>
                <w:rFonts w:ascii="Times New Roman" w:eastAsia="宋体" w:hAnsi="Times New Roman"/>
                <w:color w:val="000000"/>
                <w:sz w:val="20"/>
                <w:szCs w:val="20"/>
              </w:rPr>
              <w:t>1,567 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87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71"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872" w14:textId="77777777" w:rsidR="00C1563E" w:rsidRDefault="000B648B">
            <w:pPr>
              <w:jc w:val="right"/>
              <w:textAlignment w:val="bottom"/>
            </w:pPr>
            <w:r>
              <w:rPr>
                <w:rFonts w:ascii="Times New Roman" w:eastAsia="宋体" w:hAnsi="Times New Roman"/>
                <w:color w:val="000000"/>
                <w:sz w:val="20"/>
                <w:szCs w:val="20"/>
              </w:rPr>
              <w:t>1,788 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87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74"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875" w14:textId="77777777" w:rsidR="00C1563E" w:rsidRDefault="000B648B">
            <w:pPr>
              <w:jc w:val="right"/>
              <w:textAlignment w:val="bottom"/>
            </w:pPr>
            <w:r>
              <w:rPr>
                <w:rFonts w:ascii="Times New Roman" w:eastAsia="宋体" w:hAnsi="Times New Roman"/>
                <w:color w:val="000000"/>
                <w:sz w:val="20"/>
                <w:szCs w:val="20"/>
              </w:rPr>
              <w:t>1,676 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876" w14:textId="77777777" w:rsidR="00C1563E" w:rsidRDefault="00C1563E">
            <w:pPr>
              <w:jc w:val="right"/>
              <w:rPr>
                <w:rFonts w:ascii="宋体"/>
              </w:rPr>
            </w:pPr>
          </w:p>
        </w:tc>
      </w:tr>
      <w:tr w:rsidR="00C1563E" w14:paraId="7DD01885" w14:textId="77777777">
        <w:tc>
          <w:tcPr>
            <w:tcW w:w="0" w:type="auto"/>
            <w:gridSpan w:val="3"/>
            <w:shd w:val="clear" w:color="auto" w:fill="CCEEFF"/>
            <w:tcMar>
              <w:top w:w="40" w:type="dxa"/>
              <w:left w:w="245" w:type="dxa"/>
              <w:bottom w:w="40" w:type="dxa"/>
              <w:right w:w="20" w:type="dxa"/>
            </w:tcMar>
            <w:vAlign w:val="bottom"/>
          </w:tcPr>
          <w:p w14:paraId="7DD01878" w14:textId="77777777" w:rsidR="00C1563E" w:rsidRDefault="000B648B">
            <w:pPr>
              <w:textAlignment w:val="bottom"/>
            </w:pPr>
            <w:r>
              <w:rPr>
                <w:rFonts w:ascii="Times New Roman" w:eastAsia="宋体" w:hAnsi="Times New Roman"/>
                <w:color w:val="000000"/>
                <w:sz w:val="20"/>
                <w:szCs w:val="20"/>
              </w:rPr>
              <w:t>Unallocated transactions (b)</w:t>
            </w:r>
          </w:p>
        </w:tc>
        <w:tc>
          <w:tcPr>
            <w:tcW w:w="0" w:type="auto"/>
            <w:shd w:val="clear" w:color="auto" w:fill="auto"/>
          </w:tcPr>
          <w:p w14:paraId="7DD01879" w14:textId="77777777" w:rsidR="00C1563E" w:rsidRDefault="00C1563E">
            <w:pPr>
              <w:rPr>
                <w:rFonts w:ascii="宋体"/>
                <w:vanish/>
              </w:rPr>
            </w:pPr>
          </w:p>
        </w:tc>
        <w:tc>
          <w:tcPr>
            <w:tcW w:w="0" w:type="auto"/>
            <w:shd w:val="clear" w:color="auto" w:fill="auto"/>
          </w:tcPr>
          <w:p w14:paraId="7DD0187A" w14:textId="77777777" w:rsidR="00C1563E" w:rsidRDefault="00C1563E">
            <w:pPr>
              <w:rPr>
                <w:rFonts w:ascii="宋体"/>
                <w:vanish/>
              </w:rPr>
            </w:pPr>
          </w:p>
        </w:tc>
        <w:tc>
          <w:tcPr>
            <w:tcW w:w="0" w:type="auto"/>
            <w:shd w:val="clear" w:color="auto" w:fill="auto"/>
          </w:tcPr>
          <w:p w14:paraId="7DD0187B" w14:textId="77777777" w:rsidR="00C1563E" w:rsidRDefault="00C1563E">
            <w:pPr>
              <w:rPr>
                <w:rFonts w:ascii="宋体"/>
                <w:vanish/>
              </w:rPr>
            </w:pPr>
          </w:p>
        </w:tc>
        <w:tc>
          <w:tcPr>
            <w:tcW w:w="0" w:type="auto"/>
            <w:shd w:val="clear" w:color="auto" w:fill="auto"/>
          </w:tcPr>
          <w:p w14:paraId="7DD0187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87D" w14:textId="77777777" w:rsidR="00C1563E" w:rsidRDefault="000B648B">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DD0187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7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80"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DD0188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8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83" w14:textId="77777777" w:rsidR="00C1563E" w:rsidRDefault="000B648B">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7DD01884" w14:textId="77777777" w:rsidR="00C1563E" w:rsidRDefault="00C1563E">
            <w:pPr>
              <w:jc w:val="right"/>
              <w:rPr>
                <w:rFonts w:ascii="宋体"/>
              </w:rPr>
            </w:pPr>
          </w:p>
        </w:tc>
      </w:tr>
      <w:tr w:rsidR="00C1563E" w14:paraId="7DD01893" w14:textId="77777777">
        <w:tc>
          <w:tcPr>
            <w:tcW w:w="0" w:type="auto"/>
            <w:gridSpan w:val="3"/>
            <w:shd w:val="clear" w:color="auto" w:fill="FFFFFF"/>
            <w:tcMar>
              <w:top w:w="40" w:type="dxa"/>
              <w:left w:w="245" w:type="dxa"/>
              <w:bottom w:w="40" w:type="dxa"/>
              <w:right w:w="20" w:type="dxa"/>
            </w:tcMar>
            <w:vAlign w:val="bottom"/>
          </w:tcPr>
          <w:p w14:paraId="7DD01886" w14:textId="77777777" w:rsidR="00C1563E" w:rsidRDefault="000B648B">
            <w:pPr>
              <w:textAlignment w:val="bottom"/>
            </w:pPr>
            <w:r>
              <w:rPr>
                <w:rFonts w:ascii="Times New Roman" w:eastAsia="宋体" w:hAnsi="Times New Roman"/>
                <w:color w:val="000000"/>
                <w:sz w:val="20"/>
                <w:szCs w:val="20"/>
              </w:rPr>
              <w:t>Impact of purchase accounting (c)</w:t>
            </w:r>
          </w:p>
        </w:tc>
        <w:tc>
          <w:tcPr>
            <w:tcW w:w="0" w:type="auto"/>
            <w:shd w:val="clear" w:color="auto" w:fill="auto"/>
          </w:tcPr>
          <w:p w14:paraId="7DD01887" w14:textId="77777777" w:rsidR="00C1563E" w:rsidRDefault="00C1563E">
            <w:pPr>
              <w:rPr>
                <w:rFonts w:ascii="宋体"/>
                <w:vanish/>
              </w:rPr>
            </w:pPr>
          </w:p>
        </w:tc>
        <w:tc>
          <w:tcPr>
            <w:tcW w:w="0" w:type="auto"/>
            <w:shd w:val="clear" w:color="auto" w:fill="auto"/>
          </w:tcPr>
          <w:p w14:paraId="7DD01888" w14:textId="77777777" w:rsidR="00C1563E" w:rsidRDefault="00C1563E">
            <w:pPr>
              <w:rPr>
                <w:rFonts w:ascii="宋体"/>
                <w:vanish/>
              </w:rPr>
            </w:pPr>
          </w:p>
        </w:tc>
        <w:tc>
          <w:tcPr>
            <w:tcW w:w="0" w:type="auto"/>
            <w:shd w:val="clear" w:color="auto" w:fill="auto"/>
          </w:tcPr>
          <w:p w14:paraId="7DD01889" w14:textId="77777777" w:rsidR="00C1563E" w:rsidRDefault="00C1563E">
            <w:pPr>
              <w:rPr>
                <w:rFonts w:ascii="宋体"/>
                <w:vanish/>
              </w:rPr>
            </w:pPr>
          </w:p>
        </w:tc>
        <w:tc>
          <w:tcPr>
            <w:tcW w:w="0" w:type="auto"/>
            <w:shd w:val="clear" w:color="auto" w:fill="auto"/>
          </w:tcPr>
          <w:p w14:paraId="7DD0188A"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88B" w14:textId="77777777" w:rsidR="00C1563E" w:rsidRDefault="000B648B">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7DD0188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8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8E" w14:textId="77777777" w:rsidR="00C1563E" w:rsidRDefault="000B648B">
            <w:pPr>
              <w:jc w:val="right"/>
              <w:textAlignment w:val="bottom"/>
            </w:pPr>
            <w:r>
              <w:rPr>
                <w:rFonts w:ascii="Times New Roman" w:eastAsia="宋体" w:hAnsi="Times New Roman"/>
                <w:color w:val="000000"/>
                <w:sz w:val="20"/>
                <w:szCs w:val="20"/>
              </w:rPr>
              <w:t>(347)</w:t>
            </w:r>
          </w:p>
        </w:tc>
        <w:tc>
          <w:tcPr>
            <w:tcW w:w="0" w:type="auto"/>
            <w:shd w:val="clear" w:color="auto" w:fill="FFFFFF"/>
            <w:tcMar>
              <w:top w:w="40" w:type="dxa"/>
              <w:left w:w="0" w:type="dxa"/>
              <w:bottom w:w="40" w:type="dxa"/>
              <w:right w:w="20" w:type="dxa"/>
            </w:tcMar>
            <w:vAlign w:val="bottom"/>
          </w:tcPr>
          <w:p w14:paraId="7DD018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9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91" w14:textId="77777777" w:rsidR="00C1563E" w:rsidRDefault="000B648B">
            <w:pPr>
              <w:jc w:val="right"/>
              <w:textAlignment w:val="bottom"/>
            </w:pPr>
            <w:r>
              <w:rPr>
                <w:rFonts w:ascii="Times New Roman" w:eastAsia="宋体" w:hAnsi="Times New Roman"/>
                <w:color w:val="000000"/>
                <w:sz w:val="20"/>
                <w:szCs w:val="20"/>
              </w:rPr>
              <w:t>(703)</w:t>
            </w:r>
          </w:p>
        </w:tc>
        <w:tc>
          <w:tcPr>
            <w:tcW w:w="0" w:type="auto"/>
            <w:shd w:val="clear" w:color="auto" w:fill="FFFFFF"/>
            <w:tcMar>
              <w:top w:w="40" w:type="dxa"/>
              <w:left w:w="0" w:type="dxa"/>
              <w:bottom w:w="40" w:type="dxa"/>
              <w:right w:w="20" w:type="dxa"/>
            </w:tcMar>
            <w:vAlign w:val="bottom"/>
          </w:tcPr>
          <w:p w14:paraId="7DD01892" w14:textId="77777777" w:rsidR="00C1563E" w:rsidRDefault="00C1563E">
            <w:pPr>
              <w:jc w:val="right"/>
              <w:rPr>
                <w:rFonts w:ascii="宋体"/>
              </w:rPr>
            </w:pPr>
          </w:p>
        </w:tc>
      </w:tr>
      <w:tr w:rsidR="00C1563E" w14:paraId="7DD018A4" w14:textId="77777777">
        <w:tc>
          <w:tcPr>
            <w:tcW w:w="0" w:type="auto"/>
            <w:gridSpan w:val="3"/>
            <w:shd w:val="clear" w:color="auto" w:fill="CCEEFF"/>
            <w:tcMar>
              <w:top w:w="40" w:type="dxa"/>
              <w:left w:w="380" w:type="dxa"/>
              <w:bottom w:w="40" w:type="dxa"/>
              <w:right w:w="20" w:type="dxa"/>
            </w:tcMar>
            <w:vAlign w:val="bottom"/>
          </w:tcPr>
          <w:p w14:paraId="7DD01894" w14:textId="77777777" w:rsidR="00C1563E" w:rsidRDefault="000B648B">
            <w:pPr>
              <w:textAlignment w:val="bottom"/>
            </w:pPr>
            <w:r>
              <w:rPr>
                <w:rFonts w:ascii="Times New Roman" w:eastAsia="宋体" w:hAnsi="Times New Roman"/>
                <w:color w:val="000000"/>
                <w:sz w:val="20"/>
                <w:szCs w:val="20"/>
              </w:rPr>
              <w:t>To</w:t>
            </w:r>
            <w:r>
              <w:rPr>
                <w:rFonts w:ascii="Times New Roman" w:eastAsia="宋体" w:hAnsi="Times New Roman"/>
                <w:color w:val="000000"/>
                <w:sz w:val="20"/>
                <w:szCs w:val="20"/>
              </w:rPr>
              <w:t>tal consolidated net revenue</w:t>
            </w:r>
          </w:p>
        </w:tc>
        <w:tc>
          <w:tcPr>
            <w:tcW w:w="0" w:type="auto"/>
            <w:shd w:val="clear" w:color="auto" w:fill="auto"/>
          </w:tcPr>
          <w:p w14:paraId="7DD01895" w14:textId="77777777" w:rsidR="00C1563E" w:rsidRDefault="00C1563E">
            <w:pPr>
              <w:rPr>
                <w:rFonts w:ascii="宋体"/>
                <w:vanish/>
              </w:rPr>
            </w:pPr>
          </w:p>
        </w:tc>
        <w:tc>
          <w:tcPr>
            <w:tcW w:w="0" w:type="auto"/>
            <w:shd w:val="clear" w:color="auto" w:fill="auto"/>
          </w:tcPr>
          <w:p w14:paraId="7DD01896" w14:textId="77777777" w:rsidR="00C1563E" w:rsidRDefault="00C1563E">
            <w:pPr>
              <w:rPr>
                <w:rFonts w:ascii="宋体"/>
                <w:vanish/>
              </w:rPr>
            </w:pPr>
          </w:p>
        </w:tc>
        <w:tc>
          <w:tcPr>
            <w:tcW w:w="0" w:type="auto"/>
            <w:shd w:val="clear" w:color="auto" w:fill="auto"/>
          </w:tcPr>
          <w:p w14:paraId="7DD01897" w14:textId="77777777" w:rsidR="00C1563E" w:rsidRDefault="00C1563E">
            <w:pPr>
              <w:rPr>
                <w:rFonts w:ascii="宋体"/>
                <w:vanish/>
              </w:rPr>
            </w:pPr>
          </w:p>
        </w:tc>
        <w:tc>
          <w:tcPr>
            <w:tcW w:w="0" w:type="auto"/>
            <w:shd w:val="clear" w:color="auto" w:fill="auto"/>
          </w:tcPr>
          <w:p w14:paraId="7DD01898"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89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89A" w14:textId="77777777" w:rsidR="00C1563E" w:rsidRDefault="000B648B">
            <w:pPr>
              <w:jc w:val="right"/>
              <w:textAlignment w:val="bottom"/>
            </w:pPr>
            <w:r>
              <w:rPr>
                <w:rFonts w:ascii="Times New Roman" w:eastAsia="宋体" w:hAnsi="Times New Roman"/>
                <w:color w:val="000000"/>
                <w:sz w:val="20"/>
                <w:szCs w:val="20"/>
              </w:rPr>
              <w:t>94,224 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9C"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89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89E" w14:textId="77777777" w:rsidR="00C1563E" w:rsidRDefault="000B648B">
            <w:pPr>
              <w:jc w:val="right"/>
              <w:textAlignment w:val="bottom"/>
            </w:pPr>
            <w:r>
              <w:rPr>
                <w:rFonts w:ascii="Times New Roman" w:eastAsia="宋体" w:hAnsi="Times New Roman"/>
                <w:color w:val="000000"/>
                <w:sz w:val="20"/>
                <w:szCs w:val="20"/>
              </w:rPr>
              <w:t>92,154 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9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A0"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8A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8A2" w14:textId="77777777" w:rsidR="00C1563E" w:rsidRDefault="000B648B">
            <w:pPr>
              <w:jc w:val="right"/>
              <w:textAlignment w:val="bottom"/>
            </w:pPr>
            <w:r>
              <w:rPr>
                <w:rFonts w:ascii="Times New Roman" w:eastAsia="宋体" w:hAnsi="Times New Roman"/>
                <w:color w:val="000000"/>
                <w:sz w:val="20"/>
                <w:szCs w:val="20"/>
              </w:rPr>
              <w:t>90,621 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A3" w14:textId="77777777" w:rsidR="00C1563E" w:rsidRDefault="00C1563E">
            <w:pPr>
              <w:jc w:val="right"/>
              <w:rPr>
                <w:rFonts w:ascii="宋体"/>
              </w:rPr>
            </w:pPr>
          </w:p>
        </w:tc>
      </w:tr>
      <w:tr w:rsidR="00C1563E" w14:paraId="7DD018AF" w14:textId="77777777">
        <w:trPr>
          <w:trHeight w:val="300"/>
        </w:trPr>
        <w:tc>
          <w:tcPr>
            <w:tcW w:w="0" w:type="auto"/>
            <w:gridSpan w:val="3"/>
            <w:shd w:val="clear" w:color="auto" w:fill="FFFFFF"/>
            <w:tcMar>
              <w:top w:w="0" w:type="dxa"/>
              <w:left w:w="20" w:type="dxa"/>
              <w:bottom w:w="0" w:type="dxa"/>
              <w:right w:w="20" w:type="dxa"/>
            </w:tcMar>
          </w:tcPr>
          <w:p w14:paraId="7DD018A5" w14:textId="77777777" w:rsidR="00C1563E" w:rsidRDefault="00C1563E">
            <w:pPr>
              <w:rPr>
                <w:rFonts w:ascii="宋体"/>
              </w:rPr>
            </w:pPr>
          </w:p>
        </w:tc>
        <w:tc>
          <w:tcPr>
            <w:tcW w:w="0" w:type="auto"/>
            <w:shd w:val="clear" w:color="auto" w:fill="auto"/>
          </w:tcPr>
          <w:p w14:paraId="7DD018A6" w14:textId="77777777" w:rsidR="00C1563E" w:rsidRDefault="00C1563E">
            <w:pPr>
              <w:rPr>
                <w:rFonts w:ascii="宋体"/>
                <w:vanish/>
              </w:rPr>
            </w:pPr>
          </w:p>
        </w:tc>
        <w:tc>
          <w:tcPr>
            <w:tcW w:w="0" w:type="auto"/>
            <w:shd w:val="clear" w:color="auto" w:fill="auto"/>
          </w:tcPr>
          <w:p w14:paraId="7DD018A7" w14:textId="77777777" w:rsidR="00C1563E" w:rsidRDefault="00C1563E">
            <w:pPr>
              <w:rPr>
                <w:rFonts w:ascii="宋体"/>
                <w:vanish/>
              </w:rPr>
            </w:pPr>
          </w:p>
        </w:tc>
        <w:tc>
          <w:tcPr>
            <w:tcW w:w="0" w:type="auto"/>
            <w:shd w:val="clear" w:color="auto" w:fill="auto"/>
          </w:tcPr>
          <w:p w14:paraId="7DD018A8" w14:textId="77777777" w:rsidR="00C1563E" w:rsidRDefault="00C1563E">
            <w:pPr>
              <w:rPr>
                <w:rFonts w:ascii="宋体"/>
                <w:vanish/>
              </w:rPr>
            </w:pPr>
          </w:p>
        </w:tc>
        <w:tc>
          <w:tcPr>
            <w:tcW w:w="0" w:type="auto"/>
            <w:shd w:val="clear" w:color="auto" w:fill="auto"/>
          </w:tcPr>
          <w:p w14:paraId="7DD018A9" w14:textId="77777777" w:rsidR="00C1563E" w:rsidRDefault="00C1563E">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8A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8AB"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8A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8AD"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8AE" w14:textId="77777777" w:rsidR="00C1563E" w:rsidRDefault="00C1563E">
            <w:pPr>
              <w:rPr>
                <w:rFonts w:ascii="宋体"/>
              </w:rPr>
            </w:pPr>
          </w:p>
        </w:tc>
      </w:tr>
      <w:tr w:rsidR="00C1563E" w14:paraId="7DD018BA" w14:textId="77777777">
        <w:tc>
          <w:tcPr>
            <w:tcW w:w="0" w:type="auto"/>
            <w:gridSpan w:val="3"/>
            <w:shd w:val="clear" w:color="auto" w:fill="CCEEFF"/>
            <w:tcMar>
              <w:top w:w="40" w:type="dxa"/>
              <w:left w:w="20" w:type="dxa"/>
              <w:bottom w:w="40" w:type="dxa"/>
              <w:right w:w="20" w:type="dxa"/>
            </w:tcMar>
            <w:vAlign w:val="bottom"/>
          </w:tcPr>
          <w:p w14:paraId="7DD018B0" w14:textId="77777777" w:rsidR="00C1563E" w:rsidRDefault="000B648B">
            <w:pPr>
              <w:textAlignment w:val="bottom"/>
            </w:pPr>
            <w:r>
              <w:rPr>
                <w:rFonts w:ascii="Times New Roman" w:eastAsia="宋体" w:hAnsi="Times New Roman"/>
                <w:i/>
                <w:iCs/>
                <w:color w:val="000000"/>
                <w:sz w:val="20"/>
                <w:szCs w:val="20"/>
              </w:rPr>
              <w:t>Consolidated operating income:</w:t>
            </w:r>
          </w:p>
        </w:tc>
        <w:tc>
          <w:tcPr>
            <w:tcW w:w="0" w:type="auto"/>
            <w:shd w:val="clear" w:color="auto" w:fill="auto"/>
          </w:tcPr>
          <w:p w14:paraId="7DD018B1" w14:textId="77777777" w:rsidR="00C1563E" w:rsidRDefault="00C1563E">
            <w:pPr>
              <w:rPr>
                <w:rFonts w:ascii="宋体"/>
                <w:vanish/>
              </w:rPr>
            </w:pPr>
          </w:p>
        </w:tc>
        <w:tc>
          <w:tcPr>
            <w:tcW w:w="0" w:type="auto"/>
            <w:shd w:val="clear" w:color="auto" w:fill="auto"/>
          </w:tcPr>
          <w:p w14:paraId="7DD018B2" w14:textId="77777777" w:rsidR="00C1563E" w:rsidRDefault="00C1563E">
            <w:pPr>
              <w:rPr>
                <w:rFonts w:ascii="宋体"/>
                <w:vanish/>
              </w:rPr>
            </w:pPr>
          </w:p>
        </w:tc>
        <w:tc>
          <w:tcPr>
            <w:tcW w:w="0" w:type="auto"/>
            <w:shd w:val="clear" w:color="auto" w:fill="auto"/>
          </w:tcPr>
          <w:p w14:paraId="7DD018B3" w14:textId="77777777" w:rsidR="00C1563E" w:rsidRDefault="00C1563E">
            <w:pPr>
              <w:rPr>
                <w:rFonts w:ascii="宋体"/>
                <w:vanish/>
              </w:rPr>
            </w:pPr>
          </w:p>
        </w:tc>
        <w:tc>
          <w:tcPr>
            <w:tcW w:w="0" w:type="auto"/>
            <w:shd w:val="clear" w:color="auto" w:fill="auto"/>
          </w:tcPr>
          <w:p w14:paraId="7DD018B4"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18B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8B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8B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8B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8B9" w14:textId="77777777" w:rsidR="00C1563E" w:rsidRDefault="00C1563E">
            <w:pPr>
              <w:rPr>
                <w:rFonts w:ascii="宋体"/>
              </w:rPr>
            </w:pPr>
          </w:p>
        </w:tc>
      </w:tr>
      <w:tr w:rsidR="00C1563E" w14:paraId="7DD018CB" w14:textId="77777777">
        <w:tc>
          <w:tcPr>
            <w:tcW w:w="0" w:type="auto"/>
            <w:gridSpan w:val="3"/>
            <w:shd w:val="clear" w:color="auto" w:fill="FFFFFF"/>
            <w:tcMar>
              <w:top w:w="40" w:type="dxa"/>
              <w:left w:w="20" w:type="dxa"/>
              <w:bottom w:w="40" w:type="dxa"/>
              <w:right w:w="20" w:type="dxa"/>
            </w:tcMar>
            <w:vAlign w:val="bottom"/>
          </w:tcPr>
          <w:p w14:paraId="7DD018BB" w14:textId="77777777" w:rsidR="00C1563E" w:rsidRDefault="000B648B">
            <w:pPr>
              <w:textAlignment w:val="bottom"/>
            </w:pPr>
            <w:r>
              <w:rPr>
                <w:rFonts w:ascii="Times New Roman" w:eastAsia="宋体" w:hAnsi="Times New Roman"/>
                <w:color w:val="000000"/>
                <w:sz w:val="20"/>
                <w:szCs w:val="20"/>
              </w:rPr>
              <w:t>Infrastructure Solutions Group</w:t>
            </w:r>
          </w:p>
        </w:tc>
        <w:tc>
          <w:tcPr>
            <w:tcW w:w="0" w:type="auto"/>
            <w:shd w:val="clear" w:color="auto" w:fill="auto"/>
          </w:tcPr>
          <w:p w14:paraId="7DD018BC" w14:textId="77777777" w:rsidR="00C1563E" w:rsidRDefault="00C1563E">
            <w:pPr>
              <w:rPr>
                <w:rFonts w:ascii="宋体"/>
                <w:vanish/>
              </w:rPr>
            </w:pPr>
          </w:p>
        </w:tc>
        <w:tc>
          <w:tcPr>
            <w:tcW w:w="0" w:type="auto"/>
            <w:shd w:val="clear" w:color="auto" w:fill="auto"/>
          </w:tcPr>
          <w:p w14:paraId="7DD018BD" w14:textId="77777777" w:rsidR="00C1563E" w:rsidRDefault="00C1563E">
            <w:pPr>
              <w:rPr>
                <w:rFonts w:ascii="宋体"/>
                <w:vanish/>
              </w:rPr>
            </w:pPr>
          </w:p>
        </w:tc>
        <w:tc>
          <w:tcPr>
            <w:tcW w:w="0" w:type="auto"/>
            <w:shd w:val="clear" w:color="auto" w:fill="auto"/>
          </w:tcPr>
          <w:p w14:paraId="7DD018BE" w14:textId="77777777" w:rsidR="00C1563E" w:rsidRDefault="00C1563E">
            <w:pPr>
              <w:rPr>
                <w:rFonts w:ascii="宋体"/>
                <w:vanish/>
              </w:rPr>
            </w:pPr>
          </w:p>
        </w:tc>
        <w:tc>
          <w:tcPr>
            <w:tcW w:w="0" w:type="auto"/>
            <w:shd w:val="clear" w:color="auto" w:fill="auto"/>
          </w:tcPr>
          <w:p w14:paraId="7DD018BF"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D018C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C1" w14:textId="77777777" w:rsidR="00C1563E" w:rsidRDefault="000B648B">
            <w:pPr>
              <w:jc w:val="right"/>
              <w:textAlignment w:val="bottom"/>
            </w:pPr>
            <w:r>
              <w:rPr>
                <w:rFonts w:ascii="Times New Roman" w:eastAsia="宋体" w:hAnsi="Times New Roman"/>
                <w:color w:val="000000"/>
                <w:sz w:val="20"/>
                <w:szCs w:val="20"/>
              </w:rPr>
              <w:t>3,776 </w:t>
            </w:r>
          </w:p>
        </w:tc>
        <w:tc>
          <w:tcPr>
            <w:tcW w:w="0" w:type="auto"/>
            <w:shd w:val="clear" w:color="auto" w:fill="FFFFFF"/>
            <w:tcMar>
              <w:top w:w="40" w:type="dxa"/>
              <w:left w:w="0" w:type="dxa"/>
              <w:bottom w:w="40" w:type="dxa"/>
              <w:right w:w="20" w:type="dxa"/>
            </w:tcMar>
            <w:vAlign w:val="bottom"/>
          </w:tcPr>
          <w:p w14:paraId="7DD018C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C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8C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C5" w14:textId="77777777" w:rsidR="00C1563E" w:rsidRDefault="000B648B">
            <w:pPr>
              <w:jc w:val="right"/>
              <w:textAlignment w:val="bottom"/>
            </w:pPr>
            <w:r>
              <w:rPr>
                <w:rFonts w:ascii="Times New Roman" w:eastAsia="宋体" w:hAnsi="Times New Roman"/>
                <w:color w:val="000000"/>
                <w:sz w:val="20"/>
                <w:szCs w:val="20"/>
              </w:rPr>
              <w:t>4,001 </w:t>
            </w:r>
          </w:p>
        </w:tc>
        <w:tc>
          <w:tcPr>
            <w:tcW w:w="0" w:type="auto"/>
            <w:shd w:val="clear" w:color="auto" w:fill="FFFFFF"/>
            <w:tcMar>
              <w:top w:w="40" w:type="dxa"/>
              <w:left w:w="0" w:type="dxa"/>
              <w:bottom w:w="40" w:type="dxa"/>
              <w:right w:w="20" w:type="dxa"/>
            </w:tcMar>
            <w:vAlign w:val="bottom"/>
          </w:tcPr>
          <w:p w14:paraId="7DD018C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C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8C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8C9" w14:textId="77777777" w:rsidR="00C1563E" w:rsidRDefault="000B648B">
            <w:pPr>
              <w:jc w:val="right"/>
              <w:textAlignment w:val="bottom"/>
            </w:pPr>
            <w:r>
              <w:rPr>
                <w:rFonts w:ascii="Times New Roman" w:eastAsia="宋体" w:hAnsi="Times New Roman"/>
                <w:color w:val="000000"/>
                <w:sz w:val="20"/>
                <w:szCs w:val="20"/>
              </w:rPr>
              <w:t>4,151 </w:t>
            </w:r>
          </w:p>
        </w:tc>
        <w:tc>
          <w:tcPr>
            <w:tcW w:w="0" w:type="auto"/>
            <w:shd w:val="clear" w:color="auto" w:fill="FFFFFF"/>
            <w:tcMar>
              <w:top w:w="40" w:type="dxa"/>
              <w:left w:w="0" w:type="dxa"/>
              <w:bottom w:w="40" w:type="dxa"/>
              <w:right w:w="20" w:type="dxa"/>
            </w:tcMar>
            <w:vAlign w:val="bottom"/>
          </w:tcPr>
          <w:p w14:paraId="7DD018CA" w14:textId="77777777" w:rsidR="00C1563E" w:rsidRDefault="00C1563E">
            <w:pPr>
              <w:jc w:val="right"/>
              <w:rPr>
                <w:rFonts w:ascii="宋体"/>
              </w:rPr>
            </w:pPr>
          </w:p>
        </w:tc>
      </w:tr>
      <w:tr w:rsidR="00C1563E" w14:paraId="7DD018D9" w14:textId="77777777">
        <w:tc>
          <w:tcPr>
            <w:tcW w:w="0" w:type="auto"/>
            <w:gridSpan w:val="3"/>
            <w:shd w:val="clear" w:color="auto" w:fill="CCEEFF"/>
            <w:tcMar>
              <w:top w:w="40" w:type="dxa"/>
              <w:left w:w="20" w:type="dxa"/>
              <w:bottom w:w="40" w:type="dxa"/>
              <w:right w:w="20" w:type="dxa"/>
            </w:tcMar>
            <w:vAlign w:val="bottom"/>
          </w:tcPr>
          <w:p w14:paraId="7DD018CC" w14:textId="77777777" w:rsidR="00C1563E" w:rsidRDefault="000B648B">
            <w:pPr>
              <w:textAlignment w:val="bottom"/>
            </w:pPr>
            <w:r>
              <w:rPr>
                <w:rFonts w:ascii="Times New Roman" w:eastAsia="宋体" w:hAnsi="Times New Roman"/>
                <w:color w:val="000000"/>
                <w:sz w:val="20"/>
                <w:szCs w:val="20"/>
              </w:rPr>
              <w:t>Client Solutions Group</w:t>
            </w:r>
          </w:p>
        </w:tc>
        <w:tc>
          <w:tcPr>
            <w:tcW w:w="0" w:type="auto"/>
            <w:shd w:val="clear" w:color="auto" w:fill="auto"/>
          </w:tcPr>
          <w:p w14:paraId="7DD018CD" w14:textId="77777777" w:rsidR="00C1563E" w:rsidRDefault="00C1563E">
            <w:pPr>
              <w:rPr>
                <w:rFonts w:ascii="宋体"/>
                <w:vanish/>
              </w:rPr>
            </w:pPr>
          </w:p>
        </w:tc>
        <w:tc>
          <w:tcPr>
            <w:tcW w:w="0" w:type="auto"/>
            <w:shd w:val="clear" w:color="auto" w:fill="auto"/>
          </w:tcPr>
          <w:p w14:paraId="7DD018CE" w14:textId="77777777" w:rsidR="00C1563E" w:rsidRDefault="00C1563E">
            <w:pPr>
              <w:rPr>
                <w:rFonts w:ascii="宋体"/>
                <w:vanish/>
              </w:rPr>
            </w:pPr>
          </w:p>
        </w:tc>
        <w:tc>
          <w:tcPr>
            <w:tcW w:w="0" w:type="auto"/>
            <w:shd w:val="clear" w:color="auto" w:fill="auto"/>
          </w:tcPr>
          <w:p w14:paraId="7DD018CF" w14:textId="77777777" w:rsidR="00C1563E" w:rsidRDefault="00C1563E">
            <w:pPr>
              <w:rPr>
                <w:rFonts w:ascii="宋体"/>
                <w:vanish/>
              </w:rPr>
            </w:pPr>
          </w:p>
        </w:tc>
        <w:tc>
          <w:tcPr>
            <w:tcW w:w="0" w:type="auto"/>
            <w:shd w:val="clear" w:color="auto" w:fill="auto"/>
          </w:tcPr>
          <w:p w14:paraId="7DD018D0"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8D1" w14:textId="77777777" w:rsidR="00C1563E" w:rsidRDefault="000B648B">
            <w:pPr>
              <w:jc w:val="right"/>
              <w:textAlignment w:val="bottom"/>
            </w:pPr>
            <w:r>
              <w:rPr>
                <w:rFonts w:ascii="Times New Roman" w:eastAsia="宋体" w:hAnsi="Times New Roman"/>
                <w:color w:val="000000"/>
                <w:sz w:val="20"/>
                <w:szCs w:val="20"/>
              </w:rPr>
              <w:t>3,352 </w:t>
            </w:r>
          </w:p>
        </w:tc>
        <w:tc>
          <w:tcPr>
            <w:tcW w:w="0" w:type="auto"/>
            <w:shd w:val="clear" w:color="auto" w:fill="CCEEFF"/>
            <w:tcMar>
              <w:top w:w="40" w:type="dxa"/>
              <w:left w:w="0" w:type="dxa"/>
              <w:bottom w:w="40" w:type="dxa"/>
              <w:right w:w="20" w:type="dxa"/>
            </w:tcMar>
            <w:vAlign w:val="bottom"/>
          </w:tcPr>
          <w:p w14:paraId="7DD018D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D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D4" w14:textId="77777777" w:rsidR="00C1563E" w:rsidRDefault="000B648B">
            <w:pPr>
              <w:jc w:val="right"/>
              <w:textAlignment w:val="bottom"/>
            </w:pPr>
            <w:r>
              <w:rPr>
                <w:rFonts w:ascii="Times New Roman" w:eastAsia="宋体" w:hAnsi="Times New Roman"/>
                <w:color w:val="000000"/>
                <w:sz w:val="20"/>
                <w:szCs w:val="20"/>
              </w:rPr>
              <w:t>3,138 </w:t>
            </w:r>
          </w:p>
        </w:tc>
        <w:tc>
          <w:tcPr>
            <w:tcW w:w="0" w:type="auto"/>
            <w:shd w:val="clear" w:color="auto" w:fill="CCEEFF"/>
            <w:tcMar>
              <w:top w:w="40" w:type="dxa"/>
              <w:left w:w="0" w:type="dxa"/>
              <w:bottom w:w="40" w:type="dxa"/>
              <w:right w:w="20" w:type="dxa"/>
            </w:tcMar>
            <w:vAlign w:val="bottom"/>
          </w:tcPr>
          <w:p w14:paraId="7DD018D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D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8D7" w14:textId="77777777" w:rsidR="00C1563E" w:rsidRDefault="000B648B">
            <w:pPr>
              <w:jc w:val="right"/>
              <w:textAlignment w:val="bottom"/>
            </w:pPr>
            <w:r>
              <w:rPr>
                <w:rFonts w:ascii="Times New Roman" w:eastAsia="宋体" w:hAnsi="Times New Roman"/>
                <w:color w:val="000000"/>
                <w:sz w:val="20"/>
                <w:szCs w:val="20"/>
              </w:rPr>
              <w:t>1,960 </w:t>
            </w:r>
          </w:p>
        </w:tc>
        <w:tc>
          <w:tcPr>
            <w:tcW w:w="0" w:type="auto"/>
            <w:shd w:val="clear" w:color="auto" w:fill="CCEEFF"/>
            <w:tcMar>
              <w:top w:w="40" w:type="dxa"/>
              <w:left w:w="0" w:type="dxa"/>
              <w:bottom w:w="40" w:type="dxa"/>
              <w:right w:w="20" w:type="dxa"/>
            </w:tcMar>
            <w:vAlign w:val="bottom"/>
          </w:tcPr>
          <w:p w14:paraId="7DD018D8" w14:textId="77777777" w:rsidR="00C1563E" w:rsidRDefault="00C1563E">
            <w:pPr>
              <w:jc w:val="right"/>
              <w:rPr>
                <w:rFonts w:ascii="宋体"/>
              </w:rPr>
            </w:pPr>
          </w:p>
        </w:tc>
      </w:tr>
      <w:tr w:rsidR="00C1563E" w14:paraId="7DD018E7" w14:textId="77777777">
        <w:tc>
          <w:tcPr>
            <w:tcW w:w="0" w:type="auto"/>
            <w:gridSpan w:val="3"/>
            <w:shd w:val="clear" w:color="auto" w:fill="FFFFFF"/>
            <w:tcMar>
              <w:top w:w="40" w:type="dxa"/>
              <w:left w:w="20" w:type="dxa"/>
              <w:bottom w:w="40" w:type="dxa"/>
              <w:right w:w="20" w:type="dxa"/>
            </w:tcMar>
            <w:vAlign w:val="bottom"/>
          </w:tcPr>
          <w:p w14:paraId="7DD018DA" w14:textId="77777777" w:rsidR="00C1563E" w:rsidRDefault="000B648B">
            <w:pPr>
              <w:textAlignment w:val="bottom"/>
            </w:pPr>
            <w:r>
              <w:rPr>
                <w:rFonts w:ascii="Times New Roman" w:eastAsia="宋体" w:hAnsi="Times New Roman"/>
                <w:color w:val="000000"/>
                <w:sz w:val="20"/>
                <w:szCs w:val="20"/>
              </w:rPr>
              <w:t>VMware</w:t>
            </w:r>
          </w:p>
        </w:tc>
        <w:tc>
          <w:tcPr>
            <w:tcW w:w="0" w:type="auto"/>
            <w:shd w:val="clear" w:color="auto" w:fill="auto"/>
          </w:tcPr>
          <w:p w14:paraId="7DD018DB" w14:textId="77777777" w:rsidR="00C1563E" w:rsidRDefault="00C1563E">
            <w:pPr>
              <w:rPr>
                <w:rFonts w:ascii="宋体"/>
                <w:vanish/>
              </w:rPr>
            </w:pPr>
          </w:p>
        </w:tc>
        <w:tc>
          <w:tcPr>
            <w:tcW w:w="0" w:type="auto"/>
            <w:shd w:val="clear" w:color="auto" w:fill="auto"/>
          </w:tcPr>
          <w:p w14:paraId="7DD018DC" w14:textId="77777777" w:rsidR="00C1563E" w:rsidRDefault="00C1563E">
            <w:pPr>
              <w:rPr>
                <w:rFonts w:ascii="宋体"/>
                <w:vanish/>
              </w:rPr>
            </w:pPr>
          </w:p>
        </w:tc>
        <w:tc>
          <w:tcPr>
            <w:tcW w:w="0" w:type="auto"/>
            <w:shd w:val="clear" w:color="auto" w:fill="auto"/>
          </w:tcPr>
          <w:p w14:paraId="7DD018DD" w14:textId="77777777" w:rsidR="00C1563E" w:rsidRDefault="00C1563E">
            <w:pPr>
              <w:rPr>
                <w:rFonts w:ascii="宋体"/>
                <w:vanish/>
              </w:rPr>
            </w:pPr>
          </w:p>
        </w:tc>
        <w:tc>
          <w:tcPr>
            <w:tcW w:w="0" w:type="auto"/>
            <w:shd w:val="clear" w:color="auto" w:fill="auto"/>
          </w:tcPr>
          <w:p w14:paraId="7DD018DE"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8DF" w14:textId="77777777" w:rsidR="00C1563E" w:rsidRDefault="000B648B">
            <w:pPr>
              <w:jc w:val="right"/>
              <w:textAlignment w:val="bottom"/>
            </w:pPr>
            <w:r>
              <w:rPr>
                <w:rFonts w:ascii="Times New Roman" w:eastAsia="宋体" w:hAnsi="Times New Roman"/>
                <w:color w:val="000000"/>
                <w:sz w:val="20"/>
                <w:szCs w:val="20"/>
              </w:rPr>
              <w:t>3,571 </w:t>
            </w:r>
          </w:p>
        </w:tc>
        <w:tc>
          <w:tcPr>
            <w:tcW w:w="0" w:type="auto"/>
            <w:shd w:val="clear" w:color="auto" w:fill="FFFFFF"/>
            <w:tcMar>
              <w:top w:w="40" w:type="dxa"/>
              <w:left w:w="0" w:type="dxa"/>
              <w:bottom w:w="40" w:type="dxa"/>
              <w:right w:w="20" w:type="dxa"/>
            </w:tcMar>
            <w:vAlign w:val="bottom"/>
          </w:tcPr>
          <w:p w14:paraId="7DD018E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E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E2" w14:textId="77777777" w:rsidR="00C1563E" w:rsidRDefault="000B648B">
            <w:pPr>
              <w:jc w:val="right"/>
              <w:textAlignment w:val="bottom"/>
            </w:pPr>
            <w:r>
              <w:rPr>
                <w:rFonts w:ascii="Times New Roman" w:eastAsia="宋体" w:hAnsi="Times New Roman"/>
                <w:color w:val="000000"/>
                <w:sz w:val="20"/>
                <w:szCs w:val="20"/>
              </w:rPr>
              <w:t>3,081 </w:t>
            </w:r>
          </w:p>
        </w:tc>
        <w:tc>
          <w:tcPr>
            <w:tcW w:w="0" w:type="auto"/>
            <w:shd w:val="clear" w:color="auto" w:fill="FFFFFF"/>
            <w:tcMar>
              <w:top w:w="40" w:type="dxa"/>
              <w:left w:w="0" w:type="dxa"/>
              <w:bottom w:w="40" w:type="dxa"/>
              <w:right w:w="20" w:type="dxa"/>
            </w:tcMar>
            <w:vAlign w:val="bottom"/>
          </w:tcPr>
          <w:p w14:paraId="7DD018E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E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8E5" w14:textId="77777777" w:rsidR="00C1563E" w:rsidRDefault="000B648B">
            <w:pPr>
              <w:jc w:val="right"/>
              <w:textAlignment w:val="bottom"/>
            </w:pPr>
            <w:r>
              <w:rPr>
                <w:rFonts w:ascii="Times New Roman" w:eastAsia="宋体" w:hAnsi="Times New Roman"/>
                <w:color w:val="000000"/>
                <w:sz w:val="20"/>
                <w:szCs w:val="20"/>
              </w:rPr>
              <w:t>2,926 </w:t>
            </w:r>
          </w:p>
        </w:tc>
        <w:tc>
          <w:tcPr>
            <w:tcW w:w="0" w:type="auto"/>
            <w:shd w:val="clear" w:color="auto" w:fill="FFFFFF"/>
            <w:tcMar>
              <w:top w:w="40" w:type="dxa"/>
              <w:left w:w="0" w:type="dxa"/>
              <w:bottom w:w="40" w:type="dxa"/>
              <w:right w:w="20" w:type="dxa"/>
            </w:tcMar>
            <w:vAlign w:val="bottom"/>
          </w:tcPr>
          <w:p w14:paraId="7DD018E6" w14:textId="77777777" w:rsidR="00C1563E" w:rsidRDefault="00C1563E">
            <w:pPr>
              <w:jc w:val="right"/>
              <w:rPr>
                <w:rFonts w:ascii="宋体"/>
              </w:rPr>
            </w:pPr>
          </w:p>
        </w:tc>
      </w:tr>
      <w:tr w:rsidR="00C1563E" w14:paraId="7DD018F5" w14:textId="77777777">
        <w:tc>
          <w:tcPr>
            <w:tcW w:w="0" w:type="auto"/>
            <w:gridSpan w:val="3"/>
            <w:shd w:val="clear" w:color="auto" w:fill="CCEEFF"/>
            <w:tcMar>
              <w:top w:w="40" w:type="dxa"/>
              <w:left w:w="155" w:type="dxa"/>
              <w:bottom w:w="40" w:type="dxa"/>
              <w:right w:w="20" w:type="dxa"/>
            </w:tcMar>
            <w:vAlign w:val="bottom"/>
          </w:tcPr>
          <w:p w14:paraId="7DD018E8" w14:textId="77777777" w:rsidR="00C1563E" w:rsidRDefault="000B648B">
            <w:pPr>
              <w:textAlignment w:val="bottom"/>
            </w:pPr>
            <w:r>
              <w:rPr>
                <w:rFonts w:ascii="Times New Roman" w:eastAsia="宋体" w:hAnsi="Times New Roman"/>
                <w:color w:val="000000"/>
                <w:sz w:val="20"/>
                <w:szCs w:val="20"/>
              </w:rPr>
              <w:t>Reportable segment operating income</w:t>
            </w:r>
          </w:p>
        </w:tc>
        <w:tc>
          <w:tcPr>
            <w:tcW w:w="0" w:type="auto"/>
            <w:shd w:val="clear" w:color="auto" w:fill="auto"/>
          </w:tcPr>
          <w:p w14:paraId="7DD018E9" w14:textId="77777777" w:rsidR="00C1563E" w:rsidRDefault="00C1563E">
            <w:pPr>
              <w:rPr>
                <w:rFonts w:ascii="宋体"/>
                <w:vanish/>
              </w:rPr>
            </w:pPr>
          </w:p>
        </w:tc>
        <w:tc>
          <w:tcPr>
            <w:tcW w:w="0" w:type="auto"/>
            <w:shd w:val="clear" w:color="auto" w:fill="auto"/>
          </w:tcPr>
          <w:p w14:paraId="7DD018EA" w14:textId="77777777" w:rsidR="00C1563E" w:rsidRDefault="00C1563E">
            <w:pPr>
              <w:rPr>
                <w:rFonts w:ascii="宋体"/>
                <w:vanish/>
              </w:rPr>
            </w:pPr>
          </w:p>
        </w:tc>
        <w:tc>
          <w:tcPr>
            <w:tcW w:w="0" w:type="auto"/>
            <w:shd w:val="clear" w:color="auto" w:fill="auto"/>
          </w:tcPr>
          <w:p w14:paraId="7DD018EB" w14:textId="77777777" w:rsidR="00C1563E" w:rsidRDefault="00C1563E">
            <w:pPr>
              <w:rPr>
                <w:rFonts w:ascii="宋体"/>
                <w:vanish/>
              </w:rPr>
            </w:pPr>
          </w:p>
        </w:tc>
        <w:tc>
          <w:tcPr>
            <w:tcW w:w="0" w:type="auto"/>
            <w:shd w:val="clear" w:color="auto" w:fill="auto"/>
          </w:tcPr>
          <w:p w14:paraId="7DD018EC" w14:textId="77777777" w:rsidR="00C1563E" w:rsidRDefault="00C1563E">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ED" w14:textId="77777777" w:rsidR="00C1563E" w:rsidRDefault="000B648B">
            <w:pPr>
              <w:jc w:val="right"/>
              <w:textAlignment w:val="bottom"/>
            </w:pPr>
            <w:r>
              <w:rPr>
                <w:rFonts w:ascii="Times New Roman" w:eastAsia="宋体" w:hAnsi="Times New Roman"/>
                <w:color w:val="000000"/>
                <w:sz w:val="20"/>
                <w:szCs w:val="20"/>
              </w:rPr>
              <w:t>10,699 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E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E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F0" w14:textId="77777777" w:rsidR="00C1563E" w:rsidRDefault="000B648B">
            <w:pPr>
              <w:jc w:val="right"/>
              <w:textAlignment w:val="bottom"/>
            </w:pPr>
            <w:r>
              <w:rPr>
                <w:rFonts w:ascii="Times New Roman" w:eastAsia="宋体" w:hAnsi="Times New Roman"/>
                <w:color w:val="000000"/>
                <w:sz w:val="20"/>
                <w:szCs w:val="20"/>
              </w:rPr>
              <w:t>10,220 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F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8F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8F3" w14:textId="77777777" w:rsidR="00C1563E" w:rsidRDefault="000B648B">
            <w:pPr>
              <w:jc w:val="right"/>
              <w:textAlignment w:val="bottom"/>
            </w:pPr>
            <w:r>
              <w:rPr>
                <w:rFonts w:ascii="Times New Roman" w:eastAsia="宋体" w:hAnsi="Times New Roman"/>
                <w:color w:val="000000"/>
                <w:sz w:val="20"/>
                <w:szCs w:val="20"/>
              </w:rPr>
              <w:t>9,037 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8F4" w14:textId="77777777" w:rsidR="00C1563E" w:rsidRDefault="00C1563E">
            <w:pPr>
              <w:jc w:val="right"/>
              <w:rPr>
                <w:rFonts w:ascii="宋体"/>
              </w:rPr>
            </w:pPr>
          </w:p>
        </w:tc>
      </w:tr>
      <w:tr w:rsidR="00C1563E" w14:paraId="7DD01903" w14:textId="77777777">
        <w:tc>
          <w:tcPr>
            <w:tcW w:w="0" w:type="auto"/>
            <w:gridSpan w:val="3"/>
            <w:shd w:val="clear" w:color="auto" w:fill="FFFFFF"/>
            <w:tcMar>
              <w:top w:w="40" w:type="dxa"/>
              <w:left w:w="245" w:type="dxa"/>
              <w:bottom w:w="40" w:type="dxa"/>
              <w:right w:w="20" w:type="dxa"/>
            </w:tcMar>
            <w:vAlign w:val="bottom"/>
          </w:tcPr>
          <w:p w14:paraId="7DD018F6" w14:textId="77777777" w:rsidR="00C1563E" w:rsidRDefault="000B648B">
            <w:pPr>
              <w:textAlignment w:val="bottom"/>
            </w:pPr>
            <w:r>
              <w:rPr>
                <w:rFonts w:ascii="Times New Roman" w:eastAsia="宋体" w:hAnsi="Times New Roman"/>
                <w:color w:val="000000"/>
                <w:sz w:val="20"/>
                <w:szCs w:val="20"/>
              </w:rPr>
              <w:t>Other businesses (a)</w:t>
            </w:r>
          </w:p>
        </w:tc>
        <w:tc>
          <w:tcPr>
            <w:tcW w:w="0" w:type="auto"/>
            <w:shd w:val="clear" w:color="auto" w:fill="auto"/>
          </w:tcPr>
          <w:p w14:paraId="7DD018F7" w14:textId="77777777" w:rsidR="00C1563E" w:rsidRDefault="00C1563E">
            <w:pPr>
              <w:rPr>
                <w:rFonts w:ascii="宋体"/>
                <w:vanish/>
              </w:rPr>
            </w:pPr>
          </w:p>
        </w:tc>
        <w:tc>
          <w:tcPr>
            <w:tcW w:w="0" w:type="auto"/>
            <w:shd w:val="clear" w:color="auto" w:fill="auto"/>
          </w:tcPr>
          <w:p w14:paraId="7DD018F8" w14:textId="77777777" w:rsidR="00C1563E" w:rsidRDefault="00C1563E">
            <w:pPr>
              <w:rPr>
                <w:rFonts w:ascii="宋体"/>
                <w:vanish/>
              </w:rPr>
            </w:pPr>
          </w:p>
        </w:tc>
        <w:tc>
          <w:tcPr>
            <w:tcW w:w="0" w:type="auto"/>
            <w:shd w:val="clear" w:color="auto" w:fill="auto"/>
          </w:tcPr>
          <w:p w14:paraId="7DD018F9" w14:textId="77777777" w:rsidR="00C1563E" w:rsidRDefault="00C1563E">
            <w:pPr>
              <w:rPr>
                <w:rFonts w:ascii="宋体"/>
                <w:vanish/>
              </w:rPr>
            </w:pPr>
          </w:p>
        </w:tc>
        <w:tc>
          <w:tcPr>
            <w:tcW w:w="0" w:type="auto"/>
            <w:shd w:val="clear" w:color="auto" w:fill="auto"/>
          </w:tcPr>
          <w:p w14:paraId="7DD018FA" w14:textId="77777777" w:rsidR="00C1563E" w:rsidRDefault="00C1563E">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8FB" w14:textId="77777777" w:rsidR="00C1563E" w:rsidRDefault="000B648B">
            <w:pPr>
              <w:jc w:val="right"/>
              <w:textAlignment w:val="bottom"/>
            </w:pPr>
            <w:r>
              <w:rPr>
                <w:rFonts w:ascii="Times New Roman" w:eastAsia="宋体" w:hAnsi="Times New Roman"/>
                <w:color w:val="000000"/>
                <w:sz w:val="20"/>
                <w:szCs w:val="20"/>
              </w:rPr>
              <w:t>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8F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8FD"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8FE" w14:textId="77777777" w:rsidR="00C1563E" w:rsidRDefault="000B648B">
            <w:pPr>
              <w:jc w:val="right"/>
              <w:textAlignment w:val="bottom"/>
            </w:pPr>
            <w:r>
              <w:rPr>
                <w:rFonts w:ascii="Times New Roman" w:eastAsia="宋体" w:hAnsi="Times New Roman"/>
                <w:color w:val="000000"/>
                <w:sz w:val="20"/>
                <w:szCs w:val="20"/>
              </w:rPr>
              <w:t>(43)</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8F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00"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901" w14:textId="77777777" w:rsidR="00C1563E" w:rsidRDefault="000B648B">
            <w:pPr>
              <w:jc w:val="right"/>
              <w:textAlignment w:val="bottom"/>
            </w:pPr>
            <w:r>
              <w:rPr>
                <w:rFonts w:ascii="Times New Roman" w:eastAsia="宋体" w:hAnsi="Times New Roman"/>
                <w:color w:val="000000"/>
                <w:sz w:val="20"/>
                <w:szCs w:val="20"/>
              </w:rPr>
              <w:t>(111)</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902" w14:textId="77777777" w:rsidR="00C1563E" w:rsidRDefault="00C1563E">
            <w:pPr>
              <w:jc w:val="right"/>
              <w:rPr>
                <w:rFonts w:ascii="宋体"/>
              </w:rPr>
            </w:pPr>
          </w:p>
        </w:tc>
      </w:tr>
      <w:tr w:rsidR="00C1563E" w14:paraId="7DD01911" w14:textId="77777777">
        <w:tc>
          <w:tcPr>
            <w:tcW w:w="0" w:type="auto"/>
            <w:gridSpan w:val="3"/>
            <w:shd w:val="clear" w:color="auto" w:fill="CCEEFF"/>
            <w:tcMar>
              <w:top w:w="40" w:type="dxa"/>
              <w:left w:w="245" w:type="dxa"/>
              <w:bottom w:w="40" w:type="dxa"/>
              <w:right w:w="20" w:type="dxa"/>
            </w:tcMar>
            <w:vAlign w:val="bottom"/>
          </w:tcPr>
          <w:p w14:paraId="7DD01904" w14:textId="77777777" w:rsidR="00C1563E" w:rsidRDefault="000B648B">
            <w:pPr>
              <w:textAlignment w:val="bottom"/>
            </w:pPr>
            <w:r>
              <w:rPr>
                <w:rFonts w:ascii="Times New Roman" w:eastAsia="宋体" w:hAnsi="Times New Roman"/>
                <w:color w:val="000000"/>
                <w:sz w:val="20"/>
                <w:szCs w:val="20"/>
              </w:rPr>
              <w:t>Unallocated transactions (b)</w:t>
            </w:r>
          </w:p>
        </w:tc>
        <w:tc>
          <w:tcPr>
            <w:tcW w:w="0" w:type="auto"/>
            <w:shd w:val="clear" w:color="auto" w:fill="auto"/>
          </w:tcPr>
          <w:p w14:paraId="7DD01905" w14:textId="77777777" w:rsidR="00C1563E" w:rsidRDefault="00C1563E">
            <w:pPr>
              <w:rPr>
                <w:rFonts w:ascii="宋体"/>
                <w:vanish/>
              </w:rPr>
            </w:pPr>
          </w:p>
        </w:tc>
        <w:tc>
          <w:tcPr>
            <w:tcW w:w="0" w:type="auto"/>
            <w:shd w:val="clear" w:color="auto" w:fill="auto"/>
          </w:tcPr>
          <w:p w14:paraId="7DD01906" w14:textId="77777777" w:rsidR="00C1563E" w:rsidRDefault="00C1563E">
            <w:pPr>
              <w:rPr>
                <w:rFonts w:ascii="宋体"/>
                <w:vanish/>
              </w:rPr>
            </w:pPr>
          </w:p>
        </w:tc>
        <w:tc>
          <w:tcPr>
            <w:tcW w:w="0" w:type="auto"/>
            <w:shd w:val="clear" w:color="auto" w:fill="auto"/>
          </w:tcPr>
          <w:p w14:paraId="7DD01907" w14:textId="77777777" w:rsidR="00C1563E" w:rsidRDefault="00C1563E">
            <w:pPr>
              <w:rPr>
                <w:rFonts w:ascii="宋体"/>
                <w:vanish/>
              </w:rPr>
            </w:pPr>
          </w:p>
        </w:tc>
        <w:tc>
          <w:tcPr>
            <w:tcW w:w="0" w:type="auto"/>
            <w:shd w:val="clear" w:color="auto" w:fill="auto"/>
          </w:tcPr>
          <w:p w14:paraId="7DD01908"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90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90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0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0C" w14:textId="77777777" w:rsidR="00C1563E" w:rsidRDefault="000B648B">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7DD0190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0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0F" w14:textId="77777777" w:rsidR="00C1563E" w:rsidRDefault="000B648B">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left w:w="0" w:type="dxa"/>
              <w:bottom w:w="40" w:type="dxa"/>
              <w:right w:w="20" w:type="dxa"/>
            </w:tcMar>
            <w:vAlign w:val="bottom"/>
          </w:tcPr>
          <w:p w14:paraId="7DD01910" w14:textId="77777777" w:rsidR="00C1563E" w:rsidRDefault="00C1563E">
            <w:pPr>
              <w:jc w:val="right"/>
              <w:rPr>
                <w:rFonts w:ascii="宋体"/>
              </w:rPr>
            </w:pPr>
          </w:p>
        </w:tc>
      </w:tr>
      <w:tr w:rsidR="00C1563E" w14:paraId="7DD0191F" w14:textId="77777777">
        <w:tc>
          <w:tcPr>
            <w:tcW w:w="0" w:type="auto"/>
            <w:gridSpan w:val="3"/>
            <w:shd w:val="clear" w:color="auto" w:fill="FFFFFF"/>
            <w:tcMar>
              <w:top w:w="40" w:type="dxa"/>
              <w:left w:w="245" w:type="dxa"/>
              <w:bottom w:w="40" w:type="dxa"/>
              <w:right w:w="20" w:type="dxa"/>
            </w:tcMar>
            <w:vAlign w:val="bottom"/>
          </w:tcPr>
          <w:p w14:paraId="7DD01912" w14:textId="77777777" w:rsidR="00C1563E" w:rsidRDefault="000B648B">
            <w:pPr>
              <w:textAlignment w:val="bottom"/>
            </w:pPr>
            <w:r>
              <w:rPr>
                <w:rFonts w:ascii="Times New Roman" w:eastAsia="宋体" w:hAnsi="Times New Roman"/>
                <w:color w:val="000000"/>
                <w:sz w:val="20"/>
                <w:szCs w:val="20"/>
              </w:rPr>
              <w:t>Im</w:t>
            </w:r>
            <w:r>
              <w:rPr>
                <w:rFonts w:ascii="Times New Roman" w:eastAsia="宋体" w:hAnsi="Times New Roman"/>
                <w:color w:val="000000"/>
                <w:sz w:val="20"/>
                <w:szCs w:val="20"/>
              </w:rPr>
              <w:t>pact of purchase accounting (c)</w:t>
            </w:r>
          </w:p>
        </w:tc>
        <w:tc>
          <w:tcPr>
            <w:tcW w:w="0" w:type="auto"/>
            <w:shd w:val="clear" w:color="auto" w:fill="auto"/>
          </w:tcPr>
          <w:p w14:paraId="7DD01913" w14:textId="77777777" w:rsidR="00C1563E" w:rsidRDefault="00C1563E">
            <w:pPr>
              <w:rPr>
                <w:rFonts w:ascii="宋体"/>
                <w:vanish/>
              </w:rPr>
            </w:pPr>
          </w:p>
        </w:tc>
        <w:tc>
          <w:tcPr>
            <w:tcW w:w="0" w:type="auto"/>
            <w:shd w:val="clear" w:color="auto" w:fill="auto"/>
          </w:tcPr>
          <w:p w14:paraId="7DD01914" w14:textId="77777777" w:rsidR="00C1563E" w:rsidRDefault="00C1563E">
            <w:pPr>
              <w:rPr>
                <w:rFonts w:ascii="宋体"/>
                <w:vanish/>
              </w:rPr>
            </w:pPr>
          </w:p>
        </w:tc>
        <w:tc>
          <w:tcPr>
            <w:tcW w:w="0" w:type="auto"/>
            <w:shd w:val="clear" w:color="auto" w:fill="auto"/>
          </w:tcPr>
          <w:p w14:paraId="7DD01915" w14:textId="77777777" w:rsidR="00C1563E" w:rsidRDefault="00C1563E">
            <w:pPr>
              <w:rPr>
                <w:rFonts w:ascii="宋体"/>
                <w:vanish/>
              </w:rPr>
            </w:pPr>
          </w:p>
        </w:tc>
        <w:tc>
          <w:tcPr>
            <w:tcW w:w="0" w:type="auto"/>
            <w:shd w:val="clear" w:color="auto" w:fill="auto"/>
          </w:tcPr>
          <w:p w14:paraId="7DD01916"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917" w14:textId="77777777" w:rsidR="00C1563E" w:rsidRDefault="000B648B">
            <w:pPr>
              <w:jc w:val="right"/>
              <w:textAlignment w:val="bottom"/>
            </w:pPr>
            <w:r>
              <w:rPr>
                <w:rFonts w:ascii="Times New Roman" w:eastAsia="宋体" w:hAnsi="Times New Roman"/>
                <w:color w:val="000000"/>
                <w:sz w:val="20"/>
                <w:szCs w:val="20"/>
              </w:rPr>
              <w:t>(213)</w:t>
            </w:r>
          </w:p>
        </w:tc>
        <w:tc>
          <w:tcPr>
            <w:tcW w:w="0" w:type="auto"/>
            <w:shd w:val="clear" w:color="auto" w:fill="FFFFFF"/>
            <w:tcMar>
              <w:top w:w="40" w:type="dxa"/>
              <w:left w:w="0" w:type="dxa"/>
              <w:bottom w:w="40" w:type="dxa"/>
              <w:right w:w="20" w:type="dxa"/>
            </w:tcMar>
            <w:vAlign w:val="bottom"/>
          </w:tcPr>
          <w:p w14:paraId="7DD0191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1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1A" w14:textId="77777777" w:rsidR="00C1563E" w:rsidRDefault="000B648B">
            <w:pPr>
              <w:jc w:val="right"/>
              <w:textAlignment w:val="bottom"/>
            </w:pPr>
            <w:r>
              <w:rPr>
                <w:rFonts w:ascii="Times New Roman" w:eastAsia="宋体" w:hAnsi="Times New Roman"/>
                <w:color w:val="000000"/>
                <w:sz w:val="20"/>
                <w:szCs w:val="20"/>
              </w:rPr>
              <w:t>(411)</w:t>
            </w:r>
          </w:p>
        </w:tc>
        <w:tc>
          <w:tcPr>
            <w:tcW w:w="0" w:type="auto"/>
            <w:shd w:val="clear" w:color="auto" w:fill="FFFFFF"/>
            <w:tcMar>
              <w:top w:w="40" w:type="dxa"/>
              <w:left w:w="0" w:type="dxa"/>
              <w:bottom w:w="40" w:type="dxa"/>
              <w:right w:w="20" w:type="dxa"/>
            </w:tcMar>
            <w:vAlign w:val="bottom"/>
          </w:tcPr>
          <w:p w14:paraId="7DD0191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1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1D" w14:textId="77777777" w:rsidR="00C1563E" w:rsidRDefault="000B648B">
            <w:pPr>
              <w:jc w:val="right"/>
              <w:textAlignment w:val="bottom"/>
            </w:pPr>
            <w:r>
              <w:rPr>
                <w:rFonts w:ascii="Times New Roman" w:eastAsia="宋体" w:hAnsi="Times New Roman"/>
                <w:color w:val="000000"/>
                <w:sz w:val="20"/>
                <w:szCs w:val="20"/>
              </w:rPr>
              <w:t>(820)</w:t>
            </w:r>
          </w:p>
        </w:tc>
        <w:tc>
          <w:tcPr>
            <w:tcW w:w="0" w:type="auto"/>
            <w:shd w:val="clear" w:color="auto" w:fill="FFFFFF"/>
            <w:tcMar>
              <w:top w:w="40" w:type="dxa"/>
              <w:left w:w="0" w:type="dxa"/>
              <w:bottom w:w="40" w:type="dxa"/>
              <w:right w:w="20" w:type="dxa"/>
            </w:tcMar>
            <w:vAlign w:val="bottom"/>
          </w:tcPr>
          <w:p w14:paraId="7DD0191E" w14:textId="77777777" w:rsidR="00C1563E" w:rsidRDefault="00C1563E">
            <w:pPr>
              <w:jc w:val="right"/>
              <w:rPr>
                <w:rFonts w:ascii="宋体"/>
              </w:rPr>
            </w:pPr>
          </w:p>
        </w:tc>
      </w:tr>
      <w:tr w:rsidR="00C1563E" w14:paraId="7DD0192D" w14:textId="77777777">
        <w:tc>
          <w:tcPr>
            <w:tcW w:w="0" w:type="auto"/>
            <w:gridSpan w:val="3"/>
            <w:shd w:val="clear" w:color="auto" w:fill="CCEEFF"/>
            <w:tcMar>
              <w:top w:w="40" w:type="dxa"/>
              <w:left w:w="245" w:type="dxa"/>
              <w:bottom w:w="40" w:type="dxa"/>
              <w:right w:w="20" w:type="dxa"/>
            </w:tcMar>
            <w:vAlign w:val="bottom"/>
          </w:tcPr>
          <w:p w14:paraId="7DD01920" w14:textId="77777777" w:rsidR="00C1563E" w:rsidRDefault="000B648B">
            <w:pPr>
              <w:textAlignment w:val="bottom"/>
            </w:pPr>
            <w:r>
              <w:rPr>
                <w:rFonts w:ascii="Times New Roman" w:eastAsia="宋体" w:hAnsi="Times New Roman"/>
                <w:color w:val="000000"/>
                <w:sz w:val="20"/>
                <w:szCs w:val="20"/>
              </w:rPr>
              <w:t>Am</w:t>
            </w:r>
            <w:r>
              <w:rPr>
                <w:rFonts w:ascii="Times New Roman" w:eastAsia="宋体" w:hAnsi="Times New Roman"/>
                <w:color w:val="000000"/>
                <w:sz w:val="20"/>
                <w:szCs w:val="20"/>
              </w:rPr>
              <w:t>ortization of intangibles</w:t>
            </w:r>
          </w:p>
        </w:tc>
        <w:tc>
          <w:tcPr>
            <w:tcW w:w="0" w:type="auto"/>
            <w:shd w:val="clear" w:color="auto" w:fill="auto"/>
          </w:tcPr>
          <w:p w14:paraId="7DD01921" w14:textId="77777777" w:rsidR="00C1563E" w:rsidRDefault="00C1563E">
            <w:pPr>
              <w:rPr>
                <w:rFonts w:ascii="宋体"/>
                <w:vanish/>
              </w:rPr>
            </w:pPr>
          </w:p>
        </w:tc>
        <w:tc>
          <w:tcPr>
            <w:tcW w:w="0" w:type="auto"/>
            <w:shd w:val="clear" w:color="auto" w:fill="auto"/>
          </w:tcPr>
          <w:p w14:paraId="7DD01922" w14:textId="77777777" w:rsidR="00C1563E" w:rsidRDefault="00C1563E">
            <w:pPr>
              <w:rPr>
                <w:rFonts w:ascii="宋体"/>
                <w:vanish/>
              </w:rPr>
            </w:pPr>
          </w:p>
        </w:tc>
        <w:tc>
          <w:tcPr>
            <w:tcW w:w="0" w:type="auto"/>
            <w:shd w:val="clear" w:color="auto" w:fill="auto"/>
          </w:tcPr>
          <w:p w14:paraId="7DD01923" w14:textId="77777777" w:rsidR="00C1563E" w:rsidRDefault="00C1563E">
            <w:pPr>
              <w:rPr>
                <w:rFonts w:ascii="宋体"/>
                <w:vanish/>
              </w:rPr>
            </w:pPr>
          </w:p>
        </w:tc>
        <w:tc>
          <w:tcPr>
            <w:tcW w:w="0" w:type="auto"/>
            <w:shd w:val="clear" w:color="auto" w:fill="auto"/>
          </w:tcPr>
          <w:p w14:paraId="7DD01924"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925" w14:textId="77777777" w:rsidR="00C1563E" w:rsidRDefault="000B648B">
            <w:pPr>
              <w:jc w:val="right"/>
              <w:textAlignment w:val="bottom"/>
            </w:pPr>
            <w:r>
              <w:rPr>
                <w:rFonts w:ascii="Times New Roman" w:eastAsia="宋体" w:hAnsi="Times New Roman"/>
                <w:color w:val="000000"/>
                <w:sz w:val="20"/>
                <w:szCs w:val="20"/>
              </w:rPr>
              <w:t>(3,393)</w:t>
            </w:r>
          </w:p>
        </w:tc>
        <w:tc>
          <w:tcPr>
            <w:tcW w:w="0" w:type="auto"/>
            <w:shd w:val="clear" w:color="auto" w:fill="CCEEFF"/>
            <w:tcMar>
              <w:top w:w="40" w:type="dxa"/>
              <w:left w:w="0" w:type="dxa"/>
              <w:bottom w:w="40" w:type="dxa"/>
              <w:right w:w="20" w:type="dxa"/>
            </w:tcMar>
            <w:vAlign w:val="bottom"/>
          </w:tcPr>
          <w:p w14:paraId="7DD0192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2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28" w14:textId="77777777" w:rsidR="00C1563E" w:rsidRDefault="000B648B">
            <w:pPr>
              <w:jc w:val="right"/>
              <w:textAlignment w:val="bottom"/>
            </w:pPr>
            <w:r>
              <w:rPr>
                <w:rFonts w:ascii="Times New Roman" w:eastAsia="宋体" w:hAnsi="Times New Roman"/>
                <w:color w:val="000000"/>
                <w:sz w:val="20"/>
                <w:szCs w:val="20"/>
              </w:rPr>
              <w:t>(4,408)</w:t>
            </w:r>
          </w:p>
        </w:tc>
        <w:tc>
          <w:tcPr>
            <w:tcW w:w="0" w:type="auto"/>
            <w:shd w:val="clear" w:color="auto" w:fill="CCEEFF"/>
            <w:tcMar>
              <w:top w:w="40" w:type="dxa"/>
              <w:left w:w="0" w:type="dxa"/>
              <w:bottom w:w="40" w:type="dxa"/>
              <w:right w:w="20" w:type="dxa"/>
            </w:tcMar>
            <w:vAlign w:val="bottom"/>
          </w:tcPr>
          <w:p w14:paraId="7DD0192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2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2B" w14:textId="77777777" w:rsidR="00C1563E" w:rsidRDefault="000B648B">
            <w:pPr>
              <w:jc w:val="right"/>
              <w:textAlignment w:val="bottom"/>
            </w:pPr>
            <w:r>
              <w:rPr>
                <w:rFonts w:ascii="Times New Roman" w:eastAsia="宋体" w:hAnsi="Times New Roman"/>
                <w:color w:val="000000"/>
                <w:sz w:val="20"/>
                <w:szCs w:val="20"/>
              </w:rPr>
              <w:t>(6,138)</w:t>
            </w:r>
          </w:p>
        </w:tc>
        <w:tc>
          <w:tcPr>
            <w:tcW w:w="0" w:type="auto"/>
            <w:shd w:val="clear" w:color="auto" w:fill="CCEEFF"/>
            <w:tcMar>
              <w:top w:w="40" w:type="dxa"/>
              <w:left w:w="0" w:type="dxa"/>
              <w:bottom w:w="40" w:type="dxa"/>
              <w:right w:w="20" w:type="dxa"/>
            </w:tcMar>
            <w:vAlign w:val="bottom"/>
          </w:tcPr>
          <w:p w14:paraId="7DD0192C" w14:textId="77777777" w:rsidR="00C1563E" w:rsidRDefault="00C1563E">
            <w:pPr>
              <w:jc w:val="right"/>
              <w:rPr>
                <w:rFonts w:ascii="宋体"/>
              </w:rPr>
            </w:pPr>
          </w:p>
        </w:tc>
      </w:tr>
      <w:tr w:rsidR="00C1563E" w14:paraId="7DD0193B" w14:textId="77777777">
        <w:tc>
          <w:tcPr>
            <w:tcW w:w="0" w:type="auto"/>
            <w:gridSpan w:val="3"/>
            <w:shd w:val="clear" w:color="auto" w:fill="FFFFFF"/>
            <w:tcMar>
              <w:top w:w="40" w:type="dxa"/>
              <w:left w:w="245" w:type="dxa"/>
              <w:bottom w:w="40" w:type="dxa"/>
              <w:right w:w="20" w:type="dxa"/>
            </w:tcMar>
            <w:vAlign w:val="bottom"/>
          </w:tcPr>
          <w:p w14:paraId="7DD0192E" w14:textId="77777777" w:rsidR="00C1563E" w:rsidRDefault="000B648B">
            <w:pPr>
              <w:textAlignment w:val="bottom"/>
            </w:pPr>
            <w:r>
              <w:rPr>
                <w:rFonts w:ascii="Times New Roman" w:eastAsia="宋体" w:hAnsi="Times New Roman"/>
                <w:color w:val="000000"/>
                <w:sz w:val="20"/>
                <w:szCs w:val="20"/>
              </w:rPr>
              <w:t>Transaction-related expenses (d)</w:t>
            </w:r>
          </w:p>
        </w:tc>
        <w:tc>
          <w:tcPr>
            <w:tcW w:w="0" w:type="auto"/>
            <w:shd w:val="clear" w:color="auto" w:fill="auto"/>
          </w:tcPr>
          <w:p w14:paraId="7DD0192F" w14:textId="77777777" w:rsidR="00C1563E" w:rsidRDefault="00C1563E">
            <w:pPr>
              <w:rPr>
                <w:rFonts w:ascii="宋体"/>
                <w:vanish/>
              </w:rPr>
            </w:pPr>
          </w:p>
        </w:tc>
        <w:tc>
          <w:tcPr>
            <w:tcW w:w="0" w:type="auto"/>
            <w:shd w:val="clear" w:color="auto" w:fill="auto"/>
          </w:tcPr>
          <w:p w14:paraId="7DD01930" w14:textId="77777777" w:rsidR="00C1563E" w:rsidRDefault="00C1563E">
            <w:pPr>
              <w:rPr>
                <w:rFonts w:ascii="宋体"/>
                <w:vanish/>
              </w:rPr>
            </w:pPr>
          </w:p>
        </w:tc>
        <w:tc>
          <w:tcPr>
            <w:tcW w:w="0" w:type="auto"/>
            <w:shd w:val="clear" w:color="auto" w:fill="auto"/>
          </w:tcPr>
          <w:p w14:paraId="7DD01931" w14:textId="77777777" w:rsidR="00C1563E" w:rsidRDefault="00C1563E">
            <w:pPr>
              <w:rPr>
                <w:rFonts w:ascii="宋体"/>
                <w:vanish/>
              </w:rPr>
            </w:pPr>
          </w:p>
        </w:tc>
        <w:tc>
          <w:tcPr>
            <w:tcW w:w="0" w:type="auto"/>
            <w:shd w:val="clear" w:color="auto" w:fill="auto"/>
          </w:tcPr>
          <w:p w14:paraId="7DD01932"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933" w14:textId="77777777" w:rsidR="00C1563E" w:rsidRDefault="000B648B">
            <w:pPr>
              <w:jc w:val="right"/>
              <w:textAlignment w:val="bottom"/>
            </w:pPr>
            <w:r>
              <w:rPr>
                <w:rFonts w:ascii="Times New Roman" w:eastAsia="宋体" w:hAnsi="Times New Roman"/>
                <w:color w:val="000000"/>
                <w:sz w:val="20"/>
                <w:szCs w:val="20"/>
              </w:rPr>
              <w:t>(257)</w:t>
            </w:r>
          </w:p>
        </w:tc>
        <w:tc>
          <w:tcPr>
            <w:tcW w:w="0" w:type="auto"/>
            <w:shd w:val="clear" w:color="auto" w:fill="FFFFFF"/>
            <w:tcMar>
              <w:top w:w="40" w:type="dxa"/>
              <w:left w:w="0" w:type="dxa"/>
              <w:bottom w:w="40" w:type="dxa"/>
              <w:right w:w="20" w:type="dxa"/>
            </w:tcMar>
            <w:vAlign w:val="bottom"/>
          </w:tcPr>
          <w:p w14:paraId="7DD0193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3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36" w14:textId="77777777" w:rsidR="00C1563E" w:rsidRDefault="000B648B">
            <w:pPr>
              <w:jc w:val="right"/>
              <w:textAlignment w:val="bottom"/>
            </w:pPr>
            <w:r>
              <w:rPr>
                <w:rFonts w:ascii="Times New Roman" w:eastAsia="宋体" w:hAnsi="Times New Roman"/>
                <w:color w:val="000000"/>
                <w:sz w:val="20"/>
                <w:szCs w:val="20"/>
              </w:rPr>
              <w:t>(285)</w:t>
            </w:r>
          </w:p>
        </w:tc>
        <w:tc>
          <w:tcPr>
            <w:tcW w:w="0" w:type="auto"/>
            <w:shd w:val="clear" w:color="auto" w:fill="FFFFFF"/>
            <w:tcMar>
              <w:top w:w="40" w:type="dxa"/>
              <w:left w:w="0" w:type="dxa"/>
              <w:bottom w:w="40" w:type="dxa"/>
              <w:right w:w="20" w:type="dxa"/>
            </w:tcMar>
            <w:vAlign w:val="bottom"/>
          </w:tcPr>
          <w:p w14:paraId="7DD0193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3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39" w14:textId="77777777" w:rsidR="00C1563E" w:rsidRDefault="000B648B">
            <w:pPr>
              <w:jc w:val="right"/>
              <w:textAlignment w:val="bottom"/>
            </w:pPr>
            <w:r>
              <w:rPr>
                <w:rFonts w:ascii="Times New Roman" w:eastAsia="宋体" w:hAnsi="Times New Roman"/>
                <w:color w:val="000000"/>
                <w:sz w:val="20"/>
                <w:szCs w:val="20"/>
              </w:rPr>
              <w:t>(750)</w:t>
            </w:r>
          </w:p>
        </w:tc>
        <w:tc>
          <w:tcPr>
            <w:tcW w:w="0" w:type="auto"/>
            <w:shd w:val="clear" w:color="auto" w:fill="FFFFFF"/>
            <w:tcMar>
              <w:top w:w="40" w:type="dxa"/>
              <w:left w:w="0" w:type="dxa"/>
              <w:bottom w:w="40" w:type="dxa"/>
              <w:right w:w="20" w:type="dxa"/>
            </w:tcMar>
            <w:vAlign w:val="bottom"/>
          </w:tcPr>
          <w:p w14:paraId="7DD0193A" w14:textId="77777777" w:rsidR="00C1563E" w:rsidRDefault="00C1563E">
            <w:pPr>
              <w:jc w:val="right"/>
              <w:rPr>
                <w:rFonts w:ascii="宋体"/>
              </w:rPr>
            </w:pPr>
          </w:p>
        </w:tc>
      </w:tr>
      <w:tr w:rsidR="00C1563E" w14:paraId="7DD01949" w14:textId="77777777">
        <w:tc>
          <w:tcPr>
            <w:tcW w:w="0" w:type="auto"/>
            <w:gridSpan w:val="3"/>
            <w:shd w:val="clear" w:color="auto" w:fill="CCEEFF"/>
            <w:tcMar>
              <w:top w:w="40" w:type="dxa"/>
              <w:left w:w="245" w:type="dxa"/>
              <w:bottom w:w="40" w:type="dxa"/>
              <w:right w:w="20" w:type="dxa"/>
            </w:tcMar>
            <w:vAlign w:val="bottom"/>
          </w:tcPr>
          <w:p w14:paraId="7DD0193C" w14:textId="77777777" w:rsidR="00C1563E" w:rsidRDefault="000B648B">
            <w:pPr>
              <w:textAlignment w:val="bottom"/>
            </w:pPr>
            <w:r>
              <w:rPr>
                <w:rFonts w:ascii="Times New Roman" w:eastAsia="宋体" w:hAnsi="Times New Roman"/>
                <w:color w:val="000000"/>
                <w:sz w:val="20"/>
                <w:szCs w:val="20"/>
              </w:rPr>
              <w:t>St</w:t>
            </w:r>
            <w:r>
              <w:rPr>
                <w:rFonts w:ascii="Times New Roman" w:eastAsia="宋体" w:hAnsi="Times New Roman"/>
                <w:color w:val="000000"/>
                <w:sz w:val="20"/>
                <w:szCs w:val="20"/>
              </w:rPr>
              <w:t>ock-based compensation expense (e)</w:t>
            </w:r>
          </w:p>
        </w:tc>
        <w:tc>
          <w:tcPr>
            <w:tcW w:w="0" w:type="auto"/>
            <w:shd w:val="clear" w:color="auto" w:fill="auto"/>
          </w:tcPr>
          <w:p w14:paraId="7DD0193D" w14:textId="77777777" w:rsidR="00C1563E" w:rsidRDefault="00C1563E">
            <w:pPr>
              <w:rPr>
                <w:rFonts w:ascii="宋体"/>
                <w:vanish/>
              </w:rPr>
            </w:pPr>
          </w:p>
        </w:tc>
        <w:tc>
          <w:tcPr>
            <w:tcW w:w="0" w:type="auto"/>
            <w:shd w:val="clear" w:color="auto" w:fill="auto"/>
          </w:tcPr>
          <w:p w14:paraId="7DD0193E" w14:textId="77777777" w:rsidR="00C1563E" w:rsidRDefault="00C1563E">
            <w:pPr>
              <w:rPr>
                <w:rFonts w:ascii="宋体"/>
                <w:vanish/>
              </w:rPr>
            </w:pPr>
          </w:p>
        </w:tc>
        <w:tc>
          <w:tcPr>
            <w:tcW w:w="0" w:type="auto"/>
            <w:shd w:val="clear" w:color="auto" w:fill="auto"/>
          </w:tcPr>
          <w:p w14:paraId="7DD0193F" w14:textId="77777777" w:rsidR="00C1563E" w:rsidRDefault="00C1563E">
            <w:pPr>
              <w:rPr>
                <w:rFonts w:ascii="宋体"/>
                <w:vanish/>
              </w:rPr>
            </w:pPr>
          </w:p>
        </w:tc>
        <w:tc>
          <w:tcPr>
            <w:tcW w:w="0" w:type="auto"/>
            <w:shd w:val="clear" w:color="auto" w:fill="auto"/>
          </w:tcPr>
          <w:p w14:paraId="7DD01940"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941" w14:textId="77777777" w:rsidR="00C1563E" w:rsidRDefault="000B648B">
            <w:pPr>
              <w:jc w:val="right"/>
              <w:textAlignment w:val="bottom"/>
            </w:pPr>
            <w:r>
              <w:rPr>
                <w:rFonts w:ascii="Times New Roman" w:eastAsia="宋体" w:hAnsi="Times New Roman"/>
                <w:color w:val="000000"/>
                <w:sz w:val="20"/>
                <w:szCs w:val="20"/>
              </w:rPr>
              <w:t>(1,609)</w:t>
            </w:r>
          </w:p>
        </w:tc>
        <w:tc>
          <w:tcPr>
            <w:tcW w:w="0" w:type="auto"/>
            <w:shd w:val="clear" w:color="auto" w:fill="CCEEFF"/>
            <w:tcMar>
              <w:top w:w="40" w:type="dxa"/>
              <w:left w:w="0" w:type="dxa"/>
              <w:bottom w:w="40" w:type="dxa"/>
              <w:right w:w="20" w:type="dxa"/>
            </w:tcMar>
            <w:vAlign w:val="bottom"/>
          </w:tcPr>
          <w:p w14:paraId="7DD019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4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44" w14:textId="77777777" w:rsidR="00C1563E" w:rsidRDefault="000B648B">
            <w:pPr>
              <w:jc w:val="right"/>
              <w:textAlignment w:val="bottom"/>
            </w:pPr>
            <w:r>
              <w:rPr>
                <w:rFonts w:ascii="Times New Roman" w:eastAsia="宋体" w:hAnsi="Times New Roman"/>
                <w:color w:val="000000"/>
                <w:sz w:val="20"/>
                <w:szCs w:val="20"/>
              </w:rPr>
              <w:t>(1,262)</w:t>
            </w:r>
          </w:p>
        </w:tc>
        <w:tc>
          <w:tcPr>
            <w:tcW w:w="0" w:type="auto"/>
            <w:shd w:val="clear" w:color="auto" w:fill="CCEEFF"/>
            <w:tcMar>
              <w:top w:w="40" w:type="dxa"/>
              <w:left w:w="0" w:type="dxa"/>
              <w:bottom w:w="40" w:type="dxa"/>
              <w:right w:w="20" w:type="dxa"/>
            </w:tcMar>
            <w:vAlign w:val="bottom"/>
          </w:tcPr>
          <w:p w14:paraId="7DD0194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4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947" w14:textId="77777777" w:rsidR="00C1563E" w:rsidRDefault="000B648B">
            <w:pPr>
              <w:jc w:val="right"/>
              <w:textAlignment w:val="bottom"/>
            </w:pPr>
            <w:r>
              <w:rPr>
                <w:rFonts w:ascii="Times New Roman" w:eastAsia="宋体" w:hAnsi="Times New Roman"/>
                <w:color w:val="000000"/>
                <w:sz w:val="20"/>
                <w:szCs w:val="20"/>
              </w:rPr>
              <w:t>(918)</w:t>
            </w:r>
          </w:p>
        </w:tc>
        <w:tc>
          <w:tcPr>
            <w:tcW w:w="0" w:type="auto"/>
            <w:shd w:val="clear" w:color="auto" w:fill="CCEEFF"/>
            <w:tcMar>
              <w:top w:w="40" w:type="dxa"/>
              <w:left w:w="0" w:type="dxa"/>
              <w:bottom w:w="40" w:type="dxa"/>
              <w:right w:w="20" w:type="dxa"/>
            </w:tcMar>
            <w:vAlign w:val="bottom"/>
          </w:tcPr>
          <w:p w14:paraId="7DD01948" w14:textId="77777777" w:rsidR="00C1563E" w:rsidRDefault="00C1563E">
            <w:pPr>
              <w:jc w:val="right"/>
              <w:rPr>
                <w:rFonts w:ascii="宋体"/>
              </w:rPr>
            </w:pPr>
          </w:p>
        </w:tc>
      </w:tr>
      <w:tr w:rsidR="00C1563E" w14:paraId="7DD01957" w14:textId="77777777">
        <w:tc>
          <w:tcPr>
            <w:tcW w:w="0" w:type="auto"/>
            <w:gridSpan w:val="3"/>
            <w:shd w:val="clear" w:color="auto" w:fill="FFFFFF"/>
            <w:tcMar>
              <w:top w:w="40" w:type="dxa"/>
              <w:left w:w="245" w:type="dxa"/>
              <w:bottom w:w="40" w:type="dxa"/>
              <w:right w:w="20" w:type="dxa"/>
            </w:tcMar>
            <w:vAlign w:val="bottom"/>
          </w:tcPr>
          <w:p w14:paraId="7DD0194A" w14:textId="77777777" w:rsidR="00C1563E" w:rsidRDefault="000B648B">
            <w:pPr>
              <w:textAlignment w:val="bottom"/>
            </w:pPr>
            <w:r>
              <w:rPr>
                <w:rFonts w:ascii="Times New Roman" w:eastAsia="宋体" w:hAnsi="Times New Roman"/>
                <w:color w:val="000000"/>
                <w:sz w:val="20"/>
                <w:szCs w:val="20"/>
              </w:rPr>
              <w:t>Ot</w:t>
            </w:r>
            <w:r>
              <w:rPr>
                <w:rFonts w:ascii="Times New Roman" w:eastAsia="宋体" w:hAnsi="Times New Roman"/>
                <w:color w:val="000000"/>
                <w:sz w:val="20"/>
                <w:szCs w:val="20"/>
              </w:rPr>
              <w:t>her corporate expenses (f)</w:t>
            </w:r>
          </w:p>
        </w:tc>
        <w:tc>
          <w:tcPr>
            <w:tcW w:w="0" w:type="auto"/>
            <w:shd w:val="clear" w:color="auto" w:fill="auto"/>
          </w:tcPr>
          <w:p w14:paraId="7DD0194B" w14:textId="77777777" w:rsidR="00C1563E" w:rsidRDefault="00C1563E">
            <w:pPr>
              <w:rPr>
                <w:rFonts w:ascii="宋体"/>
                <w:vanish/>
              </w:rPr>
            </w:pPr>
          </w:p>
        </w:tc>
        <w:tc>
          <w:tcPr>
            <w:tcW w:w="0" w:type="auto"/>
            <w:shd w:val="clear" w:color="auto" w:fill="auto"/>
          </w:tcPr>
          <w:p w14:paraId="7DD0194C" w14:textId="77777777" w:rsidR="00C1563E" w:rsidRDefault="00C1563E">
            <w:pPr>
              <w:rPr>
                <w:rFonts w:ascii="宋体"/>
                <w:vanish/>
              </w:rPr>
            </w:pPr>
          </w:p>
        </w:tc>
        <w:tc>
          <w:tcPr>
            <w:tcW w:w="0" w:type="auto"/>
            <w:shd w:val="clear" w:color="auto" w:fill="auto"/>
          </w:tcPr>
          <w:p w14:paraId="7DD0194D" w14:textId="77777777" w:rsidR="00C1563E" w:rsidRDefault="00C1563E">
            <w:pPr>
              <w:rPr>
                <w:rFonts w:ascii="宋体"/>
                <w:vanish/>
              </w:rPr>
            </w:pPr>
          </w:p>
        </w:tc>
        <w:tc>
          <w:tcPr>
            <w:tcW w:w="0" w:type="auto"/>
            <w:shd w:val="clear" w:color="auto" w:fill="auto"/>
          </w:tcPr>
          <w:p w14:paraId="7DD0194E"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94F" w14:textId="77777777" w:rsidR="00C1563E" w:rsidRDefault="000B648B">
            <w:pPr>
              <w:jc w:val="right"/>
              <w:textAlignment w:val="bottom"/>
            </w:pPr>
            <w:r>
              <w:rPr>
                <w:rFonts w:ascii="Times New Roman" w:eastAsia="宋体" w:hAnsi="Times New Roman"/>
                <w:color w:val="000000"/>
                <w:sz w:val="20"/>
                <w:szCs w:val="20"/>
              </w:rPr>
              <w:t>(182)</w:t>
            </w:r>
          </w:p>
        </w:tc>
        <w:tc>
          <w:tcPr>
            <w:tcW w:w="0" w:type="auto"/>
            <w:shd w:val="clear" w:color="auto" w:fill="FFFFFF"/>
            <w:tcMar>
              <w:top w:w="40" w:type="dxa"/>
              <w:left w:w="0" w:type="dxa"/>
              <w:bottom w:w="40" w:type="dxa"/>
              <w:right w:w="20" w:type="dxa"/>
            </w:tcMar>
            <w:vAlign w:val="bottom"/>
          </w:tcPr>
          <w:p w14:paraId="7DD0195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51"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52" w14:textId="77777777" w:rsidR="00C1563E" w:rsidRDefault="000B648B">
            <w:pPr>
              <w:jc w:val="right"/>
              <w:textAlignment w:val="bottom"/>
            </w:pPr>
            <w:r>
              <w:rPr>
                <w:rFonts w:ascii="Times New Roman" w:eastAsia="宋体" w:hAnsi="Times New Roman"/>
                <w:color w:val="000000"/>
                <w:sz w:val="20"/>
                <w:szCs w:val="20"/>
              </w:rPr>
              <w:t>(1,160)</w:t>
            </w:r>
          </w:p>
        </w:tc>
        <w:tc>
          <w:tcPr>
            <w:tcW w:w="0" w:type="auto"/>
            <w:shd w:val="clear" w:color="auto" w:fill="FFFFFF"/>
            <w:tcMar>
              <w:top w:w="40" w:type="dxa"/>
              <w:left w:w="0" w:type="dxa"/>
              <w:bottom w:w="40" w:type="dxa"/>
              <w:right w:w="20" w:type="dxa"/>
            </w:tcMar>
            <w:vAlign w:val="bottom"/>
          </w:tcPr>
          <w:p w14:paraId="7DD0195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5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55" w14:textId="77777777" w:rsidR="00C1563E" w:rsidRDefault="000B648B">
            <w:pPr>
              <w:jc w:val="right"/>
              <w:textAlignment w:val="bottom"/>
            </w:pPr>
            <w:r>
              <w:rPr>
                <w:rFonts w:ascii="Times New Roman" w:eastAsia="宋体" w:hAnsi="Times New Roman"/>
                <w:color w:val="000000"/>
                <w:sz w:val="20"/>
                <w:szCs w:val="20"/>
              </w:rPr>
              <w:t>(419)</w:t>
            </w:r>
          </w:p>
        </w:tc>
        <w:tc>
          <w:tcPr>
            <w:tcW w:w="0" w:type="auto"/>
            <w:shd w:val="clear" w:color="auto" w:fill="FFFFFF"/>
            <w:tcMar>
              <w:top w:w="40" w:type="dxa"/>
              <w:left w:w="0" w:type="dxa"/>
              <w:bottom w:w="40" w:type="dxa"/>
              <w:right w:w="20" w:type="dxa"/>
            </w:tcMar>
            <w:vAlign w:val="bottom"/>
          </w:tcPr>
          <w:p w14:paraId="7DD01956" w14:textId="77777777" w:rsidR="00C1563E" w:rsidRDefault="00C1563E">
            <w:pPr>
              <w:jc w:val="right"/>
              <w:rPr>
                <w:rFonts w:ascii="宋体"/>
              </w:rPr>
            </w:pPr>
          </w:p>
        </w:tc>
      </w:tr>
      <w:tr w:rsidR="00C1563E" w14:paraId="7DD01968" w14:textId="77777777">
        <w:tc>
          <w:tcPr>
            <w:tcW w:w="0" w:type="auto"/>
            <w:gridSpan w:val="3"/>
            <w:shd w:val="clear" w:color="auto" w:fill="CCEEFF"/>
            <w:tcMar>
              <w:top w:w="40" w:type="dxa"/>
              <w:left w:w="380" w:type="dxa"/>
              <w:bottom w:w="40" w:type="dxa"/>
              <w:right w:w="20" w:type="dxa"/>
            </w:tcMar>
            <w:vAlign w:val="bottom"/>
          </w:tcPr>
          <w:p w14:paraId="7DD01958" w14:textId="77777777" w:rsidR="00C1563E" w:rsidRDefault="000B648B">
            <w:pPr>
              <w:textAlignment w:val="bottom"/>
            </w:pPr>
            <w:r>
              <w:rPr>
                <w:rFonts w:ascii="Times New Roman" w:eastAsia="宋体" w:hAnsi="Times New Roman"/>
                <w:color w:val="000000"/>
                <w:sz w:val="20"/>
                <w:szCs w:val="20"/>
              </w:rPr>
              <w:t>Total consolidated operating income (loss)</w:t>
            </w:r>
          </w:p>
        </w:tc>
        <w:tc>
          <w:tcPr>
            <w:tcW w:w="0" w:type="auto"/>
            <w:shd w:val="clear" w:color="auto" w:fill="auto"/>
          </w:tcPr>
          <w:p w14:paraId="7DD01959" w14:textId="77777777" w:rsidR="00C1563E" w:rsidRDefault="00C1563E">
            <w:pPr>
              <w:rPr>
                <w:rFonts w:ascii="宋体"/>
                <w:vanish/>
              </w:rPr>
            </w:pPr>
          </w:p>
        </w:tc>
        <w:tc>
          <w:tcPr>
            <w:tcW w:w="0" w:type="auto"/>
            <w:shd w:val="clear" w:color="auto" w:fill="auto"/>
          </w:tcPr>
          <w:p w14:paraId="7DD0195A" w14:textId="77777777" w:rsidR="00C1563E" w:rsidRDefault="00C1563E">
            <w:pPr>
              <w:rPr>
                <w:rFonts w:ascii="宋体"/>
                <w:vanish/>
              </w:rPr>
            </w:pPr>
          </w:p>
        </w:tc>
        <w:tc>
          <w:tcPr>
            <w:tcW w:w="0" w:type="auto"/>
            <w:shd w:val="clear" w:color="auto" w:fill="auto"/>
          </w:tcPr>
          <w:p w14:paraId="7DD0195B" w14:textId="77777777" w:rsidR="00C1563E" w:rsidRDefault="00C1563E">
            <w:pPr>
              <w:rPr>
                <w:rFonts w:ascii="宋体"/>
                <w:vanish/>
              </w:rPr>
            </w:pPr>
          </w:p>
        </w:tc>
        <w:tc>
          <w:tcPr>
            <w:tcW w:w="0" w:type="auto"/>
            <w:shd w:val="clear" w:color="auto" w:fill="auto"/>
          </w:tcPr>
          <w:p w14:paraId="7DD0195C"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95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95E" w14:textId="77777777" w:rsidR="00C1563E" w:rsidRDefault="000B648B">
            <w:pPr>
              <w:jc w:val="right"/>
              <w:textAlignment w:val="bottom"/>
            </w:pPr>
            <w:r>
              <w:rPr>
                <w:rFonts w:ascii="Times New Roman" w:eastAsia="宋体" w:hAnsi="Times New Roman"/>
                <w:color w:val="000000"/>
                <w:sz w:val="20"/>
                <w:szCs w:val="20"/>
              </w:rPr>
              <w:t>5,144 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95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60"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96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962" w14:textId="77777777" w:rsidR="00C1563E" w:rsidRDefault="000B648B">
            <w:pPr>
              <w:jc w:val="right"/>
              <w:textAlignment w:val="bottom"/>
            </w:pPr>
            <w:r>
              <w:rPr>
                <w:rFonts w:ascii="Times New Roman" w:eastAsia="宋体" w:hAnsi="Times New Roman"/>
                <w:color w:val="000000"/>
                <w:sz w:val="20"/>
                <w:szCs w:val="20"/>
              </w:rPr>
              <w:t>2,622 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96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64"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96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966" w14:textId="77777777" w:rsidR="00C1563E" w:rsidRDefault="000B648B">
            <w:pPr>
              <w:jc w:val="right"/>
              <w:textAlignment w:val="bottom"/>
            </w:pPr>
            <w:r>
              <w:rPr>
                <w:rFonts w:ascii="Times New Roman" w:eastAsia="宋体" w:hAnsi="Times New Roman"/>
                <w:color w:val="000000"/>
                <w:sz w:val="20"/>
                <w:szCs w:val="20"/>
              </w:rPr>
              <w:t>(191)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967" w14:textId="77777777" w:rsidR="00C1563E" w:rsidRDefault="00C1563E">
            <w:pPr>
              <w:jc w:val="right"/>
              <w:rPr>
                <w:rFonts w:ascii="宋体"/>
              </w:rPr>
            </w:pPr>
          </w:p>
        </w:tc>
      </w:tr>
    </w:tbl>
    <w:p w14:paraId="7DD01969" w14:textId="77777777" w:rsidR="00C1563E" w:rsidRDefault="000B648B">
      <w:r>
        <w:rPr>
          <w:rFonts w:ascii="Times New Roman" w:eastAsia="宋体" w:hAnsi="Times New Roman"/>
          <w:color w:val="000000"/>
          <w:sz w:val="20"/>
          <w:szCs w:val="20"/>
        </w:rPr>
        <w:t>____________________</w:t>
      </w:r>
    </w:p>
    <w:p w14:paraId="7DD0196A" w14:textId="77777777" w:rsidR="00C1563E" w:rsidRDefault="000B648B">
      <w:pPr>
        <w:ind w:hanging="360"/>
      </w:pPr>
      <w:r>
        <w:rPr>
          <w:rFonts w:ascii="Times New Roman" w:eastAsia="宋体" w:hAnsi="Times New Roman"/>
          <w:color w:val="000000"/>
          <w:sz w:val="20"/>
          <w:szCs w:val="20"/>
        </w:rPr>
        <w:t>(a)Secureworks, Virtustream, and Boomi constitute Other businesses and do not meet the requirements for a reportable segment, either individuall</w:t>
      </w:r>
      <w:r>
        <w:rPr>
          <w:rFonts w:ascii="Times New Roman" w:eastAsia="宋体" w:hAnsi="Times New Roman"/>
          <w:color w:val="000000"/>
          <w:sz w:val="20"/>
          <w:szCs w:val="20"/>
        </w:rPr>
        <w:t>y or collectively. The results of Other businesses are not material to the Company’s overall results. On September 1, 2020, the Company completed the sale of RSA Security. Prior to the divestiture, RSA Security’s results were included within Other business</w:t>
      </w:r>
      <w:r>
        <w:rPr>
          <w:rFonts w:ascii="Times New Roman" w:eastAsia="宋体" w:hAnsi="Times New Roman"/>
          <w:color w:val="000000"/>
          <w:sz w:val="20"/>
          <w:szCs w:val="20"/>
        </w:rPr>
        <w:t>es. See Note 1 of the Notes to the Consolidated Financial Statements for more information about the divestiture of RSA Security.</w:t>
      </w:r>
    </w:p>
    <w:p w14:paraId="7DD0196B" w14:textId="77777777" w:rsidR="00C1563E" w:rsidRDefault="000B648B">
      <w:pPr>
        <w:ind w:hanging="360"/>
      </w:pPr>
      <w:r>
        <w:rPr>
          <w:rFonts w:ascii="Times New Roman" w:eastAsia="宋体" w:hAnsi="Times New Roman"/>
          <w:color w:val="000000"/>
          <w:sz w:val="20"/>
          <w:szCs w:val="20"/>
        </w:rPr>
        <w:t>(b)Unallocated transactions includes other corporate items that are not allocated to Dell Technologies’ reportable segments.</w:t>
      </w:r>
    </w:p>
    <w:p w14:paraId="7DD0196C" w14:textId="77777777" w:rsidR="00C1563E" w:rsidRDefault="000B648B">
      <w:pPr>
        <w:ind w:hanging="360"/>
      </w:pPr>
      <w:r>
        <w:rPr>
          <w:rFonts w:ascii="Times New Roman" w:eastAsia="宋体" w:hAnsi="Times New Roman"/>
          <w:color w:val="000000"/>
          <w:sz w:val="20"/>
          <w:szCs w:val="20"/>
        </w:rPr>
        <w:t>(c)Impact of purchase accounting includes non-cash purchase accounting adjustments that are primarily related to the EMC merger transaction.</w:t>
      </w:r>
    </w:p>
    <w:p w14:paraId="7DD0196D" w14:textId="77777777" w:rsidR="00C1563E" w:rsidRDefault="000B648B">
      <w:pPr>
        <w:ind w:hanging="360"/>
      </w:pPr>
      <w:r>
        <w:rPr>
          <w:rFonts w:ascii="Times New Roman" w:eastAsia="宋体" w:hAnsi="Times New Roman"/>
          <w:color w:val="000000"/>
          <w:sz w:val="20"/>
          <w:szCs w:val="20"/>
        </w:rPr>
        <w:t>(d)Transaction-related expenses includes acquisition, integration, and divestiture related costs, as well as the co</w:t>
      </w:r>
      <w:r>
        <w:rPr>
          <w:rFonts w:ascii="Times New Roman" w:eastAsia="宋体" w:hAnsi="Times New Roman"/>
          <w:color w:val="000000"/>
          <w:sz w:val="20"/>
          <w:szCs w:val="20"/>
        </w:rPr>
        <w:t>sts incurred in the Class V transaction described in Note 1 of the Notes to the Consolidated Financial Statements.</w:t>
      </w:r>
    </w:p>
    <w:p w14:paraId="7DD0196E" w14:textId="77777777" w:rsidR="00C1563E" w:rsidRDefault="000B648B">
      <w:pPr>
        <w:ind w:hanging="360"/>
      </w:pPr>
      <w:r>
        <w:rPr>
          <w:rFonts w:ascii="Times New Roman" w:eastAsia="宋体" w:hAnsi="Times New Roman"/>
          <w:color w:val="000000"/>
          <w:sz w:val="20"/>
          <w:szCs w:val="20"/>
        </w:rPr>
        <w:t>(e)Stock-based compensation expense consists of equity awards granted based on the estimated fair value of those awards at grant date.</w:t>
      </w:r>
    </w:p>
    <w:p w14:paraId="7DD0196F" w14:textId="77777777" w:rsidR="00C1563E" w:rsidRDefault="000B648B">
      <w:pPr>
        <w:ind w:hanging="360"/>
      </w:pPr>
      <w:r>
        <w:rPr>
          <w:rFonts w:ascii="Times New Roman" w:eastAsia="宋体" w:hAnsi="Times New Roman"/>
          <w:color w:val="000000"/>
          <w:sz w:val="20"/>
          <w:szCs w:val="20"/>
        </w:rPr>
        <w:t>(f)Oth</w:t>
      </w:r>
      <w:r>
        <w:rPr>
          <w:rFonts w:ascii="Times New Roman" w:eastAsia="宋体" w:hAnsi="Times New Roman"/>
          <w:color w:val="000000"/>
          <w:sz w:val="20"/>
          <w:szCs w:val="20"/>
        </w:rPr>
        <w:t>er corporate expenses includes impairment charges, severance, facility action, and other costs. This category also includes the derecognition of a VMware, Inc. patent litigation accrual of $237 million, which was initially recognized during the fiscal year</w:t>
      </w:r>
      <w:r>
        <w:rPr>
          <w:rFonts w:ascii="Times New Roman" w:eastAsia="宋体" w:hAnsi="Times New Roman"/>
          <w:color w:val="000000"/>
          <w:sz w:val="20"/>
          <w:szCs w:val="20"/>
        </w:rPr>
        <w:t xml:space="preserve"> ended January 31, 2020 and was subsequently fully reversed during the fiscal year ended January 29, 2021. See Note 10 of the Notes to the Consolidated Financial Statements for additional information about this litigation matter. For the fiscal years ended</w:t>
      </w:r>
      <w:r>
        <w:rPr>
          <w:rFonts w:ascii="Times New Roman" w:eastAsia="宋体" w:hAnsi="Times New Roman"/>
          <w:color w:val="000000"/>
          <w:sz w:val="20"/>
          <w:szCs w:val="20"/>
        </w:rPr>
        <w:t xml:space="preserve"> January 31, 2020 and February 1, 2019, this category includes Virtustream pre-tax impairment charges of $619 million and $190 million, respectively.</w:t>
      </w:r>
    </w:p>
    <w:p w14:paraId="7DD01970" w14:textId="77777777" w:rsidR="00C1563E" w:rsidRDefault="00C1563E">
      <w:pPr>
        <w:jc w:val="center"/>
      </w:pPr>
    </w:p>
    <w:p w14:paraId="7DD01971" w14:textId="77777777" w:rsidR="00C1563E" w:rsidRDefault="000B648B">
      <w:pPr>
        <w:jc w:val="center"/>
      </w:pPr>
      <w:r>
        <w:rPr>
          <w:rFonts w:ascii="Times New Roman" w:eastAsia="宋体" w:hAnsi="Times New Roman"/>
          <w:color w:val="000000"/>
          <w:sz w:val="20"/>
          <w:szCs w:val="20"/>
        </w:rPr>
        <w:t>158</w:t>
      </w:r>
    </w:p>
    <w:p w14:paraId="7DD01972" w14:textId="77777777" w:rsidR="00C1563E" w:rsidRDefault="00C1563E">
      <w:pPr>
        <w:jc w:val="center"/>
      </w:pPr>
    </w:p>
    <w:p w14:paraId="7DD01973" w14:textId="77777777" w:rsidR="00C1563E" w:rsidRDefault="000B648B">
      <w:r>
        <w:pict w14:anchorId="7DD02608">
          <v:rect id="_x0000_i1182" style="width:415.3pt;height:1.5pt" o:hralign="center" o:hrstd="t" o:hr="t" fillcolor="#a0a0a0" stroked="f"/>
        </w:pict>
      </w:r>
    </w:p>
    <w:p w14:paraId="7DD01974" w14:textId="77777777" w:rsidR="00C1563E" w:rsidRDefault="000B648B">
      <w:hyperlink r:id="rId341" w:anchor="i418e32e4a35149ffbf7d3a25d66881b8_10" w:history="1">
        <w:r>
          <w:rPr>
            <w:rStyle w:val="a5"/>
            <w:rFonts w:ascii="Times New Roman" w:eastAsia="宋体" w:hAnsi="Times New Roman"/>
            <w:sz w:val="20"/>
            <w:szCs w:val="20"/>
          </w:rPr>
          <w:t>Table of Contents</w:t>
        </w:r>
      </w:hyperlink>
    </w:p>
    <w:p w14:paraId="7DD01975" w14:textId="77777777" w:rsidR="00C1563E" w:rsidRDefault="000B648B">
      <w:pPr>
        <w:spacing w:before="120" w:after="120"/>
      </w:pPr>
      <w:r>
        <w:rPr>
          <w:rFonts w:ascii="Times New Roman" w:eastAsia="宋体" w:hAnsi="Times New Roman"/>
          <w:color w:val="000000"/>
          <w:sz w:val="20"/>
          <w:szCs w:val="20"/>
        </w:rPr>
        <w:t>The following table presents the disaggregation of net revenue by reportable segment</w:t>
      </w:r>
      <w:r>
        <w:rPr>
          <w:rFonts w:ascii="Times New Roman" w:eastAsia="宋体" w:hAnsi="Times New Roman"/>
          <w:color w:val="000000"/>
          <w:sz w:val="20"/>
          <w:szCs w:val="20"/>
        </w:rPr>
        <w:t>, and by major product categories within the segments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922"/>
        <w:gridCol w:w="38"/>
        <w:gridCol w:w="36"/>
        <w:gridCol w:w="36"/>
        <w:gridCol w:w="36"/>
        <w:gridCol w:w="36"/>
        <w:gridCol w:w="120"/>
        <w:gridCol w:w="1169"/>
        <w:gridCol w:w="36"/>
        <w:gridCol w:w="36"/>
        <w:gridCol w:w="36"/>
        <w:gridCol w:w="36"/>
        <w:gridCol w:w="120"/>
        <w:gridCol w:w="1169"/>
        <w:gridCol w:w="36"/>
        <w:gridCol w:w="36"/>
        <w:gridCol w:w="36"/>
        <w:gridCol w:w="36"/>
        <w:gridCol w:w="121"/>
        <w:gridCol w:w="1169"/>
        <w:gridCol w:w="36"/>
      </w:tblGrid>
      <w:tr w:rsidR="00C1563E" w14:paraId="7DD0198C" w14:textId="77777777">
        <w:trPr>
          <w:jc w:val="center"/>
        </w:trPr>
        <w:tc>
          <w:tcPr>
            <w:tcW w:w="50" w:type="pct"/>
            <w:shd w:val="clear" w:color="auto" w:fill="auto"/>
          </w:tcPr>
          <w:p w14:paraId="7DD01976" w14:textId="77777777" w:rsidR="00C1563E" w:rsidRDefault="00C1563E">
            <w:pPr>
              <w:rPr>
                <w:rFonts w:ascii="宋体"/>
              </w:rPr>
            </w:pPr>
          </w:p>
        </w:tc>
        <w:tc>
          <w:tcPr>
            <w:tcW w:w="2452" w:type="pct"/>
            <w:shd w:val="clear" w:color="auto" w:fill="auto"/>
          </w:tcPr>
          <w:p w14:paraId="7DD01977" w14:textId="77777777" w:rsidR="00C1563E" w:rsidRDefault="00C1563E">
            <w:pPr>
              <w:rPr>
                <w:rFonts w:ascii="宋体"/>
              </w:rPr>
            </w:pPr>
          </w:p>
        </w:tc>
        <w:tc>
          <w:tcPr>
            <w:tcW w:w="5" w:type="pct"/>
            <w:shd w:val="clear" w:color="auto" w:fill="auto"/>
          </w:tcPr>
          <w:p w14:paraId="7DD01978" w14:textId="77777777" w:rsidR="00C1563E" w:rsidRDefault="00C1563E">
            <w:pPr>
              <w:rPr>
                <w:rFonts w:ascii="宋体"/>
              </w:rPr>
            </w:pPr>
          </w:p>
        </w:tc>
        <w:tc>
          <w:tcPr>
            <w:tcW w:w="0" w:type="auto"/>
            <w:shd w:val="clear" w:color="auto" w:fill="auto"/>
          </w:tcPr>
          <w:p w14:paraId="7DD01979" w14:textId="77777777" w:rsidR="00C1563E" w:rsidRDefault="00C1563E">
            <w:pPr>
              <w:rPr>
                <w:rFonts w:ascii="宋体"/>
                <w:vanish/>
              </w:rPr>
            </w:pPr>
          </w:p>
        </w:tc>
        <w:tc>
          <w:tcPr>
            <w:tcW w:w="0" w:type="auto"/>
            <w:shd w:val="clear" w:color="auto" w:fill="auto"/>
          </w:tcPr>
          <w:p w14:paraId="7DD0197A" w14:textId="77777777" w:rsidR="00C1563E" w:rsidRDefault="00C1563E">
            <w:pPr>
              <w:rPr>
                <w:rFonts w:ascii="宋体"/>
                <w:vanish/>
              </w:rPr>
            </w:pPr>
          </w:p>
        </w:tc>
        <w:tc>
          <w:tcPr>
            <w:tcW w:w="0" w:type="auto"/>
            <w:shd w:val="clear" w:color="auto" w:fill="auto"/>
          </w:tcPr>
          <w:p w14:paraId="7DD0197B" w14:textId="77777777" w:rsidR="00C1563E" w:rsidRDefault="00C1563E">
            <w:pPr>
              <w:rPr>
                <w:rFonts w:ascii="宋体"/>
                <w:vanish/>
              </w:rPr>
            </w:pPr>
          </w:p>
        </w:tc>
        <w:tc>
          <w:tcPr>
            <w:tcW w:w="0" w:type="auto"/>
            <w:shd w:val="clear" w:color="auto" w:fill="auto"/>
          </w:tcPr>
          <w:p w14:paraId="7DD0197C" w14:textId="77777777" w:rsidR="00C1563E" w:rsidRDefault="00C1563E">
            <w:pPr>
              <w:rPr>
                <w:rFonts w:ascii="宋体"/>
                <w:vanish/>
              </w:rPr>
            </w:pPr>
          </w:p>
        </w:tc>
        <w:tc>
          <w:tcPr>
            <w:tcW w:w="50" w:type="pct"/>
            <w:shd w:val="clear" w:color="auto" w:fill="auto"/>
          </w:tcPr>
          <w:p w14:paraId="7DD0197D" w14:textId="77777777" w:rsidR="00C1563E" w:rsidRDefault="00C1563E">
            <w:pPr>
              <w:rPr>
                <w:rFonts w:ascii="宋体"/>
              </w:rPr>
            </w:pPr>
          </w:p>
        </w:tc>
        <w:tc>
          <w:tcPr>
            <w:tcW w:w="756" w:type="pct"/>
            <w:shd w:val="clear" w:color="auto" w:fill="auto"/>
          </w:tcPr>
          <w:p w14:paraId="7DD0197E" w14:textId="77777777" w:rsidR="00C1563E" w:rsidRDefault="00C1563E">
            <w:pPr>
              <w:rPr>
                <w:rFonts w:ascii="宋体"/>
              </w:rPr>
            </w:pPr>
          </w:p>
        </w:tc>
        <w:tc>
          <w:tcPr>
            <w:tcW w:w="5" w:type="pct"/>
            <w:shd w:val="clear" w:color="auto" w:fill="auto"/>
          </w:tcPr>
          <w:p w14:paraId="7DD0197F" w14:textId="77777777" w:rsidR="00C1563E" w:rsidRDefault="00C1563E">
            <w:pPr>
              <w:rPr>
                <w:rFonts w:ascii="宋体"/>
              </w:rPr>
            </w:pPr>
          </w:p>
        </w:tc>
        <w:tc>
          <w:tcPr>
            <w:tcW w:w="5" w:type="pct"/>
            <w:shd w:val="clear" w:color="auto" w:fill="auto"/>
          </w:tcPr>
          <w:p w14:paraId="7DD01980" w14:textId="77777777" w:rsidR="00C1563E" w:rsidRDefault="00C1563E">
            <w:pPr>
              <w:rPr>
                <w:rFonts w:ascii="宋体"/>
              </w:rPr>
            </w:pPr>
          </w:p>
        </w:tc>
        <w:tc>
          <w:tcPr>
            <w:tcW w:w="19" w:type="pct"/>
            <w:shd w:val="clear" w:color="auto" w:fill="auto"/>
          </w:tcPr>
          <w:p w14:paraId="7DD01981" w14:textId="77777777" w:rsidR="00C1563E" w:rsidRDefault="00C1563E">
            <w:pPr>
              <w:rPr>
                <w:rFonts w:ascii="宋体"/>
              </w:rPr>
            </w:pPr>
          </w:p>
        </w:tc>
        <w:tc>
          <w:tcPr>
            <w:tcW w:w="5" w:type="pct"/>
            <w:shd w:val="clear" w:color="auto" w:fill="auto"/>
          </w:tcPr>
          <w:p w14:paraId="7DD01982" w14:textId="77777777" w:rsidR="00C1563E" w:rsidRDefault="00C1563E">
            <w:pPr>
              <w:rPr>
                <w:rFonts w:ascii="宋体"/>
              </w:rPr>
            </w:pPr>
          </w:p>
        </w:tc>
        <w:tc>
          <w:tcPr>
            <w:tcW w:w="50" w:type="pct"/>
            <w:shd w:val="clear" w:color="auto" w:fill="auto"/>
          </w:tcPr>
          <w:p w14:paraId="7DD01983" w14:textId="77777777" w:rsidR="00C1563E" w:rsidRDefault="00C1563E">
            <w:pPr>
              <w:rPr>
                <w:rFonts w:ascii="宋体"/>
              </w:rPr>
            </w:pPr>
          </w:p>
        </w:tc>
        <w:tc>
          <w:tcPr>
            <w:tcW w:w="756" w:type="pct"/>
            <w:shd w:val="clear" w:color="auto" w:fill="auto"/>
          </w:tcPr>
          <w:p w14:paraId="7DD01984" w14:textId="77777777" w:rsidR="00C1563E" w:rsidRDefault="00C1563E">
            <w:pPr>
              <w:rPr>
                <w:rFonts w:ascii="宋体"/>
              </w:rPr>
            </w:pPr>
          </w:p>
        </w:tc>
        <w:tc>
          <w:tcPr>
            <w:tcW w:w="5" w:type="pct"/>
            <w:shd w:val="clear" w:color="auto" w:fill="auto"/>
          </w:tcPr>
          <w:p w14:paraId="7DD01985" w14:textId="77777777" w:rsidR="00C1563E" w:rsidRDefault="00C1563E">
            <w:pPr>
              <w:rPr>
                <w:rFonts w:ascii="宋体"/>
              </w:rPr>
            </w:pPr>
          </w:p>
        </w:tc>
        <w:tc>
          <w:tcPr>
            <w:tcW w:w="5" w:type="pct"/>
            <w:shd w:val="clear" w:color="auto" w:fill="auto"/>
          </w:tcPr>
          <w:p w14:paraId="7DD01986" w14:textId="77777777" w:rsidR="00C1563E" w:rsidRDefault="00C1563E">
            <w:pPr>
              <w:rPr>
                <w:rFonts w:ascii="宋体"/>
              </w:rPr>
            </w:pPr>
          </w:p>
        </w:tc>
        <w:tc>
          <w:tcPr>
            <w:tcW w:w="19" w:type="pct"/>
            <w:shd w:val="clear" w:color="auto" w:fill="auto"/>
          </w:tcPr>
          <w:p w14:paraId="7DD01987" w14:textId="77777777" w:rsidR="00C1563E" w:rsidRDefault="00C1563E">
            <w:pPr>
              <w:rPr>
                <w:rFonts w:ascii="宋体"/>
              </w:rPr>
            </w:pPr>
          </w:p>
        </w:tc>
        <w:tc>
          <w:tcPr>
            <w:tcW w:w="5" w:type="pct"/>
            <w:shd w:val="clear" w:color="auto" w:fill="auto"/>
          </w:tcPr>
          <w:p w14:paraId="7DD01988" w14:textId="77777777" w:rsidR="00C1563E" w:rsidRDefault="00C1563E">
            <w:pPr>
              <w:rPr>
                <w:rFonts w:ascii="宋体"/>
              </w:rPr>
            </w:pPr>
          </w:p>
        </w:tc>
        <w:tc>
          <w:tcPr>
            <w:tcW w:w="50" w:type="pct"/>
            <w:shd w:val="clear" w:color="auto" w:fill="auto"/>
          </w:tcPr>
          <w:p w14:paraId="7DD01989" w14:textId="77777777" w:rsidR="00C1563E" w:rsidRDefault="00C1563E">
            <w:pPr>
              <w:rPr>
                <w:rFonts w:ascii="宋体"/>
              </w:rPr>
            </w:pPr>
          </w:p>
        </w:tc>
        <w:tc>
          <w:tcPr>
            <w:tcW w:w="756" w:type="pct"/>
            <w:shd w:val="clear" w:color="auto" w:fill="auto"/>
          </w:tcPr>
          <w:p w14:paraId="7DD0198A" w14:textId="77777777" w:rsidR="00C1563E" w:rsidRDefault="00C1563E">
            <w:pPr>
              <w:rPr>
                <w:rFonts w:ascii="宋体"/>
              </w:rPr>
            </w:pPr>
          </w:p>
        </w:tc>
        <w:tc>
          <w:tcPr>
            <w:tcW w:w="5" w:type="pct"/>
            <w:shd w:val="clear" w:color="auto" w:fill="auto"/>
          </w:tcPr>
          <w:p w14:paraId="7DD0198B" w14:textId="77777777" w:rsidR="00C1563E" w:rsidRDefault="00C1563E">
            <w:pPr>
              <w:rPr>
                <w:rFonts w:ascii="宋体"/>
              </w:rPr>
            </w:pPr>
          </w:p>
        </w:tc>
      </w:tr>
      <w:tr w:rsidR="00C1563E" w14:paraId="7DD01997" w14:textId="77777777">
        <w:trPr>
          <w:jc w:val="center"/>
        </w:trPr>
        <w:tc>
          <w:tcPr>
            <w:tcW w:w="0" w:type="auto"/>
            <w:gridSpan w:val="3"/>
            <w:shd w:val="clear" w:color="auto" w:fill="auto"/>
            <w:tcMar>
              <w:top w:w="40" w:type="dxa"/>
              <w:left w:w="20" w:type="dxa"/>
              <w:bottom w:w="40" w:type="dxa"/>
              <w:right w:w="20" w:type="dxa"/>
            </w:tcMar>
            <w:vAlign w:val="bottom"/>
          </w:tcPr>
          <w:p w14:paraId="7DD0198D"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98E" w14:textId="77777777" w:rsidR="00C1563E" w:rsidRDefault="00C1563E">
            <w:pPr>
              <w:rPr>
                <w:rFonts w:ascii="宋体"/>
                <w:vanish/>
              </w:rPr>
            </w:pPr>
          </w:p>
        </w:tc>
        <w:tc>
          <w:tcPr>
            <w:tcW w:w="0" w:type="auto"/>
            <w:shd w:val="clear" w:color="auto" w:fill="auto"/>
          </w:tcPr>
          <w:p w14:paraId="7DD0198F"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D01990" w14:textId="77777777" w:rsidR="00C1563E" w:rsidRDefault="000B648B">
            <w:pPr>
              <w:jc w:val="center"/>
              <w:textAlignment w:val="bottom"/>
            </w:pPr>
            <w:r>
              <w:rPr>
                <w:rFonts w:ascii="Times New Roman" w:eastAsia="宋体" w:hAnsi="Times New Roman"/>
                <w:b/>
                <w:bCs/>
                <w:color w:val="000000"/>
                <w:sz w:val="20"/>
                <w:szCs w:val="20"/>
              </w:rPr>
              <w:t>Fis</w:t>
            </w:r>
            <w:r>
              <w:rPr>
                <w:rFonts w:ascii="Times New Roman" w:eastAsia="宋体" w:hAnsi="Times New Roman"/>
                <w:b/>
                <w:bCs/>
                <w:color w:val="000000"/>
                <w:sz w:val="20"/>
                <w:szCs w:val="20"/>
              </w:rPr>
              <w:t>cal Year Ended</w:t>
            </w:r>
          </w:p>
        </w:tc>
        <w:tc>
          <w:tcPr>
            <w:tcW w:w="0" w:type="auto"/>
            <w:shd w:val="clear" w:color="auto" w:fill="auto"/>
          </w:tcPr>
          <w:p w14:paraId="7DD01991" w14:textId="77777777" w:rsidR="00C1563E" w:rsidRDefault="00C1563E">
            <w:pPr>
              <w:rPr>
                <w:rFonts w:ascii="宋体"/>
              </w:rPr>
            </w:pPr>
          </w:p>
        </w:tc>
        <w:tc>
          <w:tcPr>
            <w:tcW w:w="0" w:type="auto"/>
            <w:shd w:val="clear" w:color="auto" w:fill="auto"/>
          </w:tcPr>
          <w:p w14:paraId="7DD01992" w14:textId="77777777" w:rsidR="00C1563E" w:rsidRDefault="00C1563E">
            <w:pPr>
              <w:rPr>
                <w:rFonts w:ascii="宋体"/>
              </w:rPr>
            </w:pPr>
          </w:p>
        </w:tc>
        <w:tc>
          <w:tcPr>
            <w:tcW w:w="0" w:type="auto"/>
            <w:shd w:val="clear" w:color="auto" w:fill="auto"/>
          </w:tcPr>
          <w:p w14:paraId="7DD01993" w14:textId="77777777" w:rsidR="00C1563E" w:rsidRDefault="00C1563E">
            <w:pPr>
              <w:rPr>
                <w:rFonts w:ascii="宋体"/>
              </w:rPr>
            </w:pPr>
          </w:p>
        </w:tc>
        <w:tc>
          <w:tcPr>
            <w:tcW w:w="0" w:type="auto"/>
            <w:shd w:val="clear" w:color="auto" w:fill="auto"/>
          </w:tcPr>
          <w:p w14:paraId="7DD01994" w14:textId="77777777" w:rsidR="00C1563E" w:rsidRDefault="00C1563E">
            <w:pPr>
              <w:rPr>
                <w:rFonts w:ascii="宋体"/>
              </w:rPr>
            </w:pPr>
          </w:p>
        </w:tc>
        <w:tc>
          <w:tcPr>
            <w:tcW w:w="0" w:type="auto"/>
            <w:shd w:val="clear" w:color="auto" w:fill="auto"/>
          </w:tcPr>
          <w:p w14:paraId="7DD01995" w14:textId="77777777" w:rsidR="00C1563E" w:rsidRDefault="00C1563E">
            <w:pPr>
              <w:rPr>
                <w:rFonts w:ascii="宋体"/>
              </w:rPr>
            </w:pPr>
          </w:p>
        </w:tc>
        <w:tc>
          <w:tcPr>
            <w:tcW w:w="0" w:type="auto"/>
            <w:shd w:val="clear" w:color="auto" w:fill="auto"/>
          </w:tcPr>
          <w:p w14:paraId="7DD01996" w14:textId="77777777" w:rsidR="00C1563E" w:rsidRDefault="00C1563E">
            <w:pPr>
              <w:rPr>
                <w:rFonts w:ascii="宋体"/>
              </w:rPr>
            </w:pPr>
          </w:p>
        </w:tc>
      </w:tr>
      <w:tr w:rsidR="00C1563E" w14:paraId="7DD019A2" w14:textId="77777777">
        <w:trPr>
          <w:jc w:val="center"/>
        </w:trPr>
        <w:tc>
          <w:tcPr>
            <w:tcW w:w="0" w:type="auto"/>
            <w:gridSpan w:val="3"/>
            <w:shd w:val="clear" w:color="auto" w:fill="auto"/>
            <w:tcMar>
              <w:top w:w="40" w:type="dxa"/>
              <w:left w:w="20" w:type="dxa"/>
              <w:bottom w:w="40" w:type="dxa"/>
              <w:right w:w="20" w:type="dxa"/>
            </w:tcMar>
            <w:vAlign w:val="bottom"/>
          </w:tcPr>
          <w:p w14:paraId="7DD01998"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999" w14:textId="77777777" w:rsidR="00C1563E" w:rsidRDefault="00C1563E">
            <w:pPr>
              <w:rPr>
                <w:rFonts w:ascii="宋体"/>
                <w:vanish/>
              </w:rPr>
            </w:pPr>
          </w:p>
        </w:tc>
        <w:tc>
          <w:tcPr>
            <w:tcW w:w="0" w:type="auto"/>
            <w:shd w:val="clear" w:color="auto" w:fill="auto"/>
          </w:tcPr>
          <w:p w14:paraId="7DD0199A" w14:textId="77777777" w:rsidR="00C1563E" w:rsidRDefault="00C1563E">
            <w:pPr>
              <w:rPr>
                <w:rFonts w:ascii="宋体"/>
                <w:vanish/>
              </w:rPr>
            </w:pPr>
          </w:p>
        </w:tc>
        <w:tc>
          <w:tcPr>
            <w:tcW w:w="0" w:type="auto"/>
            <w:shd w:val="clear" w:color="auto" w:fill="auto"/>
          </w:tcPr>
          <w:p w14:paraId="7DD0199B" w14:textId="77777777" w:rsidR="00C1563E" w:rsidRDefault="00C1563E">
            <w:pPr>
              <w:rPr>
                <w:rFonts w:ascii="宋体"/>
                <w:vanish/>
              </w:rPr>
            </w:pPr>
          </w:p>
        </w:tc>
        <w:tc>
          <w:tcPr>
            <w:tcW w:w="0" w:type="auto"/>
            <w:shd w:val="clear" w:color="auto" w:fill="auto"/>
          </w:tcPr>
          <w:p w14:paraId="7DD0199C"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99D"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99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99F"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9A0"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9A1"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9A9" w14:textId="77777777">
        <w:trPr>
          <w:jc w:val="center"/>
        </w:trPr>
        <w:tc>
          <w:tcPr>
            <w:tcW w:w="0" w:type="auto"/>
            <w:gridSpan w:val="3"/>
            <w:shd w:val="clear" w:color="auto" w:fill="auto"/>
            <w:tcMar>
              <w:top w:w="40" w:type="dxa"/>
              <w:left w:w="20" w:type="dxa"/>
              <w:bottom w:w="40" w:type="dxa"/>
              <w:right w:w="20" w:type="dxa"/>
            </w:tcMar>
            <w:vAlign w:val="bottom"/>
          </w:tcPr>
          <w:p w14:paraId="7DD019A3"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9A4" w14:textId="77777777" w:rsidR="00C1563E" w:rsidRDefault="00C1563E">
            <w:pPr>
              <w:rPr>
                <w:rFonts w:ascii="宋体"/>
                <w:vanish/>
              </w:rPr>
            </w:pPr>
          </w:p>
        </w:tc>
        <w:tc>
          <w:tcPr>
            <w:tcW w:w="0" w:type="auto"/>
            <w:shd w:val="clear" w:color="auto" w:fill="auto"/>
          </w:tcPr>
          <w:p w14:paraId="7DD019A5" w14:textId="77777777" w:rsidR="00C1563E" w:rsidRDefault="00C1563E">
            <w:pPr>
              <w:rPr>
                <w:rFonts w:ascii="宋体"/>
                <w:vanish/>
              </w:rPr>
            </w:pPr>
          </w:p>
        </w:tc>
        <w:tc>
          <w:tcPr>
            <w:tcW w:w="0" w:type="auto"/>
            <w:shd w:val="clear" w:color="auto" w:fill="auto"/>
          </w:tcPr>
          <w:p w14:paraId="7DD019A6" w14:textId="77777777" w:rsidR="00C1563E" w:rsidRDefault="00C1563E">
            <w:pPr>
              <w:rPr>
                <w:rFonts w:ascii="宋体"/>
                <w:vanish/>
              </w:rPr>
            </w:pPr>
          </w:p>
        </w:tc>
        <w:tc>
          <w:tcPr>
            <w:tcW w:w="0" w:type="auto"/>
            <w:shd w:val="clear" w:color="auto" w:fill="auto"/>
          </w:tcPr>
          <w:p w14:paraId="7DD019A7"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9A8"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9B4" w14:textId="77777777">
        <w:trPr>
          <w:jc w:val="center"/>
        </w:trPr>
        <w:tc>
          <w:tcPr>
            <w:tcW w:w="0" w:type="auto"/>
            <w:gridSpan w:val="3"/>
            <w:shd w:val="clear" w:color="auto" w:fill="CCEEFF"/>
            <w:tcMar>
              <w:top w:w="40" w:type="dxa"/>
              <w:left w:w="20" w:type="dxa"/>
              <w:bottom w:w="40" w:type="dxa"/>
              <w:right w:w="20" w:type="dxa"/>
            </w:tcMar>
            <w:vAlign w:val="bottom"/>
          </w:tcPr>
          <w:p w14:paraId="7DD019AA" w14:textId="77777777" w:rsidR="00C1563E" w:rsidRDefault="000B648B">
            <w:pPr>
              <w:textAlignment w:val="bottom"/>
            </w:pPr>
            <w:r>
              <w:rPr>
                <w:rFonts w:ascii="Times New Roman" w:eastAsia="宋体" w:hAnsi="Times New Roman"/>
                <w:i/>
                <w:iCs/>
                <w:color w:val="000000"/>
                <w:sz w:val="20"/>
                <w:szCs w:val="20"/>
              </w:rPr>
              <w:t>Net revenue:</w:t>
            </w:r>
          </w:p>
        </w:tc>
        <w:tc>
          <w:tcPr>
            <w:tcW w:w="0" w:type="auto"/>
            <w:shd w:val="clear" w:color="auto" w:fill="auto"/>
          </w:tcPr>
          <w:p w14:paraId="7DD019AB" w14:textId="77777777" w:rsidR="00C1563E" w:rsidRDefault="00C1563E">
            <w:pPr>
              <w:rPr>
                <w:rFonts w:ascii="宋体"/>
                <w:vanish/>
              </w:rPr>
            </w:pPr>
          </w:p>
        </w:tc>
        <w:tc>
          <w:tcPr>
            <w:tcW w:w="0" w:type="auto"/>
            <w:shd w:val="clear" w:color="auto" w:fill="auto"/>
          </w:tcPr>
          <w:p w14:paraId="7DD019AC" w14:textId="77777777" w:rsidR="00C1563E" w:rsidRDefault="00C1563E">
            <w:pPr>
              <w:rPr>
                <w:rFonts w:ascii="宋体"/>
                <w:vanish/>
              </w:rPr>
            </w:pPr>
          </w:p>
        </w:tc>
        <w:tc>
          <w:tcPr>
            <w:tcW w:w="0" w:type="auto"/>
            <w:shd w:val="clear" w:color="auto" w:fill="auto"/>
          </w:tcPr>
          <w:p w14:paraId="7DD019AD" w14:textId="77777777" w:rsidR="00C1563E" w:rsidRDefault="00C1563E">
            <w:pPr>
              <w:rPr>
                <w:rFonts w:ascii="宋体"/>
                <w:vanish/>
              </w:rPr>
            </w:pPr>
          </w:p>
        </w:tc>
        <w:tc>
          <w:tcPr>
            <w:tcW w:w="0" w:type="auto"/>
            <w:shd w:val="clear" w:color="auto" w:fill="auto"/>
          </w:tcPr>
          <w:p w14:paraId="7DD019AE" w14:textId="77777777" w:rsidR="00C1563E" w:rsidRDefault="00C1563E">
            <w:pPr>
              <w:rPr>
                <w:rFonts w:ascii="宋体"/>
                <w:vanish/>
              </w:rPr>
            </w:pPr>
          </w:p>
        </w:tc>
        <w:tc>
          <w:tcPr>
            <w:tcW w:w="0" w:type="auto"/>
            <w:gridSpan w:val="3"/>
            <w:shd w:val="clear" w:color="auto" w:fill="CCEEFF"/>
            <w:tcMar>
              <w:top w:w="40" w:type="dxa"/>
              <w:left w:w="20" w:type="dxa"/>
              <w:bottom w:w="40" w:type="dxa"/>
              <w:right w:w="20" w:type="dxa"/>
            </w:tcMar>
            <w:vAlign w:val="bottom"/>
          </w:tcPr>
          <w:p w14:paraId="7DD019AF"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19B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9B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9B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9B3" w14:textId="77777777" w:rsidR="00C1563E" w:rsidRDefault="00C1563E">
            <w:pPr>
              <w:rPr>
                <w:rFonts w:ascii="宋体"/>
              </w:rPr>
            </w:pPr>
          </w:p>
        </w:tc>
      </w:tr>
      <w:tr w:rsidR="00C1563E" w14:paraId="7DD019BF" w14:textId="77777777">
        <w:trPr>
          <w:jc w:val="center"/>
        </w:trPr>
        <w:tc>
          <w:tcPr>
            <w:tcW w:w="0" w:type="auto"/>
            <w:gridSpan w:val="3"/>
            <w:shd w:val="clear" w:color="auto" w:fill="FFFFFF"/>
            <w:tcMar>
              <w:top w:w="40" w:type="dxa"/>
              <w:left w:w="155" w:type="dxa"/>
              <w:bottom w:w="40" w:type="dxa"/>
              <w:right w:w="20" w:type="dxa"/>
            </w:tcMar>
            <w:vAlign w:val="bottom"/>
          </w:tcPr>
          <w:p w14:paraId="7DD019B5" w14:textId="77777777" w:rsidR="00C1563E" w:rsidRDefault="000B648B">
            <w:pPr>
              <w:textAlignment w:val="bottom"/>
            </w:pPr>
            <w:r>
              <w:rPr>
                <w:rFonts w:ascii="Times New Roman" w:eastAsia="宋体" w:hAnsi="Times New Roman"/>
                <w:i/>
                <w:iCs/>
                <w:color w:val="000000"/>
                <w:sz w:val="20"/>
                <w:szCs w:val="20"/>
              </w:rPr>
              <w:t>Infrastructure Solutions Group:</w:t>
            </w:r>
          </w:p>
        </w:tc>
        <w:tc>
          <w:tcPr>
            <w:tcW w:w="0" w:type="auto"/>
            <w:shd w:val="clear" w:color="auto" w:fill="auto"/>
          </w:tcPr>
          <w:p w14:paraId="7DD019B6" w14:textId="77777777" w:rsidR="00C1563E" w:rsidRDefault="00C1563E">
            <w:pPr>
              <w:rPr>
                <w:rFonts w:ascii="宋体"/>
                <w:vanish/>
              </w:rPr>
            </w:pPr>
          </w:p>
        </w:tc>
        <w:tc>
          <w:tcPr>
            <w:tcW w:w="0" w:type="auto"/>
            <w:shd w:val="clear" w:color="auto" w:fill="auto"/>
          </w:tcPr>
          <w:p w14:paraId="7DD019B7" w14:textId="77777777" w:rsidR="00C1563E" w:rsidRDefault="00C1563E">
            <w:pPr>
              <w:rPr>
                <w:rFonts w:ascii="宋体"/>
                <w:vanish/>
              </w:rPr>
            </w:pPr>
          </w:p>
        </w:tc>
        <w:tc>
          <w:tcPr>
            <w:tcW w:w="0" w:type="auto"/>
            <w:shd w:val="clear" w:color="auto" w:fill="auto"/>
          </w:tcPr>
          <w:p w14:paraId="7DD019B8" w14:textId="77777777" w:rsidR="00C1563E" w:rsidRDefault="00C1563E">
            <w:pPr>
              <w:rPr>
                <w:rFonts w:ascii="宋体"/>
                <w:vanish/>
              </w:rPr>
            </w:pPr>
          </w:p>
        </w:tc>
        <w:tc>
          <w:tcPr>
            <w:tcW w:w="0" w:type="auto"/>
            <w:shd w:val="clear" w:color="auto" w:fill="auto"/>
          </w:tcPr>
          <w:p w14:paraId="7DD019B9"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D019B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BB"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BC"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BD"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BE" w14:textId="77777777" w:rsidR="00C1563E" w:rsidRDefault="00C1563E">
            <w:pPr>
              <w:rPr>
                <w:rFonts w:ascii="宋体"/>
              </w:rPr>
            </w:pPr>
          </w:p>
        </w:tc>
      </w:tr>
      <w:tr w:rsidR="00C1563E" w14:paraId="7DD019D0" w14:textId="77777777">
        <w:trPr>
          <w:jc w:val="center"/>
        </w:trPr>
        <w:tc>
          <w:tcPr>
            <w:tcW w:w="0" w:type="auto"/>
            <w:gridSpan w:val="3"/>
            <w:shd w:val="clear" w:color="auto" w:fill="CCEEFF"/>
            <w:tcMar>
              <w:top w:w="40" w:type="dxa"/>
              <w:left w:w="380" w:type="dxa"/>
              <w:bottom w:w="40" w:type="dxa"/>
              <w:right w:w="20" w:type="dxa"/>
            </w:tcMar>
            <w:vAlign w:val="bottom"/>
          </w:tcPr>
          <w:p w14:paraId="7DD019C0" w14:textId="77777777" w:rsidR="00C1563E" w:rsidRDefault="000B648B">
            <w:pPr>
              <w:textAlignment w:val="bottom"/>
            </w:pPr>
            <w:r>
              <w:rPr>
                <w:rFonts w:ascii="Times New Roman" w:eastAsia="宋体" w:hAnsi="Times New Roman"/>
                <w:color w:val="000000"/>
                <w:sz w:val="20"/>
                <w:szCs w:val="20"/>
              </w:rPr>
              <w:t>Servers and networking</w:t>
            </w:r>
          </w:p>
        </w:tc>
        <w:tc>
          <w:tcPr>
            <w:tcW w:w="0" w:type="auto"/>
            <w:shd w:val="clear" w:color="auto" w:fill="auto"/>
          </w:tcPr>
          <w:p w14:paraId="7DD019C1" w14:textId="77777777" w:rsidR="00C1563E" w:rsidRDefault="00C1563E">
            <w:pPr>
              <w:rPr>
                <w:rFonts w:ascii="宋体"/>
                <w:vanish/>
              </w:rPr>
            </w:pPr>
          </w:p>
        </w:tc>
        <w:tc>
          <w:tcPr>
            <w:tcW w:w="0" w:type="auto"/>
            <w:shd w:val="clear" w:color="auto" w:fill="auto"/>
          </w:tcPr>
          <w:p w14:paraId="7DD019C2" w14:textId="77777777" w:rsidR="00C1563E" w:rsidRDefault="00C1563E">
            <w:pPr>
              <w:rPr>
                <w:rFonts w:ascii="宋体"/>
                <w:vanish/>
              </w:rPr>
            </w:pPr>
          </w:p>
        </w:tc>
        <w:tc>
          <w:tcPr>
            <w:tcW w:w="0" w:type="auto"/>
            <w:shd w:val="clear" w:color="auto" w:fill="auto"/>
          </w:tcPr>
          <w:p w14:paraId="7DD019C3" w14:textId="77777777" w:rsidR="00C1563E" w:rsidRDefault="00C1563E">
            <w:pPr>
              <w:rPr>
                <w:rFonts w:ascii="宋体"/>
                <w:vanish/>
              </w:rPr>
            </w:pPr>
          </w:p>
        </w:tc>
        <w:tc>
          <w:tcPr>
            <w:tcW w:w="0" w:type="auto"/>
            <w:shd w:val="clear" w:color="auto" w:fill="auto"/>
          </w:tcPr>
          <w:p w14:paraId="7DD019C4"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D019C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9C6" w14:textId="77777777" w:rsidR="00C1563E" w:rsidRDefault="000B648B">
            <w:pPr>
              <w:jc w:val="right"/>
              <w:textAlignment w:val="bottom"/>
            </w:pPr>
            <w:r>
              <w:rPr>
                <w:rFonts w:ascii="Times New Roman" w:eastAsia="宋体" w:hAnsi="Times New Roman"/>
                <w:color w:val="000000"/>
                <w:sz w:val="20"/>
                <w:szCs w:val="20"/>
              </w:rPr>
              <w:t>16,497 </w:t>
            </w:r>
          </w:p>
        </w:tc>
        <w:tc>
          <w:tcPr>
            <w:tcW w:w="0" w:type="auto"/>
            <w:shd w:val="clear" w:color="auto" w:fill="CCEEFF"/>
            <w:tcMar>
              <w:top w:w="40" w:type="dxa"/>
              <w:left w:w="0" w:type="dxa"/>
              <w:bottom w:w="40" w:type="dxa"/>
              <w:right w:w="20" w:type="dxa"/>
            </w:tcMar>
            <w:vAlign w:val="bottom"/>
          </w:tcPr>
          <w:p w14:paraId="7DD019C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C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9C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9CA" w14:textId="77777777" w:rsidR="00C1563E" w:rsidRDefault="000B648B">
            <w:pPr>
              <w:jc w:val="right"/>
              <w:textAlignment w:val="bottom"/>
            </w:pPr>
            <w:r>
              <w:rPr>
                <w:rFonts w:ascii="Times New Roman" w:eastAsia="宋体" w:hAnsi="Times New Roman"/>
                <w:color w:val="000000"/>
                <w:sz w:val="20"/>
                <w:szCs w:val="20"/>
              </w:rPr>
              <w:t>17,127 </w:t>
            </w:r>
          </w:p>
        </w:tc>
        <w:tc>
          <w:tcPr>
            <w:tcW w:w="0" w:type="auto"/>
            <w:shd w:val="clear" w:color="auto" w:fill="CCEEFF"/>
            <w:tcMar>
              <w:top w:w="40" w:type="dxa"/>
              <w:left w:w="0" w:type="dxa"/>
              <w:bottom w:w="40" w:type="dxa"/>
              <w:right w:w="20" w:type="dxa"/>
            </w:tcMar>
            <w:vAlign w:val="bottom"/>
          </w:tcPr>
          <w:p w14:paraId="7DD019C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C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9C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9CE" w14:textId="77777777" w:rsidR="00C1563E" w:rsidRDefault="000B648B">
            <w:pPr>
              <w:jc w:val="right"/>
              <w:textAlignment w:val="bottom"/>
            </w:pPr>
            <w:r>
              <w:rPr>
                <w:rFonts w:ascii="Times New Roman" w:eastAsia="宋体" w:hAnsi="Times New Roman"/>
                <w:color w:val="000000"/>
                <w:sz w:val="20"/>
                <w:szCs w:val="20"/>
              </w:rPr>
              <w:t>19,953 </w:t>
            </w:r>
          </w:p>
        </w:tc>
        <w:tc>
          <w:tcPr>
            <w:tcW w:w="0" w:type="auto"/>
            <w:shd w:val="clear" w:color="auto" w:fill="CCEEFF"/>
            <w:tcMar>
              <w:top w:w="40" w:type="dxa"/>
              <w:left w:w="0" w:type="dxa"/>
              <w:bottom w:w="40" w:type="dxa"/>
              <w:right w:w="20" w:type="dxa"/>
            </w:tcMar>
            <w:vAlign w:val="bottom"/>
          </w:tcPr>
          <w:p w14:paraId="7DD019CF" w14:textId="77777777" w:rsidR="00C1563E" w:rsidRDefault="00C1563E">
            <w:pPr>
              <w:jc w:val="right"/>
              <w:rPr>
                <w:rFonts w:ascii="宋体"/>
              </w:rPr>
            </w:pPr>
          </w:p>
        </w:tc>
      </w:tr>
      <w:tr w:rsidR="00C1563E" w14:paraId="7DD019DE" w14:textId="77777777">
        <w:trPr>
          <w:jc w:val="center"/>
        </w:trPr>
        <w:tc>
          <w:tcPr>
            <w:tcW w:w="0" w:type="auto"/>
            <w:gridSpan w:val="3"/>
            <w:shd w:val="clear" w:color="auto" w:fill="FFFFFF"/>
            <w:tcMar>
              <w:top w:w="40" w:type="dxa"/>
              <w:left w:w="380" w:type="dxa"/>
              <w:bottom w:w="40" w:type="dxa"/>
              <w:right w:w="20" w:type="dxa"/>
            </w:tcMar>
            <w:vAlign w:val="bottom"/>
          </w:tcPr>
          <w:p w14:paraId="7DD019D1" w14:textId="77777777" w:rsidR="00C1563E" w:rsidRDefault="000B648B">
            <w:pPr>
              <w:textAlignment w:val="bottom"/>
            </w:pPr>
            <w:r>
              <w:rPr>
                <w:rFonts w:ascii="Times New Roman" w:eastAsia="宋体" w:hAnsi="Times New Roman"/>
                <w:color w:val="000000"/>
                <w:sz w:val="20"/>
                <w:szCs w:val="20"/>
              </w:rPr>
              <w:t>Storage</w:t>
            </w:r>
          </w:p>
        </w:tc>
        <w:tc>
          <w:tcPr>
            <w:tcW w:w="0" w:type="auto"/>
            <w:shd w:val="clear" w:color="auto" w:fill="auto"/>
          </w:tcPr>
          <w:p w14:paraId="7DD019D2" w14:textId="77777777" w:rsidR="00C1563E" w:rsidRDefault="00C1563E">
            <w:pPr>
              <w:rPr>
                <w:rFonts w:ascii="宋体"/>
                <w:vanish/>
              </w:rPr>
            </w:pPr>
          </w:p>
        </w:tc>
        <w:tc>
          <w:tcPr>
            <w:tcW w:w="0" w:type="auto"/>
            <w:shd w:val="clear" w:color="auto" w:fill="auto"/>
          </w:tcPr>
          <w:p w14:paraId="7DD019D3" w14:textId="77777777" w:rsidR="00C1563E" w:rsidRDefault="00C1563E">
            <w:pPr>
              <w:rPr>
                <w:rFonts w:ascii="宋体"/>
                <w:vanish/>
              </w:rPr>
            </w:pPr>
          </w:p>
        </w:tc>
        <w:tc>
          <w:tcPr>
            <w:tcW w:w="0" w:type="auto"/>
            <w:shd w:val="clear" w:color="auto" w:fill="auto"/>
          </w:tcPr>
          <w:p w14:paraId="7DD019D4" w14:textId="77777777" w:rsidR="00C1563E" w:rsidRDefault="00C1563E">
            <w:pPr>
              <w:rPr>
                <w:rFonts w:ascii="宋体"/>
                <w:vanish/>
              </w:rPr>
            </w:pPr>
          </w:p>
        </w:tc>
        <w:tc>
          <w:tcPr>
            <w:tcW w:w="0" w:type="auto"/>
            <w:shd w:val="clear" w:color="auto" w:fill="auto"/>
          </w:tcPr>
          <w:p w14:paraId="7DD019D5"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9D6" w14:textId="77777777" w:rsidR="00C1563E" w:rsidRDefault="000B648B">
            <w:pPr>
              <w:jc w:val="right"/>
              <w:textAlignment w:val="bottom"/>
            </w:pPr>
            <w:r>
              <w:rPr>
                <w:rFonts w:ascii="Times New Roman" w:eastAsia="宋体" w:hAnsi="Times New Roman"/>
                <w:color w:val="000000"/>
                <w:sz w:val="20"/>
                <w:szCs w:val="20"/>
              </w:rPr>
              <w:t>16,091 </w:t>
            </w:r>
          </w:p>
        </w:tc>
        <w:tc>
          <w:tcPr>
            <w:tcW w:w="0" w:type="auto"/>
            <w:shd w:val="clear" w:color="auto" w:fill="FFFFFF"/>
            <w:tcMar>
              <w:top w:w="40" w:type="dxa"/>
              <w:left w:w="0" w:type="dxa"/>
              <w:bottom w:w="40" w:type="dxa"/>
              <w:right w:w="20" w:type="dxa"/>
            </w:tcMar>
            <w:vAlign w:val="bottom"/>
          </w:tcPr>
          <w:p w14:paraId="7DD019D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D8"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D9" w14:textId="77777777" w:rsidR="00C1563E" w:rsidRDefault="000B648B">
            <w:pPr>
              <w:jc w:val="right"/>
              <w:textAlignment w:val="bottom"/>
            </w:pPr>
            <w:r>
              <w:rPr>
                <w:rFonts w:ascii="Times New Roman" w:eastAsia="宋体" w:hAnsi="Times New Roman"/>
                <w:color w:val="000000"/>
                <w:sz w:val="20"/>
                <w:szCs w:val="20"/>
              </w:rPr>
              <w:t>16,842 </w:t>
            </w:r>
          </w:p>
        </w:tc>
        <w:tc>
          <w:tcPr>
            <w:tcW w:w="0" w:type="auto"/>
            <w:shd w:val="clear" w:color="auto" w:fill="FFFFFF"/>
            <w:tcMar>
              <w:top w:w="40" w:type="dxa"/>
              <w:left w:w="0" w:type="dxa"/>
              <w:bottom w:w="40" w:type="dxa"/>
              <w:right w:w="20" w:type="dxa"/>
            </w:tcMar>
            <w:vAlign w:val="bottom"/>
          </w:tcPr>
          <w:p w14:paraId="7DD019D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9D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9DC" w14:textId="77777777" w:rsidR="00C1563E" w:rsidRDefault="000B648B">
            <w:pPr>
              <w:jc w:val="right"/>
              <w:textAlignment w:val="bottom"/>
            </w:pPr>
            <w:r>
              <w:rPr>
                <w:rFonts w:ascii="Times New Roman" w:eastAsia="宋体" w:hAnsi="Times New Roman"/>
                <w:color w:val="000000"/>
                <w:sz w:val="20"/>
                <w:szCs w:val="20"/>
              </w:rPr>
              <w:t>16,767 </w:t>
            </w:r>
          </w:p>
        </w:tc>
        <w:tc>
          <w:tcPr>
            <w:tcW w:w="0" w:type="auto"/>
            <w:shd w:val="clear" w:color="auto" w:fill="FFFFFF"/>
            <w:tcMar>
              <w:top w:w="40" w:type="dxa"/>
              <w:left w:w="0" w:type="dxa"/>
              <w:bottom w:w="40" w:type="dxa"/>
              <w:right w:w="20" w:type="dxa"/>
            </w:tcMar>
            <w:vAlign w:val="bottom"/>
          </w:tcPr>
          <w:p w14:paraId="7DD019DD" w14:textId="77777777" w:rsidR="00C1563E" w:rsidRDefault="00C1563E">
            <w:pPr>
              <w:jc w:val="right"/>
              <w:rPr>
                <w:rFonts w:ascii="宋体"/>
              </w:rPr>
            </w:pPr>
          </w:p>
        </w:tc>
      </w:tr>
      <w:tr w:rsidR="00C1563E" w14:paraId="7DD019EC" w14:textId="77777777">
        <w:trPr>
          <w:jc w:val="center"/>
        </w:trPr>
        <w:tc>
          <w:tcPr>
            <w:tcW w:w="0" w:type="auto"/>
            <w:gridSpan w:val="3"/>
            <w:shd w:val="clear" w:color="auto" w:fill="CCEEFF"/>
            <w:tcMar>
              <w:top w:w="40" w:type="dxa"/>
              <w:left w:w="605" w:type="dxa"/>
              <w:bottom w:w="40" w:type="dxa"/>
              <w:right w:w="20" w:type="dxa"/>
            </w:tcMar>
            <w:vAlign w:val="bottom"/>
          </w:tcPr>
          <w:p w14:paraId="7DD019DF" w14:textId="77777777" w:rsidR="00C1563E" w:rsidRDefault="000B648B">
            <w:pPr>
              <w:textAlignment w:val="bottom"/>
            </w:pPr>
            <w:r>
              <w:rPr>
                <w:rFonts w:ascii="Times New Roman" w:eastAsia="宋体" w:hAnsi="Times New Roman"/>
                <w:color w:val="000000"/>
                <w:sz w:val="20"/>
                <w:szCs w:val="20"/>
              </w:rPr>
              <w:t>Total ISG net revenue</w:t>
            </w:r>
          </w:p>
        </w:tc>
        <w:tc>
          <w:tcPr>
            <w:tcW w:w="0" w:type="auto"/>
            <w:shd w:val="clear" w:color="auto" w:fill="auto"/>
          </w:tcPr>
          <w:p w14:paraId="7DD019E0" w14:textId="77777777" w:rsidR="00C1563E" w:rsidRDefault="00C1563E">
            <w:pPr>
              <w:rPr>
                <w:rFonts w:ascii="宋体"/>
                <w:vanish/>
              </w:rPr>
            </w:pPr>
          </w:p>
        </w:tc>
        <w:tc>
          <w:tcPr>
            <w:tcW w:w="0" w:type="auto"/>
            <w:shd w:val="clear" w:color="auto" w:fill="auto"/>
          </w:tcPr>
          <w:p w14:paraId="7DD019E1" w14:textId="77777777" w:rsidR="00C1563E" w:rsidRDefault="00C1563E">
            <w:pPr>
              <w:rPr>
                <w:rFonts w:ascii="宋体"/>
                <w:vanish/>
              </w:rPr>
            </w:pPr>
          </w:p>
        </w:tc>
        <w:tc>
          <w:tcPr>
            <w:tcW w:w="0" w:type="auto"/>
            <w:shd w:val="clear" w:color="auto" w:fill="auto"/>
          </w:tcPr>
          <w:p w14:paraId="7DD019E2" w14:textId="77777777" w:rsidR="00C1563E" w:rsidRDefault="00C1563E">
            <w:pPr>
              <w:rPr>
                <w:rFonts w:ascii="宋体"/>
                <w:vanish/>
              </w:rPr>
            </w:pPr>
          </w:p>
        </w:tc>
        <w:tc>
          <w:tcPr>
            <w:tcW w:w="0" w:type="auto"/>
            <w:shd w:val="clear" w:color="auto" w:fill="auto"/>
          </w:tcPr>
          <w:p w14:paraId="7DD019E3" w14:textId="77777777" w:rsidR="00C1563E" w:rsidRDefault="00C1563E">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9E4" w14:textId="77777777" w:rsidR="00C1563E" w:rsidRDefault="000B648B">
            <w:pPr>
              <w:jc w:val="right"/>
              <w:textAlignment w:val="bottom"/>
            </w:pPr>
            <w:r>
              <w:rPr>
                <w:rFonts w:ascii="Times New Roman" w:eastAsia="宋体" w:hAnsi="Times New Roman"/>
                <w:color w:val="000000"/>
                <w:sz w:val="20"/>
                <w:szCs w:val="20"/>
              </w:rPr>
              <w:t>32,588 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9E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E6"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9E7" w14:textId="77777777" w:rsidR="00C1563E" w:rsidRDefault="000B648B">
            <w:pPr>
              <w:jc w:val="right"/>
              <w:textAlignment w:val="bottom"/>
            </w:pPr>
            <w:r>
              <w:rPr>
                <w:rFonts w:ascii="Times New Roman" w:eastAsia="宋体" w:hAnsi="Times New Roman"/>
                <w:color w:val="000000"/>
                <w:sz w:val="20"/>
                <w:szCs w:val="20"/>
              </w:rPr>
              <w:t>33,969 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9E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E9"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9EA" w14:textId="77777777" w:rsidR="00C1563E" w:rsidRDefault="000B648B">
            <w:pPr>
              <w:jc w:val="right"/>
              <w:textAlignment w:val="bottom"/>
            </w:pPr>
            <w:r>
              <w:rPr>
                <w:rFonts w:ascii="Times New Roman" w:eastAsia="宋体" w:hAnsi="Times New Roman"/>
                <w:color w:val="000000"/>
                <w:sz w:val="20"/>
                <w:szCs w:val="20"/>
              </w:rPr>
              <w:t>36,720 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9EB" w14:textId="77777777" w:rsidR="00C1563E" w:rsidRDefault="00C1563E">
            <w:pPr>
              <w:jc w:val="right"/>
              <w:rPr>
                <w:rFonts w:ascii="宋体"/>
              </w:rPr>
            </w:pPr>
          </w:p>
        </w:tc>
      </w:tr>
      <w:tr w:rsidR="00C1563E" w14:paraId="7DD019F7" w14:textId="77777777">
        <w:trPr>
          <w:jc w:val="center"/>
        </w:trPr>
        <w:tc>
          <w:tcPr>
            <w:tcW w:w="0" w:type="auto"/>
            <w:gridSpan w:val="3"/>
            <w:shd w:val="clear" w:color="auto" w:fill="FFFFFF"/>
            <w:tcMar>
              <w:top w:w="40" w:type="dxa"/>
              <w:left w:w="155" w:type="dxa"/>
              <w:bottom w:w="40" w:type="dxa"/>
              <w:right w:w="20" w:type="dxa"/>
            </w:tcMar>
            <w:vAlign w:val="bottom"/>
          </w:tcPr>
          <w:p w14:paraId="7DD019ED" w14:textId="77777777" w:rsidR="00C1563E" w:rsidRDefault="000B648B">
            <w:pPr>
              <w:textAlignment w:val="bottom"/>
            </w:pPr>
            <w:r>
              <w:rPr>
                <w:rFonts w:ascii="Times New Roman" w:eastAsia="宋体" w:hAnsi="Times New Roman"/>
                <w:i/>
                <w:iCs/>
                <w:color w:val="000000"/>
                <w:sz w:val="20"/>
                <w:szCs w:val="20"/>
              </w:rPr>
              <w:t>Client Solutions Group:</w:t>
            </w:r>
          </w:p>
        </w:tc>
        <w:tc>
          <w:tcPr>
            <w:tcW w:w="0" w:type="auto"/>
            <w:shd w:val="clear" w:color="auto" w:fill="auto"/>
          </w:tcPr>
          <w:p w14:paraId="7DD019EE" w14:textId="77777777" w:rsidR="00C1563E" w:rsidRDefault="00C1563E">
            <w:pPr>
              <w:rPr>
                <w:rFonts w:ascii="宋体"/>
                <w:vanish/>
              </w:rPr>
            </w:pPr>
          </w:p>
        </w:tc>
        <w:tc>
          <w:tcPr>
            <w:tcW w:w="0" w:type="auto"/>
            <w:shd w:val="clear" w:color="auto" w:fill="auto"/>
          </w:tcPr>
          <w:p w14:paraId="7DD019EF" w14:textId="77777777" w:rsidR="00C1563E" w:rsidRDefault="00C1563E">
            <w:pPr>
              <w:rPr>
                <w:rFonts w:ascii="宋体"/>
                <w:vanish/>
              </w:rPr>
            </w:pPr>
          </w:p>
        </w:tc>
        <w:tc>
          <w:tcPr>
            <w:tcW w:w="0" w:type="auto"/>
            <w:shd w:val="clear" w:color="auto" w:fill="auto"/>
          </w:tcPr>
          <w:p w14:paraId="7DD019F0" w14:textId="77777777" w:rsidR="00C1563E" w:rsidRDefault="00C1563E">
            <w:pPr>
              <w:rPr>
                <w:rFonts w:ascii="宋体"/>
                <w:vanish/>
              </w:rPr>
            </w:pPr>
          </w:p>
        </w:tc>
        <w:tc>
          <w:tcPr>
            <w:tcW w:w="0" w:type="auto"/>
            <w:shd w:val="clear" w:color="auto" w:fill="auto"/>
          </w:tcPr>
          <w:p w14:paraId="7DD019F1" w14:textId="77777777" w:rsidR="00C1563E" w:rsidRDefault="00C1563E">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19F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F3"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19F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9F5"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19F6" w14:textId="77777777" w:rsidR="00C1563E" w:rsidRDefault="00C1563E">
            <w:pPr>
              <w:rPr>
                <w:rFonts w:ascii="宋体"/>
              </w:rPr>
            </w:pPr>
          </w:p>
        </w:tc>
      </w:tr>
      <w:tr w:rsidR="00C1563E" w14:paraId="7DD01A05" w14:textId="77777777">
        <w:trPr>
          <w:jc w:val="center"/>
        </w:trPr>
        <w:tc>
          <w:tcPr>
            <w:tcW w:w="0" w:type="auto"/>
            <w:gridSpan w:val="3"/>
            <w:shd w:val="clear" w:color="auto" w:fill="CCEEFF"/>
            <w:tcMar>
              <w:top w:w="40" w:type="dxa"/>
              <w:left w:w="380" w:type="dxa"/>
              <w:bottom w:w="40" w:type="dxa"/>
              <w:right w:w="20" w:type="dxa"/>
            </w:tcMar>
            <w:vAlign w:val="bottom"/>
          </w:tcPr>
          <w:p w14:paraId="7DD019F8" w14:textId="77777777" w:rsidR="00C1563E" w:rsidRDefault="000B648B">
            <w:pPr>
              <w:textAlignment w:val="bottom"/>
            </w:pPr>
            <w:r>
              <w:rPr>
                <w:rFonts w:ascii="Times New Roman" w:eastAsia="宋体" w:hAnsi="Times New Roman"/>
                <w:color w:val="000000"/>
                <w:sz w:val="20"/>
                <w:szCs w:val="20"/>
              </w:rPr>
              <w:t>Commercial</w:t>
            </w:r>
          </w:p>
        </w:tc>
        <w:tc>
          <w:tcPr>
            <w:tcW w:w="0" w:type="auto"/>
            <w:shd w:val="clear" w:color="auto" w:fill="auto"/>
          </w:tcPr>
          <w:p w14:paraId="7DD019F9" w14:textId="77777777" w:rsidR="00C1563E" w:rsidRDefault="00C1563E">
            <w:pPr>
              <w:rPr>
                <w:rFonts w:ascii="宋体"/>
                <w:vanish/>
              </w:rPr>
            </w:pPr>
          </w:p>
        </w:tc>
        <w:tc>
          <w:tcPr>
            <w:tcW w:w="0" w:type="auto"/>
            <w:shd w:val="clear" w:color="auto" w:fill="auto"/>
          </w:tcPr>
          <w:p w14:paraId="7DD019FA" w14:textId="77777777" w:rsidR="00C1563E" w:rsidRDefault="00C1563E">
            <w:pPr>
              <w:rPr>
                <w:rFonts w:ascii="宋体"/>
                <w:vanish/>
              </w:rPr>
            </w:pPr>
          </w:p>
        </w:tc>
        <w:tc>
          <w:tcPr>
            <w:tcW w:w="0" w:type="auto"/>
            <w:shd w:val="clear" w:color="auto" w:fill="auto"/>
          </w:tcPr>
          <w:p w14:paraId="7DD019FB" w14:textId="77777777" w:rsidR="00C1563E" w:rsidRDefault="00C1563E">
            <w:pPr>
              <w:rPr>
                <w:rFonts w:ascii="宋体"/>
                <w:vanish/>
              </w:rPr>
            </w:pPr>
          </w:p>
        </w:tc>
        <w:tc>
          <w:tcPr>
            <w:tcW w:w="0" w:type="auto"/>
            <w:shd w:val="clear" w:color="auto" w:fill="auto"/>
          </w:tcPr>
          <w:p w14:paraId="7DD019FC"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9FD" w14:textId="77777777" w:rsidR="00C1563E" w:rsidRDefault="000B648B">
            <w:pPr>
              <w:jc w:val="right"/>
              <w:textAlignment w:val="bottom"/>
            </w:pPr>
            <w:r>
              <w:rPr>
                <w:rFonts w:ascii="Times New Roman" w:eastAsia="宋体" w:hAnsi="Times New Roman"/>
                <w:color w:val="000000"/>
                <w:sz w:val="20"/>
                <w:szCs w:val="20"/>
              </w:rPr>
              <w:t>35,396 </w:t>
            </w:r>
          </w:p>
        </w:tc>
        <w:tc>
          <w:tcPr>
            <w:tcW w:w="0" w:type="auto"/>
            <w:shd w:val="clear" w:color="auto" w:fill="CCEEFF"/>
            <w:tcMar>
              <w:top w:w="40" w:type="dxa"/>
              <w:left w:w="0" w:type="dxa"/>
              <w:bottom w:w="40" w:type="dxa"/>
              <w:right w:w="20" w:type="dxa"/>
            </w:tcMar>
            <w:vAlign w:val="bottom"/>
          </w:tcPr>
          <w:p w14:paraId="7DD019F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9F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00" w14:textId="77777777" w:rsidR="00C1563E" w:rsidRDefault="000B648B">
            <w:pPr>
              <w:jc w:val="right"/>
              <w:textAlignment w:val="bottom"/>
            </w:pPr>
            <w:r>
              <w:rPr>
                <w:rFonts w:ascii="Times New Roman" w:eastAsia="宋体" w:hAnsi="Times New Roman"/>
                <w:color w:val="000000"/>
                <w:sz w:val="20"/>
                <w:szCs w:val="20"/>
              </w:rPr>
              <w:t>34,277 </w:t>
            </w:r>
          </w:p>
        </w:tc>
        <w:tc>
          <w:tcPr>
            <w:tcW w:w="0" w:type="auto"/>
            <w:shd w:val="clear" w:color="auto" w:fill="CCEEFF"/>
            <w:tcMar>
              <w:top w:w="40" w:type="dxa"/>
              <w:left w:w="0" w:type="dxa"/>
              <w:bottom w:w="40" w:type="dxa"/>
              <w:right w:w="20" w:type="dxa"/>
            </w:tcMar>
            <w:vAlign w:val="bottom"/>
          </w:tcPr>
          <w:p w14:paraId="7DD01A0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0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03" w14:textId="77777777" w:rsidR="00C1563E" w:rsidRDefault="000B648B">
            <w:pPr>
              <w:jc w:val="right"/>
              <w:textAlignment w:val="bottom"/>
            </w:pPr>
            <w:r>
              <w:rPr>
                <w:rFonts w:ascii="Times New Roman" w:eastAsia="宋体" w:hAnsi="Times New Roman"/>
                <w:color w:val="000000"/>
                <w:sz w:val="20"/>
                <w:szCs w:val="20"/>
              </w:rPr>
              <w:t>30,893 </w:t>
            </w:r>
          </w:p>
        </w:tc>
        <w:tc>
          <w:tcPr>
            <w:tcW w:w="0" w:type="auto"/>
            <w:shd w:val="clear" w:color="auto" w:fill="CCEEFF"/>
            <w:tcMar>
              <w:top w:w="40" w:type="dxa"/>
              <w:left w:w="0" w:type="dxa"/>
              <w:bottom w:w="40" w:type="dxa"/>
              <w:right w:w="20" w:type="dxa"/>
            </w:tcMar>
            <w:vAlign w:val="bottom"/>
          </w:tcPr>
          <w:p w14:paraId="7DD01A04" w14:textId="77777777" w:rsidR="00C1563E" w:rsidRDefault="00C1563E">
            <w:pPr>
              <w:jc w:val="right"/>
              <w:rPr>
                <w:rFonts w:ascii="宋体"/>
              </w:rPr>
            </w:pPr>
          </w:p>
        </w:tc>
      </w:tr>
      <w:tr w:rsidR="00C1563E" w14:paraId="7DD01A13" w14:textId="77777777">
        <w:trPr>
          <w:jc w:val="center"/>
        </w:trPr>
        <w:tc>
          <w:tcPr>
            <w:tcW w:w="0" w:type="auto"/>
            <w:gridSpan w:val="3"/>
            <w:shd w:val="clear" w:color="auto" w:fill="FFFFFF"/>
            <w:tcMar>
              <w:top w:w="40" w:type="dxa"/>
              <w:left w:w="380" w:type="dxa"/>
              <w:bottom w:w="40" w:type="dxa"/>
              <w:right w:w="20" w:type="dxa"/>
            </w:tcMar>
            <w:vAlign w:val="bottom"/>
          </w:tcPr>
          <w:p w14:paraId="7DD01A06" w14:textId="77777777" w:rsidR="00C1563E" w:rsidRDefault="000B648B">
            <w:pPr>
              <w:textAlignment w:val="bottom"/>
            </w:pPr>
            <w:r>
              <w:rPr>
                <w:rFonts w:ascii="Times New Roman" w:eastAsia="宋体" w:hAnsi="Times New Roman"/>
                <w:color w:val="000000"/>
                <w:sz w:val="20"/>
                <w:szCs w:val="20"/>
              </w:rPr>
              <w:t>Consumer</w:t>
            </w:r>
          </w:p>
        </w:tc>
        <w:tc>
          <w:tcPr>
            <w:tcW w:w="0" w:type="auto"/>
            <w:shd w:val="clear" w:color="auto" w:fill="auto"/>
          </w:tcPr>
          <w:p w14:paraId="7DD01A07" w14:textId="77777777" w:rsidR="00C1563E" w:rsidRDefault="00C1563E">
            <w:pPr>
              <w:rPr>
                <w:rFonts w:ascii="宋体"/>
                <w:vanish/>
              </w:rPr>
            </w:pPr>
          </w:p>
        </w:tc>
        <w:tc>
          <w:tcPr>
            <w:tcW w:w="0" w:type="auto"/>
            <w:shd w:val="clear" w:color="auto" w:fill="auto"/>
          </w:tcPr>
          <w:p w14:paraId="7DD01A08" w14:textId="77777777" w:rsidR="00C1563E" w:rsidRDefault="00C1563E">
            <w:pPr>
              <w:rPr>
                <w:rFonts w:ascii="宋体"/>
                <w:vanish/>
              </w:rPr>
            </w:pPr>
          </w:p>
        </w:tc>
        <w:tc>
          <w:tcPr>
            <w:tcW w:w="0" w:type="auto"/>
            <w:shd w:val="clear" w:color="auto" w:fill="auto"/>
          </w:tcPr>
          <w:p w14:paraId="7DD01A09" w14:textId="77777777" w:rsidR="00C1563E" w:rsidRDefault="00C1563E">
            <w:pPr>
              <w:rPr>
                <w:rFonts w:ascii="宋体"/>
                <w:vanish/>
              </w:rPr>
            </w:pPr>
          </w:p>
        </w:tc>
        <w:tc>
          <w:tcPr>
            <w:tcW w:w="0" w:type="auto"/>
            <w:shd w:val="clear" w:color="auto" w:fill="auto"/>
          </w:tcPr>
          <w:p w14:paraId="7DD01A0A"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A0B" w14:textId="77777777" w:rsidR="00C1563E" w:rsidRDefault="000B648B">
            <w:pPr>
              <w:jc w:val="right"/>
              <w:textAlignment w:val="bottom"/>
            </w:pPr>
            <w:r>
              <w:rPr>
                <w:rFonts w:ascii="Times New Roman" w:eastAsia="宋体" w:hAnsi="Times New Roman"/>
                <w:color w:val="000000"/>
                <w:sz w:val="20"/>
                <w:szCs w:val="20"/>
              </w:rPr>
              <w:t>12,959 </w:t>
            </w:r>
          </w:p>
        </w:tc>
        <w:tc>
          <w:tcPr>
            <w:tcW w:w="0" w:type="auto"/>
            <w:shd w:val="clear" w:color="auto" w:fill="FFFFFF"/>
            <w:tcMar>
              <w:top w:w="40" w:type="dxa"/>
              <w:left w:w="0" w:type="dxa"/>
              <w:bottom w:w="40" w:type="dxa"/>
              <w:right w:w="20" w:type="dxa"/>
            </w:tcMar>
            <w:vAlign w:val="bottom"/>
          </w:tcPr>
          <w:p w14:paraId="7DD01A0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0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A0E" w14:textId="77777777" w:rsidR="00C1563E" w:rsidRDefault="000B648B">
            <w:pPr>
              <w:jc w:val="right"/>
              <w:textAlignment w:val="bottom"/>
            </w:pPr>
            <w:r>
              <w:rPr>
                <w:rFonts w:ascii="Times New Roman" w:eastAsia="宋体" w:hAnsi="Times New Roman"/>
                <w:color w:val="000000"/>
                <w:sz w:val="20"/>
                <w:szCs w:val="20"/>
              </w:rPr>
              <w:t>11,561 </w:t>
            </w:r>
          </w:p>
        </w:tc>
        <w:tc>
          <w:tcPr>
            <w:tcW w:w="0" w:type="auto"/>
            <w:shd w:val="clear" w:color="auto" w:fill="FFFFFF"/>
            <w:tcMar>
              <w:top w:w="40" w:type="dxa"/>
              <w:left w:w="0" w:type="dxa"/>
              <w:bottom w:w="40" w:type="dxa"/>
              <w:right w:w="20" w:type="dxa"/>
            </w:tcMar>
            <w:vAlign w:val="bottom"/>
          </w:tcPr>
          <w:p w14:paraId="7DD01A0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1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A11" w14:textId="77777777" w:rsidR="00C1563E" w:rsidRDefault="000B648B">
            <w:pPr>
              <w:jc w:val="right"/>
              <w:textAlignment w:val="bottom"/>
            </w:pPr>
            <w:r>
              <w:rPr>
                <w:rFonts w:ascii="Times New Roman" w:eastAsia="宋体" w:hAnsi="Times New Roman"/>
                <w:color w:val="000000"/>
                <w:sz w:val="20"/>
                <w:szCs w:val="20"/>
              </w:rPr>
              <w:t>12,303 </w:t>
            </w:r>
          </w:p>
        </w:tc>
        <w:tc>
          <w:tcPr>
            <w:tcW w:w="0" w:type="auto"/>
            <w:shd w:val="clear" w:color="auto" w:fill="FFFFFF"/>
            <w:tcMar>
              <w:top w:w="40" w:type="dxa"/>
              <w:left w:w="0" w:type="dxa"/>
              <w:bottom w:w="40" w:type="dxa"/>
              <w:right w:w="20" w:type="dxa"/>
            </w:tcMar>
            <w:vAlign w:val="bottom"/>
          </w:tcPr>
          <w:p w14:paraId="7DD01A12" w14:textId="77777777" w:rsidR="00C1563E" w:rsidRDefault="00C1563E">
            <w:pPr>
              <w:jc w:val="right"/>
              <w:rPr>
                <w:rFonts w:ascii="宋体"/>
              </w:rPr>
            </w:pPr>
          </w:p>
        </w:tc>
      </w:tr>
      <w:tr w:rsidR="00C1563E" w14:paraId="7DD01A21" w14:textId="77777777">
        <w:trPr>
          <w:jc w:val="center"/>
        </w:trPr>
        <w:tc>
          <w:tcPr>
            <w:tcW w:w="0" w:type="auto"/>
            <w:gridSpan w:val="3"/>
            <w:shd w:val="clear" w:color="auto" w:fill="CCEEFF"/>
            <w:tcMar>
              <w:top w:w="40" w:type="dxa"/>
              <w:left w:w="605" w:type="dxa"/>
              <w:bottom w:w="40" w:type="dxa"/>
              <w:right w:w="20" w:type="dxa"/>
            </w:tcMar>
            <w:vAlign w:val="bottom"/>
          </w:tcPr>
          <w:p w14:paraId="7DD01A14" w14:textId="77777777" w:rsidR="00C1563E" w:rsidRDefault="000B648B">
            <w:pPr>
              <w:textAlignment w:val="bottom"/>
            </w:pPr>
            <w:r>
              <w:rPr>
                <w:rFonts w:ascii="Times New Roman" w:eastAsia="宋体" w:hAnsi="Times New Roman"/>
                <w:color w:val="000000"/>
                <w:sz w:val="20"/>
                <w:szCs w:val="20"/>
              </w:rPr>
              <w:t>Total CSG net revenue</w:t>
            </w:r>
          </w:p>
        </w:tc>
        <w:tc>
          <w:tcPr>
            <w:tcW w:w="0" w:type="auto"/>
            <w:shd w:val="clear" w:color="auto" w:fill="auto"/>
          </w:tcPr>
          <w:p w14:paraId="7DD01A15" w14:textId="77777777" w:rsidR="00C1563E" w:rsidRDefault="00C1563E">
            <w:pPr>
              <w:rPr>
                <w:rFonts w:ascii="宋体"/>
                <w:vanish/>
              </w:rPr>
            </w:pPr>
          </w:p>
        </w:tc>
        <w:tc>
          <w:tcPr>
            <w:tcW w:w="0" w:type="auto"/>
            <w:shd w:val="clear" w:color="auto" w:fill="auto"/>
          </w:tcPr>
          <w:p w14:paraId="7DD01A16" w14:textId="77777777" w:rsidR="00C1563E" w:rsidRDefault="00C1563E">
            <w:pPr>
              <w:rPr>
                <w:rFonts w:ascii="宋体"/>
                <w:vanish/>
              </w:rPr>
            </w:pPr>
          </w:p>
        </w:tc>
        <w:tc>
          <w:tcPr>
            <w:tcW w:w="0" w:type="auto"/>
            <w:shd w:val="clear" w:color="auto" w:fill="auto"/>
          </w:tcPr>
          <w:p w14:paraId="7DD01A17" w14:textId="77777777" w:rsidR="00C1563E" w:rsidRDefault="00C1563E">
            <w:pPr>
              <w:rPr>
                <w:rFonts w:ascii="宋体"/>
                <w:vanish/>
              </w:rPr>
            </w:pPr>
          </w:p>
        </w:tc>
        <w:tc>
          <w:tcPr>
            <w:tcW w:w="0" w:type="auto"/>
            <w:shd w:val="clear" w:color="auto" w:fill="auto"/>
          </w:tcPr>
          <w:p w14:paraId="7DD01A18" w14:textId="77777777" w:rsidR="00C1563E" w:rsidRDefault="00C1563E">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19" w14:textId="77777777" w:rsidR="00C1563E" w:rsidRDefault="000B648B">
            <w:pPr>
              <w:jc w:val="right"/>
              <w:textAlignment w:val="bottom"/>
            </w:pPr>
            <w:r>
              <w:rPr>
                <w:rFonts w:ascii="Times New Roman" w:eastAsia="宋体" w:hAnsi="Times New Roman"/>
                <w:color w:val="000000"/>
                <w:sz w:val="20"/>
                <w:szCs w:val="20"/>
              </w:rPr>
              <w:t>48,355 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1B"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1C" w14:textId="77777777" w:rsidR="00C1563E" w:rsidRDefault="000B648B">
            <w:pPr>
              <w:jc w:val="right"/>
              <w:textAlignment w:val="bottom"/>
            </w:pPr>
            <w:r>
              <w:rPr>
                <w:rFonts w:ascii="Times New Roman" w:eastAsia="宋体" w:hAnsi="Times New Roman"/>
                <w:color w:val="000000"/>
                <w:sz w:val="20"/>
                <w:szCs w:val="20"/>
              </w:rPr>
              <w:t>45,838 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1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1E"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1F" w14:textId="77777777" w:rsidR="00C1563E" w:rsidRDefault="000B648B">
            <w:pPr>
              <w:jc w:val="right"/>
              <w:textAlignment w:val="bottom"/>
            </w:pPr>
            <w:r>
              <w:rPr>
                <w:rFonts w:ascii="Times New Roman" w:eastAsia="宋体" w:hAnsi="Times New Roman"/>
                <w:color w:val="000000"/>
                <w:sz w:val="20"/>
                <w:szCs w:val="20"/>
              </w:rPr>
              <w:t>43,196 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20" w14:textId="77777777" w:rsidR="00C1563E" w:rsidRDefault="00C1563E">
            <w:pPr>
              <w:jc w:val="right"/>
              <w:rPr>
                <w:rFonts w:ascii="宋体"/>
              </w:rPr>
            </w:pPr>
          </w:p>
        </w:tc>
      </w:tr>
      <w:tr w:rsidR="00C1563E" w14:paraId="7DD01A2C" w14:textId="77777777">
        <w:trPr>
          <w:jc w:val="center"/>
        </w:trPr>
        <w:tc>
          <w:tcPr>
            <w:tcW w:w="0" w:type="auto"/>
            <w:gridSpan w:val="3"/>
            <w:shd w:val="clear" w:color="auto" w:fill="FFFFFF"/>
            <w:tcMar>
              <w:top w:w="40" w:type="dxa"/>
              <w:left w:w="155" w:type="dxa"/>
              <w:bottom w:w="40" w:type="dxa"/>
              <w:right w:w="20" w:type="dxa"/>
            </w:tcMar>
            <w:vAlign w:val="bottom"/>
          </w:tcPr>
          <w:p w14:paraId="7DD01A22" w14:textId="77777777" w:rsidR="00C1563E" w:rsidRDefault="000B648B">
            <w:pPr>
              <w:textAlignment w:val="bottom"/>
            </w:pPr>
            <w:r>
              <w:rPr>
                <w:rFonts w:ascii="Times New Roman" w:eastAsia="宋体" w:hAnsi="Times New Roman"/>
                <w:i/>
                <w:iCs/>
                <w:color w:val="000000"/>
                <w:sz w:val="20"/>
                <w:szCs w:val="20"/>
              </w:rPr>
              <w:t>VMware:</w:t>
            </w:r>
          </w:p>
        </w:tc>
        <w:tc>
          <w:tcPr>
            <w:tcW w:w="0" w:type="auto"/>
            <w:shd w:val="clear" w:color="auto" w:fill="auto"/>
          </w:tcPr>
          <w:p w14:paraId="7DD01A23" w14:textId="77777777" w:rsidR="00C1563E" w:rsidRDefault="00C1563E">
            <w:pPr>
              <w:rPr>
                <w:rFonts w:ascii="宋体"/>
                <w:vanish/>
              </w:rPr>
            </w:pPr>
          </w:p>
        </w:tc>
        <w:tc>
          <w:tcPr>
            <w:tcW w:w="0" w:type="auto"/>
            <w:shd w:val="clear" w:color="auto" w:fill="auto"/>
          </w:tcPr>
          <w:p w14:paraId="7DD01A24" w14:textId="77777777" w:rsidR="00C1563E" w:rsidRDefault="00C1563E">
            <w:pPr>
              <w:rPr>
                <w:rFonts w:ascii="宋体"/>
                <w:vanish/>
              </w:rPr>
            </w:pPr>
          </w:p>
        </w:tc>
        <w:tc>
          <w:tcPr>
            <w:tcW w:w="0" w:type="auto"/>
            <w:shd w:val="clear" w:color="auto" w:fill="auto"/>
          </w:tcPr>
          <w:p w14:paraId="7DD01A25" w14:textId="77777777" w:rsidR="00C1563E" w:rsidRDefault="00C1563E">
            <w:pPr>
              <w:rPr>
                <w:rFonts w:ascii="宋体"/>
                <w:vanish/>
              </w:rPr>
            </w:pPr>
          </w:p>
        </w:tc>
        <w:tc>
          <w:tcPr>
            <w:tcW w:w="0" w:type="auto"/>
            <w:shd w:val="clear" w:color="auto" w:fill="auto"/>
          </w:tcPr>
          <w:p w14:paraId="7DD01A26" w14:textId="77777777" w:rsidR="00C1563E" w:rsidRDefault="00C1563E">
            <w:pPr>
              <w:rPr>
                <w:rFonts w:ascii="宋体"/>
                <w:vanish/>
              </w:rPr>
            </w:pPr>
          </w:p>
        </w:tc>
        <w:tc>
          <w:tcPr>
            <w:tcW w:w="0" w:type="auto"/>
            <w:gridSpan w:val="3"/>
            <w:shd w:val="clear" w:color="auto" w:fill="FFFFFF"/>
            <w:tcMar>
              <w:top w:w="0" w:type="dxa"/>
              <w:left w:w="20" w:type="dxa"/>
              <w:bottom w:w="0" w:type="dxa"/>
              <w:right w:w="20" w:type="dxa"/>
            </w:tcMar>
          </w:tcPr>
          <w:p w14:paraId="7DD01A2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A2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A2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A2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A2B" w14:textId="77777777" w:rsidR="00C1563E" w:rsidRDefault="00C1563E">
            <w:pPr>
              <w:rPr>
                <w:rFonts w:ascii="宋体"/>
              </w:rPr>
            </w:pPr>
          </w:p>
        </w:tc>
      </w:tr>
      <w:tr w:rsidR="00C1563E" w14:paraId="7DD01A3A" w14:textId="77777777">
        <w:trPr>
          <w:jc w:val="center"/>
        </w:trPr>
        <w:tc>
          <w:tcPr>
            <w:tcW w:w="0" w:type="auto"/>
            <w:gridSpan w:val="3"/>
            <w:shd w:val="clear" w:color="auto" w:fill="CCEEFF"/>
            <w:tcMar>
              <w:top w:w="40" w:type="dxa"/>
              <w:left w:w="605" w:type="dxa"/>
              <w:bottom w:w="40" w:type="dxa"/>
              <w:right w:w="20" w:type="dxa"/>
            </w:tcMar>
            <w:vAlign w:val="bottom"/>
          </w:tcPr>
          <w:p w14:paraId="7DD01A2D" w14:textId="77777777" w:rsidR="00C1563E" w:rsidRDefault="000B648B">
            <w:pPr>
              <w:textAlignment w:val="bottom"/>
            </w:pPr>
            <w:r>
              <w:rPr>
                <w:rFonts w:ascii="Times New Roman" w:eastAsia="宋体" w:hAnsi="Times New Roman"/>
                <w:color w:val="000000"/>
                <w:sz w:val="20"/>
                <w:szCs w:val="20"/>
              </w:rPr>
              <w:t>Total VMware net revenue</w:t>
            </w:r>
          </w:p>
        </w:tc>
        <w:tc>
          <w:tcPr>
            <w:tcW w:w="0" w:type="auto"/>
            <w:shd w:val="clear" w:color="auto" w:fill="auto"/>
          </w:tcPr>
          <w:p w14:paraId="7DD01A2E" w14:textId="77777777" w:rsidR="00C1563E" w:rsidRDefault="00C1563E">
            <w:pPr>
              <w:rPr>
                <w:rFonts w:ascii="宋体"/>
                <w:vanish/>
              </w:rPr>
            </w:pPr>
          </w:p>
        </w:tc>
        <w:tc>
          <w:tcPr>
            <w:tcW w:w="0" w:type="auto"/>
            <w:shd w:val="clear" w:color="auto" w:fill="auto"/>
          </w:tcPr>
          <w:p w14:paraId="7DD01A2F" w14:textId="77777777" w:rsidR="00C1563E" w:rsidRDefault="00C1563E">
            <w:pPr>
              <w:rPr>
                <w:rFonts w:ascii="宋体"/>
                <w:vanish/>
              </w:rPr>
            </w:pPr>
          </w:p>
        </w:tc>
        <w:tc>
          <w:tcPr>
            <w:tcW w:w="0" w:type="auto"/>
            <w:shd w:val="clear" w:color="auto" w:fill="auto"/>
          </w:tcPr>
          <w:p w14:paraId="7DD01A30" w14:textId="77777777" w:rsidR="00C1563E" w:rsidRDefault="00C1563E">
            <w:pPr>
              <w:rPr>
                <w:rFonts w:ascii="宋体"/>
                <w:vanish/>
              </w:rPr>
            </w:pPr>
          </w:p>
        </w:tc>
        <w:tc>
          <w:tcPr>
            <w:tcW w:w="0" w:type="auto"/>
            <w:shd w:val="clear" w:color="auto" w:fill="auto"/>
          </w:tcPr>
          <w:p w14:paraId="7DD01A31" w14:textId="77777777" w:rsidR="00C1563E" w:rsidRDefault="00C1563E">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32" w14:textId="77777777" w:rsidR="00C1563E" w:rsidRDefault="000B648B">
            <w:pPr>
              <w:jc w:val="right"/>
              <w:textAlignment w:val="bottom"/>
            </w:pPr>
            <w:r>
              <w:rPr>
                <w:rFonts w:ascii="Times New Roman" w:eastAsia="宋体" w:hAnsi="Times New Roman"/>
                <w:color w:val="000000"/>
                <w:sz w:val="20"/>
                <w:szCs w:val="20"/>
              </w:rPr>
              <w:t>11,873 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3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3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35" w14:textId="77777777" w:rsidR="00C1563E" w:rsidRDefault="000B648B">
            <w:pPr>
              <w:jc w:val="right"/>
              <w:textAlignment w:val="bottom"/>
            </w:pPr>
            <w:r>
              <w:rPr>
                <w:rFonts w:ascii="Times New Roman" w:eastAsia="宋体" w:hAnsi="Times New Roman"/>
                <w:color w:val="000000"/>
                <w:sz w:val="20"/>
                <w:szCs w:val="20"/>
              </w:rPr>
              <w:t>10,905 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3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3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A38" w14:textId="77777777" w:rsidR="00C1563E" w:rsidRDefault="000B648B">
            <w:pPr>
              <w:jc w:val="right"/>
              <w:textAlignment w:val="bottom"/>
            </w:pPr>
            <w:r>
              <w:rPr>
                <w:rFonts w:ascii="Times New Roman" w:eastAsia="宋体" w:hAnsi="Times New Roman"/>
                <w:color w:val="000000"/>
                <w:sz w:val="20"/>
                <w:szCs w:val="20"/>
              </w:rPr>
              <w:t>9,741 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A39" w14:textId="77777777" w:rsidR="00C1563E" w:rsidRDefault="00C1563E">
            <w:pPr>
              <w:jc w:val="right"/>
              <w:rPr>
                <w:rFonts w:ascii="宋体"/>
              </w:rPr>
            </w:pPr>
          </w:p>
        </w:tc>
      </w:tr>
      <w:tr w:rsidR="00C1563E" w14:paraId="7DD01A4B" w14:textId="77777777">
        <w:trPr>
          <w:jc w:val="center"/>
        </w:trPr>
        <w:tc>
          <w:tcPr>
            <w:tcW w:w="0" w:type="auto"/>
            <w:gridSpan w:val="3"/>
            <w:shd w:val="clear" w:color="auto" w:fill="FFFFFF"/>
            <w:tcMar>
              <w:top w:w="40" w:type="dxa"/>
              <w:left w:w="875" w:type="dxa"/>
              <w:bottom w:w="40" w:type="dxa"/>
              <w:right w:w="20" w:type="dxa"/>
            </w:tcMar>
            <w:vAlign w:val="bottom"/>
          </w:tcPr>
          <w:p w14:paraId="7DD01A3B" w14:textId="77777777" w:rsidR="00C1563E" w:rsidRDefault="000B648B">
            <w:pPr>
              <w:textAlignment w:val="bottom"/>
            </w:pPr>
            <w:r>
              <w:rPr>
                <w:rFonts w:ascii="Times New Roman" w:eastAsia="宋体" w:hAnsi="Times New Roman"/>
                <w:color w:val="000000"/>
                <w:sz w:val="20"/>
                <w:szCs w:val="20"/>
              </w:rPr>
              <w:t>Total segment net revenue</w:t>
            </w:r>
          </w:p>
        </w:tc>
        <w:tc>
          <w:tcPr>
            <w:tcW w:w="0" w:type="auto"/>
            <w:shd w:val="clear" w:color="auto" w:fill="auto"/>
          </w:tcPr>
          <w:p w14:paraId="7DD01A3C" w14:textId="77777777" w:rsidR="00C1563E" w:rsidRDefault="00C1563E">
            <w:pPr>
              <w:rPr>
                <w:rFonts w:ascii="宋体"/>
                <w:vanish/>
              </w:rPr>
            </w:pPr>
          </w:p>
        </w:tc>
        <w:tc>
          <w:tcPr>
            <w:tcW w:w="0" w:type="auto"/>
            <w:shd w:val="clear" w:color="auto" w:fill="auto"/>
          </w:tcPr>
          <w:p w14:paraId="7DD01A3D" w14:textId="77777777" w:rsidR="00C1563E" w:rsidRDefault="00C1563E">
            <w:pPr>
              <w:rPr>
                <w:rFonts w:ascii="宋体"/>
                <w:vanish/>
              </w:rPr>
            </w:pPr>
          </w:p>
        </w:tc>
        <w:tc>
          <w:tcPr>
            <w:tcW w:w="0" w:type="auto"/>
            <w:shd w:val="clear" w:color="auto" w:fill="auto"/>
          </w:tcPr>
          <w:p w14:paraId="7DD01A3E" w14:textId="77777777" w:rsidR="00C1563E" w:rsidRDefault="00C1563E">
            <w:pPr>
              <w:rPr>
                <w:rFonts w:ascii="宋体"/>
                <w:vanish/>
              </w:rPr>
            </w:pPr>
          </w:p>
        </w:tc>
        <w:tc>
          <w:tcPr>
            <w:tcW w:w="0" w:type="auto"/>
            <w:shd w:val="clear" w:color="auto" w:fill="auto"/>
          </w:tcPr>
          <w:p w14:paraId="7DD01A3F"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4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41" w14:textId="77777777" w:rsidR="00C1563E" w:rsidRDefault="000B648B">
            <w:pPr>
              <w:jc w:val="right"/>
              <w:textAlignment w:val="bottom"/>
            </w:pPr>
            <w:r>
              <w:rPr>
                <w:rFonts w:ascii="Times New Roman" w:eastAsia="宋体" w:hAnsi="Times New Roman"/>
                <w:color w:val="000000"/>
                <w:sz w:val="20"/>
                <w:szCs w:val="20"/>
              </w:rPr>
              <w:t>92,816 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4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43"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4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45" w14:textId="77777777" w:rsidR="00C1563E" w:rsidRDefault="000B648B">
            <w:pPr>
              <w:jc w:val="right"/>
              <w:textAlignment w:val="bottom"/>
            </w:pPr>
            <w:r>
              <w:rPr>
                <w:rFonts w:ascii="Times New Roman" w:eastAsia="宋体" w:hAnsi="Times New Roman"/>
                <w:color w:val="000000"/>
                <w:sz w:val="20"/>
                <w:szCs w:val="20"/>
              </w:rPr>
              <w:t>90,712 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4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47"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4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49" w14:textId="77777777" w:rsidR="00C1563E" w:rsidRDefault="000B648B">
            <w:pPr>
              <w:jc w:val="right"/>
              <w:textAlignment w:val="bottom"/>
            </w:pPr>
            <w:r>
              <w:rPr>
                <w:rFonts w:ascii="Times New Roman" w:eastAsia="宋体" w:hAnsi="Times New Roman"/>
                <w:color w:val="000000"/>
                <w:sz w:val="20"/>
                <w:szCs w:val="20"/>
              </w:rPr>
              <w:t>89,657 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4A" w14:textId="77777777" w:rsidR="00C1563E" w:rsidRDefault="00C1563E">
            <w:pPr>
              <w:jc w:val="right"/>
              <w:rPr>
                <w:rFonts w:ascii="宋体"/>
              </w:rPr>
            </w:pPr>
          </w:p>
        </w:tc>
      </w:tr>
    </w:tbl>
    <w:p w14:paraId="7DD01A4C" w14:textId="77777777" w:rsidR="00C1563E" w:rsidRDefault="00C1563E">
      <w:pPr>
        <w:spacing w:before="120"/>
      </w:pPr>
    </w:p>
    <w:p w14:paraId="7DD01A4D" w14:textId="77777777" w:rsidR="00C1563E" w:rsidRDefault="000B648B">
      <w:pPr>
        <w:spacing w:after="120"/>
      </w:pPr>
      <w:r>
        <w:rPr>
          <w:rFonts w:ascii="Times New Roman" w:eastAsia="宋体" w:hAnsi="Times New Roman"/>
          <w:color w:val="000000"/>
          <w:sz w:val="20"/>
          <w:szCs w:val="20"/>
          <w:shd w:val="clear" w:color="auto" w:fill="FFFFFF"/>
        </w:rPr>
        <w:t>The following table presents net revenue allocated between the United States and foreign countries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99"/>
        <w:gridCol w:w="37"/>
        <w:gridCol w:w="120"/>
        <w:gridCol w:w="1192"/>
        <w:gridCol w:w="36"/>
        <w:gridCol w:w="36"/>
        <w:gridCol w:w="36"/>
        <w:gridCol w:w="36"/>
        <w:gridCol w:w="120"/>
        <w:gridCol w:w="1192"/>
        <w:gridCol w:w="36"/>
        <w:gridCol w:w="36"/>
        <w:gridCol w:w="36"/>
        <w:gridCol w:w="36"/>
        <w:gridCol w:w="121"/>
        <w:gridCol w:w="1193"/>
        <w:gridCol w:w="36"/>
      </w:tblGrid>
      <w:tr w:rsidR="00C1563E" w14:paraId="7DD01A60" w14:textId="77777777">
        <w:trPr>
          <w:jc w:val="center"/>
        </w:trPr>
        <w:tc>
          <w:tcPr>
            <w:tcW w:w="50" w:type="pct"/>
            <w:shd w:val="clear" w:color="auto" w:fill="auto"/>
          </w:tcPr>
          <w:p w14:paraId="7DD01A4E" w14:textId="77777777" w:rsidR="00C1563E" w:rsidRDefault="00C1563E">
            <w:pPr>
              <w:rPr>
                <w:rFonts w:ascii="宋体"/>
              </w:rPr>
            </w:pPr>
          </w:p>
        </w:tc>
        <w:tc>
          <w:tcPr>
            <w:tcW w:w="2452" w:type="pct"/>
            <w:shd w:val="clear" w:color="auto" w:fill="auto"/>
          </w:tcPr>
          <w:p w14:paraId="7DD01A4F" w14:textId="77777777" w:rsidR="00C1563E" w:rsidRDefault="00C1563E">
            <w:pPr>
              <w:rPr>
                <w:rFonts w:ascii="宋体"/>
              </w:rPr>
            </w:pPr>
          </w:p>
        </w:tc>
        <w:tc>
          <w:tcPr>
            <w:tcW w:w="5" w:type="pct"/>
            <w:shd w:val="clear" w:color="auto" w:fill="auto"/>
          </w:tcPr>
          <w:p w14:paraId="7DD01A50" w14:textId="77777777" w:rsidR="00C1563E" w:rsidRDefault="00C1563E">
            <w:pPr>
              <w:rPr>
                <w:rFonts w:ascii="宋体"/>
              </w:rPr>
            </w:pPr>
          </w:p>
        </w:tc>
        <w:tc>
          <w:tcPr>
            <w:tcW w:w="50" w:type="pct"/>
            <w:shd w:val="clear" w:color="auto" w:fill="auto"/>
          </w:tcPr>
          <w:p w14:paraId="7DD01A51" w14:textId="77777777" w:rsidR="00C1563E" w:rsidRDefault="00C1563E">
            <w:pPr>
              <w:rPr>
                <w:rFonts w:ascii="宋体"/>
              </w:rPr>
            </w:pPr>
          </w:p>
        </w:tc>
        <w:tc>
          <w:tcPr>
            <w:tcW w:w="756" w:type="pct"/>
            <w:shd w:val="clear" w:color="auto" w:fill="auto"/>
          </w:tcPr>
          <w:p w14:paraId="7DD01A52" w14:textId="77777777" w:rsidR="00C1563E" w:rsidRDefault="00C1563E">
            <w:pPr>
              <w:rPr>
                <w:rFonts w:ascii="宋体"/>
              </w:rPr>
            </w:pPr>
          </w:p>
        </w:tc>
        <w:tc>
          <w:tcPr>
            <w:tcW w:w="5" w:type="pct"/>
            <w:shd w:val="clear" w:color="auto" w:fill="auto"/>
          </w:tcPr>
          <w:p w14:paraId="7DD01A53" w14:textId="77777777" w:rsidR="00C1563E" w:rsidRDefault="00C1563E">
            <w:pPr>
              <w:rPr>
                <w:rFonts w:ascii="宋体"/>
              </w:rPr>
            </w:pPr>
          </w:p>
        </w:tc>
        <w:tc>
          <w:tcPr>
            <w:tcW w:w="5" w:type="pct"/>
            <w:shd w:val="clear" w:color="auto" w:fill="auto"/>
          </w:tcPr>
          <w:p w14:paraId="7DD01A54" w14:textId="77777777" w:rsidR="00C1563E" w:rsidRDefault="00C1563E">
            <w:pPr>
              <w:rPr>
                <w:rFonts w:ascii="宋体"/>
              </w:rPr>
            </w:pPr>
          </w:p>
        </w:tc>
        <w:tc>
          <w:tcPr>
            <w:tcW w:w="19" w:type="pct"/>
            <w:shd w:val="clear" w:color="auto" w:fill="auto"/>
          </w:tcPr>
          <w:p w14:paraId="7DD01A55" w14:textId="77777777" w:rsidR="00C1563E" w:rsidRDefault="00C1563E">
            <w:pPr>
              <w:rPr>
                <w:rFonts w:ascii="宋体"/>
              </w:rPr>
            </w:pPr>
          </w:p>
        </w:tc>
        <w:tc>
          <w:tcPr>
            <w:tcW w:w="5" w:type="pct"/>
            <w:shd w:val="clear" w:color="auto" w:fill="auto"/>
          </w:tcPr>
          <w:p w14:paraId="7DD01A56" w14:textId="77777777" w:rsidR="00C1563E" w:rsidRDefault="00C1563E">
            <w:pPr>
              <w:rPr>
                <w:rFonts w:ascii="宋体"/>
              </w:rPr>
            </w:pPr>
          </w:p>
        </w:tc>
        <w:tc>
          <w:tcPr>
            <w:tcW w:w="50" w:type="pct"/>
            <w:shd w:val="clear" w:color="auto" w:fill="auto"/>
          </w:tcPr>
          <w:p w14:paraId="7DD01A57" w14:textId="77777777" w:rsidR="00C1563E" w:rsidRDefault="00C1563E">
            <w:pPr>
              <w:rPr>
                <w:rFonts w:ascii="宋体"/>
              </w:rPr>
            </w:pPr>
          </w:p>
        </w:tc>
        <w:tc>
          <w:tcPr>
            <w:tcW w:w="756" w:type="pct"/>
            <w:shd w:val="clear" w:color="auto" w:fill="auto"/>
          </w:tcPr>
          <w:p w14:paraId="7DD01A58" w14:textId="77777777" w:rsidR="00C1563E" w:rsidRDefault="00C1563E">
            <w:pPr>
              <w:rPr>
                <w:rFonts w:ascii="宋体"/>
              </w:rPr>
            </w:pPr>
          </w:p>
        </w:tc>
        <w:tc>
          <w:tcPr>
            <w:tcW w:w="5" w:type="pct"/>
            <w:shd w:val="clear" w:color="auto" w:fill="auto"/>
          </w:tcPr>
          <w:p w14:paraId="7DD01A59" w14:textId="77777777" w:rsidR="00C1563E" w:rsidRDefault="00C1563E">
            <w:pPr>
              <w:rPr>
                <w:rFonts w:ascii="宋体"/>
              </w:rPr>
            </w:pPr>
          </w:p>
        </w:tc>
        <w:tc>
          <w:tcPr>
            <w:tcW w:w="5" w:type="pct"/>
            <w:shd w:val="clear" w:color="auto" w:fill="auto"/>
          </w:tcPr>
          <w:p w14:paraId="7DD01A5A" w14:textId="77777777" w:rsidR="00C1563E" w:rsidRDefault="00C1563E">
            <w:pPr>
              <w:rPr>
                <w:rFonts w:ascii="宋体"/>
              </w:rPr>
            </w:pPr>
          </w:p>
        </w:tc>
        <w:tc>
          <w:tcPr>
            <w:tcW w:w="19" w:type="pct"/>
            <w:shd w:val="clear" w:color="auto" w:fill="auto"/>
          </w:tcPr>
          <w:p w14:paraId="7DD01A5B" w14:textId="77777777" w:rsidR="00C1563E" w:rsidRDefault="00C1563E">
            <w:pPr>
              <w:rPr>
                <w:rFonts w:ascii="宋体"/>
              </w:rPr>
            </w:pPr>
          </w:p>
        </w:tc>
        <w:tc>
          <w:tcPr>
            <w:tcW w:w="5" w:type="pct"/>
            <w:shd w:val="clear" w:color="auto" w:fill="auto"/>
          </w:tcPr>
          <w:p w14:paraId="7DD01A5C" w14:textId="77777777" w:rsidR="00C1563E" w:rsidRDefault="00C1563E">
            <w:pPr>
              <w:rPr>
                <w:rFonts w:ascii="宋体"/>
              </w:rPr>
            </w:pPr>
          </w:p>
        </w:tc>
        <w:tc>
          <w:tcPr>
            <w:tcW w:w="50" w:type="pct"/>
            <w:shd w:val="clear" w:color="auto" w:fill="auto"/>
          </w:tcPr>
          <w:p w14:paraId="7DD01A5D" w14:textId="77777777" w:rsidR="00C1563E" w:rsidRDefault="00C1563E">
            <w:pPr>
              <w:rPr>
                <w:rFonts w:ascii="宋体"/>
              </w:rPr>
            </w:pPr>
          </w:p>
        </w:tc>
        <w:tc>
          <w:tcPr>
            <w:tcW w:w="756" w:type="pct"/>
            <w:shd w:val="clear" w:color="auto" w:fill="auto"/>
          </w:tcPr>
          <w:p w14:paraId="7DD01A5E" w14:textId="77777777" w:rsidR="00C1563E" w:rsidRDefault="00C1563E">
            <w:pPr>
              <w:rPr>
                <w:rFonts w:ascii="宋体"/>
              </w:rPr>
            </w:pPr>
          </w:p>
        </w:tc>
        <w:tc>
          <w:tcPr>
            <w:tcW w:w="5" w:type="pct"/>
            <w:shd w:val="clear" w:color="auto" w:fill="auto"/>
          </w:tcPr>
          <w:p w14:paraId="7DD01A5F" w14:textId="77777777" w:rsidR="00C1563E" w:rsidRDefault="00C1563E">
            <w:pPr>
              <w:rPr>
                <w:rFonts w:ascii="宋体"/>
              </w:rPr>
            </w:pPr>
          </w:p>
        </w:tc>
      </w:tr>
      <w:tr w:rsidR="00C1563E" w14:paraId="7DD01A63" w14:textId="77777777">
        <w:trPr>
          <w:jc w:val="center"/>
        </w:trPr>
        <w:tc>
          <w:tcPr>
            <w:tcW w:w="0" w:type="auto"/>
            <w:gridSpan w:val="3"/>
            <w:shd w:val="clear" w:color="auto" w:fill="auto"/>
            <w:tcMar>
              <w:top w:w="40" w:type="dxa"/>
              <w:left w:w="20" w:type="dxa"/>
              <w:bottom w:w="40" w:type="dxa"/>
              <w:right w:w="20" w:type="dxa"/>
            </w:tcMar>
            <w:vAlign w:val="bottom"/>
          </w:tcPr>
          <w:p w14:paraId="7DD01A61"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DD01A62" w14:textId="77777777" w:rsidR="00C1563E" w:rsidRDefault="000B648B">
            <w:pPr>
              <w:jc w:val="center"/>
              <w:textAlignment w:val="bottom"/>
            </w:pPr>
            <w:r>
              <w:rPr>
                <w:rFonts w:ascii="Times New Roman" w:eastAsia="宋体" w:hAnsi="Times New Roman"/>
                <w:b/>
                <w:bCs/>
                <w:color w:val="000000"/>
                <w:sz w:val="20"/>
                <w:szCs w:val="20"/>
              </w:rPr>
              <w:t xml:space="preserve">Fiscal Year </w:t>
            </w:r>
            <w:r>
              <w:rPr>
                <w:rFonts w:ascii="Times New Roman" w:eastAsia="宋体" w:hAnsi="Times New Roman"/>
                <w:b/>
                <w:bCs/>
                <w:color w:val="000000"/>
                <w:sz w:val="20"/>
                <w:szCs w:val="20"/>
              </w:rPr>
              <w:t>Ended</w:t>
            </w:r>
          </w:p>
        </w:tc>
      </w:tr>
      <w:tr w:rsidR="00C1563E" w14:paraId="7DD01A6A" w14:textId="77777777">
        <w:trPr>
          <w:jc w:val="center"/>
        </w:trPr>
        <w:tc>
          <w:tcPr>
            <w:tcW w:w="0" w:type="auto"/>
            <w:gridSpan w:val="3"/>
            <w:shd w:val="clear" w:color="auto" w:fill="auto"/>
            <w:tcMar>
              <w:top w:w="40" w:type="dxa"/>
              <w:left w:w="20" w:type="dxa"/>
              <w:bottom w:w="40" w:type="dxa"/>
              <w:right w:w="20" w:type="dxa"/>
            </w:tcMar>
            <w:vAlign w:val="bottom"/>
          </w:tcPr>
          <w:p w14:paraId="7DD01A64"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A65"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A6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A67"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A6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A69"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A6D" w14:textId="77777777">
        <w:trPr>
          <w:jc w:val="center"/>
        </w:trPr>
        <w:tc>
          <w:tcPr>
            <w:tcW w:w="0" w:type="auto"/>
            <w:gridSpan w:val="3"/>
            <w:shd w:val="clear" w:color="auto" w:fill="auto"/>
            <w:tcMar>
              <w:top w:w="40" w:type="dxa"/>
              <w:left w:w="20" w:type="dxa"/>
              <w:bottom w:w="40" w:type="dxa"/>
              <w:right w:w="20" w:type="dxa"/>
            </w:tcMar>
            <w:vAlign w:val="bottom"/>
          </w:tcPr>
          <w:p w14:paraId="7DD01A6B"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A6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A74" w14:textId="77777777">
        <w:trPr>
          <w:jc w:val="center"/>
        </w:trPr>
        <w:tc>
          <w:tcPr>
            <w:tcW w:w="0" w:type="auto"/>
            <w:gridSpan w:val="3"/>
            <w:shd w:val="clear" w:color="auto" w:fill="CCEEFF"/>
            <w:tcMar>
              <w:top w:w="40" w:type="dxa"/>
              <w:left w:w="20" w:type="dxa"/>
              <w:bottom w:w="40" w:type="dxa"/>
              <w:right w:w="20" w:type="dxa"/>
            </w:tcMar>
            <w:vAlign w:val="bottom"/>
          </w:tcPr>
          <w:p w14:paraId="7DD01A6E" w14:textId="77777777" w:rsidR="00C1563E" w:rsidRDefault="000B648B">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bottom"/>
          </w:tcPr>
          <w:p w14:paraId="7DD01A6F"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1A70"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A71" w14:textId="77777777" w:rsidR="00C1563E" w:rsidRDefault="000B648B">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DD01A72" w14:textId="77777777" w:rsidR="00C1563E" w:rsidRDefault="00C1563E">
            <w:pPr>
              <w:rPr>
                <w:rFonts w:ascii="宋体"/>
              </w:rPr>
            </w:pPr>
          </w:p>
        </w:tc>
        <w:tc>
          <w:tcPr>
            <w:tcW w:w="0" w:type="auto"/>
            <w:gridSpan w:val="3"/>
            <w:shd w:val="clear" w:color="auto" w:fill="CCEEFF"/>
            <w:tcMar>
              <w:top w:w="40" w:type="dxa"/>
              <w:left w:w="20" w:type="dxa"/>
              <w:bottom w:w="40" w:type="dxa"/>
              <w:right w:w="20" w:type="dxa"/>
            </w:tcMar>
            <w:vAlign w:val="bottom"/>
          </w:tcPr>
          <w:p w14:paraId="7DD01A73" w14:textId="77777777" w:rsidR="00C1563E" w:rsidRDefault="000B648B">
            <w:pPr>
              <w:jc w:val="right"/>
              <w:textAlignment w:val="bottom"/>
            </w:pPr>
            <w:r>
              <w:rPr>
                <w:rFonts w:ascii="Times New Roman" w:eastAsia="宋体" w:hAnsi="Times New Roman"/>
                <w:color w:val="000000"/>
                <w:sz w:val="20"/>
                <w:szCs w:val="20"/>
              </w:rPr>
              <w:t> </w:t>
            </w:r>
          </w:p>
        </w:tc>
      </w:tr>
      <w:tr w:rsidR="00C1563E" w14:paraId="7DD01A81" w14:textId="77777777">
        <w:trPr>
          <w:jc w:val="center"/>
        </w:trPr>
        <w:tc>
          <w:tcPr>
            <w:tcW w:w="0" w:type="auto"/>
            <w:gridSpan w:val="3"/>
            <w:shd w:val="clear" w:color="auto" w:fill="FFFFFF"/>
            <w:tcMar>
              <w:top w:w="40" w:type="dxa"/>
              <w:left w:w="20" w:type="dxa"/>
              <w:bottom w:w="40" w:type="dxa"/>
              <w:right w:w="20" w:type="dxa"/>
            </w:tcMar>
            <w:vAlign w:val="bottom"/>
          </w:tcPr>
          <w:p w14:paraId="7DD01A75" w14:textId="77777777" w:rsidR="00C1563E" w:rsidRDefault="000B648B">
            <w:pPr>
              <w:textAlignment w:val="bottom"/>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7DD01A7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77" w14:textId="77777777" w:rsidR="00C1563E" w:rsidRDefault="000B648B">
            <w:pPr>
              <w:jc w:val="right"/>
              <w:textAlignment w:val="bottom"/>
            </w:pPr>
            <w:r>
              <w:rPr>
                <w:rFonts w:ascii="Times New Roman" w:eastAsia="宋体" w:hAnsi="Times New Roman"/>
                <w:color w:val="000000"/>
                <w:sz w:val="20"/>
                <w:szCs w:val="20"/>
              </w:rPr>
              <w:t>45,671 </w:t>
            </w:r>
          </w:p>
        </w:tc>
        <w:tc>
          <w:tcPr>
            <w:tcW w:w="0" w:type="auto"/>
            <w:shd w:val="clear" w:color="auto" w:fill="FFFFFF"/>
            <w:tcMar>
              <w:top w:w="40" w:type="dxa"/>
              <w:left w:w="0" w:type="dxa"/>
              <w:bottom w:w="40" w:type="dxa"/>
              <w:right w:w="20" w:type="dxa"/>
            </w:tcMar>
            <w:vAlign w:val="bottom"/>
          </w:tcPr>
          <w:p w14:paraId="7DD01A7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7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A7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7B" w14:textId="77777777" w:rsidR="00C1563E" w:rsidRDefault="000B648B">
            <w:pPr>
              <w:jc w:val="right"/>
              <w:textAlignment w:val="bottom"/>
            </w:pPr>
            <w:r>
              <w:rPr>
                <w:rFonts w:ascii="Times New Roman" w:eastAsia="宋体" w:hAnsi="Times New Roman"/>
                <w:color w:val="000000"/>
                <w:sz w:val="20"/>
                <w:szCs w:val="20"/>
              </w:rPr>
              <w:t>43,829 </w:t>
            </w:r>
          </w:p>
        </w:tc>
        <w:tc>
          <w:tcPr>
            <w:tcW w:w="0" w:type="auto"/>
            <w:shd w:val="clear" w:color="auto" w:fill="FFFFFF"/>
            <w:tcMar>
              <w:top w:w="40" w:type="dxa"/>
              <w:left w:w="0" w:type="dxa"/>
              <w:bottom w:w="40" w:type="dxa"/>
              <w:right w:w="20" w:type="dxa"/>
            </w:tcMar>
            <w:vAlign w:val="bottom"/>
          </w:tcPr>
          <w:p w14:paraId="7DD01A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7D"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A7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7F" w14:textId="77777777" w:rsidR="00C1563E" w:rsidRDefault="000B648B">
            <w:pPr>
              <w:jc w:val="right"/>
              <w:textAlignment w:val="bottom"/>
            </w:pPr>
            <w:r>
              <w:rPr>
                <w:rFonts w:ascii="Times New Roman" w:eastAsia="宋体" w:hAnsi="Times New Roman"/>
                <w:color w:val="000000"/>
                <w:sz w:val="20"/>
                <w:szCs w:val="20"/>
              </w:rPr>
              <w:t>42,803 </w:t>
            </w:r>
          </w:p>
        </w:tc>
        <w:tc>
          <w:tcPr>
            <w:tcW w:w="0" w:type="auto"/>
            <w:shd w:val="clear" w:color="auto" w:fill="FFFFFF"/>
            <w:tcMar>
              <w:top w:w="40" w:type="dxa"/>
              <w:left w:w="0" w:type="dxa"/>
              <w:bottom w:w="40" w:type="dxa"/>
              <w:right w:w="20" w:type="dxa"/>
            </w:tcMar>
            <w:vAlign w:val="bottom"/>
          </w:tcPr>
          <w:p w14:paraId="7DD01A80" w14:textId="77777777" w:rsidR="00C1563E" w:rsidRDefault="00C1563E">
            <w:pPr>
              <w:jc w:val="right"/>
              <w:rPr>
                <w:rFonts w:ascii="宋体"/>
              </w:rPr>
            </w:pPr>
          </w:p>
        </w:tc>
      </w:tr>
      <w:tr w:rsidR="00C1563E" w14:paraId="7DD01A8B" w14:textId="77777777">
        <w:trPr>
          <w:jc w:val="center"/>
        </w:trPr>
        <w:tc>
          <w:tcPr>
            <w:tcW w:w="0" w:type="auto"/>
            <w:gridSpan w:val="3"/>
            <w:shd w:val="clear" w:color="auto" w:fill="CCEEFF"/>
            <w:tcMar>
              <w:top w:w="40" w:type="dxa"/>
              <w:left w:w="20" w:type="dxa"/>
              <w:bottom w:w="40" w:type="dxa"/>
              <w:right w:w="20" w:type="dxa"/>
            </w:tcMar>
            <w:vAlign w:val="bottom"/>
          </w:tcPr>
          <w:p w14:paraId="7DD01A82" w14:textId="77777777" w:rsidR="00C1563E" w:rsidRDefault="000B648B">
            <w:pPr>
              <w:textAlignment w:val="bottom"/>
            </w:pPr>
            <w:r>
              <w:rPr>
                <w:rFonts w:ascii="Times New Roman" w:eastAsia="宋体" w:hAnsi="Times New Roman"/>
                <w:color w:val="000000"/>
                <w:sz w:val="20"/>
                <w:szCs w:val="20"/>
              </w:rPr>
              <w:t>Foreign countries</w:t>
            </w:r>
          </w:p>
        </w:tc>
        <w:tc>
          <w:tcPr>
            <w:tcW w:w="0" w:type="auto"/>
            <w:gridSpan w:val="2"/>
            <w:shd w:val="clear" w:color="auto" w:fill="CCEEFF"/>
            <w:tcMar>
              <w:top w:w="40" w:type="dxa"/>
              <w:left w:w="20" w:type="dxa"/>
              <w:bottom w:w="40" w:type="dxa"/>
              <w:right w:w="0" w:type="dxa"/>
            </w:tcMar>
            <w:vAlign w:val="bottom"/>
          </w:tcPr>
          <w:p w14:paraId="7DD01A83" w14:textId="77777777" w:rsidR="00C1563E" w:rsidRDefault="000B648B">
            <w:pPr>
              <w:jc w:val="right"/>
              <w:textAlignment w:val="bottom"/>
            </w:pPr>
            <w:r>
              <w:rPr>
                <w:rFonts w:ascii="Times New Roman" w:eastAsia="宋体" w:hAnsi="Times New Roman"/>
                <w:color w:val="000000"/>
                <w:sz w:val="20"/>
                <w:szCs w:val="20"/>
              </w:rPr>
              <w:t>48,553 </w:t>
            </w:r>
          </w:p>
        </w:tc>
        <w:tc>
          <w:tcPr>
            <w:tcW w:w="0" w:type="auto"/>
            <w:shd w:val="clear" w:color="auto" w:fill="CCEEFF"/>
            <w:tcMar>
              <w:top w:w="40" w:type="dxa"/>
              <w:left w:w="0" w:type="dxa"/>
              <w:bottom w:w="40" w:type="dxa"/>
              <w:right w:w="20" w:type="dxa"/>
            </w:tcMar>
            <w:vAlign w:val="bottom"/>
          </w:tcPr>
          <w:p w14:paraId="7DD01A8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8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86" w14:textId="77777777" w:rsidR="00C1563E" w:rsidRDefault="000B648B">
            <w:pPr>
              <w:jc w:val="right"/>
              <w:textAlignment w:val="bottom"/>
            </w:pPr>
            <w:r>
              <w:rPr>
                <w:rFonts w:ascii="Times New Roman" w:eastAsia="宋体" w:hAnsi="Times New Roman"/>
                <w:color w:val="000000"/>
                <w:sz w:val="20"/>
                <w:szCs w:val="20"/>
              </w:rPr>
              <w:t>48,325 </w:t>
            </w:r>
          </w:p>
        </w:tc>
        <w:tc>
          <w:tcPr>
            <w:tcW w:w="0" w:type="auto"/>
            <w:shd w:val="clear" w:color="auto" w:fill="CCEEFF"/>
            <w:tcMar>
              <w:top w:w="40" w:type="dxa"/>
              <w:left w:w="0" w:type="dxa"/>
              <w:bottom w:w="40" w:type="dxa"/>
              <w:right w:w="20" w:type="dxa"/>
            </w:tcMar>
            <w:vAlign w:val="bottom"/>
          </w:tcPr>
          <w:p w14:paraId="7DD01A8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8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89" w14:textId="77777777" w:rsidR="00C1563E" w:rsidRDefault="000B648B">
            <w:pPr>
              <w:jc w:val="right"/>
              <w:textAlignment w:val="bottom"/>
            </w:pPr>
            <w:r>
              <w:rPr>
                <w:rFonts w:ascii="Times New Roman" w:eastAsia="宋体" w:hAnsi="Times New Roman"/>
                <w:color w:val="000000"/>
                <w:sz w:val="20"/>
                <w:szCs w:val="20"/>
              </w:rPr>
              <w:t>47,818 </w:t>
            </w:r>
          </w:p>
        </w:tc>
        <w:tc>
          <w:tcPr>
            <w:tcW w:w="0" w:type="auto"/>
            <w:shd w:val="clear" w:color="auto" w:fill="CCEEFF"/>
            <w:tcMar>
              <w:top w:w="40" w:type="dxa"/>
              <w:left w:w="0" w:type="dxa"/>
              <w:bottom w:w="40" w:type="dxa"/>
              <w:right w:w="20" w:type="dxa"/>
            </w:tcMar>
            <w:vAlign w:val="bottom"/>
          </w:tcPr>
          <w:p w14:paraId="7DD01A8A" w14:textId="77777777" w:rsidR="00C1563E" w:rsidRDefault="00C1563E">
            <w:pPr>
              <w:jc w:val="right"/>
              <w:rPr>
                <w:rFonts w:ascii="宋体"/>
              </w:rPr>
            </w:pPr>
          </w:p>
        </w:tc>
      </w:tr>
      <w:tr w:rsidR="00C1563E" w14:paraId="7DD01A98" w14:textId="77777777">
        <w:trPr>
          <w:jc w:val="center"/>
        </w:trPr>
        <w:tc>
          <w:tcPr>
            <w:tcW w:w="0" w:type="auto"/>
            <w:gridSpan w:val="3"/>
            <w:shd w:val="clear" w:color="auto" w:fill="FFFFFF"/>
            <w:tcMar>
              <w:top w:w="40" w:type="dxa"/>
              <w:left w:w="155" w:type="dxa"/>
              <w:bottom w:w="40" w:type="dxa"/>
              <w:right w:w="20" w:type="dxa"/>
            </w:tcMar>
            <w:vAlign w:val="bottom"/>
          </w:tcPr>
          <w:p w14:paraId="7DD01A8C" w14:textId="77777777" w:rsidR="00C1563E" w:rsidRDefault="000B648B">
            <w:pPr>
              <w:textAlignment w:val="bottom"/>
            </w:pPr>
            <w:r>
              <w:rPr>
                <w:rFonts w:ascii="Times New Roman" w:eastAsia="宋体" w:hAnsi="Times New Roman"/>
                <w:color w:val="000000"/>
                <w:sz w:val="20"/>
                <w:szCs w:val="20"/>
              </w:rPr>
              <w:t>Total net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8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8E" w14:textId="77777777" w:rsidR="00C1563E" w:rsidRDefault="000B648B">
            <w:pPr>
              <w:jc w:val="right"/>
              <w:textAlignment w:val="bottom"/>
            </w:pPr>
            <w:r>
              <w:rPr>
                <w:rFonts w:ascii="Times New Roman" w:eastAsia="宋体" w:hAnsi="Times New Roman"/>
                <w:color w:val="000000"/>
                <w:sz w:val="20"/>
                <w:szCs w:val="20"/>
              </w:rPr>
              <w:t>94,224 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8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90"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9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92" w14:textId="77777777" w:rsidR="00C1563E" w:rsidRDefault="000B648B">
            <w:pPr>
              <w:jc w:val="right"/>
              <w:textAlignment w:val="bottom"/>
            </w:pPr>
            <w:r>
              <w:rPr>
                <w:rFonts w:ascii="Times New Roman" w:eastAsia="宋体" w:hAnsi="Times New Roman"/>
                <w:color w:val="000000"/>
                <w:sz w:val="20"/>
                <w:szCs w:val="20"/>
              </w:rPr>
              <w:t>92,154 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9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9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9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96" w14:textId="77777777" w:rsidR="00C1563E" w:rsidRDefault="000B648B">
            <w:pPr>
              <w:jc w:val="right"/>
              <w:textAlignment w:val="bottom"/>
            </w:pPr>
            <w:r>
              <w:rPr>
                <w:rFonts w:ascii="Times New Roman" w:eastAsia="宋体" w:hAnsi="Times New Roman"/>
                <w:color w:val="000000"/>
                <w:sz w:val="20"/>
                <w:szCs w:val="20"/>
              </w:rPr>
              <w:t>90,621 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97" w14:textId="77777777" w:rsidR="00C1563E" w:rsidRDefault="00C1563E">
            <w:pPr>
              <w:jc w:val="right"/>
              <w:rPr>
                <w:rFonts w:ascii="宋体"/>
              </w:rPr>
            </w:pPr>
          </w:p>
        </w:tc>
      </w:tr>
    </w:tbl>
    <w:p w14:paraId="7DD01A99" w14:textId="77777777" w:rsidR="00C1563E" w:rsidRDefault="00C1563E">
      <w:pPr>
        <w:spacing w:before="120"/>
      </w:pPr>
    </w:p>
    <w:p w14:paraId="7DD01A9A" w14:textId="77777777" w:rsidR="00C1563E" w:rsidRDefault="000B648B">
      <w:pPr>
        <w:spacing w:after="120"/>
      </w:pPr>
      <w:r>
        <w:rPr>
          <w:rFonts w:ascii="Times New Roman" w:eastAsia="宋体" w:hAnsi="Times New Roman"/>
          <w:color w:val="000000"/>
          <w:sz w:val="20"/>
          <w:szCs w:val="20"/>
          <w:shd w:val="clear" w:color="auto" w:fill="FFFFFF"/>
        </w:rPr>
        <w:t>The following table presents property, plant, and equipment, net allocated between the United States and foreign countries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27"/>
        <w:gridCol w:w="37"/>
        <w:gridCol w:w="121"/>
        <w:gridCol w:w="1206"/>
        <w:gridCol w:w="36"/>
        <w:gridCol w:w="36"/>
        <w:gridCol w:w="36"/>
        <w:gridCol w:w="36"/>
        <w:gridCol w:w="121"/>
        <w:gridCol w:w="1206"/>
        <w:gridCol w:w="36"/>
      </w:tblGrid>
      <w:tr w:rsidR="00C1563E" w14:paraId="7DD01AA7" w14:textId="77777777">
        <w:trPr>
          <w:jc w:val="center"/>
        </w:trPr>
        <w:tc>
          <w:tcPr>
            <w:tcW w:w="50" w:type="pct"/>
            <w:shd w:val="clear" w:color="auto" w:fill="auto"/>
          </w:tcPr>
          <w:p w14:paraId="7DD01A9B" w14:textId="77777777" w:rsidR="00C1563E" w:rsidRDefault="00C1563E">
            <w:pPr>
              <w:rPr>
                <w:rFonts w:ascii="宋体"/>
              </w:rPr>
            </w:pPr>
          </w:p>
        </w:tc>
        <w:tc>
          <w:tcPr>
            <w:tcW w:w="3292" w:type="pct"/>
            <w:shd w:val="clear" w:color="auto" w:fill="auto"/>
          </w:tcPr>
          <w:p w14:paraId="7DD01A9C" w14:textId="77777777" w:rsidR="00C1563E" w:rsidRDefault="00C1563E">
            <w:pPr>
              <w:rPr>
                <w:rFonts w:ascii="宋体"/>
              </w:rPr>
            </w:pPr>
          </w:p>
        </w:tc>
        <w:tc>
          <w:tcPr>
            <w:tcW w:w="5" w:type="pct"/>
            <w:shd w:val="clear" w:color="auto" w:fill="auto"/>
          </w:tcPr>
          <w:p w14:paraId="7DD01A9D" w14:textId="77777777" w:rsidR="00C1563E" w:rsidRDefault="00C1563E">
            <w:pPr>
              <w:rPr>
                <w:rFonts w:ascii="宋体"/>
              </w:rPr>
            </w:pPr>
          </w:p>
        </w:tc>
        <w:tc>
          <w:tcPr>
            <w:tcW w:w="50" w:type="pct"/>
            <w:shd w:val="clear" w:color="auto" w:fill="auto"/>
          </w:tcPr>
          <w:p w14:paraId="7DD01A9E" w14:textId="77777777" w:rsidR="00C1563E" w:rsidRDefault="00C1563E">
            <w:pPr>
              <w:rPr>
                <w:rFonts w:ascii="宋体"/>
              </w:rPr>
            </w:pPr>
          </w:p>
        </w:tc>
        <w:tc>
          <w:tcPr>
            <w:tcW w:w="756" w:type="pct"/>
            <w:shd w:val="clear" w:color="auto" w:fill="auto"/>
          </w:tcPr>
          <w:p w14:paraId="7DD01A9F" w14:textId="77777777" w:rsidR="00C1563E" w:rsidRDefault="00C1563E">
            <w:pPr>
              <w:rPr>
                <w:rFonts w:ascii="宋体"/>
              </w:rPr>
            </w:pPr>
          </w:p>
        </w:tc>
        <w:tc>
          <w:tcPr>
            <w:tcW w:w="5" w:type="pct"/>
            <w:shd w:val="clear" w:color="auto" w:fill="auto"/>
          </w:tcPr>
          <w:p w14:paraId="7DD01AA0" w14:textId="77777777" w:rsidR="00C1563E" w:rsidRDefault="00C1563E">
            <w:pPr>
              <w:rPr>
                <w:rFonts w:ascii="宋体"/>
              </w:rPr>
            </w:pPr>
          </w:p>
        </w:tc>
        <w:tc>
          <w:tcPr>
            <w:tcW w:w="5" w:type="pct"/>
            <w:shd w:val="clear" w:color="auto" w:fill="auto"/>
          </w:tcPr>
          <w:p w14:paraId="7DD01AA1" w14:textId="77777777" w:rsidR="00C1563E" w:rsidRDefault="00C1563E">
            <w:pPr>
              <w:rPr>
                <w:rFonts w:ascii="宋体"/>
              </w:rPr>
            </w:pPr>
          </w:p>
        </w:tc>
        <w:tc>
          <w:tcPr>
            <w:tcW w:w="19" w:type="pct"/>
            <w:shd w:val="clear" w:color="auto" w:fill="auto"/>
          </w:tcPr>
          <w:p w14:paraId="7DD01AA2" w14:textId="77777777" w:rsidR="00C1563E" w:rsidRDefault="00C1563E">
            <w:pPr>
              <w:rPr>
                <w:rFonts w:ascii="宋体"/>
              </w:rPr>
            </w:pPr>
          </w:p>
        </w:tc>
        <w:tc>
          <w:tcPr>
            <w:tcW w:w="5" w:type="pct"/>
            <w:shd w:val="clear" w:color="auto" w:fill="auto"/>
          </w:tcPr>
          <w:p w14:paraId="7DD01AA3" w14:textId="77777777" w:rsidR="00C1563E" w:rsidRDefault="00C1563E">
            <w:pPr>
              <w:rPr>
                <w:rFonts w:ascii="宋体"/>
              </w:rPr>
            </w:pPr>
          </w:p>
        </w:tc>
        <w:tc>
          <w:tcPr>
            <w:tcW w:w="50" w:type="pct"/>
            <w:shd w:val="clear" w:color="auto" w:fill="auto"/>
          </w:tcPr>
          <w:p w14:paraId="7DD01AA4" w14:textId="77777777" w:rsidR="00C1563E" w:rsidRDefault="00C1563E">
            <w:pPr>
              <w:rPr>
                <w:rFonts w:ascii="宋体"/>
              </w:rPr>
            </w:pPr>
          </w:p>
        </w:tc>
        <w:tc>
          <w:tcPr>
            <w:tcW w:w="756" w:type="pct"/>
            <w:shd w:val="clear" w:color="auto" w:fill="auto"/>
          </w:tcPr>
          <w:p w14:paraId="7DD01AA5" w14:textId="77777777" w:rsidR="00C1563E" w:rsidRDefault="00C1563E">
            <w:pPr>
              <w:rPr>
                <w:rFonts w:ascii="宋体"/>
              </w:rPr>
            </w:pPr>
          </w:p>
        </w:tc>
        <w:tc>
          <w:tcPr>
            <w:tcW w:w="5" w:type="pct"/>
            <w:shd w:val="clear" w:color="auto" w:fill="auto"/>
          </w:tcPr>
          <w:p w14:paraId="7DD01AA6" w14:textId="77777777" w:rsidR="00C1563E" w:rsidRDefault="00C1563E">
            <w:pPr>
              <w:rPr>
                <w:rFonts w:ascii="宋体"/>
              </w:rPr>
            </w:pPr>
          </w:p>
        </w:tc>
      </w:tr>
      <w:tr w:rsidR="00C1563E" w14:paraId="7DD01AAC" w14:textId="77777777">
        <w:trPr>
          <w:jc w:val="center"/>
        </w:trPr>
        <w:tc>
          <w:tcPr>
            <w:tcW w:w="0" w:type="auto"/>
            <w:gridSpan w:val="3"/>
            <w:shd w:val="clear" w:color="auto" w:fill="auto"/>
            <w:tcMar>
              <w:top w:w="0" w:type="dxa"/>
              <w:left w:w="20" w:type="dxa"/>
              <w:bottom w:w="0" w:type="dxa"/>
              <w:right w:w="20" w:type="dxa"/>
            </w:tcMar>
          </w:tcPr>
          <w:p w14:paraId="7DD01AA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AA9"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AAA"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AAB"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AAF" w14:textId="77777777">
        <w:trPr>
          <w:jc w:val="center"/>
        </w:trPr>
        <w:tc>
          <w:tcPr>
            <w:tcW w:w="0" w:type="auto"/>
            <w:gridSpan w:val="3"/>
            <w:shd w:val="clear" w:color="auto" w:fill="auto"/>
            <w:tcMar>
              <w:top w:w="0" w:type="dxa"/>
              <w:left w:w="20" w:type="dxa"/>
              <w:bottom w:w="0" w:type="dxa"/>
              <w:right w:w="20" w:type="dxa"/>
            </w:tcMar>
          </w:tcPr>
          <w:p w14:paraId="7DD01AAD"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1AAE"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AB4" w14:textId="77777777">
        <w:trPr>
          <w:jc w:val="center"/>
        </w:trPr>
        <w:tc>
          <w:tcPr>
            <w:tcW w:w="0" w:type="auto"/>
            <w:gridSpan w:val="3"/>
            <w:shd w:val="clear" w:color="auto" w:fill="CCEEFF"/>
            <w:tcMar>
              <w:top w:w="40" w:type="dxa"/>
              <w:left w:w="20" w:type="dxa"/>
              <w:bottom w:w="40" w:type="dxa"/>
              <w:right w:w="20" w:type="dxa"/>
            </w:tcMar>
            <w:vAlign w:val="bottom"/>
          </w:tcPr>
          <w:p w14:paraId="7DD01AB0" w14:textId="77777777" w:rsidR="00C1563E" w:rsidRDefault="000B648B">
            <w:pPr>
              <w:textAlignment w:val="bottom"/>
            </w:pPr>
            <w:r>
              <w:rPr>
                <w:rFonts w:ascii="Times New Roman" w:eastAsia="宋体" w:hAnsi="Times New Roman"/>
                <w:i/>
                <w:iCs/>
                <w:color w:val="000000"/>
                <w:sz w:val="20"/>
                <w:szCs w:val="20"/>
              </w:rPr>
              <w:t>Property, plant, and equipment, net:</w:t>
            </w:r>
          </w:p>
        </w:tc>
        <w:tc>
          <w:tcPr>
            <w:tcW w:w="0" w:type="auto"/>
            <w:gridSpan w:val="3"/>
            <w:shd w:val="clear" w:color="auto" w:fill="CCEEFF"/>
            <w:tcMar>
              <w:top w:w="0" w:type="dxa"/>
              <w:left w:w="20" w:type="dxa"/>
              <w:bottom w:w="0" w:type="dxa"/>
              <w:right w:w="20" w:type="dxa"/>
            </w:tcMar>
          </w:tcPr>
          <w:p w14:paraId="7DD01AB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AB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AB3" w14:textId="77777777" w:rsidR="00C1563E" w:rsidRDefault="00C1563E">
            <w:pPr>
              <w:rPr>
                <w:rFonts w:ascii="宋体"/>
              </w:rPr>
            </w:pPr>
          </w:p>
        </w:tc>
      </w:tr>
      <w:tr w:rsidR="00C1563E" w14:paraId="7DD01ABD" w14:textId="77777777">
        <w:trPr>
          <w:jc w:val="center"/>
        </w:trPr>
        <w:tc>
          <w:tcPr>
            <w:tcW w:w="0" w:type="auto"/>
            <w:gridSpan w:val="3"/>
            <w:shd w:val="clear" w:color="auto" w:fill="FFFFFF"/>
            <w:tcMar>
              <w:top w:w="40" w:type="dxa"/>
              <w:left w:w="20" w:type="dxa"/>
              <w:bottom w:w="40" w:type="dxa"/>
              <w:right w:w="20" w:type="dxa"/>
            </w:tcMar>
            <w:vAlign w:val="bottom"/>
          </w:tcPr>
          <w:p w14:paraId="7DD01AB5" w14:textId="77777777" w:rsidR="00C1563E" w:rsidRDefault="000B648B">
            <w:pPr>
              <w:jc w:val="both"/>
              <w:textAlignment w:val="bottom"/>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7DD01AB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B7" w14:textId="77777777" w:rsidR="00C1563E" w:rsidRDefault="000B648B">
            <w:pPr>
              <w:jc w:val="right"/>
              <w:textAlignment w:val="bottom"/>
            </w:pPr>
            <w:r>
              <w:rPr>
                <w:rFonts w:ascii="Times New Roman" w:eastAsia="宋体" w:hAnsi="Times New Roman"/>
                <w:color w:val="000000"/>
                <w:sz w:val="20"/>
                <w:szCs w:val="20"/>
              </w:rPr>
              <w:t>4,524 </w:t>
            </w:r>
          </w:p>
        </w:tc>
        <w:tc>
          <w:tcPr>
            <w:tcW w:w="0" w:type="auto"/>
            <w:shd w:val="clear" w:color="auto" w:fill="FFFFFF"/>
            <w:tcMar>
              <w:top w:w="40" w:type="dxa"/>
              <w:left w:w="0" w:type="dxa"/>
              <w:bottom w:w="40" w:type="dxa"/>
              <w:right w:w="20" w:type="dxa"/>
            </w:tcMar>
            <w:vAlign w:val="bottom"/>
          </w:tcPr>
          <w:p w14:paraId="7DD01A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B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AB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BB" w14:textId="77777777" w:rsidR="00C1563E" w:rsidRDefault="000B648B">
            <w:pPr>
              <w:jc w:val="right"/>
              <w:textAlignment w:val="bottom"/>
            </w:pPr>
            <w:r>
              <w:rPr>
                <w:rFonts w:ascii="Times New Roman" w:eastAsia="宋体" w:hAnsi="Times New Roman"/>
                <w:color w:val="000000"/>
                <w:sz w:val="20"/>
                <w:szCs w:val="20"/>
              </w:rPr>
              <w:t>4,322 </w:t>
            </w:r>
          </w:p>
        </w:tc>
        <w:tc>
          <w:tcPr>
            <w:tcW w:w="0" w:type="auto"/>
            <w:shd w:val="clear" w:color="auto" w:fill="FFFFFF"/>
            <w:tcMar>
              <w:top w:w="40" w:type="dxa"/>
              <w:left w:w="0" w:type="dxa"/>
              <w:bottom w:w="40" w:type="dxa"/>
              <w:right w:w="20" w:type="dxa"/>
            </w:tcMar>
            <w:vAlign w:val="bottom"/>
          </w:tcPr>
          <w:p w14:paraId="7DD01ABC" w14:textId="77777777" w:rsidR="00C1563E" w:rsidRDefault="00C1563E">
            <w:pPr>
              <w:jc w:val="right"/>
              <w:rPr>
                <w:rFonts w:ascii="宋体"/>
              </w:rPr>
            </w:pPr>
          </w:p>
        </w:tc>
      </w:tr>
      <w:tr w:rsidR="00C1563E" w14:paraId="7DD01AC4" w14:textId="77777777">
        <w:trPr>
          <w:jc w:val="center"/>
        </w:trPr>
        <w:tc>
          <w:tcPr>
            <w:tcW w:w="0" w:type="auto"/>
            <w:gridSpan w:val="3"/>
            <w:shd w:val="clear" w:color="auto" w:fill="CCEEFF"/>
            <w:tcMar>
              <w:top w:w="40" w:type="dxa"/>
              <w:left w:w="20" w:type="dxa"/>
              <w:bottom w:w="40" w:type="dxa"/>
              <w:right w:w="20" w:type="dxa"/>
            </w:tcMar>
            <w:vAlign w:val="bottom"/>
          </w:tcPr>
          <w:p w14:paraId="7DD01ABE" w14:textId="77777777" w:rsidR="00C1563E" w:rsidRDefault="000B648B">
            <w:pPr>
              <w:textAlignment w:val="bottom"/>
            </w:pPr>
            <w:r>
              <w:rPr>
                <w:rFonts w:ascii="Times New Roman" w:eastAsia="宋体" w:hAnsi="Times New Roman"/>
                <w:color w:val="000000"/>
                <w:sz w:val="20"/>
                <w:szCs w:val="20"/>
              </w:rPr>
              <w:t>Foreign countries</w:t>
            </w:r>
          </w:p>
        </w:tc>
        <w:tc>
          <w:tcPr>
            <w:tcW w:w="0" w:type="auto"/>
            <w:gridSpan w:val="2"/>
            <w:shd w:val="clear" w:color="auto" w:fill="CCEEFF"/>
            <w:tcMar>
              <w:top w:w="40" w:type="dxa"/>
              <w:left w:w="20" w:type="dxa"/>
              <w:bottom w:w="40" w:type="dxa"/>
              <w:right w:w="0" w:type="dxa"/>
            </w:tcMar>
            <w:vAlign w:val="bottom"/>
          </w:tcPr>
          <w:p w14:paraId="7DD01ABF" w14:textId="77777777" w:rsidR="00C1563E" w:rsidRDefault="000B648B">
            <w:pPr>
              <w:jc w:val="right"/>
              <w:textAlignment w:val="bottom"/>
            </w:pPr>
            <w:r>
              <w:rPr>
                <w:rFonts w:ascii="Times New Roman" w:eastAsia="宋体" w:hAnsi="Times New Roman"/>
                <w:color w:val="000000"/>
                <w:sz w:val="20"/>
                <w:szCs w:val="20"/>
              </w:rPr>
              <w:t>1,907 </w:t>
            </w:r>
          </w:p>
        </w:tc>
        <w:tc>
          <w:tcPr>
            <w:tcW w:w="0" w:type="auto"/>
            <w:shd w:val="clear" w:color="auto" w:fill="CCEEFF"/>
            <w:tcMar>
              <w:top w:w="40" w:type="dxa"/>
              <w:left w:w="0" w:type="dxa"/>
              <w:bottom w:w="40" w:type="dxa"/>
              <w:right w:w="20" w:type="dxa"/>
            </w:tcMar>
            <w:vAlign w:val="bottom"/>
          </w:tcPr>
          <w:p w14:paraId="7DD01AC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C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C2" w14:textId="77777777" w:rsidR="00C1563E" w:rsidRDefault="000B648B">
            <w:pPr>
              <w:jc w:val="right"/>
              <w:textAlignment w:val="bottom"/>
            </w:pPr>
            <w:r>
              <w:rPr>
                <w:rFonts w:ascii="Times New Roman" w:eastAsia="宋体" w:hAnsi="Times New Roman"/>
                <w:color w:val="000000"/>
                <w:sz w:val="20"/>
                <w:szCs w:val="20"/>
              </w:rPr>
              <w:t>1,733 </w:t>
            </w:r>
          </w:p>
        </w:tc>
        <w:tc>
          <w:tcPr>
            <w:tcW w:w="0" w:type="auto"/>
            <w:shd w:val="clear" w:color="auto" w:fill="CCEEFF"/>
            <w:tcMar>
              <w:top w:w="40" w:type="dxa"/>
              <w:left w:w="0" w:type="dxa"/>
              <w:bottom w:w="40" w:type="dxa"/>
              <w:right w:w="20" w:type="dxa"/>
            </w:tcMar>
            <w:vAlign w:val="bottom"/>
          </w:tcPr>
          <w:p w14:paraId="7DD01AC3" w14:textId="77777777" w:rsidR="00C1563E" w:rsidRDefault="00C1563E">
            <w:pPr>
              <w:jc w:val="right"/>
              <w:rPr>
                <w:rFonts w:ascii="宋体"/>
              </w:rPr>
            </w:pPr>
          </w:p>
        </w:tc>
      </w:tr>
      <w:tr w:rsidR="00C1563E" w14:paraId="7DD01ACD" w14:textId="77777777">
        <w:trPr>
          <w:jc w:val="center"/>
        </w:trPr>
        <w:tc>
          <w:tcPr>
            <w:tcW w:w="0" w:type="auto"/>
            <w:gridSpan w:val="3"/>
            <w:shd w:val="clear" w:color="auto" w:fill="FFFFFF"/>
            <w:tcMar>
              <w:top w:w="40" w:type="dxa"/>
              <w:left w:w="155" w:type="dxa"/>
              <w:bottom w:w="40" w:type="dxa"/>
              <w:right w:w="20" w:type="dxa"/>
            </w:tcMar>
            <w:vAlign w:val="bottom"/>
          </w:tcPr>
          <w:p w14:paraId="7DD01AC5" w14:textId="77777777" w:rsidR="00C1563E" w:rsidRDefault="000B648B">
            <w:pPr>
              <w:textAlignment w:val="bottom"/>
            </w:pPr>
            <w:r>
              <w:rPr>
                <w:rFonts w:ascii="Times New Roman" w:eastAsia="宋体" w:hAnsi="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C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C7" w14:textId="77777777" w:rsidR="00C1563E" w:rsidRDefault="000B648B">
            <w:pPr>
              <w:jc w:val="right"/>
              <w:textAlignment w:val="bottom"/>
            </w:pPr>
            <w:r>
              <w:rPr>
                <w:rFonts w:ascii="Times New Roman" w:eastAsia="宋体" w:hAnsi="Times New Roman"/>
                <w:color w:val="000000"/>
                <w:sz w:val="20"/>
                <w:szCs w:val="20"/>
              </w:rPr>
              <w:t>6,431 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C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C9"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AC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ACB" w14:textId="77777777" w:rsidR="00C1563E" w:rsidRDefault="000B648B">
            <w:pPr>
              <w:jc w:val="right"/>
              <w:textAlignment w:val="bottom"/>
            </w:pPr>
            <w:r>
              <w:rPr>
                <w:rFonts w:ascii="Times New Roman" w:eastAsia="宋体" w:hAnsi="Times New Roman"/>
                <w:color w:val="000000"/>
                <w:sz w:val="20"/>
                <w:szCs w:val="20"/>
              </w:rPr>
              <w:t>6,055 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ACC" w14:textId="77777777" w:rsidR="00C1563E" w:rsidRDefault="00C1563E">
            <w:pPr>
              <w:jc w:val="right"/>
              <w:rPr>
                <w:rFonts w:ascii="宋体"/>
              </w:rPr>
            </w:pPr>
          </w:p>
        </w:tc>
      </w:tr>
    </w:tbl>
    <w:p w14:paraId="7DD01ACE" w14:textId="77777777" w:rsidR="00C1563E" w:rsidRDefault="00C1563E"/>
    <w:p w14:paraId="7DD01ACF" w14:textId="77777777" w:rsidR="00C1563E" w:rsidRDefault="000B648B">
      <w:r>
        <w:rPr>
          <w:rFonts w:ascii="Times New Roman" w:eastAsia="宋体" w:hAnsi="Times New Roman"/>
          <w:color w:val="000000"/>
          <w:sz w:val="20"/>
          <w:szCs w:val="20"/>
          <w:shd w:val="clear" w:color="auto" w:fill="FFFFFF"/>
        </w:rPr>
        <w:t xml:space="preserve">The allocation between domestic and </w:t>
      </w:r>
      <w:r>
        <w:rPr>
          <w:rFonts w:ascii="Times New Roman" w:eastAsia="宋体" w:hAnsi="Times New Roman"/>
          <w:color w:val="000000"/>
          <w:sz w:val="20"/>
          <w:szCs w:val="20"/>
          <w:shd w:val="clear" w:color="auto" w:fill="FFFFFF"/>
        </w:rPr>
        <w:t>foreign net rev</w:t>
      </w:r>
      <w:r>
        <w:rPr>
          <w:rFonts w:ascii="Times New Roman" w:eastAsia="宋体" w:hAnsi="Times New Roman"/>
          <w:color w:val="000000"/>
          <w:sz w:val="20"/>
          <w:szCs w:val="20"/>
        </w:rPr>
        <w:t xml:space="preserve">enue is based on the location of the customers. Net revenue from any single foreign country did not constitute more than 10% of the Company’s consolidated net revenue for any of the fiscal years ended January 29, 2021, January 31, 2020, and </w:t>
      </w:r>
      <w:r>
        <w:rPr>
          <w:rFonts w:ascii="Times New Roman" w:eastAsia="宋体" w:hAnsi="Times New Roman"/>
          <w:color w:val="000000"/>
          <w:sz w:val="20"/>
          <w:szCs w:val="20"/>
        </w:rPr>
        <w:t>February 1, 2019. Property, plant, and equipment, net from any single foreign country did not constitute more than 10% of the Company’s consolidated property, plant, and equipment, net as of January 29, 2021 or January 31, 2020.</w:t>
      </w:r>
    </w:p>
    <w:p w14:paraId="7DD01AD0" w14:textId="77777777" w:rsidR="00C1563E" w:rsidRDefault="00C1563E">
      <w:pPr>
        <w:jc w:val="center"/>
      </w:pPr>
    </w:p>
    <w:p w14:paraId="7DD01AD1" w14:textId="77777777" w:rsidR="00C1563E" w:rsidRDefault="000B648B">
      <w:pPr>
        <w:jc w:val="center"/>
      </w:pPr>
      <w:r>
        <w:rPr>
          <w:rFonts w:ascii="Times New Roman" w:eastAsia="宋体" w:hAnsi="Times New Roman"/>
          <w:color w:val="000000"/>
          <w:sz w:val="20"/>
          <w:szCs w:val="20"/>
        </w:rPr>
        <w:t>159</w:t>
      </w:r>
    </w:p>
    <w:p w14:paraId="7DD01AD2" w14:textId="77777777" w:rsidR="00C1563E" w:rsidRDefault="00C1563E">
      <w:pPr>
        <w:jc w:val="center"/>
      </w:pPr>
    </w:p>
    <w:p w14:paraId="7DD01AD3" w14:textId="77777777" w:rsidR="00C1563E" w:rsidRDefault="000B648B">
      <w:r>
        <w:pict w14:anchorId="7DD02609">
          <v:rect id="_x0000_i1183" style="width:415.3pt;height:1.5pt" o:hralign="center" o:hrstd="t" o:hr="t" fillcolor="#a0a0a0" stroked="f"/>
        </w:pict>
      </w:r>
    </w:p>
    <w:p w14:paraId="7DD01AD4" w14:textId="77777777" w:rsidR="00C1563E" w:rsidRDefault="000B648B">
      <w:hyperlink r:id="rId342" w:anchor="i418e32e4a35149ffbf7d3a25d66881b8_10" w:history="1">
        <w:r>
          <w:rPr>
            <w:rStyle w:val="a5"/>
            <w:rFonts w:ascii="Times New Roman" w:eastAsia="宋体" w:hAnsi="Times New Roman"/>
            <w:sz w:val="20"/>
            <w:szCs w:val="20"/>
          </w:rPr>
          <w:t>Table of Contents</w:t>
        </w:r>
      </w:hyperlink>
    </w:p>
    <w:p w14:paraId="7DD01AD5" w14:textId="77777777" w:rsidR="00C1563E" w:rsidRDefault="000B648B">
      <w:r>
        <w:rPr>
          <w:rFonts w:ascii="Times New Roman" w:eastAsia="宋体" w:hAnsi="Times New Roman"/>
          <w:b/>
          <w:bCs/>
          <w:color w:val="000000"/>
          <w:sz w:val="20"/>
          <w:szCs w:val="20"/>
        </w:rPr>
        <w:t>NOTE 20 — SUPPLEMENTAL CONSOLIDATED FINANCIAL INFORMATION</w:t>
      </w:r>
    </w:p>
    <w:p w14:paraId="7DD01AD6" w14:textId="77777777" w:rsidR="00C1563E" w:rsidRDefault="00C1563E"/>
    <w:p w14:paraId="7DD01AD7" w14:textId="77777777" w:rsidR="00C1563E" w:rsidRDefault="000B648B">
      <w:pPr>
        <w:spacing w:after="120"/>
      </w:pPr>
      <w:r>
        <w:rPr>
          <w:rFonts w:ascii="Times New Roman" w:eastAsia="宋体" w:hAnsi="Times New Roman"/>
          <w:color w:val="000000"/>
          <w:sz w:val="20"/>
          <w:szCs w:val="20"/>
        </w:rPr>
        <w:t xml:space="preserve">The following table presents </w:t>
      </w:r>
      <w:r>
        <w:rPr>
          <w:rFonts w:ascii="Times New Roman" w:eastAsia="宋体" w:hAnsi="Times New Roman"/>
          <w:color w:val="000000"/>
          <w:sz w:val="20"/>
          <w:szCs w:val="20"/>
        </w:rPr>
        <w:t>additional information on selected asset accounts included in the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C1563E" w14:paraId="7DD01AE4" w14:textId="77777777">
        <w:tc>
          <w:tcPr>
            <w:tcW w:w="50" w:type="pct"/>
            <w:shd w:val="clear" w:color="auto" w:fill="auto"/>
          </w:tcPr>
          <w:p w14:paraId="7DD01AD8" w14:textId="77777777" w:rsidR="00C1563E" w:rsidRDefault="00C1563E">
            <w:pPr>
              <w:rPr>
                <w:rFonts w:ascii="宋体"/>
              </w:rPr>
            </w:pPr>
          </w:p>
        </w:tc>
        <w:tc>
          <w:tcPr>
            <w:tcW w:w="3292" w:type="pct"/>
            <w:shd w:val="clear" w:color="auto" w:fill="auto"/>
          </w:tcPr>
          <w:p w14:paraId="7DD01AD9" w14:textId="77777777" w:rsidR="00C1563E" w:rsidRDefault="00C1563E">
            <w:pPr>
              <w:rPr>
                <w:rFonts w:ascii="宋体"/>
              </w:rPr>
            </w:pPr>
          </w:p>
        </w:tc>
        <w:tc>
          <w:tcPr>
            <w:tcW w:w="5" w:type="pct"/>
            <w:shd w:val="clear" w:color="auto" w:fill="auto"/>
          </w:tcPr>
          <w:p w14:paraId="7DD01ADA" w14:textId="77777777" w:rsidR="00C1563E" w:rsidRDefault="00C1563E">
            <w:pPr>
              <w:rPr>
                <w:rFonts w:ascii="宋体"/>
              </w:rPr>
            </w:pPr>
          </w:p>
        </w:tc>
        <w:tc>
          <w:tcPr>
            <w:tcW w:w="50" w:type="pct"/>
            <w:shd w:val="clear" w:color="auto" w:fill="auto"/>
          </w:tcPr>
          <w:p w14:paraId="7DD01ADB" w14:textId="77777777" w:rsidR="00C1563E" w:rsidRDefault="00C1563E">
            <w:pPr>
              <w:rPr>
                <w:rFonts w:ascii="宋体"/>
              </w:rPr>
            </w:pPr>
          </w:p>
        </w:tc>
        <w:tc>
          <w:tcPr>
            <w:tcW w:w="756" w:type="pct"/>
            <w:shd w:val="clear" w:color="auto" w:fill="auto"/>
          </w:tcPr>
          <w:p w14:paraId="7DD01ADC" w14:textId="77777777" w:rsidR="00C1563E" w:rsidRDefault="00C1563E">
            <w:pPr>
              <w:rPr>
                <w:rFonts w:ascii="宋体"/>
              </w:rPr>
            </w:pPr>
          </w:p>
        </w:tc>
        <w:tc>
          <w:tcPr>
            <w:tcW w:w="5" w:type="pct"/>
            <w:shd w:val="clear" w:color="auto" w:fill="auto"/>
          </w:tcPr>
          <w:p w14:paraId="7DD01ADD" w14:textId="77777777" w:rsidR="00C1563E" w:rsidRDefault="00C1563E">
            <w:pPr>
              <w:rPr>
                <w:rFonts w:ascii="宋体"/>
              </w:rPr>
            </w:pPr>
          </w:p>
        </w:tc>
        <w:tc>
          <w:tcPr>
            <w:tcW w:w="5" w:type="pct"/>
            <w:shd w:val="clear" w:color="auto" w:fill="auto"/>
          </w:tcPr>
          <w:p w14:paraId="7DD01ADE" w14:textId="77777777" w:rsidR="00C1563E" w:rsidRDefault="00C1563E">
            <w:pPr>
              <w:rPr>
                <w:rFonts w:ascii="宋体"/>
              </w:rPr>
            </w:pPr>
          </w:p>
        </w:tc>
        <w:tc>
          <w:tcPr>
            <w:tcW w:w="19" w:type="pct"/>
            <w:shd w:val="clear" w:color="auto" w:fill="auto"/>
          </w:tcPr>
          <w:p w14:paraId="7DD01ADF" w14:textId="77777777" w:rsidR="00C1563E" w:rsidRDefault="00C1563E">
            <w:pPr>
              <w:rPr>
                <w:rFonts w:ascii="宋体"/>
              </w:rPr>
            </w:pPr>
          </w:p>
        </w:tc>
        <w:tc>
          <w:tcPr>
            <w:tcW w:w="5" w:type="pct"/>
            <w:shd w:val="clear" w:color="auto" w:fill="auto"/>
          </w:tcPr>
          <w:p w14:paraId="7DD01AE0" w14:textId="77777777" w:rsidR="00C1563E" w:rsidRDefault="00C1563E">
            <w:pPr>
              <w:rPr>
                <w:rFonts w:ascii="宋体"/>
              </w:rPr>
            </w:pPr>
          </w:p>
        </w:tc>
        <w:tc>
          <w:tcPr>
            <w:tcW w:w="50" w:type="pct"/>
            <w:shd w:val="clear" w:color="auto" w:fill="auto"/>
          </w:tcPr>
          <w:p w14:paraId="7DD01AE1" w14:textId="77777777" w:rsidR="00C1563E" w:rsidRDefault="00C1563E">
            <w:pPr>
              <w:rPr>
                <w:rFonts w:ascii="宋体"/>
              </w:rPr>
            </w:pPr>
          </w:p>
        </w:tc>
        <w:tc>
          <w:tcPr>
            <w:tcW w:w="756" w:type="pct"/>
            <w:shd w:val="clear" w:color="auto" w:fill="auto"/>
          </w:tcPr>
          <w:p w14:paraId="7DD01AE2" w14:textId="77777777" w:rsidR="00C1563E" w:rsidRDefault="00C1563E">
            <w:pPr>
              <w:rPr>
                <w:rFonts w:ascii="宋体"/>
              </w:rPr>
            </w:pPr>
          </w:p>
        </w:tc>
        <w:tc>
          <w:tcPr>
            <w:tcW w:w="5" w:type="pct"/>
            <w:shd w:val="clear" w:color="auto" w:fill="auto"/>
          </w:tcPr>
          <w:p w14:paraId="7DD01AE3" w14:textId="77777777" w:rsidR="00C1563E" w:rsidRDefault="00C1563E">
            <w:pPr>
              <w:rPr>
                <w:rFonts w:ascii="宋体"/>
              </w:rPr>
            </w:pPr>
          </w:p>
        </w:tc>
      </w:tr>
      <w:tr w:rsidR="00C1563E" w14:paraId="7DD01AE9" w14:textId="77777777">
        <w:tc>
          <w:tcPr>
            <w:tcW w:w="0" w:type="auto"/>
            <w:gridSpan w:val="3"/>
            <w:shd w:val="clear" w:color="auto" w:fill="auto"/>
            <w:tcMar>
              <w:top w:w="40" w:type="dxa"/>
              <w:left w:w="20" w:type="dxa"/>
              <w:bottom w:w="40" w:type="dxa"/>
              <w:right w:w="20" w:type="dxa"/>
            </w:tcMar>
            <w:vAlign w:val="bottom"/>
          </w:tcPr>
          <w:p w14:paraId="7DD01AE5"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DD01AE6"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AE7"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AE8"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AEC" w14:textId="77777777">
        <w:tc>
          <w:tcPr>
            <w:tcW w:w="0" w:type="auto"/>
            <w:gridSpan w:val="3"/>
            <w:shd w:val="clear" w:color="auto" w:fill="auto"/>
            <w:tcMar>
              <w:top w:w="40" w:type="dxa"/>
              <w:left w:w="20" w:type="dxa"/>
              <w:bottom w:w="40" w:type="dxa"/>
              <w:right w:w="20" w:type="dxa"/>
            </w:tcMar>
            <w:vAlign w:val="bottom"/>
          </w:tcPr>
          <w:p w14:paraId="7DD01AEA"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1AEB"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AF1" w14:textId="77777777">
        <w:tc>
          <w:tcPr>
            <w:tcW w:w="0" w:type="auto"/>
            <w:gridSpan w:val="3"/>
            <w:shd w:val="clear" w:color="auto" w:fill="CCEEFF"/>
            <w:tcMar>
              <w:top w:w="40" w:type="dxa"/>
              <w:left w:w="20" w:type="dxa"/>
              <w:bottom w:w="40" w:type="dxa"/>
              <w:right w:w="20" w:type="dxa"/>
            </w:tcMar>
            <w:vAlign w:val="bottom"/>
          </w:tcPr>
          <w:p w14:paraId="7DD01AED" w14:textId="77777777" w:rsidR="00C1563E" w:rsidRDefault="000B648B">
            <w:pPr>
              <w:textAlignment w:val="bottom"/>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tcPr>
          <w:p w14:paraId="7DD01AE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AE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AF0" w14:textId="77777777" w:rsidR="00C1563E" w:rsidRDefault="00C1563E">
            <w:pPr>
              <w:rPr>
                <w:rFonts w:ascii="宋体"/>
              </w:rPr>
            </w:pPr>
          </w:p>
        </w:tc>
      </w:tr>
      <w:tr w:rsidR="00C1563E" w14:paraId="7DD01AFA" w14:textId="77777777">
        <w:tc>
          <w:tcPr>
            <w:tcW w:w="0" w:type="auto"/>
            <w:gridSpan w:val="3"/>
            <w:shd w:val="clear" w:color="auto" w:fill="FFFFFF"/>
            <w:tcMar>
              <w:top w:w="40" w:type="dxa"/>
              <w:left w:w="155" w:type="dxa"/>
              <w:bottom w:w="40" w:type="dxa"/>
              <w:right w:w="20" w:type="dxa"/>
            </w:tcMar>
            <w:vAlign w:val="bottom"/>
          </w:tcPr>
          <w:p w14:paraId="7DD01AF2" w14:textId="77777777" w:rsidR="00C1563E" w:rsidRDefault="000B648B">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DD01AF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F4" w14:textId="77777777" w:rsidR="00C1563E" w:rsidRDefault="000B648B">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7DD01AF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AF6"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AF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AF8" w14:textId="77777777" w:rsidR="00C1563E" w:rsidRDefault="000B648B">
            <w:pPr>
              <w:jc w:val="right"/>
              <w:textAlignment w:val="bottom"/>
            </w:pPr>
            <w:r>
              <w:rPr>
                <w:rFonts w:ascii="Times New Roman" w:eastAsia="宋体" w:hAnsi="Times New Roman"/>
                <w:color w:val="000000"/>
                <w:sz w:val="20"/>
                <w:szCs w:val="20"/>
              </w:rPr>
              <w:t>9,302 </w:t>
            </w:r>
          </w:p>
        </w:tc>
        <w:tc>
          <w:tcPr>
            <w:tcW w:w="0" w:type="auto"/>
            <w:shd w:val="clear" w:color="auto" w:fill="FFFFFF"/>
            <w:tcMar>
              <w:top w:w="40" w:type="dxa"/>
              <w:left w:w="0" w:type="dxa"/>
              <w:bottom w:w="40" w:type="dxa"/>
              <w:right w:w="20" w:type="dxa"/>
            </w:tcMar>
            <w:vAlign w:val="bottom"/>
          </w:tcPr>
          <w:p w14:paraId="7DD01AF9" w14:textId="77777777" w:rsidR="00C1563E" w:rsidRDefault="00C1563E">
            <w:pPr>
              <w:jc w:val="right"/>
              <w:rPr>
                <w:rFonts w:ascii="宋体"/>
              </w:rPr>
            </w:pPr>
          </w:p>
        </w:tc>
      </w:tr>
      <w:tr w:rsidR="00C1563E" w14:paraId="7DD01B01" w14:textId="77777777">
        <w:tc>
          <w:tcPr>
            <w:tcW w:w="0" w:type="auto"/>
            <w:gridSpan w:val="3"/>
            <w:shd w:val="clear" w:color="auto" w:fill="CCEEFF"/>
            <w:tcMar>
              <w:top w:w="40" w:type="dxa"/>
              <w:left w:w="155" w:type="dxa"/>
              <w:bottom w:w="40" w:type="dxa"/>
              <w:right w:w="20" w:type="dxa"/>
            </w:tcMar>
            <w:vAlign w:val="bottom"/>
          </w:tcPr>
          <w:p w14:paraId="7DD01AFB" w14:textId="77777777" w:rsidR="00C1563E" w:rsidRDefault="000B648B">
            <w:pPr>
              <w:textAlignment w:val="bottom"/>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bottom"/>
          </w:tcPr>
          <w:p w14:paraId="7DD01AFC" w14:textId="77777777" w:rsidR="00C1563E" w:rsidRDefault="000B648B">
            <w:pPr>
              <w:jc w:val="right"/>
              <w:textAlignment w:val="bottom"/>
            </w:pPr>
            <w:r>
              <w:rPr>
                <w:rFonts w:ascii="Times New Roman" w:eastAsia="宋体" w:hAnsi="Times New Roman"/>
                <w:color w:val="000000"/>
                <w:sz w:val="20"/>
                <w:szCs w:val="20"/>
              </w:rPr>
              <w:t>891 </w:t>
            </w:r>
          </w:p>
        </w:tc>
        <w:tc>
          <w:tcPr>
            <w:tcW w:w="0" w:type="auto"/>
            <w:shd w:val="clear" w:color="auto" w:fill="CCEEFF"/>
            <w:tcMar>
              <w:top w:w="40" w:type="dxa"/>
              <w:left w:w="0" w:type="dxa"/>
              <w:bottom w:w="40" w:type="dxa"/>
              <w:right w:w="20" w:type="dxa"/>
            </w:tcMar>
            <w:vAlign w:val="bottom"/>
          </w:tcPr>
          <w:p w14:paraId="7DD01AF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AF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AFF" w14:textId="77777777" w:rsidR="00C1563E" w:rsidRDefault="000B648B">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7DD01B00" w14:textId="77777777" w:rsidR="00C1563E" w:rsidRDefault="00C1563E">
            <w:pPr>
              <w:jc w:val="right"/>
              <w:rPr>
                <w:rFonts w:ascii="宋体"/>
              </w:rPr>
            </w:pPr>
          </w:p>
        </w:tc>
      </w:tr>
      <w:tr w:rsidR="00C1563E" w14:paraId="7DD01B08" w14:textId="77777777">
        <w:tc>
          <w:tcPr>
            <w:tcW w:w="0" w:type="auto"/>
            <w:gridSpan w:val="3"/>
            <w:shd w:val="clear" w:color="auto" w:fill="FFFFFF"/>
            <w:tcMar>
              <w:top w:w="40" w:type="dxa"/>
              <w:left w:w="155" w:type="dxa"/>
              <w:bottom w:w="40" w:type="dxa"/>
              <w:right w:w="20" w:type="dxa"/>
            </w:tcMar>
            <w:vAlign w:val="bottom"/>
          </w:tcPr>
          <w:p w14:paraId="7DD01B02" w14:textId="77777777" w:rsidR="00C1563E" w:rsidRDefault="000B648B">
            <w:pPr>
              <w:textAlignment w:val="bottom"/>
            </w:pPr>
            <w:r>
              <w:rPr>
                <w:rFonts w:ascii="Times New Roman" w:eastAsia="宋体" w:hAnsi="Times New Roman"/>
                <w:color w:val="000000"/>
                <w:sz w:val="20"/>
                <w:szCs w:val="20"/>
              </w:rPr>
              <w:t>Restricted cash - other non-current assets (a)</w:t>
            </w:r>
          </w:p>
        </w:tc>
        <w:tc>
          <w:tcPr>
            <w:tcW w:w="0" w:type="auto"/>
            <w:gridSpan w:val="2"/>
            <w:shd w:val="clear" w:color="auto" w:fill="FFFFFF"/>
            <w:tcMar>
              <w:top w:w="40" w:type="dxa"/>
              <w:left w:w="20" w:type="dxa"/>
              <w:bottom w:w="40" w:type="dxa"/>
              <w:right w:w="0" w:type="dxa"/>
            </w:tcMar>
            <w:vAlign w:val="bottom"/>
          </w:tcPr>
          <w:p w14:paraId="7DD01B03" w14:textId="77777777" w:rsidR="00C1563E" w:rsidRDefault="000B648B">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DD01B0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0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06" w14:textId="77777777" w:rsidR="00C1563E" w:rsidRDefault="000B648B">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bottom"/>
          </w:tcPr>
          <w:p w14:paraId="7DD01B07" w14:textId="77777777" w:rsidR="00C1563E" w:rsidRDefault="00C1563E">
            <w:pPr>
              <w:jc w:val="right"/>
              <w:rPr>
                <w:rFonts w:ascii="宋体"/>
              </w:rPr>
            </w:pPr>
          </w:p>
        </w:tc>
      </w:tr>
      <w:tr w:rsidR="00C1563E" w14:paraId="7DD01B11" w14:textId="77777777">
        <w:tc>
          <w:tcPr>
            <w:tcW w:w="0" w:type="auto"/>
            <w:gridSpan w:val="3"/>
            <w:shd w:val="clear" w:color="auto" w:fill="CCEEFF"/>
            <w:tcMar>
              <w:top w:w="40" w:type="dxa"/>
              <w:left w:w="245" w:type="dxa"/>
              <w:bottom w:w="40" w:type="dxa"/>
              <w:right w:w="20" w:type="dxa"/>
            </w:tcMar>
            <w:vAlign w:val="bottom"/>
          </w:tcPr>
          <w:p w14:paraId="7DD01B09" w14:textId="77777777" w:rsidR="00C1563E" w:rsidRDefault="000B648B">
            <w:pPr>
              <w:textAlignment w:val="bottom"/>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1B0A"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B0B" w14:textId="77777777" w:rsidR="00C1563E" w:rsidRDefault="000B648B">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0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0D"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B0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B0F" w14:textId="77777777" w:rsidR="00C1563E" w:rsidRDefault="000B648B">
            <w:pPr>
              <w:jc w:val="right"/>
              <w:textAlignment w:val="bottom"/>
            </w:pPr>
            <w:r>
              <w:rPr>
                <w:rFonts w:ascii="Times New Roman" w:eastAsia="宋体" w:hAnsi="Times New Roman"/>
                <w:color w:val="000000"/>
                <w:sz w:val="20"/>
                <w:szCs w:val="20"/>
              </w:rPr>
              <w:t>10,151 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10" w14:textId="77777777" w:rsidR="00C1563E" w:rsidRDefault="00C1563E">
            <w:pPr>
              <w:jc w:val="right"/>
              <w:rPr>
                <w:rFonts w:ascii="宋体"/>
              </w:rPr>
            </w:pPr>
          </w:p>
        </w:tc>
      </w:tr>
      <w:tr w:rsidR="00C1563E" w14:paraId="7DD01B16" w14:textId="77777777">
        <w:tc>
          <w:tcPr>
            <w:tcW w:w="0" w:type="auto"/>
            <w:gridSpan w:val="3"/>
            <w:shd w:val="clear" w:color="auto" w:fill="FFFFFF"/>
            <w:tcMar>
              <w:top w:w="40" w:type="dxa"/>
              <w:left w:w="20" w:type="dxa"/>
              <w:bottom w:w="40" w:type="dxa"/>
              <w:right w:w="20" w:type="dxa"/>
            </w:tcMar>
            <w:vAlign w:val="bottom"/>
          </w:tcPr>
          <w:p w14:paraId="7DD01B12" w14:textId="77777777" w:rsidR="00C1563E" w:rsidRDefault="000B648B">
            <w:pPr>
              <w:textAlignment w:val="bottom"/>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tcPr>
          <w:p w14:paraId="7DD01B1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B14"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B15" w14:textId="77777777" w:rsidR="00C1563E" w:rsidRDefault="00C1563E">
            <w:pPr>
              <w:rPr>
                <w:rFonts w:ascii="宋体"/>
              </w:rPr>
            </w:pPr>
          </w:p>
        </w:tc>
      </w:tr>
      <w:tr w:rsidR="00C1563E" w14:paraId="7DD01B1F" w14:textId="77777777">
        <w:tc>
          <w:tcPr>
            <w:tcW w:w="0" w:type="auto"/>
            <w:gridSpan w:val="3"/>
            <w:shd w:val="clear" w:color="auto" w:fill="CCEEFF"/>
            <w:tcMar>
              <w:top w:w="40" w:type="dxa"/>
              <w:left w:w="155" w:type="dxa"/>
              <w:bottom w:w="40" w:type="dxa"/>
              <w:right w:w="20" w:type="dxa"/>
            </w:tcMar>
            <w:vAlign w:val="bottom"/>
          </w:tcPr>
          <w:p w14:paraId="7DD01B17" w14:textId="77777777" w:rsidR="00C1563E" w:rsidRDefault="000B648B">
            <w:pPr>
              <w:textAlignment w:val="bottom"/>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bottom"/>
          </w:tcPr>
          <w:p w14:paraId="7DD01B1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B19" w14:textId="77777777" w:rsidR="00C1563E" w:rsidRDefault="000B648B">
            <w:pPr>
              <w:jc w:val="right"/>
              <w:textAlignment w:val="bottom"/>
            </w:pPr>
            <w:r>
              <w:rPr>
                <w:rFonts w:ascii="Times New Roman" w:eastAsia="宋体" w:hAnsi="Times New Roman"/>
                <w:color w:val="000000"/>
                <w:sz w:val="20"/>
                <w:szCs w:val="20"/>
              </w:rPr>
              <w:t>1,717 </w:t>
            </w:r>
          </w:p>
        </w:tc>
        <w:tc>
          <w:tcPr>
            <w:tcW w:w="0" w:type="auto"/>
            <w:shd w:val="clear" w:color="auto" w:fill="CCEEFF"/>
            <w:tcMar>
              <w:top w:w="40" w:type="dxa"/>
              <w:left w:w="0" w:type="dxa"/>
              <w:bottom w:w="40" w:type="dxa"/>
              <w:right w:w="20" w:type="dxa"/>
            </w:tcMar>
            <w:vAlign w:val="bottom"/>
          </w:tcPr>
          <w:p w14:paraId="7DD01B1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1B"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B1C"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B1D" w14:textId="77777777" w:rsidR="00C1563E" w:rsidRDefault="000B648B">
            <w:pPr>
              <w:jc w:val="right"/>
              <w:textAlignment w:val="bottom"/>
            </w:pPr>
            <w:r>
              <w:rPr>
                <w:rFonts w:ascii="Times New Roman" w:eastAsia="宋体" w:hAnsi="Times New Roman"/>
                <w:color w:val="000000"/>
                <w:sz w:val="20"/>
                <w:szCs w:val="20"/>
              </w:rPr>
              <w:t>1,590 </w:t>
            </w:r>
          </w:p>
        </w:tc>
        <w:tc>
          <w:tcPr>
            <w:tcW w:w="0" w:type="auto"/>
            <w:shd w:val="clear" w:color="auto" w:fill="CCEEFF"/>
            <w:tcMar>
              <w:top w:w="40" w:type="dxa"/>
              <w:left w:w="0" w:type="dxa"/>
              <w:bottom w:w="40" w:type="dxa"/>
              <w:right w:w="20" w:type="dxa"/>
            </w:tcMar>
            <w:vAlign w:val="bottom"/>
          </w:tcPr>
          <w:p w14:paraId="7DD01B1E" w14:textId="77777777" w:rsidR="00C1563E" w:rsidRDefault="00C1563E">
            <w:pPr>
              <w:jc w:val="right"/>
              <w:rPr>
                <w:rFonts w:ascii="宋体"/>
              </w:rPr>
            </w:pPr>
          </w:p>
        </w:tc>
      </w:tr>
      <w:tr w:rsidR="00C1563E" w14:paraId="7DD01B26" w14:textId="77777777">
        <w:tc>
          <w:tcPr>
            <w:tcW w:w="0" w:type="auto"/>
            <w:gridSpan w:val="3"/>
            <w:shd w:val="clear" w:color="auto" w:fill="FFFFFF"/>
            <w:tcMar>
              <w:top w:w="40" w:type="dxa"/>
              <w:left w:w="155" w:type="dxa"/>
              <w:bottom w:w="40" w:type="dxa"/>
              <w:right w:w="20" w:type="dxa"/>
            </w:tcMar>
            <w:vAlign w:val="bottom"/>
          </w:tcPr>
          <w:p w14:paraId="7DD01B20" w14:textId="77777777" w:rsidR="00C1563E" w:rsidRDefault="000B648B">
            <w:pPr>
              <w:textAlignment w:val="bottom"/>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bottom"/>
          </w:tcPr>
          <w:p w14:paraId="7DD01B21" w14:textId="77777777" w:rsidR="00C1563E" w:rsidRDefault="000B648B">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7DD01B2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2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24" w14:textId="77777777" w:rsidR="00C1563E" w:rsidRDefault="000B648B">
            <w:pPr>
              <w:jc w:val="right"/>
              <w:textAlignment w:val="bottom"/>
            </w:pPr>
            <w:r>
              <w:rPr>
                <w:rFonts w:ascii="Times New Roman" w:eastAsia="宋体" w:hAnsi="Times New Roman"/>
                <w:color w:val="000000"/>
                <w:sz w:val="20"/>
                <w:szCs w:val="20"/>
              </w:rPr>
              <w:t>563 </w:t>
            </w:r>
          </w:p>
        </w:tc>
        <w:tc>
          <w:tcPr>
            <w:tcW w:w="0" w:type="auto"/>
            <w:shd w:val="clear" w:color="auto" w:fill="FFFFFF"/>
            <w:tcMar>
              <w:top w:w="40" w:type="dxa"/>
              <w:left w:w="0" w:type="dxa"/>
              <w:bottom w:w="40" w:type="dxa"/>
              <w:right w:w="20" w:type="dxa"/>
            </w:tcMar>
            <w:vAlign w:val="bottom"/>
          </w:tcPr>
          <w:p w14:paraId="7DD01B25" w14:textId="77777777" w:rsidR="00C1563E" w:rsidRDefault="00C1563E">
            <w:pPr>
              <w:jc w:val="right"/>
              <w:rPr>
                <w:rFonts w:ascii="宋体"/>
              </w:rPr>
            </w:pPr>
          </w:p>
        </w:tc>
      </w:tr>
      <w:tr w:rsidR="00C1563E" w14:paraId="7DD01B2D" w14:textId="77777777">
        <w:tc>
          <w:tcPr>
            <w:tcW w:w="0" w:type="auto"/>
            <w:gridSpan w:val="3"/>
            <w:shd w:val="clear" w:color="auto" w:fill="CCEEFF"/>
            <w:tcMar>
              <w:top w:w="40" w:type="dxa"/>
              <w:left w:w="155" w:type="dxa"/>
              <w:bottom w:w="40" w:type="dxa"/>
              <w:right w:w="20" w:type="dxa"/>
            </w:tcMar>
            <w:vAlign w:val="bottom"/>
          </w:tcPr>
          <w:p w14:paraId="7DD01B27" w14:textId="77777777" w:rsidR="00C1563E" w:rsidRDefault="000B648B">
            <w:pPr>
              <w:textAlignment w:val="bottom"/>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7DD01B28" w14:textId="77777777" w:rsidR="00C1563E" w:rsidRDefault="000B648B">
            <w:pPr>
              <w:jc w:val="right"/>
              <w:textAlignment w:val="bottom"/>
            </w:pPr>
            <w:r>
              <w:rPr>
                <w:rFonts w:ascii="Times New Roman" w:eastAsia="宋体" w:hAnsi="Times New Roman"/>
                <w:color w:val="000000"/>
                <w:sz w:val="20"/>
                <w:szCs w:val="20"/>
              </w:rPr>
              <w:t>1,008 </w:t>
            </w:r>
          </w:p>
        </w:tc>
        <w:tc>
          <w:tcPr>
            <w:tcW w:w="0" w:type="auto"/>
            <w:shd w:val="clear" w:color="auto" w:fill="CCEEFF"/>
            <w:tcMar>
              <w:top w:w="40" w:type="dxa"/>
              <w:left w:w="0" w:type="dxa"/>
              <w:bottom w:w="40" w:type="dxa"/>
              <w:right w:w="20" w:type="dxa"/>
            </w:tcMar>
            <w:vAlign w:val="bottom"/>
          </w:tcPr>
          <w:p w14:paraId="7DD01B2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2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2B" w14:textId="77777777" w:rsidR="00C1563E" w:rsidRDefault="000B648B">
            <w:pPr>
              <w:jc w:val="right"/>
              <w:textAlignment w:val="bottom"/>
            </w:pPr>
            <w:r>
              <w:rPr>
                <w:rFonts w:ascii="Times New Roman" w:eastAsia="宋体" w:hAnsi="Times New Roman"/>
                <w:color w:val="000000"/>
                <w:sz w:val="20"/>
                <w:szCs w:val="20"/>
              </w:rPr>
              <w:t>1,128 </w:t>
            </w:r>
          </w:p>
        </w:tc>
        <w:tc>
          <w:tcPr>
            <w:tcW w:w="0" w:type="auto"/>
            <w:shd w:val="clear" w:color="auto" w:fill="CCEEFF"/>
            <w:tcMar>
              <w:top w:w="40" w:type="dxa"/>
              <w:left w:w="0" w:type="dxa"/>
              <w:bottom w:w="40" w:type="dxa"/>
              <w:right w:w="20" w:type="dxa"/>
            </w:tcMar>
            <w:vAlign w:val="bottom"/>
          </w:tcPr>
          <w:p w14:paraId="7DD01B2C" w14:textId="77777777" w:rsidR="00C1563E" w:rsidRDefault="00C1563E">
            <w:pPr>
              <w:jc w:val="right"/>
              <w:rPr>
                <w:rFonts w:ascii="宋体"/>
              </w:rPr>
            </w:pPr>
          </w:p>
        </w:tc>
      </w:tr>
      <w:tr w:rsidR="00C1563E" w14:paraId="7DD01B36" w14:textId="77777777">
        <w:tc>
          <w:tcPr>
            <w:tcW w:w="0" w:type="auto"/>
            <w:gridSpan w:val="3"/>
            <w:shd w:val="clear" w:color="auto" w:fill="FFFFFF"/>
            <w:tcMar>
              <w:top w:w="40" w:type="dxa"/>
              <w:left w:w="245" w:type="dxa"/>
              <w:bottom w:w="40" w:type="dxa"/>
              <w:right w:w="20" w:type="dxa"/>
            </w:tcMar>
            <w:vAlign w:val="bottom"/>
          </w:tcPr>
          <w:p w14:paraId="7DD01B2E" w14:textId="77777777" w:rsidR="00C1563E" w:rsidRDefault="000B648B">
            <w:pPr>
              <w:textAlignment w:val="bottom"/>
            </w:pPr>
            <w:r>
              <w:rPr>
                <w:rFonts w:ascii="Times New Roman" w:eastAsia="宋体" w:hAnsi="Times New Roman"/>
                <w:color w:val="000000"/>
                <w:sz w:val="20"/>
                <w:szCs w:val="20"/>
              </w:rPr>
              <w:t>Total inventories,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B2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B30" w14:textId="77777777" w:rsidR="00C1563E" w:rsidRDefault="000B648B">
            <w:pPr>
              <w:jc w:val="right"/>
              <w:textAlignment w:val="bottom"/>
            </w:pPr>
            <w:r>
              <w:rPr>
                <w:rFonts w:ascii="Times New Roman" w:eastAsia="宋体" w:hAnsi="Times New Roman"/>
                <w:color w:val="000000"/>
                <w:sz w:val="20"/>
                <w:szCs w:val="20"/>
              </w:rPr>
              <w:t>3,402 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B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3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B3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B34" w14:textId="77777777" w:rsidR="00C1563E" w:rsidRDefault="000B648B">
            <w:pPr>
              <w:jc w:val="right"/>
              <w:textAlignment w:val="bottom"/>
            </w:pPr>
            <w:r>
              <w:rPr>
                <w:rFonts w:ascii="Times New Roman" w:eastAsia="宋体" w:hAnsi="Times New Roman"/>
                <w:color w:val="000000"/>
                <w:sz w:val="20"/>
                <w:szCs w:val="20"/>
              </w:rPr>
              <w:t>3,281 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B35" w14:textId="77777777" w:rsidR="00C1563E" w:rsidRDefault="00C1563E">
            <w:pPr>
              <w:jc w:val="right"/>
              <w:rPr>
                <w:rFonts w:ascii="宋体"/>
              </w:rPr>
            </w:pPr>
          </w:p>
        </w:tc>
      </w:tr>
      <w:tr w:rsidR="00C1563E" w14:paraId="7DD01B3B" w14:textId="77777777">
        <w:tc>
          <w:tcPr>
            <w:tcW w:w="0" w:type="auto"/>
            <w:gridSpan w:val="3"/>
            <w:shd w:val="clear" w:color="auto" w:fill="CCEEFF"/>
            <w:tcMar>
              <w:top w:w="40" w:type="dxa"/>
              <w:left w:w="20" w:type="dxa"/>
              <w:bottom w:w="40" w:type="dxa"/>
              <w:right w:w="20" w:type="dxa"/>
            </w:tcMar>
            <w:vAlign w:val="bottom"/>
          </w:tcPr>
          <w:p w14:paraId="7DD01B37" w14:textId="77777777" w:rsidR="00C1563E" w:rsidRDefault="000B648B">
            <w:pPr>
              <w:textAlignment w:val="bottom"/>
            </w:pPr>
            <w:r>
              <w:rPr>
                <w:rFonts w:ascii="Times New Roman" w:eastAsia="宋体" w:hAnsi="Times New Roman"/>
                <w:i/>
                <w:iCs/>
                <w:color w:val="000000"/>
                <w:sz w:val="20"/>
                <w:szCs w:val="20"/>
              </w:rPr>
              <w:t>Prepaid expenses:</w:t>
            </w:r>
          </w:p>
        </w:tc>
        <w:tc>
          <w:tcPr>
            <w:tcW w:w="0" w:type="auto"/>
            <w:gridSpan w:val="3"/>
            <w:tcBorders>
              <w:top w:val="double" w:sz="6" w:space="0" w:color="000000"/>
            </w:tcBorders>
            <w:shd w:val="clear" w:color="auto" w:fill="CCEEFF"/>
            <w:tcMar>
              <w:top w:w="0" w:type="dxa"/>
              <w:left w:w="20" w:type="dxa"/>
              <w:bottom w:w="0" w:type="dxa"/>
              <w:right w:w="20" w:type="dxa"/>
            </w:tcMar>
          </w:tcPr>
          <w:p w14:paraId="7DD01B3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B39"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B3A" w14:textId="77777777" w:rsidR="00C1563E" w:rsidRDefault="00C1563E">
            <w:pPr>
              <w:rPr>
                <w:rFonts w:ascii="宋体"/>
              </w:rPr>
            </w:pPr>
          </w:p>
        </w:tc>
      </w:tr>
      <w:tr w:rsidR="00C1563E" w14:paraId="7DD01B44" w14:textId="77777777">
        <w:tc>
          <w:tcPr>
            <w:tcW w:w="0" w:type="auto"/>
            <w:gridSpan w:val="3"/>
            <w:shd w:val="clear" w:color="auto" w:fill="FFFFFF"/>
            <w:tcMar>
              <w:top w:w="40" w:type="dxa"/>
              <w:left w:w="155" w:type="dxa"/>
              <w:bottom w:w="40" w:type="dxa"/>
              <w:right w:w="20" w:type="dxa"/>
            </w:tcMar>
            <w:vAlign w:val="bottom"/>
          </w:tcPr>
          <w:p w14:paraId="7DD01B3C" w14:textId="77777777" w:rsidR="00C1563E" w:rsidRDefault="000B648B">
            <w:pPr>
              <w:textAlignment w:val="bottom"/>
            </w:pPr>
            <w:r>
              <w:rPr>
                <w:rFonts w:ascii="Times New Roman" w:eastAsia="宋体" w:hAnsi="Times New Roman"/>
                <w:color w:val="000000"/>
                <w:sz w:val="20"/>
                <w:szCs w:val="20"/>
              </w:rPr>
              <w:t>Total prepaid expenses (b)</w:t>
            </w:r>
          </w:p>
        </w:tc>
        <w:tc>
          <w:tcPr>
            <w:tcW w:w="0" w:type="auto"/>
            <w:shd w:val="clear" w:color="auto" w:fill="FFFFFF"/>
            <w:tcMar>
              <w:top w:w="40" w:type="dxa"/>
              <w:left w:w="20" w:type="dxa"/>
              <w:bottom w:w="40" w:type="dxa"/>
              <w:right w:w="0" w:type="dxa"/>
            </w:tcMar>
            <w:vAlign w:val="bottom"/>
          </w:tcPr>
          <w:p w14:paraId="7DD01B3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3E" w14:textId="77777777" w:rsidR="00C1563E" w:rsidRDefault="000B648B">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DD01B3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4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B4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42" w14:textId="77777777" w:rsidR="00C1563E" w:rsidRDefault="000B648B">
            <w:pPr>
              <w:jc w:val="right"/>
              <w:textAlignment w:val="bottom"/>
            </w:pPr>
            <w:r>
              <w:rPr>
                <w:rFonts w:ascii="Times New Roman" w:eastAsia="宋体" w:hAnsi="Times New Roman"/>
                <w:color w:val="000000"/>
                <w:sz w:val="20"/>
                <w:szCs w:val="20"/>
              </w:rPr>
              <w:t>885 </w:t>
            </w:r>
          </w:p>
        </w:tc>
        <w:tc>
          <w:tcPr>
            <w:tcW w:w="0" w:type="auto"/>
            <w:shd w:val="clear" w:color="auto" w:fill="FFFFFF"/>
            <w:tcMar>
              <w:top w:w="40" w:type="dxa"/>
              <w:left w:w="0" w:type="dxa"/>
              <w:bottom w:w="40" w:type="dxa"/>
              <w:right w:w="20" w:type="dxa"/>
            </w:tcMar>
            <w:vAlign w:val="bottom"/>
          </w:tcPr>
          <w:p w14:paraId="7DD01B43" w14:textId="77777777" w:rsidR="00C1563E" w:rsidRDefault="00C1563E">
            <w:pPr>
              <w:jc w:val="right"/>
              <w:rPr>
                <w:rFonts w:ascii="宋体"/>
              </w:rPr>
            </w:pPr>
          </w:p>
        </w:tc>
      </w:tr>
      <w:tr w:rsidR="00C1563E" w14:paraId="7DD01B49" w14:textId="77777777">
        <w:tc>
          <w:tcPr>
            <w:tcW w:w="0" w:type="auto"/>
            <w:gridSpan w:val="3"/>
            <w:shd w:val="clear" w:color="auto" w:fill="CCEEFF"/>
            <w:tcMar>
              <w:top w:w="40" w:type="dxa"/>
              <w:left w:w="20" w:type="dxa"/>
              <w:bottom w:w="40" w:type="dxa"/>
              <w:right w:w="20" w:type="dxa"/>
            </w:tcMar>
            <w:vAlign w:val="bottom"/>
          </w:tcPr>
          <w:p w14:paraId="7DD01B45" w14:textId="77777777" w:rsidR="00C1563E" w:rsidRDefault="000B648B">
            <w:pPr>
              <w:textAlignment w:val="bottom"/>
            </w:pPr>
            <w:r>
              <w:rPr>
                <w:rFonts w:ascii="Times New Roman" w:eastAsia="宋体" w:hAnsi="Times New Roman"/>
                <w:i/>
                <w:iCs/>
                <w:color w:val="000000"/>
                <w:sz w:val="20"/>
                <w:szCs w:val="20"/>
              </w:rPr>
              <w:t>Property, plant, and equipment, net:</w:t>
            </w:r>
          </w:p>
        </w:tc>
        <w:tc>
          <w:tcPr>
            <w:tcW w:w="0" w:type="auto"/>
            <w:gridSpan w:val="3"/>
            <w:tcBorders>
              <w:top w:val="double" w:sz="6" w:space="0" w:color="000000"/>
            </w:tcBorders>
            <w:shd w:val="clear" w:color="auto" w:fill="CCEEFF"/>
            <w:tcMar>
              <w:top w:w="0" w:type="dxa"/>
              <w:left w:w="20" w:type="dxa"/>
              <w:bottom w:w="0" w:type="dxa"/>
              <w:right w:w="20" w:type="dxa"/>
            </w:tcMar>
          </w:tcPr>
          <w:p w14:paraId="7DD01B4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B47"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B48" w14:textId="77777777" w:rsidR="00C1563E" w:rsidRDefault="00C1563E">
            <w:pPr>
              <w:rPr>
                <w:rFonts w:ascii="宋体"/>
              </w:rPr>
            </w:pPr>
          </w:p>
        </w:tc>
      </w:tr>
      <w:tr w:rsidR="00C1563E" w14:paraId="7DD01B52" w14:textId="77777777">
        <w:tc>
          <w:tcPr>
            <w:tcW w:w="0" w:type="auto"/>
            <w:gridSpan w:val="3"/>
            <w:shd w:val="clear" w:color="auto" w:fill="FFFFFF"/>
            <w:tcMar>
              <w:top w:w="40" w:type="dxa"/>
              <w:left w:w="155" w:type="dxa"/>
              <w:bottom w:w="40" w:type="dxa"/>
              <w:right w:w="20" w:type="dxa"/>
            </w:tcMar>
            <w:vAlign w:val="bottom"/>
          </w:tcPr>
          <w:p w14:paraId="7DD01B4A" w14:textId="77777777" w:rsidR="00C1563E" w:rsidRDefault="000B648B">
            <w:pPr>
              <w:textAlignment w:val="bottom"/>
            </w:pPr>
            <w:r>
              <w:rPr>
                <w:rFonts w:ascii="Times New Roman" w:eastAsia="宋体" w:hAnsi="Times New Roman"/>
                <w:color w:val="000000"/>
                <w:sz w:val="20"/>
                <w:szCs w:val="20"/>
              </w:rPr>
              <w:t>Computer equipment</w:t>
            </w:r>
          </w:p>
        </w:tc>
        <w:tc>
          <w:tcPr>
            <w:tcW w:w="0" w:type="auto"/>
            <w:shd w:val="clear" w:color="auto" w:fill="FFFFFF"/>
            <w:tcMar>
              <w:top w:w="40" w:type="dxa"/>
              <w:left w:w="20" w:type="dxa"/>
              <w:bottom w:w="40" w:type="dxa"/>
              <w:right w:w="0" w:type="dxa"/>
            </w:tcMar>
            <w:vAlign w:val="bottom"/>
          </w:tcPr>
          <w:p w14:paraId="7DD01B4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4C" w14:textId="77777777" w:rsidR="00C1563E" w:rsidRDefault="000B648B">
            <w:pPr>
              <w:jc w:val="right"/>
              <w:textAlignment w:val="bottom"/>
            </w:pPr>
            <w:r>
              <w:rPr>
                <w:rFonts w:ascii="Times New Roman" w:eastAsia="宋体" w:hAnsi="Times New Roman"/>
                <w:color w:val="000000"/>
                <w:sz w:val="20"/>
                <w:szCs w:val="20"/>
              </w:rPr>
              <w:t>6,506 </w:t>
            </w:r>
          </w:p>
        </w:tc>
        <w:tc>
          <w:tcPr>
            <w:tcW w:w="0" w:type="auto"/>
            <w:shd w:val="clear" w:color="auto" w:fill="FFFFFF"/>
            <w:tcMar>
              <w:top w:w="40" w:type="dxa"/>
              <w:left w:w="0" w:type="dxa"/>
              <w:bottom w:w="40" w:type="dxa"/>
              <w:right w:w="20" w:type="dxa"/>
            </w:tcMar>
            <w:vAlign w:val="bottom"/>
          </w:tcPr>
          <w:p w14:paraId="7DD01B4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4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B4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50" w14:textId="77777777" w:rsidR="00C1563E" w:rsidRDefault="000B648B">
            <w:pPr>
              <w:jc w:val="right"/>
              <w:textAlignment w:val="bottom"/>
            </w:pPr>
            <w:r>
              <w:rPr>
                <w:rFonts w:ascii="Times New Roman" w:eastAsia="宋体" w:hAnsi="Times New Roman"/>
                <w:color w:val="000000"/>
                <w:sz w:val="20"/>
                <w:szCs w:val="20"/>
              </w:rPr>
              <w:t>6,330 </w:t>
            </w:r>
          </w:p>
        </w:tc>
        <w:tc>
          <w:tcPr>
            <w:tcW w:w="0" w:type="auto"/>
            <w:shd w:val="clear" w:color="auto" w:fill="FFFFFF"/>
            <w:tcMar>
              <w:top w:w="40" w:type="dxa"/>
              <w:left w:w="0" w:type="dxa"/>
              <w:bottom w:w="40" w:type="dxa"/>
              <w:right w:w="20" w:type="dxa"/>
            </w:tcMar>
            <w:vAlign w:val="bottom"/>
          </w:tcPr>
          <w:p w14:paraId="7DD01B51" w14:textId="77777777" w:rsidR="00C1563E" w:rsidRDefault="00C1563E">
            <w:pPr>
              <w:jc w:val="right"/>
              <w:rPr>
                <w:rFonts w:ascii="宋体"/>
              </w:rPr>
            </w:pPr>
          </w:p>
        </w:tc>
      </w:tr>
      <w:tr w:rsidR="00C1563E" w14:paraId="7DD01B59" w14:textId="77777777">
        <w:tc>
          <w:tcPr>
            <w:tcW w:w="0" w:type="auto"/>
            <w:gridSpan w:val="3"/>
            <w:shd w:val="clear" w:color="auto" w:fill="CCEEFF"/>
            <w:tcMar>
              <w:top w:w="40" w:type="dxa"/>
              <w:left w:w="155" w:type="dxa"/>
              <w:bottom w:w="40" w:type="dxa"/>
              <w:right w:w="20" w:type="dxa"/>
            </w:tcMar>
            <w:vAlign w:val="bottom"/>
          </w:tcPr>
          <w:p w14:paraId="7DD01B53" w14:textId="77777777" w:rsidR="00C1563E" w:rsidRDefault="000B648B">
            <w:pPr>
              <w:textAlignment w:val="bottom"/>
            </w:pPr>
            <w:r>
              <w:rPr>
                <w:rFonts w:ascii="Times New Roman" w:eastAsia="宋体" w:hAnsi="Times New Roman"/>
                <w:color w:val="000000"/>
                <w:sz w:val="20"/>
                <w:szCs w:val="20"/>
              </w:rPr>
              <w:t>Land and buildings</w:t>
            </w:r>
          </w:p>
        </w:tc>
        <w:tc>
          <w:tcPr>
            <w:tcW w:w="0" w:type="auto"/>
            <w:gridSpan w:val="2"/>
            <w:shd w:val="clear" w:color="auto" w:fill="CCEEFF"/>
            <w:tcMar>
              <w:top w:w="40" w:type="dxa"/>
              <w:left w:w="20" w:type="dxa"/>
              <w:bottom w:w="40" w:type="dxa"/>
              <w:right w:w="0" w:type="dxa"/>
            </w:tcMar>
            <w:vAlign w:val="bottom"/>
          </w:tcPr>
          <w:p w14:paraId="7DD01B54" w14:textId="77777777" w:rsidR="00C1563E" w:rsidRDefault="000B648B">
            <w:pPr>
              <w:jc w:val="right"/>
              <w:textAlignment w:val="bottom"/>
            </w:pPr>
            <w:r>
              <w:rPr>
                <w:rFonts w:ascii="Times New Roman" w:eastAsia="宋体" w:hAnsi="Times New Roman"/>
                <w:color w:val="000000"/>
                <w:sz w:val="20"/>
                <w:szCs w:val="20"/>
              </w:rPr>
              <w:t>4,745 </w:t>
            </w:r>
          </w:p>
        </w:tc>
        <w:tc>
          <w:tcPr>
            <w:tcW w:w="0" w:type="auto"/>
            <w:shd w:val="clear" w:color="auto" w:fill="CCEEFF"/>
            <w:tcMar>
              <w:top w:w="40" w:type="dxa"/>
              <w:left w:w="0" w:type="dxa"/>
              <w:bottom w:w="40" w:type="dxa"/>
              <w:right w:w="20" w:type="dxa"/>
            </w:tcMar>
            <w:vAlign w:val="bottom"/>
          </w:tcPr>
          <w:p w14:paraId="7DD01B5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5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57" w14:textId="77777777" w:rsidR="00C1563E" w:rsidRDefault="000B648B">
            <w:pPr>
              <w:jc w:val="right"/>
              <w:textAlignment w:val="bottom"/>
            </w:pPr>
            <w:r>
              <w:rPr>
                <w:rFonts w:ascii="Times New Roman" w:eastAsia="宋体" w:hAnsi="Times New Roman"/>
                <w:color w:val="000000"/>
                <w:sz w:val="20"/>
                <w:szCs w:val="20"/>
              </w:rPr>
              <w:t>4,700 </w:t>
            </w:r>
          </w:p>
        </w:tc>
        <w:tc>
          <w:tcPr>
            <w:tcW w:w="0" w:type="auto"/>
            <w:shd w:val="clear" w:color="auto" w:fill="CCEEFF"/>
            <w:tcMar>
              <w:top w:w="40" w:type="dxa"/>
              <w:left w:w="0" w:type="dxa"/>
              <w:bottom w:w="40" w:type="dxa"/>
              <w:right w:w="20" w:type="dxa"/>
            </w:tcMar>
            <w:vAlign w:val="bottom"/>
          </w:tcPr>
          <w:p w14:paraId="7DD01B58" w14:textId="77777777" w:rsidR="00C1563E" w:rsidRDefault="00C1563E">
            <w:pPr>
              <w:jc w:val="right"/>
              <w:rPr>
                <w:rFonts w:ascii="宋体"/>
              </w:rPr>
            </w:pPr>
          </w:p>
        </w:tc>
      </w:tr>
      <w:tr w:rsidR="00C1563E" w14:paraId="7DD01B60" w14:textId="77777777">
        <w:tc>
          <w:tcPr>
            <w:tcW w:w="0" w:type="auto"/>
            <w:gridSpan w:val="3"/>
            <w:shd w:val="clear" w:color="auto" w:fill="FFFFFF"/>
            <w:tcMar>
              <w:top w:w="40" w:type="dxa"/>
              <w:left w:w="155" w:type="dxa"/>
              <w:bottom w:w="40" w:type="dxa"/>
              <w:right w:w="20" w:type="dxa"/>
            </w:tcMar>
            <w:vAlign w:val="bottom"/>
          </w:tcPr>
          <w:p w14:paraId="7DD01B5A" w14:textId="77777777" w:rsidR="00C1563E" w:rsidRDefault="000B648B">
            <w:pPr>
              <w:textAlignment w:val="bottom"/>
            </w:pPr>
            <w:r>
              <w:rPr>
                <w:rFonts w:ascii="Times New Roman" w:eastAsia="宋体" w:hAnsi="Times New Roman"/>
                <w:color w:val="000000"/>
                <w:sz w:val="20"/>
                <w:szCs w:val="20"/>
              </w:rPr>
              <w:t>Machinery and other equipment</w:t>
            </w:r>
          </w:p>
        </w:tc>
        <w:tc>
          <w:tcPr>
            <w:tcW w:w="0" w:type="auto"/>
            <w:gridSpan w:val="2"/>
            <w:shd w:val="clear" w:color="auto" w:fill="FFFFFF"/>
            <w:tcMar>
              <w:top w:w="40" w:type="dxa"/>
              <w:left w:w="20" w:type="dxa"/>
              <w:bottom w:w="40" w:type="dxa"/>
              <w:right w:w="0" w:type="dxa"/>
            </w:tcMar>
            <w:vAlign w:val="bottom"/>
          </w:tcPr>
          <w:p w14:paraId="7DD01B5B" w14:textId="77777777" w:rsidR="00C1563E" w:rsidRDefault="000B648B">
            <w:pPr>
              <w:jc w:val="right"/>
              <w:textAlignment w:val="bottom"/>
            </w:pPr>
            <w:r>
              <w:rPr>
                <w:rFonts w:ascii="Times New Roman" w:eastAsia="宋体" w:hAnsi="Times New Roman"/>
                <w:color w:val="000000"/>
                <w:sz w:val="20"/>
                <w:szCs w:val="20"/>
              </w:rPr>
              <w:t>3,933 </w:t>
            </w:r>
          </w:p>
        </w:tc>
        <w:tc>
          <w:tcPr>
            <w:tcW w:w="0" w:type="auto"/>
            <w:shd w:val="clear" w:color="auto" w:fill="FFFFFF"/>
            <w:tcMar>
              <w:top w:w="40" w:type="dxa"/>
              <w:left w:w="0" w:type="dxa"/>
              <w:bottom w:w="40" w:type="dxa"/>
              <w:right w:w="20" w:type="dxa"/>
            </w:tcMar>
            <w:vAlign w:val="bottom"/>
          </w:tcPr>
          <w:p w14:paraId="7DD01B5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5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5E" w14:textId="77777777" w:rsidR="00C1563E" w:rsidRDefault="000B648B">
            <w:pPr>
              <w:jc w:val="right"/>
              <w:textAlignment w:val="bottom"/>
            </w:pPr>
            <w:r>
              <w:rPr>
                <w:rFonts w:ascii="Times New Roman" w:eastAsia="宋体" w:hAnsi="Times New Roman"/>
                <w:color w:val="000000"/>
                <w:sz w:val="20"/>
                <w:szCs w:val="20"/>
              </w:rPr>
              <w:t>3,597 </w:t>
            </w:r>
          </w:p>
        </w:tc>
        <w:tc>
          <w:tcPr>
            <w:tcW w:w="0" w:type="auto"/>
            <w:shd w:val="clear" w:color="auto" w:fill="FFFFFF"/>
            <w:tcMar>
              <w:top w:w="40" w:type="dxa"/>
              <w:left w:w="0" w:type="dxa"/>
              <w:bottom w:w="40" w:type="dxa"/>
              <w:right w:w="20" w:type="dxa"/>
            </w:tcMar>
            <w:vAlign w:val="bottom"/>
          </w:tcPr>
          <w:p w14:paraId="7DD01B5F" w14:textId="77777777" w:rsidR="00C1563E" w:rsidRDefault="00C1563E">
            <w:pPr>
              <w:jc w:val="right"/>
              <w:rPr>
                <w:rFonts w:ascii="宋体"/>
              </w:rPr>
            </w:pPr>
          </w:p>
        </w:tc>
      </w:tr>
      <w:tr w:rsidR="00C1563E" w14:paraId="7DD01B67" w14:textId="77777777">
        <w:tc>
          <w:tcPr>
            <w:tcW w:w="0" w:type="auto"/>
            <w:gridSpan w:val="3"/>
            <w:shd w:val="clear" w:color="auto" w:fill="CCEEFF"/>
            <w:tcMar>
              <w:top w:w="40" w:type="dxa"/>
              <w:left w:w="245" w:type="dxa"/>
              <w:bottom w:w="40" w:type="dxa"/>
              <w:right w:w="20" w:type="dxa"/>
            </w:tcMar>
            <w:vAlign w:val="bottom"/>
          </w:tcPr>
          <w:p w14:paraId="7DD01B61" w14:textId="77777777" w:rsidR="00C1563E" w:rsidRDefault="000B648B">
            <w:pPr>
              <w:textAlignment w:val="bottom"/>
            </w:pPr>
            <w:r>
              <w:rPr>
                <w:rFonts w:ascii="Times New Roman" w:eastAsia="宋体" w:hAnsi="Times New Roman"/>
                <w:color w:val="000000"/>
                <w:sz w:val="20"/>
                <w:szCs w:val="20"/>
              </w:rPr>
              <w:t>Total property, plant, and equipment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B62" w14:textId="77777777" w:rsidR="00C1563E" w:rsidRDefault="000B648B">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63" w14:textId="77777777" w:rsidR="00C1563E" w:rsidRDefault="00C1563E">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DD01B64"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B65" w14:textId="77777777" w:rsidR="00C1563E" w:rsidRDefault="000B648B">
            <w:pPr>
              <w:jc w:val="right"/>
              <w:textAlignment w:val="bottom"/>
            </w:pPr>
            <w:r>
              <w:rPr>
                <w:rFonts w:ascii="Times New Roman" w:eastAsia="宋体" w:hAnsi="Times New Roman"/>
                <w:color w:val="000000"/>
                <w:sz w:val="20"/>
                <w:szCs w:val="20"/>
              </w:rPr>
              <w:t>14,627 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66" w14:textId="77777777" w:rsidR="00C1563E" w:rsidRDefault="00C1563E">
            <w:pPr>
              <w:jc w:val="right"/>
              <w:rPr>
                <w:rFonts w:ascii="宋体"/>
              </w:rPr>
            </w:pPr>
          </w:p>
        </w:tc>
      </w:tr>
      <w:tr w:rsidR="00C1563E" w14:paraId="7DD01B6E" w14:textId="77777777">
        <w:tc>
          <w:tcPr>
            <w:tcW w:w="0" w:type="auto"/>
            <w:gridSpan w:val="3"/>
            <w:shd w:val="clear" w:color="auto" w:fill="FFFFFF"/>
            <w:tcMar>
              <w:top w:w="40" w:type="dxa"/>
              <w:left w:w="155" w:type="dxa"/>
              <w:bottom w:w="40" w:type="dxa"/>
              <w:right w:w="20" w:type="dxa"/>
            </w:tcMar>
            <w:vAlign w:val="bottom"/>
          </w:tcPr>
          <w:p w14:paraId="7DD01B68" w14:textId="77777777" w:rsidR="00C1563E" w:rsidRDefault="000B648B">
            <w:pPr>
              <w:textAlignment w:val="bottom"/>
            </w:pPr>
            <w:r>
              <w:rPr>
                <w:rFonts w:ascii="Times New Roman" w:eastAsia="宋体" w:hAnsi="Times New Roman"/>
                <w:color w:val="000000"/>
                <w:sz w:val="20"/>
                <w:szCs w:val="20"/>
              </w:rPr>
              <w:t xml:space="preserve">Accumulated </w:t>
            </w:r>
            <w:r>
              <w:rPr>
                <w:rFonts w:ascii="Times New Roman" w:eastAsia="宋体" w:hAnsi="Times New Roman"/>
                <w:color w:val="000000"/>
                <w:sz w:val="20"/>
                <w:szCs w:val="20"/>
              </w:rPr>
              <w:t>depreciation and amortization (c)</w:t>
            </w:r>
          </w:p>
        </w:tc>
        <w:tc>
          <w:tcPr>
            <w:tcW w:w="0" w:type="auto"/>
            <w:gridSpan w:val="2"/>
            <w:shd w:val="clear" w:color="auto" w:fill="FFFFFF"/>
            <w:tcMar>
              <w:top w:w="40" w:type="dxa"/>
              <w:left w:w="20" w:type="dxa"/>
              <w:bottom w:w="40" w:type="dxa"/>
              <w:right w:w="0" w:type="dxa"/>
            </w:tcMar>
            <w:vAlign w:val="bottom"/>
          </w:tcPr>
          <w:p w14:paraId="7DD01B69" w14:textId="77777777" w:rsidR="00C1563E" w:rsidRDefault="000B648B">
            <w:pPr>
              <w:jc w:val="right"/>
              <w:textAlignment w:val="bottom"/>
            </w:pPr>
            <w:r>
              <w:rPr>
                <w:rFonts w:ascii="Times New Roman" w:eastAsia="宋体" w:hAnsi="Times New Roman"/>
                <w:color w:val="000000"/>
                <w:sz w:val="20"/>
                <w:szCs w:val="20"/>
              </w:rPr>
              <w:t>(8,753)</w:t>
            </w:r>
          </w:p>
        </w:tc>
        <w:tc>
          <w:tcPr>
            <w:tcW w:w="0" w:type="auto"/>
            <w:shd w:val="clear" w:color="auto" w:fill="FFFFFF"/>
            <w:tcMar>
              <w:top w:w="40" w:type="dxa"/>
              <w:left w:w="0" w:type="dxa"/>
              <w:bottom w:w="40" w:type="dxa"/>
              <w:right w:w="20" w:type="dxa"/>
            </w:tcMar>
            <w:vAlign w:val="bottom"/>
          </w:tcPr>
          <w:p w14:paraId="7DD01B6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6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6C" w14:textId="77777777" w:rsidR="00C1563E" w:rsidRDefault="000B648B">
            <w:pPr>
              <w:jc w:val="right"/>
              <w:textAlignment w:val="bottom"/>
            </w:pPr>
            <w:r>
              <w:rPr>
                <w:rFonts w:ascii="Times New Roman" w:eastAsia="宋体" w:hAnsi="Times New Roman"/>
                <w:color w:val="000000"/>
                <w:sz w:val="20"/>
                <w:szCs w:val="20"/>
              </w:rPr>
              <w:t>(8,572)</w:t>
            </w:r>
          </w:p>
        </w:tc>
        <w:tc>
          <w:tcPr>
            <w:tcW w:w="0" w:type="auto"/>
            <w:shd w:val="clear" w:color="auto" w:fill="FFFFFF"/>
            <w:tcMar>
              <w:top w:w="40" w:type="dxa"/>
              <w:left w:w="0" w:type="dxa"/>
              <w:bottom w:w="40" w:type="dxa"/>
              <w:right w:w="20" w:type="dxa"/>
            </w:tcMar>
            <w:vAlign w:val="bottom"/>
          </w:tcPr>
          <w:p w14:paraId="7DD01B6D" w14:textId="77777777" w:rsidR="00C1563E" w:rsidRDefault="00C1563E">
            <w:pPr>
              <w:jc w:val="right"/>
              <w:rPr>
                <w:rFonts w:ascii="宋体"/>
              </w:rPr>
            </w:pPr>
          </w:p>
        </w:tc>
      </w:tr>
      <w:tr w:rsidR="00C1563E" w14:paraId="7DD01B77" w14:textId="77777777">
        <w:tc>
          <w:tcPr>
            <w:tcW w:w="0" w:type="auto"/>
            <w:gridSpan w:val="3"/>
            <w:shd w:val="clear" w:color="auto" w:fill="CCEEFF"/>
            <w:tcMar>
              <w:top w:w="40" w:type="dxa"/>
              <w:left w:w="245" w:type="dxa"/>
              <w:bottom w:w="40" w:type="dxa"/>
              <w:right w:w="20" w:type="dxa"/>
            </w:tcMar>
            <w:vAlign w:val="bottom"/>
          </w:tcPr>
          <w:p w14:paraId="7DD01B6F" w14:textId="77777777" w:rsidR="00C1563E" w:rsidRDefault="000B648B">
            <w:pPr>
              <w:textAlignment w:val="bottom"/>
            </w:pPr>
            <w:r>
              <w:rPr>
                <w:rFonts w:ascii="Times New Roman" w:eastAsia="宋体" w:hAnsi="Times New Roman"/>
                <w:color w:val="000000"/>
                <w:sz w:val="20"/>
                <w:szCs w:val="20"/>
              </w:rPr>
              <w:t>Total property, plant, and equipment,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1B7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B71" w14:textId="77777777" w:rsidR="00C1563E" w:rsidRDefault="000B648B">
            <w:pPr>
              <w:jc w:val="right"/>
              <w:textAlignment w:val="bottom"/>
            </w:pPr>
            <w:r>
              <w:rPr>
                <w:rFonts w:ascii="Times New Roman" w:eastAsia="宋体" w:hAnsi="Times New Roman"/>
                <w:color w:val="000000"/>
                <w:sz w:val="20"/>
                <w:szCs w:val="20"/>
              </w:rPr>
              <w:t>6,431 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7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73"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B7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B75" w14:textId="77777777" w:rsidR="00C1563E" w:rsidRDefault="000B648B">
            <w:pPr>
              <w:jc w:val="right"/>
              <w:textAlignment w:val="bottom"/>
            </w:pPr>
            <w:r>
              <w:rPr>
                <w:rFonts w:ascii="Times New Roman" w:eastAsia="宋体" w:hAnsi="Times New Roman"/>
                <w:color w:val="000000"/>
                <w:sz w:val="20"/>
                <w:szCs w:val="20"/>
              </w:rPr>
              <w:t>6,055 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B76" w14:textId="77777777" w:rsidR="00C1563E" w:rsidRDefault="00C1563E">
            <w:pPr>
              <w:jc w:val="right"/>
              <w:rPr>
                <w:rFonts w:ascii="宋体"/>
              </w:rPr>
            </w:pPr>
          </w:p>
        </w:tc>
      </w:tr>
      <w:tr w:rsidR="00C1563E" w14:paraId="7DD01B7C" w14:textId="77777777">
        <w:tc>
          <w:tcPr>
            <w:tcW w:w="0" w:type="auto"/>
            <w:gridSpan w:val="3"/>
            <w:shd w:val="clear" w:color="auto" w:fill="FFFFFF"/>
            <w:tcMar>
              <w:top w:w="40" w:type="dxa"/>
              <w:left w:w="20" w:type="dxa"/>
              <w:bottom w:w="40" w:type="dxa"/>
              <w:right w:w="20" w:type="dxa"/>
            </w:tcMar>
            <w:vAlign w:val="bottom"/>
          </w:tcPr>
          <w:p w14:paraId="7DD01B78" w14:textId="77777777" w:rsidR="00C1563E" w:rsidRDefault="000B648B">
            <w:pPr>
              <w:textAlignment w:val="bottom"/>
            </w:pPr>
            <w:r>
              <w:rPr>
                <w:rFonts w:ascii="Times New Roman" w:eastAsia="宋体" w:hAnsi="Times New Roman"/>
                <w:i/>
                <w:iCs/>
                <w:color w:val="000000"/>
                <w:sz w:val="20"/>
                <w:szCs w:val="20"/>
              </w:rPr>
              <w:t xml:space="preserve">Other non-current assets: </w:t>
            </w:r>
          </w:p>
        </w:tc>
        <w:tc>
          <w:tcPr>
            <w:tcW w:w="0" w:type="auto"/>
            <w:gridSpan w:val="3"/>
            <w:tcBorders>
              <w:top w:val="double" w:sz="6" w:space="0" w:color="000000"/>
            </w:tcBorders>
            <w:shd w:val="clear" w:color="auto" w:fill="FFFFFF"/>
            <w:tcMar>
              <w:top w:w="0" w:type="dxa"/>
              <w:left w:w="20" w:type="dxa"/>
              <w:bottom w:w="0" w:type="dxa"/>
              <w:right w:w="20" w:type="dxa"/>
            </w:tcMar>
          </w:tcPr>
          <w:p w14:paraId="7DD01B7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B7A"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B7B" w14:textId="77777777" w:rsidR="00C1563E" w:rsidRDefault="00C1563E">
            <w:pPr>
              <w:rPr>
                <w:rFonts w:ascii="宋体"/>
              </w:rPr>
            </w:pPr>
          </w:p>
        </w:tc>
      </w:tr>
      <w:tr w:rsidR="00C1563E" w14:paraId="7DD01B85" w14:textId="77777777">
        <w:tc>
          <w:tcPr>
            <w:tcW w:w="0" w:type="auto"/>
            <w:gridSpan w:val="3"/>
            <w:shd w:val="clear" w:color="auto" w:fill="CCEEFF"/>
            <w:tcMar>
              <w:top w:w="40" w:type="dxa"/>
              <w:left w:w="155" w:type="dxa"/>
              <w:bottom w:w="40" w:type="dxa"/>
              <w:right w:w="20" w:type="dxa"/>
            </w:tcMar>
            <w:vAlign w:val="bottom"/>
          </w:tcPr>
          <w:p w14:paraId="7DD01B7D" w14:textId="77777777" w:rsidR="00C1563E" w:rsidRDefault="000B648B">
            <w:pPr>
              <w:textAlignment w:val="bottom"/>
            </w:pPr>
            <w:r>
              <w:rPr>
                <w:rFonts w:ascii="Times New Roman" w:eastAsia="宋体" w:hAnsi="Times New Roman"/>
                <w:color w:val="000000"/>
                <w:sz w:val="20"/>
                <w:szCs w:val="20"/>
              </w:rPr>
              <w:t>Deferred and other tax assets</w:t>
            </w:r>
          </w:p>
        </w:tc>
        <w:tc>
          <w:tcPr>
            <w:tcW w:w="0" w:type="auto"/>
            <w:shd w:val="clear" w:color="auto" w:fill="CCEEFF"/>
            <w:tcMar>
              <w:top w:w="40" w:type="dxa"/>
              <w:left w:w="20" w:type="dxa"/>
              <w:bottom w:w="40" w:type="dxa"/>
              <w:right w:w="0" w:type="dxa"/>
            </w:tcMar>
            <w:vAlign w:val="bottom"/>
          </w:tcPr>
          <w:p w14:paraId="7DD01B7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B7F" w14:textId="77777777" w:rsidR="00C1563E" w:rsidRDefault="000B648B">
            <w:pPr>
              <w:jc w:val="right"/>
              <w:textAlignment w:val="bottom"/>
            </w:pPr>
            <w:r>
              <w:rPr>
                <w:rFonts w:ascii="Times New Roman" w:eastAsia="宋体" w:hAnsi="Times New Roman"/>
                <w:color w:val="000000"/>
                <w:sz w:val="20"/>
                <w:szCs w:val="20"/>
              </w:rPr>
              <w:t>6,230 </w:t>
            </w:r>
          </w:p>
        </w:tc>
        <w:tc>
          <w:tcPr>
            <w:tcW w:w="0" w:type="auto"/>
            <w:shd w:val="clear" w:color="auto" w:fill="CCEEFF"/>
            <w:tcMar>
              <w:top w:w="40" w:type="dxa"/>
              <w:left w:w="0" w:type="dxa"/>
              <w:bottom w:w="40" w:type="dxa"/>
              <w:right w:w="20" w:type="dxa"/>
            </w:tcMar>
            <w:vAlign w:val="bottom"/>
          </w:tcPr>
          <w:p w14:paraId="7DD01B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8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B8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B83" w14:textId="77777777" w:rsidR="00C1563E" w:rsidRDefault="000B648B">
            <w:pPr>
              <w:jc w:val="right"/>
              <w:textAlignment w:val="bottom"/>
            </w:pPr>
            <w:r>
              <w:rPr>
                <w:rFonts w:ascii="Times New Roman" w:eastAsia="宋体" w:hAnsi="Times New Roman"/>
                <w:color w:val="000000"/>
                <w:sz w:val="20"/>
                <w:szCs w:val="20"/>
              </w:rPr>
              <w:t>5,960 </w:t>
            </w:r>
          </w:p>
        </w:tc>
        <w:tc>
          <w:tcPr>
            <w:tcW w:w="0" w:type="auto"/>
            <w:shd w:val="clear" w:color="auto" w:fill="CCEEFF"/>
            <w:tcMar>
              <w:top w:w="40" w:type="dxa"/>
              <w:left w:w="0" w:type="dxa"/>
              <w:bottom w:w="40" w:type="dxa"/>
              <w:right w:w="20" w:type="dxa"/>
            </w:tcMar>
            <w:vAlign w:val="bottom"/>
          </w:tcPr>
          <w:p w14:paraId="7DD01B84" w14:textId="77777777" w:rsidR="00C1563E" w:rsidRDefault="00C1563E">
            <w:pPr>
              <w:jc w:val="right"/>
              <w:rPr>
                <w:rFonts w:ascii="宋体"/>
              </w:rPr>
            </w:pPr>
          </w:p>
        </w:tc>
      </w:tr>
      <w:tr w:rsidR="00C1563E" w14:paraId="7DD01B8C" w14:textId="77777777">
        <w:tc>
          <w:tcPr>
            <w:tcW w:w="0" w:type="auto"/>
            <w:gridSpan w:val="3"/>
            <w:shd w:val="clear" w:color="auto" w:fill="FFFFFF"/>
            <w:tcMar>
              <w:top w:w="40" w:type="dxa"/>
              <w:left w:w="155" w:type="dxa"/>
              <w:bottom w:w="40" w:type="dxa"/>
              <w:right w:w="20" w:type="dxa"/>
            </w:tcMar>
            <w:vAlign w:val="bottom"/>
          </w:tcPr>
          <w:p w14:paraId="7DD01B86" w14:textId="77777777" w:rsidR="00C1563E" w:rsidRDefault="000B648B">
            <w:pPr>
              <w:textAlignment w:val="bottom"/>
            </w:pPr>
            <w:r>
              <w:rPr>
                <w:rFonts w:ascii="Times New Roman" w:eastAsia="宋体" w:hAnsi="Times New Roman"/>
                <w:color w:val="000000"/>
                <w:sz w:val="20"/>
                <w:szCs w:val="20"/>
              </w:rPr>
              <w:t>Operating lease ROU assets</w:t>
            </w:r>
          </w:p>
        </w:tc>
        <w:tc>
          <w:tcPr>
            <w:tcW w:w="0" w:type="auto"/>
            <w:gridSpan w:val="2"/>
            <w:shd w:val="clear" w:color="auto" w:fill="FFFFFF"/>
            <w:tcMar>
              <w:top w:w="40" w:type="dxa"/>
              <w:left w:w="20" w:type="dxa"/>
              <w:bottom w:w="40" w:type="dxa"/>
              <w:right w:w="0" w:type="dxa"/>
            </w:tcMar>
            <w:vAlign w:val="bottom"/>
          </w:tcPr>
          <w:p w14:paraId="7DD01B87" w14:textId="77777777" w:rsidR="00C1563E" w:rsidRDefault="000B648B">
            <w:pPr>
              <w:jc w:val="right"/>
              <w:textAlignment w:val="bottom"/>
            </w:pPr>
            <w:r>
              <w:rPr>
                <w:rFonts w:ascii="Times New Roman" w:eastAsia="宋体" w:hAnsi="Times New Roman"/>
                <w:color w:val="000000"/>
                <w:sz w:val="20"/>
                <w:szCs w:val="20"/>
              </w:rPr>
              <w:t>2,117 </w:t>
            </w:r>
          </w:p>
        </w:tc>
        <w:tc>
          <w:tcPr>
            <w:tcW w:w="0" w:type="auto"/>
            <w:shd w:val="clear" w:color="auto" w:fill="FFFFFF"/>
            <w:tcMar>
              <w:top w:w="40" w:type="dxa"/>
              <w:left w:w="0" w:type="dxa"/>
              <w:bottom w:w="40" w:type="dxa"/>
              <w:right w:w="20" w:type="dxa"/>
            </w:tcMar>
            <w:vAlign w:val="bottom"/>
          </w:tcPr>
          <w:p w14:paraId="7DD01B8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8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8A" w14:textId="77777777" w:rsidR="00C1563E" w:rsidRDefault="000B648B">
            <w:pPr>
              <w:jc w:val="right"/>
              <w:textAlignment w:val="bottom"/>
            </w:pPr>
            <w:r>
              <w:rPr>
                <w:rFonts w:ascii="Times New Roman" w:eastAsia="宋体" w:hAnsi="Times New Roman"/>
                <w:color w:val="000000"/>
                <w:sz w:val="20"/>
                <w:szCs w:val="20"/>
              </w:rPr>
              <w:t>1,780 </w:t>
            </w:r>
          </w:p>
        </w:tc>
        <w:tc>
          <w:tcPr>
            <w:tcW w:w="0" w:type="auto"/>
            <w:shd w:val="clear" w:color="auto" w:fill="FFFFFF"/>
            <w:tcMar>
              <w:top w:w="40" w:type="dxa"/>
              <w:left w:w="0" w:type="dxa"/>
              <w:bottom w:w="40" w:type="dxa"/>
              <w:right w:w="20" w:type="dxa"/>
            </w:tcMar>
            <w:vAlign w:val="bottom"/>
          </w:tcPr>
          <w:p w14:paraId="7DD01B8B" w14:textId="77777777" w:rsidR="00C1563E" w:rsidRDefault="00C1563E">
            <w:pPr>
              <w:jc w:val="right"/>
              <w:rPr>
                <w:rFonts w:ascii="宋体"/>
              </w:rPr>
            </w:pPr>
          </w:p>
        </w:tc>
      </w:tr>
      <w:tr w:rsidR="00C1563E" w14:paraId="7DD01B93" w14:textId="77777777">
        <w:tc>
          <w:tcPr>
            <w:tcW w:w="0" w:type="auto"/>
            <w:gridSpan w:val="3"/>
            <w:shd w:val="clear" w:color="auto" w:fill="CCEEFF"/>
            <w:tcMar>
              <w:top w:w="40" w:type="dxa"/>
              <w:left w:w="155" w:type="dxa"/>
              <w:bottom w:w="40" w:type="dxa"/>
              <w:right w:w="20" w:type="dxa"/>
            </w:tcMar>
            <w:vAlign w:val="bottom"/>
          </w:tcPr>
          <w:p w14:paraId="7DD01B8D" w14:textId="77777777" w:rsidR="00C1563E" w:rsidRDefault="000B648B">
            <w:pPr>
              <w:textAlignment w:val="bottom"/>
            </w:pPr>
            <w:r>
              <w:rPr>
                <w:rFonts w:ascii="Times New Roman" w:eastAsia="宋体" w:hAnsi="Times New Roman"/>
                <w:color w:val="000000"/>
                <w:sz w:val="20"/>
                <w:szCs w:val="20"/>
              </w:rPr>
              <w:t>Deferred Commissions</w:t>
            </w:r>
          </w:p>
        </w:tc>
        <w:tc>
          <w:tcPr>
            <w:tcW w:w="0" w:type="auto"/>
            <w:gridSpan w:val="2"/>
            <w:shd w:val="clear" w:color="auto" w:fill="CCEEFF"/>
            <w:tcMar>
              <w:top w:w="40" w:type="dxa"/>
              <w:left w:w="20" w:type="dxa"/>
              <w:bottom w:w="40" w:type="dxa"/>
              <w:right w:w="0" w:type="dxa"/>
            </w:tcMar>
            <w:vAlign w:val="bottom"/>
          </w:tcPr>
          <w:p w14:paraId="7DD01B8E" w14:textId="77777777" w:rsidR="00C1563E" w:rsidRDefault="000B648B">
            <w:pPr>
              <w:jc w:val="right"/>
              <w:textAlignment w:val="bottom"/>
            </w:pPr>
            <w:r>
              <w:rPr>
                <w:rFonts w:ascii="Times New Roman" w:eastAsia="宋体" w:hAnsi="Times New Roman"/>
                <w:color w:val="000000"/>
                <w:sz w:val="20"/>
                <w:szCs w:val="20"/>
              </w:rPr>
              <w:t>1,094 </w:t>
            </w:r>
          </w:p>
        </w:tc>
        <w:tc>
          <w:tcPr>
            <w:tcW w:w="0" w:type="auto"/>
            <w:shd w:val="clear" w:color="auto" w:fill="CCEEFF"/>
            <w:tcMar>
              <w:top w:w="40" w:type="dxa"/>
              <w:left w:w="0" w:type="dxa"/>
              <w:bottom w:w="40" w:type="dxa"/>
              <w:right w:w="20" w:type="dxa"/>
            </w:tcMar>
            <w:vAlign w:val="bottom"/>
          </w:tcPr>
          <w:p w14:paraId="7DD01B8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9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91" w14:textId="77777777" w:rsidR="00C1563E" w:rsidRDefault="000B648B">
            <w:pPr>
              <w:jc w:val="right"/>
              <w:textAlignment w:val="bottom"/>
            </w:pPr>
            <w:r>
              <w:rPr>
                <w:rFonts w:ascii="Times New Roman" w:eastAsia="宋体" w:hAnsi="Times New Roman"/>
                <w:color w:val="000000"/>
                <w:sz w:val="20"/>
                <w:szCs w:val="20"/>
              </w:rPr>
              <w:t>998 </w:t>
            </w:r>
          </w:p>
        </w:tc>
        <w:tc>
          <w:tcPr>
            <w:tcW w:w="0" w:type="auto"/>
            <w:shd w:val="clear" w:color="auto" w:fill="CCEEFF"/>
            <w:tcMar>
              <w:top w:w="40" w:type="dxa"/>
              <w:left w:w="0" w:type="dxa"/>
              <w:bottom w:w="40" w:type="dxa"/>
              <w:right w:w="20" w:type="dxa"/>
            </w:tcMar>
            <w:vAlign w:val="bottom"/>
          </w:tcPr>
          <w:p w14:paraId="7DD01B92" w14:textId="77777777" w:rsidR="00C1563E" w:rsidRDefault="00C1563E">
            <w:pPr>
              <w:jc w:val="right"/>
              <w:rPr>
                <w:rFonts w:ascii="宋体"/>
              </w:rPr>
            </w:pPr>
          </w:p>
        </w:tc>
      </w:tr>
      <w:tr w:rsidR="00C1563E" w14:paraId="7DD01B9A" w14:textId="77777777">
        <w:tc>
          <w:tcPr>
            <w:tcW w:w="0" w:type="auto"/>
            <w:gridSpan w:val="3"/>
            <w:shd w:val="clear" w:color="auto" w:fill="FFFFFF"/>
            <w:tcMar>
              <w:top w:w="40" w:type="dxa"/>
              <w:left w:w="155" w:type="dxa"/>
              <w:bottom w:w="40" w:type="dxa"/>
              <w:right w:w="20" w:type="dxa"/>
            </w:tcMar>
            <w:vAlign w:val="bottom"/>
          </w:tcPr>
          <w:p w14:paraId="7DD01B94"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DD01B95" w14:textId="77777777" w:rsidR="00C1563E" w:rsidRDefault="000B648B">
            <w:pPr>
              <w:jc w:val="right"/>
              <w:textAlignment w:val="bottom"/>
            </w:pPr>
            <w:r>
              <w:rPr>
                <w:rFonts w:ascii="Times New Roman" w:eastAsia="宋体" w:hAnsi="Times New Roman"/>
                <w:color w:val="000000"/>
                <w:sz w:val="20"/>
                <w:szCs w:val="20"/>
              </w:rPr>
              <w:t>1,755 </w:t>
            </w:r>
          </w:p>
        </w:tc>
        <w:tc>
          <w:tcPr>
            <w:tcW w:w="0" w:type="auto"/>
            <w:shd w:val="clear" w:color="auto" w:fill="FFFFFF"/>
            <w:tcMar>
              <w:top w:w="40" w:type="dxa"/>
              <w:left w:w="0" w:type="dxa"/>
              <w:bottom w:w="40" w:type="dxa"/>
              <w:right w:w="20" w:type="dxa"/>
            </w:tcMar>
            <w:vAlign w:val="bottom"/>
          </w:tcPr>
          <w:p w14:paraId="7DD01B9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9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98" w14:textId="77777777" w:rsidR="00C1563E" w:rsidRDefault="000B648B">
            <w:pPr>
              <w:jc w:val="right"/>
              <w:textAlignment w:val="bottom"/>
            </w:pPr>
            <w:r>
              <w:rPr>
                <w:rFonts w:ascii="Times New Roman" w:eastAsia="宋体" w:hAnsi="Times New Roman"/>
                <w:color w:val="000000"/>
                <w:sz w:val="20"/>
                <w:szCs w:val="20"/>
              </w:rPr>
              <w:t>1,690 </w:t>
            </w:r>
          </w:p>
        </w:tc>
        <w:tc>
          <w:tcPr>
            <w:tcW w:w="0" w:type="auto"/>
            <w:shd w:val="clear" w:color="auto" w:fill="FFFFFF"/>
            <w:tcMar>
              <w:top w:w="40" w:type="dxa"/>
              <w:left w:w="0" w:type="dxa"/>
              <w:bottom w:w="40" w:type="dxa"/>
              <w:right w:w="20" w:type="dxa"/>
            </w:tcMar>
            <w:vAlign w:val="bottom"/>
          </w:tcPr>
          <w:p w14:paraId="7DD01B99" w14:textId="77777777" w:rsidR="00C1563E" w:rsidRDefault="00C1563E">
            <w:pPr>
              <w:jc w:val="right"/>
              <w:rPr>
                <w:rFonts w:ascii="宋体"/>
              </w:rPr>
            </w:pPr>
          </w:p>
        </w:tc>
      </w:tr>
      <w:tr w:rsidR="00C1563E" w14:paraId="7DD01BA3" w14:textId="77777777">
        <w:tc>
          <w:tcPr>
            <w:tcW w:w="0" w:type="auto"/>
            <w:gridSpan w:val="3"/>
            <w:shd w:val="clear" w:color="auto" w:fill="CCEEFF"/>
            <w:tcMar>
              <w:top w:w="40" w:type="dxa"/>
              <w:left w:w="245" w:type="dxa"/>
              <w:bottom w:w="40" w:type="dxa"/>
              <w:right w:w="20" w:type="dxa"/>
            </w:tcMar>
            <w:vAlign w:val="bottom"/>
          </w:tcPr>
          <w:p w14:paraId="7DD01B9B" w14:textId="77777777" w:rsidR="00C1563E" w:rsidRDefault="000B648B">
            <w:pPr>
              <w:textAlignment w:val="bottom"/>
            </w:pPr>
            <w:r>
              <w:rPr>
                <w:rFonts w:ascii="Times New Roman" w:eastAsia="宋体" w:hAnsi="Times New Roman"/>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B9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B9D" w14:textId="77777777" w:rsidR="00C1563E" w:rsidRDefault="000B648B">
            <w:pPr>
              <w:jc w:val="right"/>
              <w:textAlignment w:val="bottom"/>
            </w:pPr>
            <w:r>
              <w:rPr>
                <w:rFonts w:ascii="Times New Roman" w:eastAsia="宋体" w:hAnsi="Times New Roman"/>
                <w:color w:val="000000"/>
                <w:sz w:val="20"/>
                <w:szCs w:val="20"/>
              </w:rPr>
              <w:t>11,196 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B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9F"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BA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BA1" w14:textId="77777777" w:rsidR="00C1563E" w:rsidRDefault="000B648B">
            <w:pPr>
              <w:jc w:val="right"/>
              <w:textAlignment w:val="bottom"/>
            </w:pPr>
            <w:r>
              <w:rPr>
                <w:rFonts w:ascii="Times New Roman" w:eastAsia="宋体" w:hAnsi="Times New Roman"/>
                <w:color w:val="000000"/>
                <w:sz w:val="20"/>
                <w:szCs w:val="20"/>
              </w:rPr>
              <w:t>10,428 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BA2" w14:textId="77777777" w:rsidR="00C1563E" w:rsidRDefault="00C1563E">
            <w:pPr>
              <w:jc w:val="right"/>
              <w:rPr>
                <w:rFonts w:ascii="宋体"/>
              </w:rPr>
            </w:pPr>
          </w:p>
        </w:tc>
      </w:tr>
    </w:tbl>
    <w:p w14:paraId="7DD01BA4" w14:textId="77777777" w:rsidR="00C1563E" w:rsidRDefault="000B648B">
      <w:r>
        <w:rPr>
          <w:rFonts w:ascii="Times New Roman" w:eastAsia="宋体" w:hAnsi="Times New Roman"/>
          <w:color w:val="000000"/>
          <w:sz w:val="20"/>
          <w:szCs w:val="20"/>
        </w:rPr>
        <w:t>____________________</w:t>
      </w:r>
    </w:p>
    <w:p w14:paraId="7DD01BA5" w14:textId="77777777" w:rsidR="00C1563E" w:rsidRDefault="000B648B">
      <w:pPr>
        <w:ind w:hanging="360"/>
      </w:pPr>
      <w:r>
        <w:rPr>
          <w:rFonts w:ascii="Times New Roman" w:eastAsia="宋体" w:hAnsi="Times New Roman"/>
          <w:color w:val="000000"/>
          <w:sz w:val="20"/>
          <w:szCs w:val="20"/>
        </w:rPr>
        <w:t xml:space="preserve">(a)    Restricted cash includes cash required to be held in escrow pursuant to DFS securitization </w:t>
      </w:r>
      <w:r>
        <w:rPr>
          <w:rFonts w:ascii="Times New Roman" w:eastAsia="宋体" w:hAnsi="Times New Roman"/>
          <w:color w:val="000000"/>
          <w:sz w:val="20"/>
          <w:szCs w:val="20"/>
        </w:rPr>
        <w:t>arrangements and VMware, Inc. restricted cash.</w:t>
      </w:r>
    </w:p>
    <w:p w14:paraId="7DD01BA6" w14:textId="77777777" w:rsidR="00C1563E" w:rsidRDefault="000B648B">
      <w:pPr>
        <w:ind w:hanging="360"/>
      </w:pPr>
      <w:r>
        <w:rPr>
          <w:rFonts w:ascii="Times New Roman" w:eastAsia="宋体" w:hAnsi="Times New Roman"/>
          <w:color w:val="000000"/>
          <w:sz w:val="20"/>
          <w:szCs w:val="20"/>
        </w:rPr>
        <w:t>(b)    Prepaid expenses are included in other current assets in the Consolidated Statements of Financial Position.</w:t>
      </w:r>
    </w:p>
    <w:p w14:paraId="7DD01BA7" w14:textId="77777777" w:rsidR="00C1563E" w:rsidRDefault="000B648B">
      <w:pPr>
        <w:ind w:hanging="360"/>
      </w:pPr>
      <w:r>
        <w:rPr>
          <w:rFonts w:ascii="Times New Roman" w:eastAsia="宋体" w:hAnsi="Times New Roman"/>
          <w:color w:val="000000"/>
          <w:sz w:val="20"/>
          <w:szCs w:val="20"/>
        </w:rPr>
        <w:t>(c)    During the fiscal years ended January 29, 2021, January 31, 2020, and February 1, 2019,</w:t>
      </w:r>
      <w:r>
        <w:rPr>
          <w:rFonts w:ascii="Times New Roman" w:eastAsia="宋体" w:hAnsi="Times New Roman"/>
          <w:color w:val="000000"/>
          <w:sz w:val="20"/>
          <w:szCs w:val="20"/>
        </w:rPr>
        <w:t xml:space="preserve"> the Company recognized $1.6 billion, $1.3 billion, and $1.3 billion, respectively, in depreciation expense. Additionally, during the fiscal years ended January 29, 2021, January 31, 2020, and February 1, 2019, the Company retired $1.4 billion, $0.8 billio</w:t>
      </w:r>
      <w:r>
        <w:rPr>
          <w:rFonts w:ascii="Times New Roman" w:eastAsia="宋体" w:hAnsi="Times New Roman"/>
          <w:color w:val="000000"/>
          <w:sz w:val="20"/>
          <w:szCs w:val="20"/>
        </w:rPr>
        <w:t xml:space="preserve">n, and $0.8 billion, respectively, of depreciated property, plant, and equipment. </w:t>
      </w:r>
    </w:p>
    <w:p w14:paraId="7DD01BA8" w14:textId="77777777" w:rsidR="00C1563E" w:rsidRDefault="00C1563E">
      <w:pPr>
        <w:jc w:val="center"/>
      </w:pPr>
    </w:p>
    <w:p w14:paraId="7DD01BA9" w14:textId="77777777" w:rsidR="00C1563E" w:rsidRDefault="000B648B">
      <w:pPr>
        <w:jc w:val="center"/>
      </w:pPr>
      <w:r>
        <w:rPr>
          <w:rFonts w:ascii="Times New Roman" w:eastAsia="宋体" w:hAnsi="Times New Roman"/>
          <w:color w:val="000000"/>
          <w:sz w:val="20"/>
          <w:szCs w:val="20"/>
        </w:rPr>
        <w:t>160</w:t>
      </w:r>
    </w:p>
    <w:p w14:paraId="7DD01BAA" w14:textId="77777777" w:rsidR="00C1563E" w:rsidRDefault="00C1563E">
      <w:pPr>
        <w:jc w:val="center"/>
      </w:pPr>
    </w:p>
    <w:p w14:paraId="7DD01BAB" w14:textId="77777777" w:rsidR="00C1563E" w:rsidRDefault="000B648B">
      <w:r>
        <w:pict w14:anchorId="7DD0260A">
          <v:rect id="_x0000_i1184" style="width:415.3pt;height:1.5pt" o:hralign="center" o:hrstd="t" o:hr="t" fillcolor="#a0a0a0" stroked="f"/>
        </w:pict>
      </w:r>
    </w:p>
    <w:p w14:paraId="7DD01BAC" w14:textId="77777777" w:rsidR="00C1563E" w:rsidRDefault="000B648B">
      <w:hyperlink r:id="rId343" w:anchor="i418e32e4a35149ffbf7d3a25d66881b8_10"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7DD01BAD" w14:textId="77777777" w:rsidR="00C1563E" w:rsidRDefault="000B648B">
      <w:pPr>
        <w:spacing w:after="120"/>
      </w:pPr>
      <w:r>
        <w:rPr>
          <w:rFonts w:ascii="Times New Roman" w:eastAsia="宋体" w:hAnsi="Times New Roman"/>
          <w:color w:val="000000"/>
          <w:sz w:val="20"/>
          <w:szCs w:val="20"/>
        </w:rPr>
        <w:t>The following table presents additional information on selected liability accounts included in the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27"/>
        <w:gridCol w:w="37"/>
        <w:gridCol w:w="121"/>
        <w:gridCol w:w="1206"/>
        <w:gridCol w:w="36"/>
        <w:gridCol w:w="36"/>
        <w:gridCol w:w="36"/>
        <w:gridCol w:w="36"/>
        <w:gridCol w:w="121"/>
        <w:gridCol w:w="1206"/>
        <w:gridCol w:w="36"/>
      </w:tblGrid>
      <w:tr w:rsidR="00C1563E" w14:paraId="7DD01BBA" w14:textId="77777777">
        <w:trPr>
          <w:jc w:val="center"/>
        </w:trPr>
        <w:tc>
          <w:tcPr>
            <w:tcW w:w="50" w:type="pct"/>
            <w:shd w:val="clear" w:color="auto" w:fill="auto"/>
          </w:tcPr>
          <w:p w14:paraId="7DD01BAE" w14:textId="77777777" w:rsidR="00C1563E" w:rsidRDefault="00C1563E">
            <w:pPr>
              <w:rPr>
                <w:rFonts w:ascii="宋体"/>
              </w:rPr>
            </w:pPr>
          </w:p>
        </w:tc>
        <w:tc>
          <w:tcPr>
            <w:tcW w:w="3292" w:type="pct"/>
            <w:shd w:val="clear" w:color="auto" w:fill="auto"/>
          </w:tcPr>
          <w:p w14:paraId="7DD01BAF" w14:textId="77777777" w:rsidR="00C1563E" w:rsidRDefault="00C1563E">
            <w:pPr>
              <w:rPr>
                <w:rFonts w:ascii="宋体"/>
              </w:rPr>
            </w:pPr>
          </w:p>
        </w:tc>
        <w:tc>
          <w:tcPr>
            <w:tcW w:w="5" w:type="pct"/>
            <w:shd w:val="clear" w:color="auto" w:fill="auto"/>
          </w:tcPr>
          <w:p w14:paraId="7DD01BB0" w14:textId="77777777" w:rsidR="00C1563E" w:rsidRDefault="00C1563E">
            <w:pPr>
              <w:rPr>
                <w:rFonts w:ascii="宋体"/>
              </w:rPr>
            </w:pPr>
          </w:p>
        </w:tc>
        <w:tc>
          <w:tcPr>
            <w:tcW w:w="50" w:type="pct"/>
            <w:shd w:val="clear" w:color="auto" w:fill="auto"/>
          </w:tcPr>
          <w:p w14:paraId="7DD01BB1" w14:textId="77777777" w:rsidR="00C1563E" w:rsidRDefault="00C1563E">
            <w:pPr>
              <w:rPr>
                <w:rFonts w:ascii="宋体"/>
              </w:rPr>
            </w:pPr>
          </w:p>
        </w:tc>
        <w:tc>
          <w:tcPr>
            <w:tcW w:w="756" w:type="pct"/>
            <w:shd w:val="clear" w:color="auto" w:fill="auto"/>
          </w:tcPr>
          <w:p w14:paraId="7DD01BB2" w14:textId="77777777" w:rsidR="00C1563E" w:rsidRDefault="00C1563E">
            <w:pPr>
              <w:rPr>
                <w:rFonts w:ascii="宋体"/>
              </w:rPr>
            </w:pPr>
          </w:p>
        </w:tc>
        <w:tc>
          <w:tcPr>
            <w:tcW w:w="5" w:type="pct"/>
            <w:shd w:val="clear" w:color="auto" w:fill="auto"/>
          </w:tcPr>
          <w:p w14:paraId="7DD01BB3" w14:textId="77777777" w:rsidR="00C1563E" w:rsidRDefault="00C1563E">
            <w:pPr>
              <w:rPr>
                <w:rFonts w:ascii="宋体"/>
              </w:rPr>
            </w:pPr>
          </w:p>
        </w:tc>
        <w:tc>
          <w:tcPr>
            <w:tcW w:w="5" w:type="pct"/>
            <w:shd w:val="clear" w:color="auto" w:fill="auto"/>
          </w:tcPr>
          <w:p w14:paraId="7DD01BB4" w14:textId="77777777" w:rsidR="00C1563E" w:rsidRDefault="00C1563E">
            <w:pPr>
              <w:rPr>
                <w:rFonts w:ascii="宋体"/>
              </w:rPr>
            </w:pPr>
          </w:p>
        </w:tc>
        <w:tc>
          <w:tcPr>
            <w:tcW w:w="19" w:type="pct"/>
            <w:shd w:val="clear" w:color="auto" w:fill="auto"/>
          </w:tcPr>
          <w:p w14:paraId="7DD01BB5" w14:textId="77777777" w:rsidR="00C1563E" w:rsidRDefault="00C1563E">
            <w:pPr>
              <w:rPr>
                <w:rFonts w:ascii="宋体"/>
              </w:rPr>
            </w:pPr>
          </w:p>
        </w:tc>
        <w:tc>
          <w:tcPr>
            <w:tcW w:w="5" w:type="pct"/>
            <w:shd w:val="clear" w:color="auto" w:fill="auto"/>
          </w:tcPr>
          <w:p w14:paraId="7DD01BB6" w14:textId="77777777" w:rsidR="00C1563E" w:rsidRDefault="00C1563E">
            <w:pPr>
              <w:rPr>
                <w:rFonts w:ascii="宋体"/>
              </w:rPr>
            </w:pPr>
          </w:p>
        </w:tc>
        <w:tc>
          <w:tcPr>
            <w:tcW w:w="50" w:type="pct"/>
            <w:shd w:val="clear" w:color="auto" w:fill="auto"/>
          </w:tcPr>
          <w:p w14:paraId="7DD01BB7" w14:textId="77777777" w:rsidR="00C1563E" w:rsidRDefault="00C1563E">
            <w:pPr>
              <w:rPr>
                <w:rFonts w:ascii="宋体"/>
              </w:rPr>
            </w:pPr>
          </w:p>
        </w:tc>
        <w:tc>
          <w:tcPr>
            <w:tcW w:w="756" w:type="pct"/>
            <w:shd w:val="clear" w:color="auto" w:fill="auto"/>
          </w:tcPr>
          <w:p w14:paraId="7DD01BB8" w14:textId="77777777" w:rsidR="00C1563E" w:rsidRDefault="00C1563E">
            <w:pPr>
              <w:rPr>
                <w:rFonts w:ascii="宋体"/>
              </w:rPr>
            </w:pPr>
          </w:p>
        </w:tc>
        <w:tc>
          <w:tcPr>
            <w:tcW w:w="5" w:type="pct"/>
            <w:shd w:val="clear" w:color="auto" w:fill="auto"/>
          </w:tcPr>
          <w:p w14:paraId="7DD01BB9" w14:textId="77777777" w:rsidR="00C1563E" w:rsidRDefault="00C1563E">
            <w:pPr>
              <w:rPr>
                <w:rFonts w:ascii="宋体"/>
              </w:rPr>
            </w:pPr>
          </w:p>
        </w:tc>
      </w:tr>
      <w:tr w:rsidR="00C1563E" w14:paraId="7DD01BBF" w14:textId="77777777">
        <w:trPr>
          <w:jc w:val="center"/>
        </w:trPr>
        <w:tc>
          <w:tcPr>
            <w:tcW w:w="0" w:type="auto"/>
            <w:gridSpan w:val="3"/>
            <w:shd w:val="clear" w:color="auto" w:fill="auto"/>
            <w:tcMar>
              <w:top w:w="40" w:type="dxa"/>
              <w:left w:w="20" w:type="dxa"/>
              <w:bottom w:w="40" w:type="dxa"/>
              <w:right w:w="20" w:type="dxa"/>
            </w:tcMar>
            <w:vAlign w:val="bottom"/>
          </w:tcPr>
          <w:p w14:paraId="7DD01BBB"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DD01BBC"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BBD"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BBE"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BC2" w14:textId="77777777">
        <w:trPr>
          <w:jc w:val="center"/>
        </w:trPr>
        <w:tc>
          <w:tcPr>
            <w:tcW w:w="0" w:type="auto"/>
            <w:gridSpan w:val="3"/>
            <w:shd w:val="clear" w:color="auto" w:fill="auto"/>
            <w:tcMar>
              <w:top w:w="40" w:type="dxa"/>
              <w:left w:w="20" w:type="dxa"/>
              <w:bottom w:w="40" w:type="dxa"/>
              <w:right w:w="20" w:type="dxa"/>
            </w:tcMar>
            <w:vAlign w:val="bottom"/>
          </w:tcPr>
          <w:p w14:paraId="7DD01BC0" w14:textId="77777777" w:rsidR="00C1563E" w:rsidRDefault="000B648B">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DD01BC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BC7" w14:textId="77777777">
        <w:trPr>
          <w:jc w:val="center"/>
        </w:trPr>
        <w:tc>
          <w:tcPr>
            <w:tcW w:w="0" w:type="auto"/>
            <w:gridSpan w:val="3"/>
            <w:shd w:val="clear" w:color="auto" w:fill="CCEEFF"/>
            <w:tcMar>
              <w:top w:w="40" w:type="dxa"/>
              <w:left w:w="20" w:type="dxa"/>
              <w:bottom w:w="40" w:type="dxa"/>
              <w:right w:w="20" w:type="dxa"/>
            </w:tcMar>
            <w:vAlign w:val="bottom"/>
          </w:tcPr>
          <w:p w14:paraId="7DD01BC3" w14:textId="77777777" w:rsidR="00C1563E" w:rsidRDefault="000B648B">
            <w:pPr>
              <w:textAlignment w:val="bottom"/>
            </w:pPr>
            <w:r>
              <w:rPr>
                <w:rFonts w:ascii="Times New Roman" w:eastAsia="宋体" w:hAnsi="Times New Roman"/>
                <w:i/>
                <w:iCs/>
                <w:color w:val="000000"/>
                <w:sz w:val="20"/>
                <w:szCs w:val="20"/>
              </w:rPr>
              <w:t xml:space="preserve">Accrued and other current liabilities: </w:t>
            </w:r>
          </w:p>
        </w:tc>
        <w:tc>
          <w:tcPr>
            <w:tcW w:w="0" w:type="auto"/>
            <w:gridSpan w:val="3"/>
            <w:shd w:val="clear" w:color="auto" w:fill="CCEEFF"/>
            <w:tcMar>
              <w:top w:w="0" w:type="dxa"/>
              <w:left w:w="20" w:type="dxa"/>
              <w:bottom w:w="0" w:type="dxa"/>
              <w:right w:w="20" w:type="dxa"/>
            </w:tcMar>
          </w:tcPr>
          <w:p w14:paraId="7DD01BC4"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BC5"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BC6" w14:textId="77777777" w:rsidR="00C1563E" w:rsidRDefault="00C1563E">
            <w:pPr>
              <w:rPr>
                <w:rFonts w:ascii="宋体"/>
              </w:rPr>
            </w:pPr>
          </w:p>
        </w:tc>
      </w:tr>
      <w:tr w:rsidR="00C1563E" w14:paraId="7DD01BD0" w14:textId="77777777">
        <w:trPr>
          <w:jc w:val="center"/>
        </w:trPr>
        <w:tc>
          <w:tcPr>
            <w:tcW w:w="0" w:type="auto"/>
            <w:gridSpan w:val="3"/>
            <w:shd w:val="clear" w:color="auto" w:fill="FFFFFF"/>
            <w:tcMar>
              <w:top w:w="40" w:type="dxa"/>
              <w:left w:w="155" w:type="dxa"/>
              <w:bottom w:w="40" w:type="dxa"/>
              <w:right w:w="20" w:type="dxa"/>
            </w:tcMar>
            <w:vAlign w:val="bottom"/>
          </w:tcPr>
          <w:p w14:paraId="7DD01BC8" w14:textId="77777777" w:rsidR="00C1563E" w:rsidRDefault="000B648B">
            <w:pPr>
              <w:textAlignment w:val="bottom"/>
            </w:pPr>
            <w:r>
              <w:rPr>
                <w:rFonts w:ascii="Times New Roman" w:eastAsia="宋体" w:hAnsi="Times New Roman"/>
                <w:color w:val="000000"/>
                <w:sz w:val="20"/>
                <w:szCs w:val="20"/>
              </w:rPr>
              <w:t>Compensation</w:t>
            </w:r>
          </w:p>
        </w:tc>
        <w:tc>
          <w:tcPr>
            <w:tcW w:w="0" w:type="auto"/>
            <w:shd w:val="clear" w:color="auto" w:fill="FFFFFF"/>
            <w:tcMar>
              <w:top w:w="40" w:type="dxa"/>
              <w:left w:w="20" w:type="dxa"/>
              <w:bottom w:w="40" w:type="dxa"/>
              <w:right w:w="0" w:type="dxa"/>
            </w:tcMar>
            <w:vAlign w:val="bottom"/>
          </w:tcPr>
          <w:p w14:paraId="7DD01BC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CA" w14:textId="77777777" w:rsidR="00C1563E" w:rsidRDefault="000B648B">
            <w:pPr>
              <w:jc w:val="right"/>
              <w:textAlignment w:val="bottom"/>
            </w:pPr>
            <w:r>
              <w:rPr>
                <w:rFonts w:ascii="Times New Roman" w:eastAsia="宋体" w:hAnsi="Times New Roman"/>
                <w:color w:val="000000"/>
                <w:sz w:val="20"/>
                <w:szCs w:val="20"/>
              </w:rPr>
              <w:t>3,818 </w:t>
            </w:r>
          </w:p>
        </w:tc>
        <w:tc>
          <w:tcPr>
            <w:tcW w:w="0" w:type="auto"/>
            <w:shd w:val="clear" w:color="auto" w:fill="FFFFFF"/>
            <w:tcMar>
              <w:top w:w="40" w:type="dxa"/>
              <w:left w:w="0" w:type="dxa"/>
              <w:bottom w:w="40" w:type="dxa"/>
              <w:right w:w="20" w:type="dxa"/>
            </w:tcMar>
            <w:vAlign w:val="bottom"/>
          </w:tcPr>
          <w:p w14:paraId="7DD01BC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CC"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BC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BCE" w14:textId="77777777" w:rsidR="00C1563E" w:rsidRDefault="000B648B">
            <w:pPr>
              <w:jc w:val="right"/>
              <w:textAlignment w:val="bottom"/>
            </w:pPr>
            <w:r>
              <w:rPr>
                <w:rFonts w:ascii="Times New Roman" w:eastAsia="宋体" w:hAnsi="Times New Roman"/>
                <w:color w:val="000000"/>
                <w:sz w:val="20"/>
                <w:szCs w:val="20"/>
              </w:rPr>
              <w:t>3,717 </w:t>
            </w:r>
          </w:p>
        </w:tc>
        <w:tc>
          <w:tcPr>
            <w:tcW w:w="0" w:type="auto"/>
            <w:shd w:val="clear" w:color="auto" w:fill="FFFFFF"/>
            <w:tcMar>
              <w:top w:w="40" w:type="dxa"/>
              <w:left w:w="0" w:type="dxa"/>
              <w:bottom w:w="40" w:type="dxa"/>
              <w:right w:w="20" w:type="dxa"/>
            </w:tcMar>
            <w:vAlign w:val="bottom"/>
          </w:tcPr>
          <w:p w14:paraId="7DD01BCF" w14:textId="77777777" w:rsidR="00C1563E" w:rsidRDefault="00C1563E">
            <w:pPr>
              <w:jc w:val="right"/>
              <w:rPr>
                <w:rFonts w:ascii="宋体"/>
              </w:rPr>
            </w:pPr>
          </w:p>
        </w:tc>
      </w:tr>
      <w:tr w:rsidR="00C1563E" w14:paraId="7DD01BD7" w14:textId="77777777">
        <w:trPr>
          <w:jc w:val="center"/>
        </w:trPr>
        <w:tc>
          <w:tcPr>
            <w:tcW w:w="0" w:type="auto"/>
            <w:gridSpan w:val="3"/>
            <w:shd w:val="clear" w:color="auto" w:fill="CCEEFF"/>
            <w:tcMar>
              <w:top w:w="40" w:type="dxa"/>
              <w:left w:w="155" w:type="dxa"/>
              <w:bottom w:w="40" w:type="dxa"/>
              <w:right w:w="20" w:type="dxa"/>
            </w:tcMar>
            <w:vAlign w:val="bottom"/>
          </w:tcPr>
          <w:p w14:paraId="7DD01BD1" w14:textId="77777777" w:rsidR="00C1563E" w:rsidRDefault="000B648B">
            <w:pPr>
              <w:textAlignment w:val="bottom"/>
            </w:pPr>
            <w:r>
              <w:rPr>
                <w:rFonts w:ascii="Times New Roman" w:eastAsia="宋体" w:hAnsi="Times New Roman"/>
                <w:color w:val="000000"/>
                <w:sz w:val="20"/>
                <w:szCs w:val="20"/>
              </w:rPr>
              <w:t xml:space="preserve">Income and other taxes </w:t>
            </w:r>
          </w:p>
        </w:tc>
        <w:tc>
          <w:tcPr>
            <w:tcW w:w="0" w:type="auto"/>
            <w:gridSpan w:val="2"/>
            <w:shd w:val="clear" w:color="auto" w:fill="CCEEFF"/>
            <w:tcMar>
              <w:top w:w="40" w:type="dxa"/>
              <w:left w:w="20" w:type="dxa"/>
              <w:bottom w:w="40" w:type="dxa"/>
              <w:right w:w="0" w:type="dxa"/>
            </w:tcMar>
            <w:vAlign w:val="bottom"/>
          </w:tcPr>
          <w:p w14:paraId="7DD01BD2" w14:textId="77777777" w:rsidR="00C1563E" w:rsidRDefault="000B648B">
            <w:pPr>
              <w:jc w:val="right"/>
              <w:textAlignment w:val="bottom"/>
            </w:pPr>
            <w:r>
              <w:rPr>
                <w:rFonts w:ascii="Times New Roman" w:eastAsia="宋体" w:hAnsi="Times New Roman"/>
                <w:color w:val="000000"/>
                <w:sz w:val="20"/>
                <w:szCs w:val="20"/>
              </w:rPr>
              <w:t>1,621 </w:t>
            </w:r>
          </w:p>
        </w:tc>
        <w:tc>
          <w:tcPr>
            <w:tcW w:w="0" w:type="auto"/>
            <w:shd w:val="clear" w:color="auto" w:fill="CCEEFF"/>
            <w:tcMar>
              <w:top w:w="40" w:type="dxa"/>
              <w:left w:w="0" w:type="dxa"/>
              <w:bottom w:w="40" w:type="dxa"/>
              <w:right w:w="20" w:type="dxa"/>
            </w:tcMar>
            <w:vAlign w:val="bottom"/>
          </w:tcPr>
          <w:p w14:paraId="7DD01BD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D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D5" w14:textId="77777777" w:rsidR="00C1563E" w:rsidRDefault="000B648B">
            <w:pPr>
              <w:jc w:val="right"/>
              <w:textAlignment w:val="bottom"/>
            </w:pPr>
            <w:r>
              <w:rPr>
                <w:rFonts w:ascii="Times New Roman" w:eastAsia="宋体" w:hAnsi="Times New Roman"/>
                <w:color w:val="000000"/>
                <w:sz w:val="20"/>
                <w:szCs w:val="20"/>
              </w:rPr>
              <w:t>1,767 </w:t>
            </w:r>
          </w:p>
        </w:tc>
        <w:tc>
          <w:tcPr>
            <w:tcW w:w="0" w:type="auto"/>
            <w:shd w:val="clear" w:color="auto" w:fill="CCEEFF"/>
            <w:tcMar>
              <w:top w:w="40" w:type="dxa"/>
              <w:left w:w="0" w:type="dxa"/>
              <w:bottom w:w="40" w:type="dxa"/>
              <w:right w:w="20" w:type="dxa"/>
            </w:tcMar>
            <w:vAlign w:val="bottom"/>
          </w:tcPr>
          <w:p w14:paraId="7DD01BD6" w14:textId="77777777" w:rsidR="00C1563E" w:rsidRDefault="00C1563E">
            <w:pPr>
              <w:jc w:val="right"/>
              <w:rPr>
                <w:rFonts w:ascii="宋体"/>
              </w:rPr>
            </w:pPr>
          </w:p>
        </w:tc>
      </w:tr>
      <w:tr w:rsidR="00C1563E" w14:paraId="7DD01BDE" w14:textId="77777777">
        <w:trPr>
          <w:jc w:val="center"/>
        </w:trPr>
        <w:tc>
          <w:tcPr>
            <w:tcW w:w="0" w:type="auto"/>
            <w:gridSpan w:val="3"/>
            <w:shd w:val="clear" w:color="auto" w:fill="FFFFFF"/>
            <w:tcMar>
              <w:top w:w="40" w:type="dxa"/>
              <w:left w:w="155" w:type="dxa"/>
              <w:bottom w:w="40" w:type="dxa"/>
              <w:right w:w="20" w:type="dxa"/>
            </w:tcMar>
            <w:vAlign w:val="bottom"/>
          </w:tcPr>
          <w:p w14:paraId="7DD01BD8" w14:textId="77777777" w:rsidR="00C1563E" w:rsidRDefault="000B648B">
            <w:pPr>
              <w:textAlignment w:val="bottom"/>
            </w:pPr>
            <w:r>
              <w:rPr>
                <w:rFonts w:ascii="Times New Roman" w:eastAsia="宋体" w:hAnsi="Times New Roman"/>
                <w:color w:val="000000"/>
                <w:sz w:val="20"/>
                <w:szCs w:val="20"/>
              </w:rPr>
              <w:t>Sales and marketing programs</w:t>
            </w:r>
          </w:p>
        </w:tc>
        <w:tc>
          <w:tcPr>
            <w:tcW w:w="0" w:type="auto"/>
            <w:gridSpan w:val="2"/>
            <w:shd w:val="clear" w:color="auto" w:fill="FFFFFF"/>
            <w:tcMar>
              <w:top w:w="40" w:type="dxa"/>
              <w:left w:w="20" w:type="dxa"/>
              <w:bottom w:w="40" w:type="dxa"/>
              <w:right w:w="0" w:type="dxa"/>
            </w:tcMar>
            <w:vAlign w:val="bottom"/>
          </w:tcPr>
          <w:p w14:paraId="7DD01BD9" w14:textId="77777777" w:rsidR="00C1563E" w:rsidRDefault="000B648B">
            <w:pPr>
              <w:jc w:val="right"/>
              <w:textAlignment w:val="bottom"/>
            </w:pPr>
            <w:r>
              <w:rPr>
                <w:rFonts w:ascii="Times New Roman" w:eastAsia="宋体" w:hAnsi="Times New Roman"/>
                <w:color w:val="000000"/>
                <w:sz w:val="20"/>
                <w:szCs w:val="20"/>
              </w:rPr>
              <w:t>1,526 </w:t>
            </w:r>
          </w:p>
        </w:tc>
        <w:tc>
          <w:tcPr>
            <w:tcW w:w="0" w:type="auto"/>
            <w:shd w:val="clear" w:color="auto" w:fill="FFFFFF"/>
            <w:tcMar>
              <w:top w:w="40" w:type="dxa"/>
              <w:left w:w="0" w:type="dxa"/>
              <w:bottom w:w="40" w:type="dxa"/>
              <w:right w:w="20" w:type="dxa"/>
            </w:tcMar>
            <w:vAlign w:val="bottom"/>
          </w:tcPr>
          <w:p w14:paraId="7DD01BD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D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DC" w14:textId="77777777" w:rsidR="00C1563E" w:rsidRDefault="000B648B">
            <w:pPr>
              <w:jc w:val="right"/>
              <w:textAlignment w:val="bottom"/>
            </w:pPr>
            <w:r>
              <w:rPr>
                <w:rFonts w:ascii="Times New Roman" w:eastAsia="宋体" w:hAnsi="Times New Roman"/>
                <w:color w:val="000000"/>
                <w:sz w:val="20"/>
                <w:szCs w:val="20"/>
              </w:rPr>
              <w:t>1,387 </w:t>
            </w:r>
          </w:p>
        </w:tc>
        <w:tc>
          <w:tcPr>
            <w:tcW w:w="0" w:type="auto"/>
            <w:shd w:val="clear" w:color="auto" w:fill="FFFFFF"/>
            <w:tcMar>
              <w:top w:w="40" w:type="dxa"/>
              <w:left w:w="0" w:type="dxa"/>
              <w:bottom w:w="40" w:type="dxa"/>
              <w:right w:w="20" w:type="dxa"/>
            </w:tcMar>
            <w:vAlign w:val="bottom"/>
          </w:tcPr>
          <w:p w14:paraId="7DD01BDD" w14:textId="77777777" w:rsidR="00C1563E" w:rsidRDefault="00C1563E">
            <w:pPr>
              <w:jc w:val="right"/>
              <w:rPr>
                <w:rFonts w:ascii="宋体"/>
              </w:rPr>
            </w:pPr>
          </w:p>
        </w:tc>
      </w:tr>
      <w:tr w:rsidR="00C1563E" w14:paraId="7DD01BE5" w14:textId="77777777">
        <w:trPr>
          <w:jc w:val="center"/>
        </w:trPr>
        <w:tc>
          <w:tcPr>
            <w:tcW w:w="0" w:type="auto"/>
            <w:gridSpan w:val="3"/>
            <w:shd w:val="clear" w:color="auto" w:fill="CCEEFF"/>
            <w:tcMar>
              <w:top w:w="40" w:type="dxa"/>
              <w:left w:w="155" w:type="dxa"/>
              <w:bottom w:w="40" w:type="dxa"/>
              <w:right w:w="20" w:type="dxa"/>
            </w:tcMar>
            <w:vAlign w:val="bottom"/>
          </w:tcPr>
          <w:p w14:paraId="7DD01BDF" w14:textId="77777777" w:rsidR="00C1563E" w:rsidRDefault="000B648B">
            <w:pPr>
              <w:textAlignment w:val="bottom"/>
            </w:pPr>
            <w:r>
              <w:rPr>
                <w:rFonts w:ascii="Times New Roman" w:eastAsia="宋体" w:hAnsi="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bottom"/>
          </w:tcPr>
          <w:p w14:paraId="7DD01BE0" w14:textId="77777777" w:rsidR="00C1563E" w:rsidRDefault="000B648B">
            <w:pPr>
              <w:jc w:val="right"/>
              <w:textAlignment w:val="bottom"/>
            </w:pPr>
            <w:r>
              <w:rPr>
                <w:rFonts w:ascii="Times New Roman" w:eastAsia="宋体" w:hAnsi="Times New Roman"/>
                <w:color w:val="000000"/>
                <w:sz w:val="20"/>
                <w:szCs w:val="20"/>
              </w:rPr>
              <w:t>436 </w:t>
            </w:r>
          </w:p>
        </w:tc>
        <w:tc>
          <w:tcPr>
            <w:tcW w:w="0" w:type="auto"/>
            <w:shd w:val="clear" w:color="auto" w:fill="CCEEFF"/>
            <w:tcMar>
              <w:top w:w="40" w:type="dxa"/>
              <w:left w:w="0" w:type="dxa"/>
              <w:bottom w:w="40" w:type="dxa"/>
              <w:right w:w="20" w:type="dxa"/>
            </w:tcMar>
            <w:vAlign w:val="bottom"/>
          </w:tcPr>
          <w:p w14:paraId="7DD01BE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E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E3" w14:textId="77777777" w:rsidR="00C1563E" w:rsidRDefault="000B648B">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7DD01BE4" w14:textId="77777777" w:rsidR="00C1563E" w:rsidRDefault="00C1563E">
            <w:pPr>
              <w:jc w:val="right"/>
              <w:rPr>
                <w:rFonts w:ascii="宋体"/>
              </w:rPr>
            </w:pPr>
          </w:p>
        </w:tc>
      </w:tr>
      <w:tr w:rsidR="00C1563E" w14:paraId="7DD01BEC" w14:textId="77777777">
        <w:trPr>
          <w:jc w:val="center"/>
        </w:trPr>
        <w:tc>
          <w:tcPr>
            <w:tcW w:w="0" w:type="auto"/>
            <w:gridSpan w:val="3"/>
            <w:shd w:val="clear" w:color="auto" w:fill="FFFFFF"/>
            <w:tcMar>
              <w:top w:w="40" w:type="dxa"/>
              <w:left w:w="155" w:type="dxa"/>
              <w:bottom w:w="40" w:type="dxa"/>
              <w:right w:w="20" w:type="dxa"/>
            </w:tcMar>
            <w:vAlign w:val="bottom"/>
          </w:tcPr>
          <w:p w14:paraId="7DD01BE6" w14:textId="77777777" w:rsidR="00C1563E" w:rsidRDefault="000B648B">
            <w:pPr>
              <w:textAlignment w:val="bottom"/>
            </w:pPr>
            <w:r>
              <w:rPr>
                <w:rFonts w:ascii="Times New Roman" w:eastAsia="宋体" w:hAnsi="Times New Roman"/>
                <w:color w:val="000000"/>
                <w:sz w:val="20"/>
                <w:szCs w:val="20"/>
              </w:rPr>
              <w:t>Warranty liability</w:t>
            </w:r>
          </w:p>
        </w:tc>
        <w:tc>
          <w:tcPr>
            <w:tcW w:w="0" w:type="auto"/>
            <w:gridSpan w:val="2"/>
            <w:shd w:val="clear" w:color="auto" w:fill="FFFFFF"/>
            <w:tcMar>
              <w:top w:w="40" w:type="dxa"/>
              <w:left w:w="20" w:type="dxa"/>
              <w:bottom w:w="40" w:type="dxa"/>
              <w:right w:w="0" w:type="dxa"/>
            </w:tcMar>
            <w:vAlign w:val="bottom"/>
          </w:tcPr>
          <w:p w14:paraId="7DD01BE7" w14:textId="77777777" w:rsidR="00C1563E" w:rsidRDefault="000B648B">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7DD01BE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E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BEA" w14:textId="77777777" w:rsidR="00C1563E" w:rsidRDefault="000B648B">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left w:w="0" w:type="dxa"/>
              <w:bottom w:w="40" w:type="dxa"/>
              <w:right w:w="20" w:type="dxa"/>
            </w:tcMar>
            <w:vAlign w:val="bottom"/>
          </w:tcPr>
          <w:p w14:paraId="7DD01BEB" w14:textId="77777777" w:rsidR="00C1563E" w:rsidRDefault="00C1563E">
            <w:pPr>
              <w:jc w:val="right"/>
              <w:rPr>
                <w:rFonts w:ascii="宋体"/>
              </w:rPr>
            </w:pPr>
          </w:p>
        </w:tc>
      </w:tr>
      <w:tr w:rsidR="00C1563E" w14:paraId="7DD01BF3" w14:textId="77777777">
        <w:trPr>
          <w:jc w:val="center"/>
        </w:trPr>
        <w:tc>
          <w:tcPr>
            <w:tcW w:w="0" w:type="auto"/>
            <w:gridSpan w:val="3"/>
            <w:shd w:val="clear" w:color="auto" w:fill="CCEEFF"/>
            <w:tcMar>
              <w:top w:w="40" w:type="dxa"/>
              <w:left w:w="155" w:type="dxa"/>
              <w:bottom w:w="40" w:type="dxa"/>
              <w:right w:w="20" w:type="dxa"/>
            </w:tcMar>
            <w:vAlign w:val="bottom"/>
          </w:tcPr>
          <w:p w14:paraId="7DD01BED"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1BEE" w14:textId="77777777" w:rsidR="00C1563E" w:rsidRDefault="000B648B">
            <w:pPr>
              <w:jc w:val="right"/>
              <w:textAlignment w:val="bottom"/>
            </w:pPr>
            <w:r>
              <w:rPr>
                <w:rFonts w:ascii="Times New Roman" w:eastAsia="宋体" w:hAnsi="Times New Roman"/>
                <w:color w:val="000000"/>
                <w:sz w:val="20"/>
                <w:szCs w:val="20"/>
              </w:rPr>
              <w:t>1,792 </w:t>
            </w:r>
          </w:p>
        </w:tc>
        <w:tc>
          <w:tcPr>
            <w:tcW w:w="0" w:type="auto"/>
            <w:shd w:val="clear" w:color="auto" w:fill="CCEEFF"/>
            <w:tcMar>
              <w:top w:w="40" w:type="dxa"/>
              <w:left w:w="0" w:type="dxa"/>
              <w:bottom w:w="40" w:type="dxa"/>
              <w:right w:w="20" w:type="dxa"/>
            </w:tcMar>
            <w:vAlign w:val="bottom"/>
          </w:tcPr>
          <w:p w14:paraId="7DD01BE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BF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BF1" w14:textId="77777777" w:rsidR="00C1563E" w:rsidRDefault="000B648B">
            <w:pPr>
              <w:jc w:val="right"/>
              <w:textAlignment w:val="bottom"/>
            </w:pPr>
            <w:r>
              <w:rPr>
                <w:rFonts w:ascii="Times New Roman" w:eastAsia="宋体" w:hAnsi="Times New Roman"/>
                <w:color w:val="000000"/>
                <w:sz w:val="20"/>
                <w:szCs w:val="20"/>
              </w:rPr>
              <w:t>2,129 </w:t>
            </w:r>
          </w:p>
        </w:tc>
        <w:tc>
          <w:tcPr>
            <w:tcW w:w="0" w:type="auto"/>
            <w:shd w:val="clear" w:color="auto" w:fill="CCEEFF"/>
            <w:tcMar>
              <w:top w:w="40" w:type="dxa"/>
              <w:left w:w="0" w:type="dxa"/>
              <w:bottom w:w="40" w:type="dxa"/>
              <w:right w:w="20" w:type="dxa"/>
            </w:tcMar>
            <w:vAlign w:val="bottom"/>
          </w:tcPr>
          <w:p w14:paraId="7DD01BF2" w14:textId="77777777" w:rsidR="00C1563E" w:rsidRDefault="00C1563E">
            <w:pPr>
              <w:jc w:val="right"/>
              <w:rPr>
                <w:rFonts w:ascii="宋体"/>
              </w:rPr>
            </w:pPr>
          </w:p>
        </w:tc>
      </w:tr>
      <w:tr w:rsidR="00C1563E" w14:paraId="7DD01BFC" w14:textId="77777777">
        <w:trPr>
          <w:jc w:val="center"/>
        </w:trPr>
        <w:tc>
          <w:tcPr>
            <w:tcW w:w="0" w:type="auto"/>
            <w:gridSpan w:val="3"/>
            <w:shd w:val="clear" w:color="auto" w:fill="FFFFFF"/>
            <w:tcMar>
              <w:top w:w="40" w:type="dxa"/>
              <w:left w:w="245" w:type="dxa"/>
              <w:bottom w:w="40" w:type="dxa"/>
              <w:right w:w="20" w:type="dxa"/>
            </w:tcMar>
            <w:vAlign w:val="bottom"/>
          </w:tcPr>
          <w:p w14:paraId="7DD01BF4" w14:textId="77777777" w:rsidR="00C1563E" w:rsidRDefault="000B648B">
            <w:pPr>
              <w:textAlignment w:val="bottom"/>
            </w:pPr>
            <w:r>
              <w:rPr>
                <w:rFonts w:ascii="Times New Roman" w:eastAsia="宋体" w:hAnsi="Times New Roman"/>
                <w:color w:val="000000"/>
                <w:sz w:val="20"/>
                <w:szCs w:val="20"/>
              </w:rPr>
              <w:t>Total accrued and other current liabilities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BF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BF6" w14:textId="77777777" w:rsidR="00C1563E" w:rsidRDefault="000B648B">
            <w:pPr>
              <w:jc w:val="right"/>
              <w:textAlignment w:val="bottom"/>
            </w:pPr>
            <w:r>
              <w:rPr>
                <w:rFonts w:ascii="Times New Roman" w:eastAsia="宋体" w:hAnsi="Times New Roman"/>
                <w:color w:val="000000"/>
                <w:sz w:val="20"/>
                <w:szCs w:val="20"/>
              </w:rPr>
              <w:t>9,549 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BF7"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BF8"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BF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BFA" w14:textId="77777777" w:rsidR="00C1563E" w:rsidRDefault="000B648B">
            <w:pPr>
              <w:jc w:val="right"/>
              <w:textAlignment w:val="bottom"/>
            </w:pPr>
            <w:r>
              <w:rPr>
                <w:rFonts w:ascii="Times New Roman" w:eastAsia="宋体" w:hAnsi="Times New Roman"/>
                <w:color w:val="000000"/>
                <w:sz w:val="20"/>
                <w:szCs w:val="20"/>
              </w:rPr>
              <w:t>9,773 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BFB" w14:textId="77777777" w:rsidR="00C1563E" w:rsidRDefault="00C1563E">
            <w:pPr>
              <w:jc w:val="right"/>
              <w:rPr>
                <w:rFonts w:ascii="宋体"/>
              </w:rPr>
            </w:pPr>
          </w:p>
        </w:tc>
      </w:tr>
      <w:tr w:rsidR="00C1563E" w14:paraId="7DD01C01" w14:textId="77777777">
        <w:trPr>
          <w:jc w:val="center"/>
        </w:trPr>
        <w:tc>
          <w:tcPr>
            <w:tcW w:w="0" w:type="auto"/>
            <w:gridSpan w:val="3"/>
            <w:shd w:val="clear" w:color="auto" w:fill="CCEEFF"/>
            <w:tcMar>
              <w:top w:w="40" w:type="dxa"/>
              <w:left w:w="20" w:type="dxa"/>
              <w:bottom w:w="40" w:type="dxa"/>
              <w:right w:w="20" w:type="dxa"/>
            </w:tcMar>
            <w:vAlign w:val="bottom"/>
          </w:tcPr>
          <w:p w14:paraId="7DD01BFD" w14:textId="77777777" w:rsidR="00C1563E" w:rsidRDefault="000B648B">
            <w:pPr>
              <w:textAlignment w:val="bottom"/>
            </w:pPr>
            <w:r>
              <w:rPr>
                <w:rFonts w:ascii="Times New Roman" w:eastAsia="宋体" w:hAnsi="Times New Roman"/>
                <w:i/>
                <w:iCs/>
                <w:color w:val="000000"/>
                <w:sz w:val="20"/>
                <w:szCs w:val="20"/>
              </w:rPr>
              <w:t>Other non-current 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7DD01BF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BFF"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C00" w14:textId="77777777" w:rsidR="00C1563E" w:rsidRDefault="00C1563E">
            <w:pPr>
              <w:rPr>
                <w:rFonts w:ascii="宋体"/>
              </w:rPr>
            </w:pPr>
          </w:p>
        </w:tc>
      </w:tr>
      <w:tr w:rsidR="00C1563E" w14:paraId="7DD01C0A" w14:textId="77777777">
        <w:trPr>
          <w:jc w:val="center"/>
        </w:trPr>
        <w:tc>
          <w:tcPr>
            <w:tcW w:w="0" w:type="auto"/>
            <w:gridSpan w:val="3"/>
            <w:shd w:val="clear" w:color="auto" w:fill="FFFFFF"/>
            <w:tcMar>
              <w:top w:w="40" w:type="dxa"/>
              <w:left w:w="155" w:type="dxa"/>
              <w:bottom w:w="40" w:type="dxa"/>
              <w:right w:w="20" w:type="dxa"/>
            </w:tcMar>
            <w:vAlign w:val="bottom"/>
          </w:tcPr>
          <w:p w14:paraId="7DD01C02" w14:textId="77777777" w:rsidR="00C1563E" w:rsidRDefault="000B648B">
            <w:pPr>
              <w:textAlignment w:val="bottom"/>
            </w:pPr>
            <w:r>
              <w:rPr>
                <w:rFonts w:ascii="Times New Roman" w:eastAsia="宋体" w:hAnsi="Times New Roman"/>
                <w:color w:val="000000"/>
                <w:sz w:val="20"/>
                <w:szCs w:val="20"/>
              </w:rPr>
              <w:t>Deferred and other tax liabilities</w:t>
            </w:r>
          </w:p>
        </w:tc>
        <w:tc>
          <w:tcPr>
            <w:tcW w:w="0" w:type="auto"/>
            <w:shd w:val="clear" w:color="auto" w:fill="FFFFFF"/>
            <w:tcMar>
              <w:top w:w="40" w:type="dxa"/>
              <w:left w:w="20" w:type="dxa"/>
              <w:bottom w:w="40" w:type="dxa"/>
              <w:right w:w="0" w:type="dxa"/>
            </w:tcMar>
            <w:vAlign w:val="bottom"/>
          </w:tcPr>
          <w:p w14:paraId="7DD01C0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04" w14:textId="77777777" w:rsidR="00C1563E" w:rsidRDefault="000B648B">
            <w:pPr>
              <w:jc w:val="right"/>
              <w:textAlignment w:val="bottom"/>
            </w:pPr>
            <w:r>
              <w:rPr>
                <w:rFonts w:ascii="Times New Roman" w:eastAsia="宋体" w:hAnsi="Times New Roman"/>
                <w:color w:val="000000"/>
                <w:sz w:val="20"/>
                <w:szCs w:val="20"/>
              </w:rPr>
              <w:t>2,173 </w:t>
            </w:r>
          </w:p>
        </w:tc>
        <w:tc>
          <w:tcPr>
            <w:tcW w:w="0" w:type="auto"/>
            <w:shd w:val="clear" w:color="auto" w:fill="FFFFFF"/>
            <w:tcMar>
              <w:top w:w="40" w:type="dxa"/>
              <w:left w:w="0" w:type="dxa"/>
              <w:bottom w:w="40" w:type="dxa"/>
              <w:right w:w="20" w:type="dxa"/>
            </w:tcMar>
            <w:vAlign w:val="bottom"/>
          </w:tcPr>
          <w:p w14:paraId="7DD01C0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06"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C0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08" w14:textId="77777777" w:rsidR="00C1563E" w:rsidRDefault="000B648B">
            <w:pPr>
              <w:jc w:val="right"/>
              <w:textAlignment w:val="bottom"/>
            </w:pPr>
            <w:r>
              <w:rPr>
                <w:rFonts w:ascii="Times New Roman" w:eastAsia="宋体" w:hAnsi="Times New Roman"/>
                <w:color w:val="000000"/>
                <w:sz w:val="20"/>
                <w:szCs w:val="20"/>
              </w:rPr>
              <w:t>3,110 </w:t>
            </w:r>
          </w:p>
        </w:tc>
        <w:tc>
          <w:tcPr>
            <w:tcW w:w="0" w:type="auto"/>
            <w:shd w:val="clear" w:color="auto" w:fill="FFFFFF"/>
            <w:tcMar>
              <w:top w:w="40" w:type="dxa"/>
              <w:left w:w="0" w:type="dxa"/>
              <w:bottom w:w="40" w:type="dxa"/>
              <w:right w:w="20" w:type="dxa"/>
            </w:tcMar>
            <w:vAlign w:val="bottom"/>
          </w:tcPr>
          <w:p w14:paraId="7DD01C09" w14:textId="77777777" w:rsidR="00C1563E" w:rsidRDefault="00C1563E">
            <w:pPr>
              <w:jc w:val="right"/>
              <w:rPr>
                <w:rFonts w:ascii="宋体"/>
              </w:rPr>
            </w:pPr>
          </w:p>
        </w:tc>
      </w:tr>
      <w:tr w:rsidR="00C1563E" w14:paraId="7DD01C11" w14:textId="77777777">
        <w:trPr>
          <w:jc w:val="center"/>
        </w:trPr>
        <w:tc>
          <w:tcPr>
            <w:tcW w:w="0" w:type="auto"/>
            <w:gridSpan w:val="3"/>
            <w:shd w:val="clear" w:color="auto" w:fill="CCEEFF"/>
            <w:tcMar>
              <w:top w:w="40" w:type="dxa"/>
              <w:left w:w="155" w:type="dxa"/>
              <w:bottom w:w="40" w:type="dxa"/>
              <w:right w:w="20" w:type="dxa"/>
            </w:tcMar>
            <w:vAlign w:val="bottom"/>
          </w:tcPr>
          <w:p w14:paraId="7DD01C0B" w14:textId="77777777" w:rsidR="00C1563E" w:rsidRDefault="000B648B">
            <w:pPr>
              <w:textAlignment w:val="bottom"/>
            </w:pPr>
            <w:r>
              <w:rPr>
                <w:rFonts w:ascii="Times New Roman" w:eastAsia="宋体" w:hAnsi="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bottom"/>
          </w:tcPr>
          <w:p w14:paraId="7DD01C0C" w14:textId="77777777" w:rsidR="00C1563E" w:rsidRDefault="000B648B">
            <w:pPr>
              <w:jc w:val="right"/>
              <w:textAlignment w:val="bottom"/>
            </w:pPr>
            <w:r>
              <w:rPr>
                <w:rFonts w:ascii="Times New Roman" w:eastAsia="宋体" w:hAnsi="Times New Roman"/>
                <w:color w:val="000000"/>
                <w:sz w:val="20"/>
                <w:szCs w:val="20"/>
              </w:rPr>
              <w:t>1,787 </w:t>
            </w:r>
          </w:p>
        </w:tc>
        <w:tc>
          <w:tcPr>
            <w:tcW w:w="0" w:type="auto"/>
            <w:shd w:val="clear" w:color="auto" w:fill="CCEEFF"/>
            <w:tcMar>
              <w:top w:w="40" w:type="dxa"/>
              <w:left w:w="0" w:type="dxa"/>
              <w:bottom w:w="40" w:type="dxa"/>
              <w:right w:w="20" w:type="dxa"/>
            </w:tcMar>
            <w:vAlign w:val="bottom"/>
          </w:tcPr>
          <w:p w14:paraId="7DD01C0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0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0F" w14:textId="77777777" w:rsidR="00C1563E" w:rsidRDefault="000B648B">
            <w:pPr>
              <w:jc w:val="right"/>
              <w:textAlignment w:val="bottom"/>
            </w:pPr>
            <w:r>
              <w:rPr>
                <w:rFonts w:ascii="Times New Roman" w:eastAsia="宋体" w:hAnsi="Times New Roman"/>
                <w:color w:val="000000"/>
                <w:sz w:val="20"/>
                <w:szCs w:val="20"/>
              </w:rPr>
              <w:t>1,360 </w:t>
            </w:r>
          </w:p>
        </w:tc>
        <w:tc>
          <w:tcPr>
            <w:tcW w:w="0" w:type="auto"/>
            <w:shd w:val="clear" w:color="auto" w:fill="CCEEFF"/>
            <w:tcMar>
              <w:top w:w="40" w:type="dxa"/>
              <w:left w:w="0" w:type="dxa"/>
              <w:bottom w:w="40" w:type="dxa"/>
              <w:right w:w="20" w:type="dxa"/>
            </w:tcMar>
            <w:vAlign w:val="bottom"/>
          </w:tcPr>
          <w:p w14:paraId="7DD01C10" w14:textId="77777777" w:rsidR="00C1563E" w:rsidRDefault="00C1563E">
            <w:pPr>
              <w:jc w:val="right"/>
              <w:rPr>
                <w:rFonts w:ascii="宋体"/>
              </w:rPr>
            </w:pPr>
          </w:p>
        </w:tc>
      </w:tr>
      <w:tr w:rsidR="00C1563E" w14:paraId="7DD01C18" w14:textId="77777777">
        <w:trPr>
          <w:jc w:val="center"/>
        </w:trPr>
        <w:tc>
          <w:tcPr>
            <w:tcW w:w="0" w:type="auto"/>
            <w:gridSpan w:val="3"/>
            <w:shd w:val="clear" w:color="auto" w:fill="FFFFFF"/>
            <w:tcMar>
              <w:top w:w="40" w:type="dxa"/>
              <w:left w:w="155" w:type="dxa"/>
              <w:bottom w:w="40" w:type="dxa"/>
              <w:right w:w="20" w:type="dxa"/>
            </w:tcMar>
            <w:vAlign w:val="bottom"/>
          </w:tcPr>
          <w:p w14:paraId="7DD01C12" w14:textId="77777777" w:rsidR="00C1563E" w:rsidRDefault="000B648B">
            <w:pPr>
              <w:textAlignment w:val="bottom"/>
            </w:pPr>
            <w:r>
              <w:rPr>
                <w:rFonts w:ascii="Times New Roman" w:eastAsia="宋体" w:hAnsi="Times New Roman"/>
                <w:color w:val="000000"/>
                <w:sz w:val="20"/>
                <w:szCs w:val="20"/>
              </w:rPr>
              <w:t>Warranty liability</w:t>
            </w:r>
          </w:p>
        </w:tc>
        <w:tc>
          <w:tcPr>
            <w:tcW w:w="0" w:type="auto"/>
            <w:gridSpan w:val="2"/>
            <w:shd w:val="clear" w:color="auto" w:fill="FFFFFF"/>
            <w:tcMar>
              <w:top w:w="40" w:type="dxa"/>
              <w:left w:w="20" w:type="dxa"/>
              <w:bottom w:w="40" w:type="dxa"/>
              <w:right w:w="0" w:type="dxa"/>
            </w:tcMar>
            <w:vAlign w:val="bottom"/>
          </w:tcPr>
          <w:p w14:paraId="7DD01C13" w14:textId="77777777" w:rsidR="00C1563E" w:rsidRDefault="000B648B">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7DD01C1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1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16" w14:textId="77777777" w:rsidR="00C1563E" w:rsidRDefault="000B648B">
            <w:pPr>
              <w:jc w:val="right"/>
              <w:textAlignment w:val="bottom"/>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bottom"/>
          </w:tcPr>
          <w:p w14:paraId="7DD01C17" w14:textId="77777777" w:rsidR="00C1563E" w:rsidRDefault="00C1563E">
            <w:pPr>
              <w:jc w:val="right"/>
              <w:rPr>
                <w:rFonts w:ascii="宋体"/>
              </w:rPr>
            </w:pPr>
          </w:p>
        </w:tc>
      </w:tr>
      <w:tr w:rsidR="00C1563E" w14:paraId="7DD01C1F" w14:textId="77777777">
        <w:trPr>
          <w:jc w:val="center"/>
        </w:trPr>
        <w:tc>
          <w:tcPr>
            <w:tcW w:w="0" w:type="auto"/>
            <w:gridSpan w:val="3"/>
            <w:shd w:val="clear" w:color="auto" w:fill="CCEEFF"/>
            <w:tcMar>
              <w:top w:w="40" w:type="dxa"/>
              <w:left w:w="155" w:type="dxa"/>
              <w:bottom w:w="40" w:type="dxa"/>
              <w:right w:w="20" w:type="dxa"/>
            </w:tcMar>
            <w:vAlign w:val="bottom"/>
          </w:tcPr>
          <w:p w14:paraId="7DD01C19" w14:textId="77777777" w:rsidR="00C1563E" w:rsidRDefault="000B648B">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DD01C1A" w14:textId="77777777" w:rsidR="00C1563E" w:rsidRDefault="000B648B">
            <w:pPr>
              <w:jc w:val="right"/>
              <w:textAlignment w:val="bottom"/>
            </w:pPr>
            <w:r>
              <w:rPr>
                <w:rFonts w:ascii="Times New Roman" w:eastAsia="宋体" w:hAnsi="Times New Roman"/>
                <w:color w:val="000000"/>
                <w:sz w:val="20"/>
                <w:szCs w:val="20"/>
              </w:rPr>
              <w:t>1,283 </w:t>
            </w:r>
          </w:p>
        </w:tc>
        <w:tc>
          <w:tcPr>
            <w:tcW w:w="0" w:type="auto"/>
            <w:shd w:val="clear" w:color="auto" w:fill="CCEEFF"/>
            <w:tcMar>
              <w:top w:w="40" w:type="dxa"/>
              <w:left w:w="0" w:type="dxa"/>
              <w:bottom w:w="40" w:type="dxa"/>
              <w:right w:w="20" w:type="dxa"/>
            </w:tcMar>
            <w:vAlign w:val="bottom"/>
          </w:tcPr>
          <w:p w14:paraId="7DD01C1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1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1D" w14:textId="77777777" w:rsidR="00C1563E" w:rsidRDefault="000B648B">
            <w:pPr>
              <w:jc w:val="right"/>
              <w:textAlignment w:val="bottom"/>
            </w:pPr>
            <w:r>
              <w:rPr>
                <w:rFonts w:ascii="Times New Roman" w:eastAsia="宋体" w:hAnsi="Times New Roman"/>
                <w:color w:val="000000"/>
                <w:sz w:val="20"/>
                <w:szCs w:val="20"/>
              </w:rPr>
              <w:t>758 </w:t>
            </w:r>
          </w:p>
        </w:tc>
        <w:tc>
          <w:tcPr>
            <w:tcW w:w="0" w:type="auto"/>
            <w:shd w:val="clear" w:color="auto" w:fill="CCEEFF"/>
            <w:tcMar>
              <w:top w:w="40" w:type="dxa"/>
              <w:left w:w="0" w:type="dxa"/>
              <w:bottom w:w="40" w:type="dxa"/>
              <w:right w:w="20" w:type="dxa"/>
            </w:tcMar>
            <w:vAlign w:val="bottom"/>
          </w:tcPr>
          <w:p w14:paraId="7DD01C1E" w14:textId="77777777" w:rsidR="00C1563E" w:rsidRDefault="00C1563E">
            <w:pPr>
              <w:jc w:val="right"/>
              <w:rPr>
                <w:rFonts w:ascii="宋体"/>
              </w:rPr>
            </w:pPr>
          </w:p>
        </w:tc>
      </w:tr>
      <w:tr w:rsidR="00C1563E" w14:paraId="7DD01C28" w14:textId="77777777">
        <w:trPr>
          <w:jc w:val="center"/>
        </w:trPr>
        <w:tc>
          <w:tcPr>
            <w:tcW w:w="0" w:type="auto"/>
            <w:gridSpan w:val="3"/>
            <w:shd w:val="clear" w:color="auto" w:fill="FFFFFF"/>
            <w:tcMar>
              <w:top w:w="40" w:type="dxa"/>
              <w:left w:w="245" w:type="dxa"/>
              <w:bottom w:w="40" w:type="dxa"/>
              <w:right w:w="20" w:type="dxa"/>
            </w:tcMar>
            <w:vAlign w:val="bottom"/>
          </w:tcPr>
          <w:p w14:paraId="7DD01C20" w14:textId="77777777" w:rsidR="00C1563E" w:rsidRDefault="000B648B">
            <w:pPr>
              <w:textAlignment w:val="bottom"/>
            </w:pPr>
            <w:r>
              <w:rPr>
                <w:rFonts w:ascii="Times New Roman" w:eastAsia="宋体" w:hAnsi="Times New Roman"/>
                <w:color w:val="000000"/>
                <w:sz w:val="20"/>
                <w:szCs w:val="20"/>
              </w:rPr>
              <w:t>Total other non-current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C2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C22" w14:textId="77777777" w:rsidR="00C1563E" w:rsidRDefault="000B648B">
            <w:pPr>
              <w:jc w:val="right"/>
              <w:textAlignment w:val="bottom"/>
            </w:pPr>
            <w:r>
              <w:rPr>
                <w:rFonts w:ascii="Times New Roman" w:eastAsia="宋体" w:hAnsi="Times New Roman"/>
                <w:color w:val="000000"/>
                <w:sz w:val="20"/>
                <w:szCs w:val="20"/>
              </w:rPr>
              <w:t>5,360 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C2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24"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C2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C26" w14:textId="77777777" w:rsidR="00C1563E" w:rsidRDefault="000B648B">
            <w:pPr>
              <w:jc w:val="right"/>
              <w:textAlignment w:val="bottom"/>
            </w:pPr>
            <w:r>
              <w:rPr>
                <w:rFonts w:ascii="Times New Roman" w:eastAsia="宋体" w:hAnsi="Times New Roman"/>
                <w:color w:val="000000"/>
                <w:sz w:val="20"/>
                <w:szCs w:val="20"/>
              </w:rPr>
              <w:t>5,383 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C27" w14:textId="77777777" w:rsidR="00C1563E" w:rsidRDefault="00C1563E">
            <w:pPr>
              <w:jc w:val="right"/>
              <w:rPr>
                <w:rFonts w:ascii="宋体"/>
              </w:rPr>
            </w:pPr>
          </w:p>
        </w:tc>
      </w:tr>
    </w:tbl>
    <w:p w14:paraId="7DD01C29" w14:textId="77777777" w:rsidR="00C1563E" w:rsidRDefault="00C1563E"/>
    <w:p w14:paraId="7DD01C2A" w14:textId="77777777" w:rsidR="00C1563E" w:rsidRDefault="00C1563E"/>
    <w:p w14:paraId="7DD01C2B" w14:textId="77777777" w:rsidR="00C1563E" w:rsidRDefault="00C1563E">
      <w:pPr>
        <w:jc w:val="center"/>
      </w:pPr>
    </w:p>
    <w:p w14:paraId="7DD01C2C" w14:textId="77777777" w:rsidR="00C1563E" w:rsidRDefault="000B648B">
      <w:pPr>
        <w:jc w:val="center"/>
      </w:pPr>
      <w:r>
        <w:rPr>
          <w:rFonts w:ascii="Times New Roman" w:eastAsia="宋体" w:hAnsi="Times New Roman"/>
          <w:color w:val="000000"/>
          <w:sz w:val="20"/>
          <w:szCs w:val="20"/>
        </w:rPr>
        <w:t>161</w:t>
      </w:r>
    </w:p>
    <w:p w14:paraId="7DD01C2D" w14:textId="77777777" w:rsidR="00C1563E" w:rsidRDefault="00C1563E">
      <w:pPr>
        <w:jc w:val="center"/>
      </w:pPr>
    </w:p>
    <w:p w14:paraId="7DD01C2E" w14:textId="77777777" w:rsidR="00C1563E" w:rsidRDefault="000B648B">
      <w:r>
        <w:pict w14:anchorId="7DD0260B">
          <v:rect id="_x0000_i1185" style="width:415.3pt;height:1.5pt" o:hralign="center" o:hrstd="t" o:hr="t" fillcolor="#a0a0a0" stroked="f"/>
        </w:pict>
      </w:r>
    </w:p>
    <w:p w14:paraId="7DD01C2F" w14:textId="77777777" w:rsidR="00C1563E" w:rsidRDefault="000B648B">
      <w:hyperlink r:id="rId344" w:anchor="i418e32e4a35149ffbf7d3a25d66881b8_10" w:history="1">
        <w:r>
          <w:rPr>
            <w:rStyle w:val="a5"/>
            <w:rFonts w:ascii="Times New Roman" w:eastAsia="宋体" w:hAnsi="Times New Roman"/>
            <w:sz w:val="20"/>
            <w:szCs w:val="20"/>
          </w:rPr>
          <w:t>Table of Contents</w:t>
        </w:r>
      </w:hyperlink>
    </w:p>
    <w:p w14:paraId="7DD01C30" w14:textId="77777777" w:rsidR="00C1563E" w:rsidRDefault="000B648B">
      <w:r>
        <w:rPr>
          <w:rFonts w:ascii="Times New Roman" w:eastAsia="宋体" w:hAnsi="Times New Roman"/>
          <w:b/>
          <w:bCs/>
          <w:color w:val="000000"/>
          <w:sz w:val="20"/>
          <w:szCs w:val="20"/>
        </w:rPr>
        <w:t>Valuation and Qualifying Accounts</w:t>
      </w:r>
    </w:p>
    <w:p w14:paraId="7DD01C31" w14:textId="77777777" w:rsidR="00C1563E" w:rsidRDefault="00C1563E"/>
    <w:p w14:paraId="7DD01C32" w14:textId="77777777" w:rsidR="00C1563E" w:rsidRDefault="000B648B">
      <w:r>
        <w:rPr>
          <w:rFonts w:ascii="Times New Roman" w:eastAsia="宋体" w:hAnsi="Times New Roman"/>
          <w:color w:val="000000"/>
          <w:sz w:val="20"/>
          <w:szCs w:val="20"/>
        </w:rPr>
        <w:t>The allowance for expected credit losses of trade</w:t>
      </w:r>
      <w:r>
        <w:rPr>
          <w:rFonts w:ascii="Times New Roman" w:eastAsia="宋体" w:hAnsi="Times New Roman"/>
          <w:color w:val="000000"/>
          <w:sz w:val="20"/>
          <w:szCs w:val="20"/>
        </w:rPr>
        <w:t xml:space="preserve"> receivables and the allowance for financing receivables losses as of January 29, 2021 include the impacts of adoption of the new CECL standard, which was adopted as of February 1, 2020 using the modified retrospective method. The provisions recognized on </w:t>
      </w:r>
      <w:r>
        <w:rPr>
          <w:rFonts w:ascii="Times New Roman" w:eastAsia="宋体" w:hAnsi="Times New Roman"/>
          <w:color w:val="000000"/>
          <w:sz w:val="20"/>
          <w:szCs w:val="20"/>
        </w:rPr>
        <w:t xml:space="preserve">the Consolidated Statements of Income (Loss) during the fiscal year ended January 29, 2021 are based on assessments of the impact of current and expected future economic conditions, inclusive of the effect of the COVID-19 pandemic on credit losses related </w:t>
      </w:r>
      <w:r>
        <w:rPr>
          <w:rFonts w:ascii="Times New Roman" w:eastAsia="宋体" w:hAnsi="Times New Roman"/>
          <w:color w:val="000000"/>
          <w:sz w:val="20"/>
          <w:szCs w:val="20"/>
        </w:rPr>
        <w:t>to trade receivables and financing receivables. The duration and severity of COVID-19 and continued market volatility is highly uncertain and, as such, the impacts on expected credit losses for trade receivables and financing receivables are subject to sig</w:t>
      </w:r>
      <w:r>
        <w:rPr>
          <w:rFonts w:ascii="Times New Roman" w:eastAsia="宋体" w:hAnsi="Times New Roman"/>
          <w:color w:val="000000"/>
          <w:sz w:val="20"/>
          <w:szCs w:val="20"/>
        </w:rPr>
        <w:t>nificant judgment and may cause variability in the Company’s allowance for credit losses in future periods for trade receivables and financing receivables. See Note 2 of the Notes to the Consolidated Financial Statements for additional information about th</w:t>
      </w:r>
      <w:r>
        <w:rPr>
          <w:rFonts w:ascii="Times New Roman" w:eastAsia="宋体" w:hAnsi="Times New Roman"/>
          <w:color w:val="000000"/>
          <w:sz w:val="20"/>
          <w:szCs w:val="20"/>
        </w:rPr>
        <w:t>e new CECL standard.</w:t>
      </w:r>
    </w:p>
    <w:p w14:paraId="7DD01C33" w14:textId="77777777" w:rsidR="00C1563E" w:rsidRDefault="00C1563E"/>
    <w:p w14:paraId="7DD01C34" w14:textId="77777777" w:rsidR="00C1563E" w:rsidRDefault="000B648B">
      <w:pPr>
        <w:spacing w:after="120"/>
      </w:pPr>
      <w:r>
        <w:rPr>
          <w:rFonts w:ascii="Times New Roman" w:eastAsia="宋体" w:hAnsi="Times New Roman"/>
          <w:color w:val="000000"/>
          <w:sz w:val="20"/>
          <w:szCs w:val="20"/>
        </w:rPr>
        <w:t>The following table presents the Company’s valuation and qualifying accounts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009"/>
        <w:gridCol w:w="37"/>
        <w:gridCol w:w="121"/>
        <w:gridCol w:w="1192"/>
        <w:gridCol w:w="36"/>
        <w:gridCol w:w="36"/>
        <w:gridCol w:w="36"/>
        <w:gridCol w:w="36"/>
        <w:gridCol w:w="121"/>
        <w:gridCol w:w="1181"/>
        <w:gridCol w:w="36"/>
        <w:gridCol w:w="36"/>
        <w:gridCol w:w="36"/>
        <w:gridCol w:w="36"/>
        <w:gridCol w:w="121"/>
        <w:gridCol w:w="1192"/>
        <w:gridCol w:w="36"/>
      </w:tblGrid>
      <w:tr w:rsidR="00C1563E" w14:paraId="7DD01C47" w14:textId="77777777">
        <w:tc>
          <w:tcPr>
            <w:tcW w:w="50" w:type="pct"/>
            <w:shd w:val="clear" w:color="auto" w:fill="auto"/>
          </w:tcPr>
          <w:p w14:paraId="7DD01C35" w14:textId="77777777" w:rsidR="00C1563E" w:rsidRDefault="00C1563E">
            <w:pPr>
              <w:rPr>
                <w:rFonts w:ascii="宋体"/>
              </w:rPr>
            </w:pPr>
          </w:p>
        </w:tc>
        <w:tc>
          <w:tcPr>
            <w:tcW w:w="2459" w:type="pct"/>
            <w:shd w:val="clear" w:color="auto" w:fill="auto"/>
          </w:tcPr>
          <w:p w14:paraId="7DD01C36" w14:textId="77777777" w:rsidR="00C1563E" w:rsidRDefault="00C1563E">
            <w:pPr>
              <w:rPr>
                <w:rFonts w:ascii="宋体"/>
              </w:rPr>
            </w:pPr>
          </w:p>
        </w:tc>
        <w:tc>
          <w:tcPr>
            <w:tcW w:w="5" w:type="pct"/>
            <w:shd w:val="clear" w:color="auto" w:fill="auto"/>
          </w:tcPr>
          <w:p w14:paraId="7DD01C37" w14:textId="77777777" w:rsidR="00C1563E" w:rsidRDefault="00C1563E">
            <w:pPr>
              <w:rPr>
                <w:rFonts w:ascii="宋体"/>
              </w:rPr>
            </w:pPr>
          </w:p>
        </w:tc>
        <w:tc>
          <w:tcPr>
            <w:tcW w:w="50" w:type="pct"/>
            <w:shd w:val="clear" w:color="auto" w:fill="auto"/>
          </w:tcPr>
          <w:p w14:paraId="7DD01C38" w14:textId="77777777" w:rsidR="00C1563E" w:rsidRDefault="00C1563E">
            <w:pPr>
              <w:rPr>
                <w:rFonts w:ascii="宋体"/>
              </w:rPr>
            </w:pPr>
          </w:p>
        </w:tc>
        <w:tc>
          <w:tcPr>
            <w:tcW w:w="756" w:type="pct"/>
            <w:shd w:val="clear" w:color="auto" w:fill="auto"/>
          </w:tcPr>
          <w:p w14:paraId="7DD01C39" w14:textId="77777777" w:rsidR="00C1563E" w:rsidRDefault="00C1563E">
            <w:pPr>
              <w:rPr>
                <w:rFonts w:ascii="宋体"/>
              </w:rPr>
            </w:pPr>
          </w:p>
        </w:tc>
        <w:tc>
          <w:tcPr>
            <w:tcW w:w="5" w:type="pct"/>
            <w:shd w:val="clear" w:color="auto" w:fill="auto"/>
          </w:tcPr>
          <w:p w14:paraId="7DD01C3A" w14:textId="77777777" w:rsidR="00C1563E" w:rsidRDefault="00C1563E">
            <w:pPr>
              <w:rPr>
                <w:rFonts w:ascii="宋体"/>
              </w:rPr>
            </w:pPr>
          </w:p>
        </w:tc>
        <w:tc>
          <w:tcPr>
            <w:tcW w:w="5" w:type="pct"/>
            <w:shd w:val="clear" w:color="auto" w:fill="auto"/>
          </w:tcPr>
          <w:p w14:paraId="7DD01C3B" w14:textId="77777777" w:rsidR="00C1563E" w:rsidRDefault="00C1563E">
            <w:pPr>
              <w:rPr>
                <w:rFonts w:ascii="宋体"/>
              </w:rPr>
            </w:pPr>
          </w:p>
        </w:tc>
        <w:tc>
          <w:tcPr>
            <w:tcW w:w="19" w:type="pct"/>
            <w:shd w:val="clear" w:color="auto" w:fill="auto"/>
          </w:tcPr>
          <w:p w14:paraId="7DD01C3C" w14:textId="77777777" w:rsidR="00C1563E" w:rsidRDefault="00C1563E">
            <w:pPr>
              <w:rPr>
                <w:rFonts w:ascii="宋体"/>
              </w:rPr>
            </w:pPr>
          </w:p>
        </w:tc>
        <w:tc>
          <w:tcPr>
            <w:tcW w:w="5" w:type="pct"/>
            <w:shd w:val="clear" w:color="auto" w:fill="auto"/>
          </w:tcPr>
          <w:p w14:paraId="7DD01C3D" w14:textId="77777777" w:rsidR="00C1563E" w:rsidRDefault="00C1563E">
            <w:pPr>
              <w:rPr>
                <w:rFonts w:ascii="宋体"/>
              </w:rPr>
            </w:pPr>
          </w:p>
        </w:tc>
        <w:tc>
          <w:tcPr>
            <w:tcW w:w="50" w:type="pct"/>
            <w:shd w:val="clear" w:color="auto" w:fill="auto"/>
          </w:tcPr>
          <w:p w14:paraId="7DD01C3E" w14:textId="77777777" w:rsidR="00C1563E" w:rsidRDefault="00C1563E">
            <w:pPr>
              <w:rPr>
                <w:rFonts w:ascii="宋体"/>
              </w:rPr>
            </w:pPr>
          </w:p>
        </w:tc>
        <w:tc>
          <w:tcPr>
            <w:tcW w:w="749" w:type="pct"/>
            <w:shd w:val="clear" w:color="auto" w:fill="auto"/>
          </w:tcPr>
          <w:p w14:paraId="7DD01C3F" w14:textId="77777777" w:rsidR="00C1563E" w:rsidRDefault="00C1563E">
            <w:pPr>
              <w:rPr>
                <w:rFonts w:ascii="宋体"/>
              </w:rPr>
            </w:pPr>
          </w:p>
        </w:tc>
        <w:tc>
          <w:tcPr>
            <w:tcW w:w="5" w:type="pct"/>
            <w:shd w:val="clear" w:color="auto" w:fill="auto"/>
          </w:tcPr>
          <w:p w14:paraId="7DD01C40" w14:textId="77777777" w:rsidR="00C1563E" w:rsidRDefault="00C1563E">
            <w:pPr>
              <w:rPr>
                <w:rFonts w:ascii="宋体"/>
              </w:rPr>
            </w:pPr>
          </w:p>
        </w:tc>
        <w:tc>
          <w:tcPr>
            <w:tcW w:w="5" w:type="pct"/>
            <w:shd w:val="clear" w:color="auto" w:fill="auto"/>
          </w:tcPr>
          <w:p w14:paraId="7DD01C41" w14:textId="77777777" w:rsidR="00C1563E" w:rsidRDefault="00C1563E">
            <w:pPr>
              <w:rPr>
                <w:rFonts w:ascii="宋体"/>
              </w:rPr>
            </w:pPr>
          </w:p>
        </w:tc>
        <w:tc>
          <w:tcPr>
            <w:tcW w:w="19" w:type="pct"/>
            <w:shd w:val="clear" w:color="auto" w:fill="auto"/>
          </w:tcPr>
          <w:p w14:paraId="7DD01C42" w14:textId="77777777" w:rsidR="00C1563E" w:rsidRDefault="00C1563E">
            <w:pPr>
              <w:rPr>
                <w:rFonts w:ascii="宋体"/>
              </w:rPr>
            </w:pPr>
          </w:p>
        </w:tc>
        <w:tc>
          <w:tcPr>
            <w:tcW w:w="5" w:type="pct"/>
            <w:shd w:val="clear" w:color="auto" w:fill="auto"/>
          </w:tcPr>
          <w:p w14:paraId="7DD01C43" w14:textId="77777777" w:rsidR="00C1563E" w:rsidRDefault="00C1563E">
            <w:pPr>
              <w:rPr>
                <w:rFonts w:ascii="宋体"/>
              </w:rPr>
            </w:pPr>
          </w:p>
        </w:tc>
        <w:tc>
          <w:tcPr>
            <w:tcW w:w="50" w:type="pct"/>
            <w:shd w:val="clear" w:color="auto" w:fill="auto"/>
          </w:tcPr>
          <w:p w14:paraId="7DD01C44" w14:textId="77777777" w:rsidR="00C1563E" w:rsidRDefault="00C1563E">
            <w:pPr>
              <w:rPr>
                <w:rFonts w:ascii="宋体"/>
              </w:rPr>
            </w:pPr>
          </w:p>
        </w:tc>
        <w:tc>
          <w:tcPr>
            <w:tcW w:w="756" w:type="pct"/>
            <w:shd w:val="clear" w:color="auto" w:fill="auto"/>
          </w:tcPr>
          <w:p w14:paraId="7DD01C45" w14:textId="77777777" w:rsidR="00C1563E" w:rsidRDefault="00C1563E">
            <w:pPr>
              <w:rPr>
                <w:rFonts w:ascii="宋体"/>
              </w:rPr>
            </w:pPr>
          </w:p>
        </w:tc>
        <w:tc>
          <w:tcPr>
            <w:tcW w:w="5" w:type="pct"/>
            <w:shd w:val="clear" w:color="auto" w:fill="auto"/>
          </w:tcPr>
          <w:p w14:paraId="7DD01C46" w14:textId="77777777" w:rsidR="00C1563E" w:rsidRDefault="00C1563E">
            <w:pPr>
              <w:rPr>
                <w:rFonts w:ascii="宋体"/>
              </w:rPr>
            </w:pPr>
          </w:p>
        </w:tc>
      </w:tr>
      <w:tr w:rsidR="00C1563E" w14:paraId="7DD01C4A" w14:textId="77777777">
        <w:tc>
          <w:tcPr>
            <w:tcW w:w="0" w:type="auto"/>
            <w:gridSpan w:val="3"/>
            <w:shd w:val="clear" w:color="auto" w:fill="auto"/>
            <w:tcMar>
              <w:top w:w="0" w:type="dxa"/>
              <w:left w:w="20" w:type="dxa"/>
              <w:bottom w:w="0" w:type="dxa"/>
              <w:right w:w="20" w:type="dxa"/>
            </w:tcMar>
          </w:tcPr>
          <w:p w14:paraId="7DD01C48"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C49"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C51" w14:textId="77777777">
        <w:tc>
          <w:tcPr>
            <w:tcW w:w="0" w:type="auto"/>
            <w:gridSpan w:val="3"/>
            <w:shd w:val="clear" w:color="auto" w:fill="auto"/>
            <w:tcMar>
              <w:top w:w="0" w:type="dxa"/>
              <w:left w:w="20" w:type="dxa"/>
              <w:bottom w:w="0" w:type="dxa"/>
              <w:right w:w="20" w:type="dxa"/>
            </w:tcMar>
          </w:tcPr>
          <w:p w14:paraId="7DD01C4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C4C"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C4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C4E"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C4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C50"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C54" w14:textId="77777777">
        <w:tc>
          <w:tcPr>
            <w:tcW w:w="0" w:type="auto"/>
            <w:gridSpan w:val="3"/>
            <w:shd w:val="clear" w:color="auto" w:fill="auto"/>
            <w:tcMar>
              <w:top w:w="0" w:type="dxa"/>
              <w:left w:w="20" w:type="dxa"/>
              <w:bottom w:w="0" w:type="dxa"/>
              <w:right w:w="20" w:type="dxa"/>
            </w:tcMar>
          </w:tcPr>
          <w:p w14:paraId="7DD01C52"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C5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C5B" w14:textId="77777777">
        <w:tc>
          <w:tcPr>
            <w:tcW w:w="0" w:type="auto"/>
            <w:gridSpan w:val="3"/>
            <w:shd w:val="clear" w:color="auto" w:fill="CCEEFF"/>
            <w:tcMar>
              <w:top w:w="40" w:type="dxa"/>
              <w:left w:w="20" w:type="dxa"/>
              <w:bottom w:w="40" w:type="dxa"/>
              <w:right w:w="20" w:type="dxa"/>
            </w:tcMar>
            <w:vAlign w:val="bottom"/>
          </w:tcPr>
          <w:p w14:paraId="7DD01C55" w14:textId="77777777" w:rsidR="00C1563E" w:rsidRDefault="000B648B">
            <w:pPr>
              <w:textAlignment w:val="bottom"/>
            </w:pPr>
            <w:r>
              <w:rPr>
                <w:rFonts w:ascii="Times New Roman" w:eastAsia="宋体" w:hAnsi="Times New Roman"/>
                <w:i/>
                <w:iCs/>
                <w:color w:val="000000"/>
                <w:sz w:val="20"/>
                <w:szCs w:val="20"/>
              </w:rPr>
              <w:t xml:space="preserve">Trade Receivables </w:t>
            </w:r>
            <w:r>
              <w:rPr>
                <w:rFonts w:ascii="Times New Roman" w:eastAsia="宋体" w:hAnsi="Times New Roman"/>
                <w:b/>
                <w:bCs/>
                <w:i/>
                <w:iCs/>
                <w:color w:val="000000"/>
                <w:sz w:val="20"/>
                <w:szCs w:val="20"/>
              </w:rPr>
              <w:t>—</w:t>
            </w:r>
            <w:r>
              <w:rPr>
                <w:rFonts w:ascii="Times New Roman" w:eastAsia="宋体" w:hAnsi="Times New Roman"/>
                <w:i/>
                <w:iCs/>
                <w:color w:val="000000"/>
                <w:sz w:val="20"/>
                <w:szCs w:val="20"/>
              </w:rPr>
              <w:t xml:space="preserve"> Allowance for expected credit losses:</w:t>
            </w:r>
          </w:p>
        </w:tc>
        <w:tc>
          <w:tcPr>
            <w:tcW w:w="0" w:type="auto"/>
            <w:gridSpan w:val="3"/>
            <w:shd w:val="clear" w:color="auto" w:fill="CCEEFF"/>
            <w:tcMar>
              <w:top w:w="0" w:type="dxa"/>
              <w:left w:w="20" w:type="dxa"/>
              <w:bottom w:w="0" w:type="dxa"/>
              <w:right w:w="20" w:type="dxa"/>
            </w:tcMar>
          </w:tcPr>
          <w:p w14:paraId="7DD01C5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5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5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5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5A" w14:textId="77777777" w:rsidR="00C1563E" w:rsidRDefault="00C1563E">
            <w:pPr>
              <w:rPr>
                <w:rFonts w:ascii="宋体"/>
              </w:rPr>
            </w:pPr>
          </w:p>
        </w:tc>
      </w:tr>
      <w:tr w:rsidR="00C1563E" w14:paraId="7DD01C68" w14:textId="77777777">
        <w:tc>
          <w:tcPr>
            <w:tcW w:w="0" w:type="auto"/>
            <w:gridSpan w:val="3"/>
            <w:shd w:val="clear" w:color="auto" w:fill="FFFFFF"/>
            <w:tcMar>
              <w:top w:w="40" w:type="dxa"/>
              <w:left w:w="20" w:type="dxa"/>
              <w:bottom w:w="40" w:type="dxa"/>
              <w:right w:w="20" w:type="dxa"/>
            </w:tcMar>
            <w:vAlign w:val="bottom"/>
          </w:tcPr>
          <w:p w14:paraId="7DD01C5C" w14:textId="77777777" w:rsidR="00C1563E" w:rsidRDefault="000B648B">
            <w:pPr>
              <w:textAlignment w:val="bottom"/>
            </w:pPr>
            <w:r>
              <w:rPr>
                <w:rFonts w:ascii="Times New Roman" w:eastAsia="宋体" w:hAnsi="Times New Roman"/>
                <w:color w:val="000000"/>
                <w:sz w:val="20"/>
                <w:szCs w:val="20"/>
              </w:rPr>
              <w:t>Balance at beginning of period</w:t>
            </w:r>
          </w:p>
        </w:tc>
        <w:tc>
          <w:tcPr>
            <w:tcW w:w="0" w:type="auto"/>
            <w:shd w:val="clear" w:color="auto" w:fill="FFFFFF"/>
            <w:tcMar>
              <w:top w:w="40" w:type="dxa"/>
              <w:left w:w="20" w:type="dxa"/>
              <w:bottom w:w="40" w:type="dxa"/>
              <w:right w:w="0" w:type="dxa"/>
            </w:tcMar>
            <w:vAlign w:val="bottom"/>
          </w:tcPr>
          <w:p w14:paraId="7DD01C5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5E" w14:textId="77777777" w:rsidR="00C1563E" w:rsidRDefault="000B648B">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7DD01C5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6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C6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62" w14:textId="77777777" w:rsidR="00C1563E" w:rsidRDefault="000B648B">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7DD01C6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6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C6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66" w14:textId="77777777" w:rsidR="00C1563E" w:rsidRDefault="000B648B">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7DD01C67" w14:textId="77777777" w:rsidR="00C1563E" w:rsidRDefault="00C1563E">
            <w:pPr>
              <w:jc w:val="right"/>
              <w:rPr>
                <w:rFonts w:ascii="宋体"/>
              </w:rPr>
            </w:pPr>
          </w:p>
        </w:tc>
      </w:tr>
      <w:tr w:rsidR="00C1563E" w14:paraId="7DD01C72" w14:textId="77777777">
        <w:tc>
          <w:tcPr>
            <w:tcW w:w="0" w:type="auto"/>
            <w:gridSpan w:val="3"/>
            <w:shd w:val="clear" w:color="auto" w:fill="CCEEFF"/>
            <w:tcMar>
              <w:top w:w="40" w:type="dxa"/>
              <w:left w:w="20" w:type="dxa"/>
              <w:bottom w:w="40" w:type="dxa"/>
              <w:right w:w="20" w:type="dxa"/>
            </w:tcMar>
            <w:vAlign w:val="bottom"/>
          </w:tcPr>
          <w:p w14:paraId="7DD01C69" w14:textId="77777777" w:rsidR="00C1563E" w:rsidRDefault="000B648B">
            <w:pPr>
              <w:textAlignment w:val="bottom"/>
            </w:pPr>
            <w:r>
              <w:rPr>
                <w:rFonts w:ascii="Times New Roman" w:eastAsia="宋体" w:hAnsi="Times New Roman"/>
                <w:color w:val="000000"/>
                <w:sz w:val="20"/>
                <w:szCs w:val="20"/>
              </w:rPr>
              <w:t>Adjustment for adoption of the new CECL standard (Note 2)</w:t>
            </w:r>
          </w:p>
        </w:tc>
        <w:tc>
          <w:tcPr>
            <w:tcW w:w="0" w:type="auto"/>
            <w:gridSpan w:val="2"/>
            <w:shd w:val="clear" w:color="auto" w:fill="CCEEFF"/>
            <w:tcMar>
              <w:top w:w="40" w:type="dxa"/>
              <w:left w:w="20" w:type="dxa"/>
              <w:bottom w:w="40" w:type="dxa"/>
              <w:right w:w="0" w:type="dxa"/>
            </w:tcMar>
            <w:vAlign w:val="bottom"/>
          </w:tcPr>
          <w:p w14:paraId="7DD01C6A" w14:textId="77777777" w:rsidR="00C1563E" w:rsidRDefault="000B648B">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DD01C6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6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6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C6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6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7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C71" w14:textId="77777777" w:rsidR="00C1563E" w:rsidRDefault="00C1563E">
            <w:pPr>
              <w:jc w:val="right"/>
              <w:rPr>
                <w:rFonts w:ascii="宋体"/>
              </w:rPr>
            </w:pPr>
          </w:p>
        </w:tc>
      </w:tr>
      <w:tr w:rsidR="00C1563E" w14:paraId="7DD01C79" w14:textId="77777777">
        <w:trPr>
          <w:hidden/>
        </w:trPr>
        <w:tc>
          <w:tcPr>
            <w:tcW w:w="0" w:type="auto"/>
            <w:gridSpan w:val="3"/>
            <w:shd w:val="clear" w:color="auto" w:fill="auto"/>
          </w:tcPr>
          <w:p w14:paraId="7DD01C73" w14:textId="77777777" w:rsidR="00C1563E" w:rsidRDefault="00C1563E">
            <w:pPr>
              <w:rPr>
                <w:rFonts w:ascii="宋体"/>
                <w:vanish/>
              </w:rPr>
            </w:pPr>
          </w:p>
        </w:tc>
        <w:tc>
          <w:tcPr>
            <w:tcW w:w="0" w:type="auto"/>
            <w:gridSpan w:val="3"/>
            <w:shd w:val="clear" w:color="auto" w:fill="auto"/>
          </w:tcPr>
          <w:p w14:paraId="7DD01C74" w14:textId="77777777" w:rsidR="00C1563E" w:rsidRDefault="00C1563E">
            <w:pPr>
              <w:rPr>
                <w:rFonts w:ascii="宋体"/>
                <w:vanish/>
              </w:rPr>
            </w:pPr>
          </w:p>
        </w:tc>
        <w:tc>
          <w:tcPr>
            <w:tcW w:w="0" w:type="auto"/>
            <w:gridSpan w:val="3"/>
            <w:shd w:val="clear" w:color="auto" w:fill="auto"/>
          </w:tcPr>
          <w:p w14:paraId="7DD01C75" w14:textId="77777777" w:rsidR="00C1563E" w:rsidRDefault="00C1563E">
            <w:pPr>
              <w:rPr>
                <w:rFonts w:ascii="宋体"/>
                <w:vanish/>
              </w:rPr>
            </w:pPr>
          </w:p>
        </w:tc>
        <w:tc>
          <w:tcPr>
            <w:tcW w:w="0" w:type="auto"/>
            <w:gridSpan w:val="3"/>
            <w:shd w:val="clear" w:color="auto" w:fill="auto"/>
          </w:tcPr>
          <w:p w14:paraId="7DD01C76" w14:textId="77777777" w:rsidR="00C1563E" w:rsidRDefault="00C1563E">
            <w:pPr>
              <w:rPr>
                <w:rFonts w:ascii="宋体"/>
                <w:vanish/>
              </w:rPr>
            </w:pPr>
          </w:p>
        </w:tc>
        <w:tc>
          <w:tcPr>
            <w:tcW w:w="0" w:type="auto"/>
            <w:gridSpan w:val="3"/>
            <w:shd w:val="clear" w:color="auto" w:fill="auto"/>
          </w:tcPr>
          <w:p w14:paraId="7DD01C77" w14:textId="77777777" w:rsidR="00C1563E" w:rsidRDefault="00C1563E">
            <w:pPr>
              <w:rPr>
                <w:rFonts w:ascii="宋体"/>
                <w:vanish/>
              </w:rPr>
            </w:pPr>
          </w:p>
        </w:tc>
        <w:tc>
          <w:tcPr>
            <w:tcW w:w="0" w:type="auto"/>
            <w:gridSpan w:val="3"/>
            <w:shd w:val="clear" w:color="auto" w:fill="auto"/>
          </w:tcPr>
          <w:p w14:paraId="7DD01C78" w14:textId="77777777" w:rsidR="00C1563E" w:rsidRDefault="00C1563E">
            <w:pPr>
              <w:rPr>
                <w:rFonts w:ascii="宋体"/>
                <w:vanish/>
              </w:rPr>
            </w:pPr>
          </w:p>
        </w:tc>
      </w:tr>
      <w:tr w:rsidR="00C1563E" w14:paraId="7DD01C83" w14:textId="77777777">
        <w:tc>
          <w:tcPr>
            <w:tcW w:w="0" w:type="auto"/>
            <w:gridSpan w:val="3"/>
            <w:shd w:val="clear" w:color="auto" w:fill="FFFFFF"/>
            <w:tcMar>
              <w:top w:w="40" w:type="dxa"/>
              <w:left w:w="140" w:type="dxa"/>
              <w:bottom w:w="40" w:type="dxa"/>
              <w:right w:w="20" w:type="dxa"/>
            </w:tcMar>
            <w:vAlign w:val="bottom"/>
          </w:tcPr>
          <w:p w14:paraId="7DD01C7A" w14:textId="77777777" w:rsidR="00C1563E" w:rsidRDefault="000B648B">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7DD01C7B" w14:textId="77777777" w:rsidR="00C1563E" w:rsidRDefault="000B648B">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7DD01C7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7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7E" w14:textId="77777777" w:rsidR="00C1563E" w:rsidRDefault="000B648B">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DD01C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8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81" w14:textId="77777777" w:rsidR="00C1563E" w:rsidRDefault="000B648B">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7DD01C82" w14:textId="77777777" w:rsidR="00C1563E" w:rsidRDefault="00C1563E">
            <w:pPr>
              <w:jc w:val="right"/>
              <w:rPr>
                <w:rFonts w:ascii="宋体"/>
              </w:rPr>
            </w:pPr>
          </w:p>
        </w:tc>
      </w:tr>
      <w:tr w:rsidR="00C1563E" w14:paraId="7DD01C8D" w14:textId="77777777">
        <w:tc>
          <w:tcPr>
            <w:tcW w:w="0" w:type="auto"/>
            <w:gridSpan w:val="3"/>
            <w:shd w:val="clear" w:color="auto" w:fill="CCEEFF"/>
            <w:tcMar>
              <w:top w:w="40" w:type="dxa"/>
              <w:left w:w="140" w:type="dxa"/>
              <w:bottom w:w="40" w:type="dxa"/>
              <w:right w:w="20" w:type="dxa"/>
            </w:tcMar>
            <w:vAlign w:val="bottom"/>
          </w:tcPr>
          <w:p w14:paraId="7DD01C84" w14:textId="77777777" w:rsidR="00C1563E" w:rsidRDefault="000B648B">
            <w:pPr>
              <w:textAlignment w:val="bottom"/>
            </w:pPr>
            <w:r>
              <w:rPr>
                <w:rFonts w:ascii="Times New Roman" w:eastAsia="宋体" w:hAnsi="Times New Roman"/>
                <w:color w:val="000000"/>
                <w:sz w:val="20"/>
                <w:szCs w:val="20"/>
              </w:rPr>
              <w:t>Bad debt write-offs</w:t>
            </w:r>
          </w:p>
        </w:tc>
        <w:tc>
          <w:tcPr>
            <w:tcW w:w="0" w:type="auto"/>
            <w:gridSpan w:val="2"/>
            <w:shd w:val="clear" w:color="auto" w:fill="CCEEFF"/>
            <w:tcMar>
              <w:top w:w="40" w:type="dxa"/>
              <w:left w:w="20" w:type="dxa"/>
              <w:bottom w:w="40" w:type="dxa"/>
              <w:right w:w="0" w:type="dxa"/>
            </w:tcMar>
            <w:vAlign w:val="bottom"/>
          </w:tcPr>
          <w:p w14:paraId="7DD01C85" w14:textId="77777777" w:rsidR="00C1563E" w:rsidRDefault="000B648B">
            <w:pPr>
              <w:jc w:val="right"/>
              <w:textAlignment w:val="bottom"/>
            </w:pPr>
            <w:r>
              <w:rPr>
                <w:rFonts w:ascii="Times New Roman" w:eastAsia="宋体" w:hAnsi="Times New Roman"/>
                <w:color w:val="000000"/>
                <w:sz w:val="20"/>
                <w:szCs w:val="20"/>
              </w:rPr>
              <w:t>(62)</w:t>
            </w:r>
          </w:p>
        </w:tc>
        <w:tc>
          <w:tcPr>
            <w:tcW w:w="0" w:type="auto"/>
            <w:shd w:val="clear" w:color="auto" w:fill="CCEEFF"/>
            <w:tcMar>
              <w:top w:w="40" w:type="dxa"/>
              <w:left w:w="0" w:type="dxa"/>
              <w:bottom w:w="40" w:type="dxa"/>
              <w:right w:w="20" w:type="dxa"/>
            </w:tcMar>
            <w:vAlign w:val="bottom"/>
          </w:tcPr>
          <w:p w14:paraId="7DD01C8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8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88" w14:textId="77777777" w:rsidR="00C1563E" w:rsidRDefault="000B648B">
            <w:pPr>
              <w:jc w:val="right"/>
              <w:textAlignment w:val="bottom"/>
            </w:pPr>
            <w:r>
              <w:rPr>
                <w:rFonts w:ascii="Times New Roman" w:eastAsia="宋体" w:hAnsi="Times New Roman"/>
                <w:color w:val="000000"/>
                <w:sz w:val="20"/>
                <w:szCs w:val="20"/>
              </w:rPr>
              <w:t>(62)</w:t>
            </w:r>
          </w:p>
        </w:tc>
        <w:tc>
          <w:tcPr>
            <w:tcW w:w="0" w:type="auto"/>
            <w:shd w:val="clear" w:color="auto" w:fill="CCEEFF"/>
            <w:tcMar>
              <w:top w:w="40" w:type="dxa"/>
              <w:left w:w="0" w:type="dxa"/>
              <w:bottom w:w="40" w:type="dxa"/>
              <w:right w:w="20" w:type="dxa"/>
            </w:tcMar>
            <w:vAlign w:val="bottom"/>
          </w:tcPr>
          <w:p w14:paraId="7DD01C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8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8B" w14:textId="77777777" w:rsidR="00C1563E" w:rsidRDefault="000B648B">
            <w:pPr>
              <w:jc w:val="right"/>
              <w:textAlignment w:val="bottom"/>
            </w:pPr>
            <w:r>
              <w:rPr>
                <w:rFonts w:ascii="Times New Roman" w:eastAsia="宋体" w:hAnsi="Times New Roman"/>
                <w:color w:val="000000"/>
                <w:sz w:val="20"/>
                <w:szCs w:val="20"/>
              </w:rPr>
              <w:t>(95)</w:t>
            </w:r>
          </w:p>
        </w:tc>
        <w:tc>
          <w:tcPr>
            <w:tcW w:w="0" w:type="auto"/>
            <w:shd w:val="clear" w:color="auto" w:fill="CCEEFF"/>
            <w:tcMar>
              <w:top w:w="40" w:type="dxa"/>
              <w:left w:w="0" w:type="dxa"/>
              <w:bottom w:w="40" w:type="dxa"/>
              <w:right w:w="20" w:type="dxa"/>
            </w:tcMar>
            <w:vAlign w:val="bottom"/>
          </w:tcPr>
          <w:p w14:paraId="7DD01C8C" w14:textId="77777777" w:rsidR="00C1563E" w:rsidRDefault="00C1563E">
            <w:pPr>
              <w:jc w:val="right"/>
              <w:rPr>
                <w:rFonts w:ascii="宋体"/>
              </w:rPr>
            </w:pPr>
          </w:p>
        </w:tc>
      </w:tr>
      <w:tr w:rsidR="00C1563E" w14:paraId="7DD01C9A" w14:textId="77777777">
        <w:tc>
          <w:tcPr>
            <w:tcW w:w="0" w:type="auto"/>
            <w:gridSpan w:val="3"/>
            <w:shd w:val="clear" w:color="auto" w:fill="FFFFFF"/>
            <w:tcMar>
              <w:top w:w="40" w:type="dxa"/>
              <w:left w:w="20" w:type="dxa"/>
              <w:bottom w:w="40" w:type="dxa"/>
              <w:right w:w="20" w:type="dxa"/>
            </w:tcMar>
            <w:vAlign w:val="bottom"/>
          </w:tcPr>
          <w:p w14:paraId="7DD01C8E" w14:textId="77777777" w:rsidR="00C1563E" w:rsidRDefault="000B648B">
            <w:pPr>
              <w:textAlignment w:val="bottom"/>
            </w:pPr>
            <w:r>
              <w:rPr>
                <w:rFonts w:ascii="Times New Roman" w:eastAsia="宋体" w:hAnsi="Times New Roman"/>
                <w:color w:val="000000"/>
                <w:sz w:val="20"/>
                <w:szCs w:val="20"/>
              </w:rPr>
              <w:t>Balance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C8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C90" w14:textId="77777777" w:rsidR="00C1563E" w:rsidRDefault="000B648B">
            <w:pPr>
              <w:jc w:val="right"/>
              <w:textAlignment w:val="bottom"/>
            </w:pPr>
            <w:r>
              <w:rPr>
                <w:rFonts w:ascii="Times New Roman" w:eastAsia="宋体" w:hAnsi="Times New Roman"/>
                <w:color w:val="000000"/>
                <w:sz w:val="20"/>
                <w:szCs w:val="20"/>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C9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92"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C9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C94" w14:textId="77777777" w:rsidR="00C1563E" w:rsidRDefault="000B648B">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C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96"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C9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C98" w14:textId="77777777" w:rsidR="00C1563E" w:rsidRDefault="000B648B">
            <w:pPr>
              <w:jc w:val="right"/>
              <w:textAlignment w:val="bottom"/>
            </w:pPr>
            <w:r>
              <w:rPr>
                <w:rFonts w:ascii="Times New Roman" w:eastAsia="宋体" w:hAnsi="Times New Roman"/>
                <w:color w:val="000000"/>
                <w:sz w:val="20"/>
                <w:szCs w:val="20"/>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C99" w14:textId="77777777" w:rsidR="00C1563E" w:rsidRDefault="00C1563E">
            <w:pPr>
              <w:jc w:val="right"/>
              <w:rPr>
                <w:rFonts w:ascii="宋体"/>
              </w:rPr>
            </w:pPr>
          </w:p>
        </w:tc>
      </w:tr>
      <w:tr w:rsidR="00C1563E" w14:paraId="7DD01CA1" w14:textId="77777777">
        <w:trPr>
          <w:trHeight w:val="300"/>
        </w:trPr>
        <w:tc>
          <w:tcPr>
            <w:tcW w:w="0" w:type="auto"/>
            <w:gridSpan w:val="3"/>
            <w:shd w:val="clear" w:color="auto" w:fill="CCEEFF"/>
            <w:tcMar>
              <w:top w:w="0" w:type="dxa"/>
              <w:left w:w="20" w:type="dxa"/>
              <w:bottom w:w="0" w:type="dxa"/>
              <w:right w:w="20" w:type="dxa"/>
            </w:tcMar>
          </w:tcPr>
          <w:p w14:paraId="7DD01C9B"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C9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9D"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C9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9F"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CA0" w14:textId="77777777" w:rsidR="00C1563E" w:rsidRDefault="00C1563E">
            <w:pPr>
              <w:rPr>
                <w:rFonts w:ascii="宋体"/>
              </w:rPr>
            </w:pPr>
          </w:p>
        </w:tc>
      </w:tr>
      <w:tr w:rsidR="00C1563E" w14:paraId="7DD01CA8" w14:textId="77777777">
        <w:tc>
          <w:tcPr>
            <w:tcW w:w="0" w:type="auto"/>
            <w:gridSpan w:val="3"/>
            <w:shd w:val="clear" w:color="auto" w:fill="FFFFFF"/>
            <w:tcMar>
              <w:top w:w="40" w:type="dxa"/>
              <w:left w:w="20" w:type="dxa"/>
              <w:bottom w:w="40" w:type="dxa"/>
              <w:right w:w="20" w:type="dxa"/>
            </w:tcMar>
            <w:vAlign w:val="bottom"/>
          </w:tcPr>
          <w:p w14:paraId="7DD01CA2" w14:textId="77777777" w:rsidR="00C1563E" w:rsidRDefault="000B648B">
            <w:pPr>
              <w:textAlignment w:val="bottom"/>
            </w:pPr>
            <w:r>
              <w:rPr>
                <w:rFonts w:ascii="Times New Roman" w:eastAsia="宋体" w:hAnsi="Times New Roman"/>
                <w:i/>
                <w:iCs/>
                <w:color w:val="000000"/>
                <w:sz w:val="20"/>
                <w:szCs w:val="20"/>
              </w:rPr>
              <w:t>Customer Financing Receivables — Allowance for financing receivable losses:</w:t>
            </w:r>
          </w:p>
        </w:tc>
        <w:tc>
          <w:tcPr>
            <w:tcW w:w="0" w:type="auto"/>
            <w:gridSpan w:val="3"/>
            <w:shd w:val="clear" w:color="auto" w:fill="FFFFFF"/>
            <w:tcMar>
              <w:top w:w="0" w:type="dxa"/>
              <w:left w:w="20" w:type="dxa"/>
              <w:bottom w:w="0" w:type="dxa"/>
              <w:right w:w="20" w:type="dxa"/>
            </w:tcMar>
          </w:tcPr>
          <w:p w14:paraId="7DD01CA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A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A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A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A7" w14:textId="77777777" w:rsidR="00C1563E" w:rsidRDefault="00C1563E">
            <w:pPr>
              <w:rPr>
                <w:rFonts w:ascii="宋体"/>
              </w:rPr>
            </w:pPr>
          </w:p>
        </w:tc>
      </w:tr>
      <w:tr w:rsidR="00C1563E" w14:paraId="7DD01CB5" w14:textId="77777777">
        <w:tc>
          <w:tcPr>
            <w:tcW w:w="0" w:type="auto"/>
            <w:gridSpan w:val="3"/>
            <w:shd w:val="clear" w:color="auto" w:fill="CCEEFF"/>
            <w:tcMar>
              <w:top w:w="40" w:type="dxa"/>
              <w:left w:w="20" w:type="dxa"/>
              <w:bottom w:w="40" w:type="dxa"/>
              <w:right w:w="20" w:type="dxa"/>
            </w:tcMar>
            <w:vAlign w:val="bottom"/>
          </w:tcPr>
          <w:p w14:paraId="7DD01CA9" w14:textId="77777777" w:rsidR="00C1563E" w:rsidRDefault="000B648B">
            <w:pPr>
              <w:textAlignment w:val="bottom"/>
            </w:pPr>
            <w:r>
              <w:rPr>
                <w:rFonts w:ascii="Times New Roman" w:eastAsia="宋体" w:hAnsi="Times New Roman"/>
                <w:color w:val="000000"/>
                <w:sz w:val="20"/>
                <w:szCs w:val="20"/>
              </w:rPr>
              <w:t>Balance at beginning of period</w:t>
            </w:r>
          </w:p>
        </w:tc>
        <w:tc>
          <w:tcPr>
            <w:tcW w:w="0" w:type="auto"/>
            <w:shd w:val="clear" w:color="auto" w:fill="CCEEFF"/>
            <w:tcMar>
              <w:top w:w="40" w:type="dxa"/>
              <w:left w:w="20" w:type="dxa"/>
              <w:bottom w:w="40" w:type="dxa"/>
              <w:right w:w="0" w:type="dxa"/>
            </w:tcMar>
            <w:vAlign w:val="bottom"/>
          </w:tcPr>
          <w:p w14:paraId="7DD01CA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CAB" w14:textId="77777777" w:rsidR="00C1563E" w:rsidRDefault="000B648B">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7DD01CA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A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CA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CAF" w14:textId="77777777" w:rsidR="00C1563E" w:rsidRDefault="000B648B">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7DD01CB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B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CB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CB3" w14:textId="77777777" w:rsidR="00C1563E" w:rsidRDefault="000B648B">
            <w:pPr>
              <w:jc w:val="right"/>
              <w:textAlignment w:val="bottom"/>
            </w:pPr>
            <w:r>
              <w:rPr>
                <w:rFonts w:ascii="Times New Roman" w:eastAsia="宋体" w:hAnsi="Times New Roman"/>
                <w:color w:val="000000"/>
                <w:sz w:val="20"/>
                <w:szCs w:val="20"/>
              </w:rPr>
              <w:t>145 </w:t>
            </w:r>
          </w:p>
        </w:tc>
        <w:tc>
          <w:tcPr>
            <w:tcW w:w="0" w:type="auto"/>
            <w:shd w:val="clear" w:color="auto" w:fill="CCEEFF"/>
            <w:tcMar>
              <w:top w:w="40" w:type="dxa"/>
              <w:left w:w="0" w:type="dxa"/>
              <w:bottom w:w="40" w:type="dxa"/>
              <w:right w:w="20" w:type="dxa"/>
            </w:tcMar>
            <w:vAlign w:val="bottom"/>
          </w:tcPr>
          <w:p w14:paraId="7DD01CB4" w14:textId="77777777" w:rsidR="00C1563E" w:rsidRDefault="00C1563E">
            <w:pPr>
              <w:jc w:val="right"/>
              <w:rPr>
                <w:rFonts w:ascii="宋体"/>
              </w:rPr>
            </w:pPr>
          </w:p>
        </w:tc>
      </w:tr>
      <w:tr w:rsidR="00C1563E" w14:paraId="7DD01CBF" w14:textId="77777777">
        <w:tc>
          <w:tcPr>
            <w:tcW w:w="0" w:type="auto"/>
            <w:gridSpan w:val="3"/>
            <w:shd w:val="clear" w:color="auto" w:fill="FFFFFF"/>
            <w:tcMar>
              <w:top w:w="40" w:type="dxa"/>
              <w:left w:w="20" w:type="dxa"/>
              <w:bottom w:w="40" w:type="dxa"/>
              <w:right w:w="20" w:type="dxa"/>
            </w:tcMar>
            <w:vAlign w:val="bottom"/>
          </w:tcPr>
          <w:p w14:paraId="7DD01CB6" w14:textId="77777777" w:rsidR="00C1563E" w:rsidRDefault="000B648B">
            <w:pPr>
              <w:textAlignment w:val="bottom"/>
            </w:pPr>
            <w:r>
              <w:rPr>
                <w:rFonts w:ascii="Times New Roman" w:eastAsia="宋体" w:hAnsi="Times New Roman"/>
                <w:color w:val="000000"/>
                <w:sz w:val="20"/>
                <w:szCs w:val="20"/>
              </w:rPr>
              <w:t>Adjustment for adoption of the new CECL standard (Note 2)</w:t>
            </w:r>
          </w:p>
        </w:tc>
        <w:tc>
          <w:tcPr>
            <w:tcW w:w="0" w:type="auto"/>
            <w:gridSpan w:val="2"/>
            <w:shd w:val="clear" w:color="auto" w:fill="FFFFFF"/>
            <w:tcMar>
              <w:top w:w="40" w:type="dxa"/>
              <w:left w:w="20" w:type="dxa"/>
              <w:bottom w:w="40" w:type="dxa"/>
              <w:right w:w="0" w:type="dxa"/>
            </w:tcMar>
            <w:vAlign w:val="bottom"/>
          </w:tcPr>
          <w:p w14:paraId="7DD01CB7" w14:textId="77777777" w:rsidR="00C1563E" w:rsidRDefault="000B648B">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7DD01CB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B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B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CB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B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B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CBE" w14:textId="77777777" w:rsidR="00C1563E" w:rsidRDefault="00C1563E">
            <w:pPr>
              <w:jc w:val="right"/>
              <w:rPr>
                <w:rFonts w:ascii="宋体"/>
              </w:rPr>
            </w:pPr>
          </w:p>
        </w:tc>
      </w:tr>
      <w:tr w:rsidR="00C1563E" w14:paraId="7DD01CC9" w14:textId="77777777">
        <w:tc>
          <w:tcPr>
            <w:tcW w:w="0" w:type="auto"/>
            <w:gridSpan w:val="3"/>
            <w:shd w:val="clear" w:color="auto" w:fill="CCEEFF"/>
            <w:tcMar>
              <w:top w:w="40" w:type="dxa"/>
              <w:left w:w="140" w:type="dxa"/>
              <w:bottom w:w="40" w:type="dxa"/>
              <w:right w:w="20" w:type="dxa"/>
            </w:tcMar>
            <w:vAlign w:val="bottom"/>
          </w:tcPr>
          <w:p w14:paraId="7DD01CC0" w14:textId="77777777" w:rsidR="00C1563E" w:rsidRDefault="000B648B">
            <w:pPr>
              <w:textAlignment w:val="bottom"/>
            </w:pPr>
            <w:r>
              <w:rPr>
                <w:rFonts w:ascii="Times New Roman" w:eastAsia="宋体" w:hAnsi="Times New Roman"/>
                <w:color w:val="000000"/>
                <w:sz w:val="20"/>
                <w:szCs w:val="20"/>
              </w:rPr>
              <w:t>Charge-offs, net of recoveries (a)</w:t>
            </w:r>
          </w:p>
        </w:tc>
        <w:tc>
          <w:tcPr>
            <w:tcW w:w="0" w:type="auto"/>
            <w:gridSpan w:val="2"/>
            <w:shd w:val="clear" w:color="auto" w:fill="CCEEFF"/>
            <w:tcMar>
              <w:top w:w="40" w:type="dxa"/>
              <w:left w:w="20" w:type="dxa"/>
              <w:bottom w:w="40" w:type="dxa"/>
              <w:right w:w="0" w:type="dxa"/>
            </w:tcMar>
            <w:vAlign w:val="bottom"/>
          </w:tcPr>
          <w:p w14:paraId="7DD01CC1" w14:textId="77777777" w:rsidR="00C1563E" w:rsidRDefault="000B648B">
            <w:pPr>
              <w:jc w:val="right"/>
              <w:textAlignment w:val="bottom"/>
            </w:pPr>
            <w:r>
              <w:rPr>
                <w:rFonts w:ascii="Times New Roman" w:eastAsia="宋体" w:hAnsi="Times New Roman"/>
                <w:color w:val="000000"/>
                <w:sz w:val="20"/>
                <w:szCs w:val="20"/>
              </w:rPr>
              <w:t>(91)</w:t>
            </w:r>
          </w:p>
        </w:tc>
        <w:tc>
          <w:tcPr>
            <w:tcW w:w="0" w:type="auto"/>
            <w:shd w:val="clear" w:color="auto" w:fill="CCEEFF"/>
            <w:tcMar>
              <w:top w:w="40" w:type="dxa"/>
              <w:left w:w="0" w:type="dxa"/>
              <w:bottom w:w="40" w:type="dxa"/>
              <w:right w:w="20" w:type="dxa"/>
            </w:tcMar>
            <w:vAlign w:val="bottom"/>
          </w:tcPr>
          <w:p w14:paraId="7DD01CC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C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CC4" w14:textId="77777777" w:rsidR="00C1563E" w:rsidRDefault="000B648B">
            <w:pPr>
              <w:jc w:val="right"/>
              <w:textAlignment w:val="bottom"/>
            </w:pPr>
            <w:r>
              <w:rPr>
                <w:rFonts w:ascii="Times New Roman" w:eastAsia="宋体" w:hAnsi="Times New Roman"/>
                <w:color w:val="000000"/>
                <w:sz w:val="20"/>
                <w:szCs w:val="20"/>
              </w:rPr>
              <w:t>(94)</w:t>
            </w:r>
          </w:p>
        </w:tc>
        <w:tc>
          <w:tcPr>
            <w:tcW w:w="0" w:type="auto"/>
            <w:shd w:val="clear" w:color="auto" w:fill="CCEEFF"/>
            <w:tcMar>
              <w:top w:w="40" w:type="dxa"/>
              <w:left w:w="0" w:type="dxa"/>
              <w:bottom w:w="40" w:type="dxa"/>
              <w:right w:w="20" w:type="dxa"/>
            </w:tcMar>
            <w:vAlign w:val="bottom"/>
          </w:tcPr>
          <w:p w14:paraId="7DD01CC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C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center"/>
          </w:tcPr>
          <w:p w14:paraId="7DD01CC7" w14:textId="77777777" w:rsidR="00C1563E" w:rsidRDefault="000B648B">
            <w:pPr>
              <w:jc w:val="right"/>
              <w:textAlignment w:val="center"/>
            </w:pPr>
            <w:r>
              <w:rPr>
                <w:rFonts w:ascii="Times New Roman" w:eastAsia="宋体" w:hAnsi="Times New Roman"/>
                <w:color w:val="000000"/>
                <w:sz w:val="20"/>
                <w:szCs w:val="20"/>
              </w:rPr>
              <w:t>(104)</w:t>
            </w:r>
          </w:p>
        </w:tc>
        <w:tc>
          <w:tcPr>
            <w:tcW w:w="0" w:type="auto"/>
            <w:shd w:val="clear" w:color="auto" w:fill="CCEEFF"/>
            <w:tcMar>
              <w:top w:w="40" w:type="dxa"/>
              <w:left w:w="0" w:type="dxa"/>
              <w:bottom w:w="40" w:type="dxa"/>
              <w:right w:w="20" w:type="dxa"/>
            </w:tcMar>
            <w:vAlign w:val="center"/>
          </w:tcPr>
          <w:p w14:paraId="7DD01CC8" w14:textId="77777777" w:rsidR="00C1563E" w:rsidRDefault="00C1563E">
            <w:pPr>
              <w:jc w:val="right"/>
              <w:rPr>
                <w:rFonts w:ascii="宋体"/>
              </w:rPr>
            </w:pPr>
          </w:p>
        </w:tc>
      </w:tr>
      <w:tr w:rsidR="00C1563E" w14:paraId="7DD01CD3" w14:textId="77777777">
        <w:tc>
          <w:tcPr>
            <w:tcW w:w="0" w:type="auto"/>
            <w:gridSpan w:val="3"/>
            <w:shd w:val="clear" w:color="auto" w:fill="FFFFFF"/>
            <w:tcMar>
              <w:top w:w="40" w:type="dxa"/>
              <w:left w:w="140" w:type="dxa"/>
              <w:bottom w:w="40" w:type="dxa"/>
              <w:right w:w="20" w:type="dxa"/>
            </w:tcMar>
            <w:vAlign w:val="bottom"/>
          </w:tcPr>
          <w:p w14:paraId="7DD01CCA" w14:textId="77777777" w:rsidR="00C1563E" w:rsidRDefault="000B648B">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7DD01CCB" w14:textId="77777777" w:rsidR="00C1563E" w:rsidRDefault="000B648B">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7DD01CC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C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CE" w14:textId="77777777" w:rsidR="00C1563E" w:rsidRDefault="000B648B">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7DD01CC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D0"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CD1" w14:textId="77777777" w:rsidR="00C1563E" w:rsidRDefault="000B648B">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DD01CD2" w14:textId="77777777" w:rsidR="00C1563E" w:rsidRDefault="00C1563E">
            <w:pPr>
              <w:jc w:val="right"/>
              <w:rPr>
                <w:rFonts w:ascii="宋体"/>
              </w:rPr>
            </w:pPr>
          </w:p>
        </w:tc>
      </w:tr>
      <w:tr w:rsidR="00C1563E" w14:paraId="7DD01CE0" w14:textId="77777777">
        <w:tc>
          <w:tcPr>
            <w:tcW w:w="0" w:type="auto"/>
            <w:gridSpan w:val="3"/>
            <w:shd w:val="clear" w:color="auto" w:fill="CCEEFF"/>
            <w:tcMar>
              <w:top w:w="40" w:type="dxa"/>
              <w:left w:w="35" w:type="dxa"/>
              <w:bottom w:w="40" w:type="dxa"/>
              <w:right w:w="20" w:type="dxa"/>
            </w:tcMar>
            <w:vAlign w:val="bottom"/>
          </w:tcPr>
          <w:p w14:paraId="7DD01CD4" w14:textId="77777777" w:rsidR="00C1563E" w:rsidRDefault="000B648B">
            <w:pPr>
              <w:textAlignment w:val="bottom"/>
            </w:pPr>
            <w:r>
              <w:rPr>
                <w:rFonts w:ascii="Times New Roman" w:eastAsia="宋体" w:hAnsi="Times New Roman"/>
                <w:color w:val="000000"/>
                <w:sz w:val="20"/>
                <w:szCs w:val="20"/>
              </w:rPr>
              <w:t>Balance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DD01CD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CD6" w14:textId="77777777" w:rsidR="00C1563E" w:rsidRDefault="000B648B">
            <w:pPr>
              <w:jc w:val="right"/>
              <w:textAlignment w:val="bottom"/>
            </w:pPr>
            <w:r>
              <w:rPr>
                <w:rFonts w:ascii="Times New Roman" w:eastAsia="宋体" w:hAnsi="Times New Roman"/>
                <w:color w:val="000000"/>
                <w:sz w:val="20"/>
                <w:szCs w:val="20"/>
              </w:rPr>
              <w:t>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CD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D8"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CD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CDA" w14:textId="77777777" w:rsidR="00C1563E" w:rsidRDefault="000B648B">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CD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DC"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CD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CDE" w14:textId="77777777" w:rsidR="00C1563E" w:rsidRDefault="000B648B">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CDF" w14:textId="77777777" w:rsidR="00C1563E" w:rsidRDefault="00C1563E">
            <w:pPr>
              <w:jc w:val="right"/>
              <w:rPr>
                <w:rFonts w:ascii="宋体"/>
              </w:rPr>
            </w:pPr>
          </w:p>
        </w:tc>
      </w:tr>
      <w:tr w:rsidR="00C1563E" w14:paraId="7DD01CE7" w14:textId="77777777">
        <w:trPr>
          <w:trHeight w:val="300"/>
        </w:trPr>
        <w:tc>
          <w:tcPr>
            <w:tcW w:w="0" w:type="auto"/>
            <w:gridSpan w:val="3"/>
            <w:shd w:val="clear" w:color="auto" w:fill="FFFFFF"/>
            <w:tcMar>
              <w:top w:w="0" w:type="dxa"/>
              <w:left w:w="20" w:type="dxa"/>
              <w:bottom w:w="0" w:type="dxa"/>
              <w:right w:w="20" w:type="dxa"/>
            </w:tcMar>
          </w:tcPr>
          <w:p w14:paraId="7DD01CE1"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CE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E3"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CE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CE5" w14:textId="77777777" w:rsidR="00C1563E" w:rsidRDefault="00C1563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DD01CE6" w14:textId="77777777" w:rsidR="00C1563E" w:rsidRDefault="00C1563E">
            <w:pPr>
              <w:rPr>
                <w:rFonts w:ascii="宋体"/>
              </w:rPr>
            </w:pPr>
          </w:p>
        </w:tc>
      </w:tr>
      <w:tr w:rsidR="00C1563E" w14:paraId="7DD01CEE" w14:textId="77777777">
        <w:tc>
          <w:tcPr>
            <w:tcW w:w="0" w:type="auto"/>
            <w:gridSpan w:val="3"/>
            <w:shd w:val="clear" w:color="auto" w:fill="CCEEFF"/>
            <w:tcMar>
              <w:top w:w="40" w:type="dxa"/>
              <w:left w:w="20" w:type="dxa"/>
              <w:bottom w:w="40" w:type="dxa"/>
              <w:right w:w="20" w:type="dxa"/>
            </w:tcMar>
            <w:vAlign w:val="bottom"/>
          </w:tcPr>
          <w:p w14:paraId="7DD01CE8" w14:textId="77777777" w:rsidR="00C1563E" w:rsidRDefault="000B648B">
            <w:pPr>
              <w:textAlignment w:val="bottom"/>
            </w:pPr>
            <w:r>
              <w:rPr>
                <w:rFonts w:ascii="Times New Roman" w:eastAsia="宋体" w:hAnsi="Times New Roman"/>
                <w:i/>
                <w:iCs/>
                <w:color w:val="000000"/>
                <w:sz w:val="20"/>
                <w:szCs w:val="20"/>
              </w:rPr>
              <w:t>Tax Valuation Allowance:</w:t>
            </w:r>
          </w:p>
        </w:tc>
        <w:tc>
          <w:tcPr>
            <w:tcW w:w="0" w:type="auto"/>
            <w:gridSpan w:val="3"/>
            <w:shd w:val="clear" w:color="auto" w:fill="CCEEFF"/>
            <w:tcMar>
              <w:top w:w="0" w:type="dxa"/>
              <w:left w:w="20" w:type="dxa"/>
              <w:bottom w:w="0" w:type="dxa"/>
              <w:right w:w="20" w:type="dxa"/>
            </w:tcMar>
          </w:tcPr>
          <w:p w14:paraId="7DD01CE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E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E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E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CED" w14:textId="77777777" w:rsidR="00C1563E" w:rsidRDefault="00C1563E">
            <w:pPr>
              <w:rPr>
                <w:rFonts w:ascii="宋体"/>
              </w:rPr>
            </w:pPr>
          </w:p>
        </w:tc>
      </w:tr>
      <w:tr w:rsidR="00C1563E" w14:paraId="7DD01CFB" w14:textId="77777777">
        <w:tc>
          <w:tcPr>
            <w:tcW w:w="0" w:type="auto"/>
            <w:gridSpan w:val="3"/>
            <w:shd w:val="clear" w:color="auto" w:fill="FFFFFF"/>
            <w:tcMar>
              <w:top w:w="40" w:type="dxa"/>
              <w:left w:w="20" w:type="dxa"/>
              <w:bottom w:w="40" w:type="dxa"/>
              <w:right w:w="20" w:type="dxa"/>
            </w:tcMar>
            <w:vAlign w:val="bottom"/>
          </w:tcPr>
          <w:p w14:paraId="7DD01CEF" w14:textId="77777777" w:rsidR="00C1563E" w:rsidRDefault="000B648B">
            <w:pPr>
              <w:textAlignment w:val="bottom"/>
            </w:pPr>
            <w:r>
              <w:rPr>
                <w:rFonts w:ascii="Times New Roman" w:eastAsia="宋体" w:hAnsi="Times New Roman"/>
                <w:color w:val="000000"/>
                <w:sz w:val="20"/>
                <w:szCs w:val="20"/>
              </w:rPr>
              <w:t>Balance at beginning of period</w:t>
            </w:r>
          </w:p>
        </w:tc>
        <w:tc>
          <w:tcPr>
            <w:tcW w:w="0" w:type="auto"/>
            <w:shd w:val="clear" w:color="auto" w:fill="FFFFFF"/>
            <w:tcMar>
              <w:top w:w="40" w:type="dxa"/>
              <w:left w:w="20" w:type="dxa"/>
              <w:bottom w:w="40" w:type="dxa"/>
              <w:right w:w="0" w:type="dxa"/>
            </w:tcMar>
            <w:vAlign w:val="bottom"/>
          </w:tcPr>
          <w:p w14:paraId="7DD01CF0"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F1" w14:textId="77777777" w:rsidR="00C1563E" w:rsidRDefault="000B648B">
            <w:pPr>
              <w:jc w:val="right"/>
              <w:textAlignment w:val="bottom"/>
            </w:pPr>
            <w:r>
              <w:rPr>
                <w:rFonts w:ascii="Times New Roman" w:eastAsia="宋体" w:hAnsi="Times New Roman"/>
                <w:color w:val="000000"/>
                <w:sz w:val="20"/>
                <w:szCs w:val="20"/>
              </w:rPr>
              <w:t>1,687 </w:t>
            </w:r>
          </w:p>
        </w:tc>
        <w:tc>
          <w:tcPr>
            <w:tcW w:w="0" w:type="auto"/>
            <w:shd w:val="clear" w:color="auto" w:fill="FFFFFF"/>
            <w:tcMar>
              <w:top w:w="40" w:type="dxa"/>
              <w:left w:w="0" w:type="dxa"/>
              <w:bottom w:w="40" w:type="dxa"/>
              <w:right w:w="20" w:type="dxa"/>
            </w:tcMar>
            <w:vAlign w:val="bottom"/>
          </w:tcPr>
          <w:p w14:paraId="7DD01CF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F3"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CF4"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F5" w14:textId="77777777" w:rsidR="00C1563E" w:rsidRDefault="000B648B">
            <w:pPr>
              <w:jc w:val="right"/>
              <w:textAlignment w:val="bottom"/>
            </w:pPr>
            <w:r>
              <w:rPr>
                <w:rFonts w:ascii="Times New Roman" w:eastAsia="宋体" w:hAnsi="Times New Roman"/>
                <w:color w:val="000000"/>
                <w:sz w:val="20"/>
                <w:szCs w:val="20"/>
              </w:rPr>
              <w:t>1,704 </w:t>
            </w:r>
          </w:p>
        </w:tc>
        <w:tc>
          <w:tcPr>
            <w:tcW w:w="0" w:type="auto"/>
            <w:shd w:val="clear" w:color="auto" w:fill="FFFFFF"/>
            <w:tcMar>
              <w:top w:w="40" w:type="dxa"/>
              <w:left w:w="0" w:type="dxa"/>
              <w:bottom w:w="40" w:type="dxa"/>
              <w:right w:w="20" w:type="dxa"/>
            </w:tcMar>
            <w:vAlign w:val="bottom"/>
          </w:tcPr>
          <w:p w14:paraId="7DD01CF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CF7"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CF8"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CF9" w14:textId="77777777" w:rsidR="00C1563E" w:rsidRDefault="000B648B">
            <w:pPr>
              <w:jc w:val="right"/>
              <w:textAlignment w:val="bottom"/>
            </w:pPr>
            <w:r>
              <w:rPr>
                <w:rFonts w:ascii="Times New Roman" w:eastAsia="宋体" w:hAnsi="Times New Roman"/>
                <w:color w:val="000000"/>
                <w:sz w:val="20"/>
                <w:szCs w:val="20"/>
              </w:rPr>
              <w:t>777 </w:t>
            </w:r>
          </w:p>
        </w:tc>
        <w:tc>
          <w:tcPr>
            <w:tcW w:w="0" w:type="auto"/>
            <w:shd w:val="clear" w:color="auto" w:fill="FFFFFF"/>
            <w:tcMar>
              <w:top w:w="40" w:type="dxa"/>
              <w:left w:w="0" w:type="dxa"/>
              <w:bottom w:w="40" w:type="dxa"/>
              <w:right w:w="20" w:type="dxa"/>
            </w:tcMar>
            <w:vAlign w:val="bottom"/>
          </w:tcPr>
          <w:p w14:paraId="7DD01CFA" w14:textId="77777777" w:rsidR="00C1563E" w:rsidRDefault="00C1563E">
            <w:pPr>
              <w:jc w:val="right"/>
              <w:rPr>
                <w:rFonts w:ascii="宋体"/>
              </w:rPr>
            </w:pPr>
          </w:p>
        </w:tc>
      </w:tr>
      <w:tr w:rsidR="00C1563E" w14:paraId="7DD01D05" w14:textId="77777777">
        <w:tc>
          <w:tcPr>
            <w:tcW w:w="0" w:type="auto"/>
            <w:gridSpan w:val="3"/>
            <w:shd w:val="clear" w:color="auto" w:fill="CCEEFF"/>
            <w:tcMar>
              <w:top w:w="40" w:type="dxa"/>
              <w:left w:w="140" w:type="dxa"/>
              <w:bottom w:w="40" w:type="dxa"/>
              <w:right w:w="20" w:type="dxa"/>
            </w:tcMar>
            <w:vAlign w:val="bottom"/>
          </w:tcPr>
          <w:p w14:paraId="7DD01CFC" w14:textId="77777777" w:rsidR="00C1563E" w:rsidRDefault="000B648B">
            <w:pPr>
              <w:textAlignment w:val="bottom"/>
            </w:pPr>
            <w:r>
              <w:rPr>
                <w:rFonts w:ascii="Times New Roman" w:eastAsia="宋体" w:hAnsi="Times New Roman"/>
                <w:color w:val="000000"/>
                <w:sz w:val="20"/>
                <w:szCs w:val="20"/>
              </w:rPr>
              <w:t>Charged to income tax provision</w:t>
            </w:r>
          </w:p>
        </w:tc>
        <w:tc>
          <w:tcPr>
            <w:tcW w:w="0" w:type="auto"/>
            <w:gridSpan w:val="2"/>
            <w:shd w:val="clear" w:color="auto" w:fill="CCEEFF"/>
            <w:tcMar>
              <w:top w:w="40" w:type="dxa"/>
              <w:left w:w="20" w:type="dxa"/>
              <w:bottom w:w="40" w:type="dxa"/>
              <w:right w:w="0" w:type="dxa"/>
            </w:tcMar>
            <w:vAlign w:val="bottom"/>
          </w:tcPr>
          <w:p w14:paraId="7DD01CFD" w14:textId="77777777" w:rsidR="00C1563E" w:rsidRDefault="000B648B">
            <w:pPr>
              <w:jc w:val="right"/>
              <w:textAlignment w:val="bottom"/>
            </w:pPr>
            <w:r>
              <w:rPr>
                <w:rFonts w:ascii="Times New Roman" w:eastAsia="宋体" w:hAnsi="Times New Roman"/>
                <w:color w:val="000000"/>
                <w:sz w:val="20"/>
                <w:szCs w:val="20"/>
              </w:rPr>
              <w:t>80 </w:t>
            </w:r>
          </w:p>
        </w:tc>
        <w:tc>
          <w:tcPr>
            <w:tcW w:w="0" w:type="auto"/>
            <w:shd w:val="clear" w:color="auto" w:fill="CCEEFF"/>
            <w:tcMar>
              <w:top w:w="40" w:type="dxa"/>
              <w:left w:w="0" w:type="dxa"/>
              <w:bottom w:w="40" w:type="dxa"/>
              <w:right w:w="20" w:type="dxa"/>
            </w:tcMar>
            <w:vAlign w:val="bottom"/>
          </w:tcPr>
          <w:p w14:paraId="7DD01CF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CF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D00" w14:textId="77777777" w:rsidR="00C1563E" w:rsidRDefault="000B648B">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7DD01D0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02"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D03" w14:textId="77777777" w:rsidR="00C1563E" w:rsidRDefault="000B648B">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7DD01D04" w14:textId="77777777" w:rsidR="00C1563E" w:rsidRDefault="00C1563E">
            <w:pPr>
              <w:jc w:val="right"/>
              <w:rPr>
                <w:rFonts w:ascii="宋体"/>
              </w:rPr>
            </w:pPr>
          </w:p>
        </w:tc>
      </w:tr>
      <w:tr w:rsidR="00C1563E" w14:paraId="7DD01D0F" w14:textId="77777777">
        <w:tc>
          <w:tcPr>
            <w:tcW w:w="0" w:type="auto"/>
            <w:gridSpan w:val="3"/>
            <w:shd w:val="clear" w:color="auto" w:fill="FFFFFF"/>
            <w:tcMar>
              <w:top w:w="40" w:type="dxa"/>
              <w:left w:w="140" w:type="dxa"/>
              <w:bottom w:w="40" w:type="dxa"/>
              <w:right w:w="20" w:type="dxa"/>
            </w:tcMar>
            <w:vAlign w:val="bottom"/>
          </w:tcPr>
          <w:p w14:paraId="7DD01D06" w14:textId="77777777" w:rsidR="00C1563E" w:rsidRDefault="000B648B">
            <w:pPr>
              <w:textAlignment w:val="bottom"/>
            </w:pPr>
            <w:r>
              <w:rPr>
                <w:rFonts w:ascii="Times New Roman" w:eastAsia="宋体" w:hAnsi="Times New Roman"/>
                <w:color w:val="000000"/>
                <w:sz w:val="20"/>
                <w:szCs w:val="20"/>
              </w:rPr>
              <w:t>Charged to other accounts</w:t>
            </w:r>
          </w:p>
        </w:tc>
        <w:tc>
          <w:tcPr>
            <w:tcW w:w="0" w:type="auto"/>
            <w:gridSpan w:val="2"/>
            <w:shd w:val="clear" w:color="auto" w:fill="FFFFFF"/>
            <w:tcMar>
              <w:top w:w="40" w:type="dxa"/>
              <w:left w:w="20" w:type="dxa"/>
              <w:bottom w:w="40" w:type="dxa"/>
              <w:right w:w="0" w:type="dxa"/>
            </w:tcMar>
            <w:vAlign w:val="bottom"/>
          </w:tcPr>
          <w:p w14:paraId="7DD01D07" w14:textId="77777777" w:rsidR="00C1563E" w:rsidRDefault="000B648B">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7DD01D0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0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D0A" w14:textId="77777777" w:rsidR="00C1563E" w:rsidRDefault="000B648B">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7DD01D0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0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D0D"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D0E" w14:textId="77777777" w:rsidR="00C1563E" w:rsidRDefault="00C1563E">
            <w:pPr>
              <w:jc w:val="right"/>
              <w:rPr>
                <w:rFonts w:ascii="宋体"/>
              </w:rPr>
            </w:pPr>
          </w:p>
        </w:tc>
      </w:tr>
      <w:tr w:rsidR="00C1563E" w14:paraId="7DD01D1C" w14:textId="77777777">
        <w:tc>
          <w:tcPr>
            <w:tcW w:w="0" w:type="auto"/>
            <w:gridSpan w:val="3"/>
            <w:shd w:val="clear" w:color="auto" w:fill="CCEEFF"/>
            <w:tcMar>
              <w:top w:w="40" w:type="dxa"/>
              <w:left w:w="35" w:type="dxa"/>
              <w:bottom w:w="40" w:type="dxa"/>
              <w:right w:w="20" w:type="dxa"/>
            </w:tcMar>
            <w:vAlign w:val="bottom"/>
          </w:tcPr>
          <w:p w14:paraId="7DD01D10" w14:textId="77777777" w:rsidR="00C1563E" w:rsidRDefault="000B648B">
            <w:pPr>
              <w:textAlignment w:val="bottom"/>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D1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D12" w14:textId="77777777" w:rsidR="00C1563E" w:rsidRDefault="000B648B">
            <w:pPr>
              <w:jc w:val="right"/>
              <w:textAlignment w:val="bottom"/>
            </w:pPr>
            <w:r>
              <w:rPr>
                <w:rFonts w:ascii="Times New Roman" w:eastAsia="宋体" w:hAnsi="Times New Roman"/>
                <w:color w:val="000000"/>
                <w:sz w:val="20"/>
                <w:szCs w:val="20"/>
              </w:rPr>
              <w:t>1,709 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D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14"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D15"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D16" w14:textId="77777777" w:rsidR="00C1563E" w:rsidRDefault="000B648B">
            <w:pPr>
              <w:jc w:val="right"/>
              <w:textAlignment w:val="bottom"/>
            </w:pPr>
            <w:r>
              <w:rPr>
                <w:rFonts w:ascii="Times New Roman" w:eastAsia="宋体" w:hAnsi="Times New Roman"/>
                <w:color w:val="000000"/>
                <w:sz w:val="20"/>
                <w:szCs w:val="20"/>
              </w:rPr>
              <w:t>1,687 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D1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18"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D1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D1A" w14:textId="77777777" w:rsidR="00C1563E" w:rsidRDefault="000B648B">
            <w:pPr>
              <w:jc w:val="right"/>
              <w:textAlignment w:val="bottom"/>
            </w:pPr>
            <w:r>
              <w:rPr>
                <w:rFonts w:ascii="Times New Roman" w:eastAsia="宋体" w:hAnsi="Times New Roman"/>
                <w:color w:val="000000"/>
                <w:sz w:val="20"/>
                <w:szCs w:val="20"/>
              </w:rPr>
              <w:t>1,704 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D1B" w14:textId="77777777" w:rsidR="00C1563E" w:rsidRDefault="00C1563E">
            <w:pPr>
              <w:jc w:val="right"/>
              <w:rPr>
                <w:rFonts w:ascii="宋体"/>
              </w:rPr>
            </w:pPr>
          </w:p>
        </w:tc>
      </w:tr>
    </w:tbl>
    <w:p w14:paraId="7DD01D1D" w14:textId="77777777" w:rsidR="00C1563E" w:rsidRDefault="000B648B">
      <w:r>
        <w:rPr>
          <w:rFonts w:ascii="Times New Roman" w:eastAsia="宋体" w:hAnsi="Times New Roman"/>
          <w:color w:val="000000"/>
          <w:sz w:val="20"/>
          <w:szCs w:val="20"/>
        </w:rPr>
        <w:t>____________________</w:t>
      </w:r>
    </w:p>
    <w:p w14:paraId="7DD01D1E" w14:textId="77777777" w:rsidR="00C1563E" w:rsidRDefault="000B648B">
      <w:pPr>
        <w:ind w:hanging="360"/>
      </w:pPr>
      <w:r>
        <w:rPr>
          <w:rFonts w:ascii="Times New Roman" w:eastAsia="宋体" w:hAnsi="Times New Roman"/>
          <w:color w:val="000000"/>
          <w:sz w:val="20"/>
          <w:szCs w:val="20"/>
        </w:rPr>
        <w:t>(a)    Charge-offs for customer financing receivables includes principal and interest.</w:t>
      </w:r>
    </w:p>
    <w:p w14:paraId="7DD01D1F" w14:textId="77777777" w:rsidR="00C1563E" w:rsidRDefault="00C1563E">
      <w:pPr>
        <w:jc w:val="center"/>
      </w:pPr>
    </w:p>
    <w:p w14:paraId="7DD01D20" w14:textId="77777777" w:rsidR="00C1563E" w:rsidRDefault="000B648B">
      <w:pPr>
        <w:jc w:val="center"/>
      </w:pPr>
      <w:r>
        <w:rPr>
          <w:rFonts w:ascii="Times New Roman" w:eastAsia="宋体" w:hAnsi="Times New Roman"/>
          <w:color w:val="000000"/>
          <w:sz w:val="20"/>
          <w:szCs w:val="20"/>
        </w:rPr>
        <w:t>162</w:t>
      </w:r>
    </w:p>
    <w:p w14:paraId="7DD01D21" w14:textId="77777777" w:rsidR="00C1563E" w:rsidRDefault="00C1563E">
      <w:pPr>
        <w:jc w:val="center"/>
      </w:pPr>
    </w:p>
    <w:p w14:paraId="7DD01D22" w14:textId="77777777" w:rsidR="00C1563E" w:rsidRDefault="000B648B">
      <w:r>
        <w:pict w14:anchorId="7DD0260C">
          <v:rect id="_x0000_i1186" style="width:415.3pt;height:1.5pt" o:hralign="center" o:hrstd="t" o:hr="t" fillcolor="#a0a0a0" stroked="f"/>
        </w:pict>
      </w:r>
    </w:p>
    <w:p w14:paraId="7DD01D23" w14:textId="77777777" w:rsidR="00C1563E" w:rsidRDefault="000B648B">
      <w:hyperlink r:id="rId345" w:anchor="i418e32e4a35149ffbf7d3a25d66881b8_10" w:history="1">
        <w:r>
          <w:rPr>
            <w:rStyle w:val="a5"/>
            <w:rFonts w:ascii="Times New Roman" w:eastAsia="宋体" w:hAnsi="Times New Roman"/>
            <w:sz w:val="20"/>
            <w:szCs w:val="20"/>
          </w:rPr>
          <w:t>Table of Contents</w:t>
        </w:r>
      </w:hyperlink>
    </w:p>
    <w:p w14:paraId="7DD01D24" w14:textId="77777777" w:rsidR="00C1563E" w:rsidRDefault="000B648B">
      <w:r>
        <w:rPr>
          <w:rFonts w:ascii="Times New Roman" w:eastAsia="宋体" w:hAnsi="Times New Roman"/>
          <w:b/>
          <w:bCs/>
          <w:color w:val="000000"/>
          <w:sz w:val="20"/>
          <w:szCs w:val="20"/>
        </w:rPr>
        <w:t>Warranty Liability</w:t>
      </w:r>
    </w:p>
    <w:p w14:paraId="7DD01D25" w14:textId="77777777" w:rsidR="00C1563E" w:rsidRDefault="00C1563E"/>
    <w:p w14:paraId="7DD01D26" w14:textId="77777777" w:rsidR="00C1563E" w:rsidRDefault="000B648B">
      <w:pPr>
        <w:spacing w:after="120"/>
      </w:pPr>
      <w:r>
        <w:rPr>
          <w:rFonts w:ascii="Times New Roman" w:eastAsia="宋体" w:hAnsi="Times New Roman"/>
          <w:color w:val="000000"/>
          <w:sz w:val="20"/>
          <w:szCs w:val="20"/>
        </w:rPr>
        <w:t>The following table 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7"/>
        <w:gridCol w:w="36"/>
        <w:gridCol w:w="36"/>
        <w:gridCol w:w="36"/>
        <w:gridCol w:w="36"/>
        <w:gridCol w:w="121"/>
        <w:gridCol w:w="1169"/>
        <w:gridCol w:w="36"/>
        <w:gridCol w:w="36"/>
        <w:gridCol w:w="36"/>
        <w:gridCol w:w="36"/>
        <w:gridCol w:w="121"/>
        <w:gridCol w:w="1169"/>
        <w:gridCol w:w="36"/>
        <w:gridCol w:w="36"/>
        <w:gridCol w:w="36"/>
        <w:gridCol w:w="36"/>
        <w:gridCol w:w="121"/>
        <w:gridCol w:w="1169"/>
        <w:gridCol w:w="36"/>
      </w:tblGrid>
      <w:tr w:rsidR="00C1563E" w14:paraId="7DD01D3D" w14:textId="77777777">
        <w:tc>
          <w:tcPr>
            <w:tcW w:w="50" w:type="pct"/>
            <w:shd w:val="clear" w:color="auto" w:fill="auto"/>
          </w:tcPr>
          <w:p w14:paraId="7DD01D27" w14:textId="77777777" w:rsidR="00C1563E" w:rsidRDefault="00C1563E">
            <w:pPr>
              <w:rPr>
                <w:rFonts w:ascii="宋体"/>
              </w:rPr>
            </w:pPr>
          </w:p>
        </w:tc>
        <w:tc>
          <w:tcPr>
            <w:tcW w:w="2452" w:type="pct"/>
            <w:shd w:val="clear" w:color="auto" w:fill="auto"/>
          </w:tcPr>
          <w:p w14:paraId="7DD01D28" w14:textId="77777777" w:rsidR="00C1563E" w:rsidRDefault="00C1563E">
            <w:pPr>
              <w:rPr>
                <w:rFonts w:ascii="宋体"/>
              </w:rPr>
            </w:pPr>
          </w:p>
        </w:tc>
        <w:tc>
          <w:tcPr>
            <w:tcW w:w="5" w:type="pct"/>
            <w:shd w:val="clear" w:color="auto" w:fill="auto"/>
          </w:tcPr>
          <w:p w14:paraId="7DD01D29" w14:textId="77777777" w:rsidR="00C1563E" w:rsidRDefault="00C1563E">
            <w:pPr>
              <w:rPr>
                <w:rFonts w:ascii="宋体"/>
              </w:rPr>
            </w:pPr>
          </w:p>
        </w:tc>
        <w:tc>
          <w:tcPr>
            <w:tcW w:w="0" w:type="auto"/>
            <w:shd w:val="clear" w:color="auto" w:fill="auto"/>
          </w:tcPr>
          <w:p w14:paraId="7DD01D2A" w14:textId="77777777" w:rsidR="00C1563E" w:rsidRDefault="00C1563E">
            <w:pPr>
              <w:rPr>
                <w:rFonts w:ascii="宋体"/>
                <w:vanish/>
              </w:rPr>
            </w:pPr>
          </w:p>
        </w:tc>
        <w:tc>
          <w:tcPr>
            <w:tcW w:w="0" w:type="auto"/>
            <w:shd w:val="clear" w:color="auto" w:fill="auto"/>
          </w:tcPr>
          <w:p w14:paraId="7DD01D2B" w14:textId="77777777" w:rsidR="00C1563E" w:rsidRDefault="00C1563E">
            <w:pPr>
              <w:rPr>
                <w:rFonts w:ascii="宋体"/>
                <w:vanish/>
              </w:rPr>
            </w:pPr>
          </w:p>
        </w:tc>
        <w:tc>
          <w:tcPr>
            <w:tcW w:w="0" w:type="auto"/>
            <w:shd w:val="clear" w:color="auto" w:fill="auto"/>
          </w:tcPr>
          <w:p w14:paraId="7DD01D2C" w14:textId="77777777" w:rsidR="00C1563E" w:rsidRDefault="00C1563E">
            <w:pPr>
              <w:rPr>
                <w:rFonts w:ascii="宋体"/>
                <w:vanish/>
              </w:rPr>
            </w:pPr>
          </w:p>
        </w:tc>
        <w:tc>
          <w:tcPr>
            <w:tcW w:w="0" w:type="auto"/>
            <w:shd w:val="clear" w:color="auto" w:fill="auto"/>
          </w:tcPr>
          <w:p w14:paraId="7DD01D2D" w14:textId="77777777" w:rsidR="00C1563E" w:rsidRDefault="00C1563E">
            <w:pPr>
              <w:rPr>
                <w:rFonts w:ascii="宋体"/>
                <w:vanish/>
              </w:rPr>
            </w:pPr>
          </w:p>
        </w:tc>
        <w:tc>
          <w:tcPr>
            <w:tcW w:w="50" w:type="pct"/>
            <w:shd w:val="clear" w:color="auto" w:fill="auto"/>
          </w:tcPr>
          <w:p w14:paraId="7DD01D2E" w14:textId="77777777" w:rsidR="00C1563E" w:rsidRDefault="00C1563E">
            <w:pPr>
              <w:rPr>
                <w:rFonts w:ascii="宋体"/>
              </w:rPr>
            </w:pPr>
          </w:p>
        </w:tc>
        <w:tc>
          <w:tcPr>
            <w:tcW w:w="756" w:type="pct"/>
            <w:shd w:val="clear" w:color="auto" w:fill="auto"/>
          </w:tcPr>
          <w:p w14:paraId="7DD01D2F" w14:textId="77777777" w:rsidR="00C1563E" w:rsidRDefault="00C1563E">
            <w:pPr>
              <w:rPr>
                <w:rFonts w:ascii="宋体"/>
              </w:rPr>
            </w:pPr>
          </w:p>
        </w:tc>
        <w:tc>
          <w:tcPr>
            <w:tcW w:w="5" w:type="pct"/>
            <w:shd w:val="clear" w:color="auto" w:fill="auto"/>
          </w:tcPr>
          <w:p w14:paraId="7DD01D30" w14:textId="77777777" w:rsidR="00C1563E" w:rsidRDefault="00C1563E">
            <w:pPr>
              <w:rPr>
                <w:rFonts w:ascii="宋体"/>
              </w:rPr>
            </w:pPr>
          </w:p>
        </w:tc>
        <w:tc>
          <w:tcPr>
            <w:tcW w:w="5" w:type="pct"/>
            <w:shd w:val="clear" w:color="auto" w:fill="auto"/>
          </w:tcPr>
          <w:p w14:paraId="7DD01D31" w14:textId="77777777" w:rsidR="00C1563E" w:rsidRDefault="00C1563E">
            <w:pPr>
              <w:rPr>
                <w:rFonts w:ascii="宋体"/>
              </w:rPr>
            </w:pPr>
          </w:p>
        </w:tc>
        <w:tc>
          <w:tcPr>
            <w:tcW w:w="19" w:type="pct"/>
            <w:shd w:val="clear" w:color="auto" w:fill="auto"/>
          </w:tcPr>
          <w:p w14:paraId="7DD01D32" w14:textId="77777777" w:rsidR="00C1563E" w:rsidRDefault="00C1563E">
            <w:pPr>
              <w:rPr>
                <w:rFonts w:ascii="宋体"/>
              </w:rPr>
            </w:pPr>
          </w:p>
        </w:tc>
        <w:tc>
          <w:tcPr>
            <w:tcW w:w="5" w:type="pct"/>
            <w:shd w:val="clear" w:color="auto" w:fill="auto"/>
          </w:tcPr>
          <w:p w14:paraId="7DD01D33" w14:textId="77777777" w:rsidR="00C1563E" w:rsidRDefault="00C1563E">
            <w:pPr>
              <w:rPr>
                <w:rFonts w:ascii="宋体"/>
              </w:rPr>
            </w:pPr>
          </w:p>
        </w:tc>
        <w:tc>
          <w:tcPr>
            <w:tcW w:w="50" w:type="pct"/>
            <w:shd w:val="clear" w:color="auto" w:fill="auto"/>
          </w:tcPr>
          <w:p w14:paraId="7DD01D34" w14:textId="77777777" w:rsidR="00C1563E" w:rsidRDefault="00C1563E">
            <w:pPr>
              <w:rPr>
                <w:rFonts w:ascii="宋体"/>
              </w:rPr>
            </w:pPr>
          </w:p>
        </w:tc>
        <w:tc>
          <w:tcPr>
            <w:tcW w:w="756" w:type="pct"/>
            <w:shd w:val="clear" w:color="auto" w:fill="auto"/>
          </w:tcPr>
          <w:p w14:paraId="7DD01D35" w14:textId="77777777" w:rsidR="00C1563E" w:rsidRDefault="00C1563E">
            <w:pPr>
              <w:rPr>
                <w:rFonts w:ascii="宋体"/>
              </w:rPr>
            </w:pPr>
          </w:p>
        </w:tc>
        <w:tc>
          <w:tcPr>
            <w:tcW w:w="5" w:type="pct"/>
            <w:shd w:val="clear" w:color="auto" w:fill="auto"/>
          </w:tcPr>
          <w:p w14:paraId="7DD01D36" w14:textId="77777777" w:rsidR="00C1563E" w:rsidRDefault="00C1563E">
            <w:pPr>
              <w:rPr>
                <w:rFonts w:ascii="宋体"/>
              </w:rPr>
            </w:pPr>
          </w:p>
        </w:tc>
        <w:tc>
          <w:tcPr>
            <w:tcW w:w="5" w:type="pct"/>
            <w:shd w:val="clear" w:color="auto" w:fill="auto"/>
          </w:tcPr>
          <w:p w14:paraId="7DD01D37" w14:textId="77777777" w:rsidR="00C1563E" w:rsidRDefault="00C1563E">
            <w:pPr>
              <w:rPr>
                <w:rFonts w:ascii="宋体"/>
              </w:rPr>
            </w:pPr>
          </w:p>
        </w:tc>
        <w:tc>
          <w:tcPr>
            <w:tcW w:w="19" w:type="pct"/>
            <w:shd w:val="clear" w:color="auto" w:fill="auto"/>
          </w:tcPr>
          <w:p w14:paraId="7DD01D38" w14:textId="77777777" w:rsidR="00C1563E" w:rsidRDefault="00C1563E">
            <w:pPr>
              <w:rPr>
                <w:rFonts w:ascii="宋体"/>
              </w:rPr>
            </w:pPr>
          </w:p>
        </w:tc>
        <w:tc>
          <w:tcPr>
            <w:tcW w:w="5" w:type="pct"/>
            <w:shd w:val="clear" w:color="auto" w:fill="auto"/>
          </w:tcPr>
          <w:p w14:paraId="7DD01D39" w14:textId="77777777" w:rsidR="00C1563E" w:rsidRDefault="00C1563E">
            <w:pPr>
              <w:rPr>
                <w:rFonts w:ascii="宋体"/>
              </w:rPr>
            </w:pPr>
          </w:p>
        </w:tc>
        <w:tc>
          <w:tcPr>
            <w:tcW w:w="50" w:type="pct"/>
            <w:shd w:val="clear" w:color="auto" w:fill="auto"/>
          </w:tcPr>
          <w:p w14:paraId="7DD01D3A" w14:textId="77777777" w:rsidR="00C1563E" w:rsidRDefault="00C1563E">
            <w:pPr>
              <w:rPr>
                <w:rFonts w:ascii="宋体"/>
              </w:rPr>
            </w:pPr>
          </w:p>
        </w:tc>
        <w:tc>
          <w:tcPr>
            <w:tcW w:w="756" w:type="pct"/>
            <w:shd w:val="clear" w:color="auto" w:fill="auto"/>
          </w:tcPr>
          <w:p w14:paraId="7DD01D3B" w14:textId="77777777" w:rsidR="00C1563E" w:rsidRDefault="00C1563E">
            <w:pPr>
              <w:rPr>
                <w:rFonts w:ascii="宋体"/>
              </w:rPr>
            </w:pPr>
          </w:p>
        </w:tc>
        <w:tc>
          <w:tcPr>
            <w:tcW w:w="5" w:type="pct"/>
            <w:shd w:val="clear" w:color="auto" w:fill="auto"/>
          </w:tcPr>
          <w:p w14:paraId="7DD01D3C" w14:textId="77777777" w:rsidR="00C1563E" w:rsidRDefault="00C1563E">
            <w:pPr>
              <w:rPr>
                <w:rFonts w:ascii="宋体"/>
              </w:rPr>
            </w:pPr>
          </w:p>
        </w:tc>
      </w:tr>
      <w:tr w:rsidR="00C1563E" w14:paraId="7DD01D48" w14:textId="77777777">
        <w:tc>
          <w:tcPr>
            <w:tcW w:w="0" w:type="auto"/>
            <w:gridSpan w:val="3"/>
            <w:shd w:val="clear" w:color="auto" w:fill="auto"/>
            <w:tcMar>
              <w:top w:w="0" w:type="dxa"/>
              <w:left w:w="20" w:type="dxa"/>
              <w:bottom w:w="0" w:type="dxa"/>
              <w:right w:w="20" w:type="dxa"/>
            </w:tcMar>
          </w:tcPr>
          <w:p w14:paraId="7DD01D3E" w14:textId="77777777" w:rsidR="00C1563E" w:rsidRDefault="00C1563E">
            <w:pPr>
              <w:rPr>
                <w:rFonts w:ascii="宋体"/>
              </w:rPr>
            </w:pPr>
          </w:p>
        </w:tc>
        <w:tc>
          <w:tcPr>
            <w:tcW w:w="0" w:type="auto"/>
            <w:shd w:val="clear" w:color="auto" w:fill="auto"/>
          </w:tcPr>
          <w:p w14:paraId="7DD01D3F" w14:textId="77777777" w:rsidR="00C1563E" w:rsidRDefault="00C1563E">
            <w:pPr>
              <w:rPr>
                <w:rFonts w:ascii="宋体"/>
                <w:vanish/>
              </w:rPr>
            </w:pPr>
          </w:p>
        </w:tc>
        <w:tc>
          <w:tcPr>
            <w:tcW w:w="0" w:type="auto"/>
            <w:shd w:val="clear" w:color="auto" w:fill="auto"/>
          </w:tcPr>
          <w:p w14:paraId="7DD01D40"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D01D41" w14:textId="77777777" w:rsidR="00C1563E" w:rsidRDefault="000B648B">
            <w:pPr>
              <w:jc w:val="center"/>
              <w:textAlignment w:val="bottom"/>
            </w:pPr>
            <w:r>
              <w:rPr>
                <w:rFonts w:ascii="Times New Roman" w:eastAsia="宋体" w:hAnsi="Times New Roman"/>
                <w:b/>
                <w:bCs/>
                <w:color w:val="000000"/>
                <w:sz w:val="20"/>
                <w:szCs w:val="20"/>
              </w:rPr>
              <w:t>Fiscal Year Ended</w:t>
            </w:r>
          </w:p>
        </w:tc>
        <w:tc>
          <w:tcPr>
            <w:tcW w:w="0" w:type="auto"/>
            <w:shd w:val="clear" w:color="auto" w:fill="auto"/>
          </w:tcPr>
          <w:p w14:paraId="7DD01D42" w14:textId="77777777" w:rsidR="00C1563E" w:rsidRDefault="00C1563E">
            <w:pPr>
              <w:rPr>
                <w:rFonts w:ascii="宋体"/>
              </w:rPr>
            </w:pPr>
          </w:p>
        </w:tc>
        <w:tc>
          <w:tcPr>
            <w:tcW w:w="0" w:type="auto"/>
            <w:shd w:val="clear" w:color="auto" w:fill="auto"/>
          </w:tcPr>
          <w:p w14:paraId="7DD01D43" w14:textId="77777777" w:rsidR="00C1563E" w:rsidRDefault="00C1563E">
            <w:pPr>
              <w:rPr>
                <w:rFonts w:ascii="宋体"/>
              </w:rPr>
            </w:pPr>
          </w:p>
        </w:tc>
        <w:tc>
          <w:tcPr>
            <w:tcW w:w="0" w:type="auto"/>
            <w:shd w:val="clear" w:color="auto" w:fill="auto"/>
          </w:tcPr>
          <w:p w14:paraId="7DD01D44" w14:textId="77777777" w:rsidR="00C1563E" w:rsidRDefault="00C1563E">
            <w:pPr>
              <w:rPr>
                <w:rFonts w:ascii="宋体"/>
              </w:rPr>
            </w:pPr>
          </w:p>
        </w:tc>
        <w:tc>
          <w:tcPr>
            <w:tcW w:w="0" w:type="auto"/>
            <w:shd w:val="clear" w:color="auto" w:fill="auto"/>
          </w:tcPr>
          <w:p w14:paraId="7DD01D45" w14:textId="77777777" w:rsidR="00C1563E" w:rsidRDefault="00C1563E">
            <w:pPr>
              <w:rPr>
                <w:rFonts w:ascii="宋体"/>
              </w:rPr>
            </w:pPr>
          </w:p>
        </w:tc>
        <w:tc>
          <w:tcPr>
            <w:tcW w:w="0" w:type="auto"/>
            <w:shd w:val="clear" w:color="auto" w:fill="auto"/>
          </w:tcPr>
          <w:p w14:paraId="7DD01D46" w14:textId="77777777" w:rsidR="00C1563E" w:rsidRDefault="00C1563E">
            <w:pPr>
              <w:rPr>
                <w:rFonts w:ascii="宋体"/>
              </w:rPr>
            </w:pPr>
          </w:p>
        </w:tc>
        <w:tc>
          <w:tcPr>
            <w:tcW w:w="0" w:type="auto"/>
            <w:shd w:val="clear" w:color="auto" w:fill="auto"/>
          </w:tcPr>
          <w:p w14:paraId="7DD01D47" w14:textId="77777777" w:rsidR="00C1563E" w:rsidRDefault="00C1563E">
            <w:pPr>
              <w:rPr>
                <w:rFonts w:ascii="宋体"/>
              </w:rPr>
            </w:pPr>
          </w:p>
        </w:tc>
      </w:tr>
      <w:tr w:rsidR="00C1563E" w14:paraId="7DD01D53" w14:textId="77777777">
        <w:tc>
          <w:tcPr>
            <w:tcW w:w="0" w:type="auto"/>
            <w:gridSpan w:val="3"/>
            <w:shd w:val="clear" w:color="auto" w:fill="auto"/>
            <w:tcMar>
              <w:top w:w="40" w:type="dxa"/>
              <w:left w:w="20" w:type="dxa"/>
              <w:bottom w:w="40" w:type="dxa"/>
              <w:right w:w="20" w:type="dxa"/>
            </w:tcMar>
            <w:vAlign w:val="bottom"/>
          </w:tcPr>
          <w:p w14:paraId="7DD01D49"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D4A" w14:textId="77777777" w:rsidR="00C1563E" w:rsidRDefault="00C1563E">
            <w:pPr>
              <w:rPr>
                <w:rFonts w:ascii="宋体"/>
                <w:vanish/>
              </w:rPr>
            </w:pPr>
          </w:p>
        </w:tc>
        <w:tc>
          <w:tcPr>
            <w:tcW w:w="0" w:type="auto"/>
            <w:shd w:val="clear" w:color="auto" w:fill="auto"/>
          </w:tcPr>
          <w:p w14:paraId="7DD01D4B" w14:textId="77777777" w:rsidR="00C1563E" w:rsidRDefault="00C1563E">
            <w:pPr>
              <w:rPr>
                <w:rFonts w:ascii="宋体"/>
                <w:vanish/>
              </w:rPr>
            </w:pPr>
          </w:p>
        </w:tc>
        <w:tc>
          <w:tcPr>
            <w:tcW w:w="0" w:type="auto"/>
            <w:shd w:val="clear" w:color="auto" w:fill="auto"/>
          </w:tcPr>
          <w:p w14:paraId="7DD01D4C" w14:textId="77777777" w:rsidR="00C1563E" w:rsidRDefault="00C1563E">
            <w:pPr>
              <w:rPr>
                <w:rFonts w:ascii="宋体"/>
                <w:vanish/>
              </w:rPr>
            </w:pPr>
          </w:p>
        </w:tc>
        <w:tc>
          <w:tcPr>
            <w:tcW w:w="0" w:type="auto"/>
            <w:shd w:val="clear" w:color="auto" w:fill="auto"/>
          </w:tcPr>
          <w:p w14:paraId="7DD01D4D"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D4E"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D4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D50"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D5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D52"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D5A" w14:textId="77777777">
        <w:tc>
          <w:tcPr>
            <w:tcW w:w="0" w:type="auto"/>
            <w:gridSpan w:val="3"/>
            <w:shd w:val="clear" w:color="auto" w:fill="auto"/>
            <w:tcMar>
              <w:top w:w="0" w:type="dxa"/>
              <w:left w:w="20" w:type="dxa"/>
              <w:bottom w:w="0" w:type="dxa"/>
              <w:right w:w="20" w:type="dxa"/>
            </w:tcMar>
          </w:tcPr>
          <w:p w14:paraId="7DD01D54" w14:textId="77777777" w:rsidR="00C1563E" w:rsidRDefault="00C1563E">
            <w:pPr>
              <w:rPr>
                <w:rFonts w:ascii="宋体"/>
              </w:rPr>
            </w:pPr>
          </w:p>
        </w:tc>
        <w:tc>
          <w:tcPr>
            <w:tcW w:w="0" w:type="auto"/>
            <w:shd w:val="clear" w:color="auto" w:fill="auto"/>
          </w:tcPr>
          <w:p w14:paraId="7DD01D55" w14:textId="77777777" w:rsidR="00C1563E" w:rsidRDefault="00C1563E">
            <w:pPr>
              <w:rPr>
                <w:rFonts w:ascii="宋体"/>
                <w:vanish/>
              </w:rPr>
            </w:pPr>
          </w:p>
        </w:tc>
        <w:tc>
          <w:tcPr>
            <w:tcW w:w="0" w:type="auto"/>
            <w:shd w:val="clear" w:color="auto" w:fill="auto"/>
          </w:tcPr>
          <w:p w14:paraId="7DD01D56" w14:textId="77777777" w:rsidR="00C1563E" w:rsidRDefault="00C1563E">
            <w:pPr>
              <w:rPr>
                <w:rFonts w:ascii="宋体"/>
                <w:vanish/>
              </w:rPr>
            </w:pPr>
          </w:p>
        </w:tc>
        <w:tc>
          <w:tcPr>
            <w:tcW w:w="0" w:type="auto"/>
            <w:shd w:val="clear" w:color="auto" w:fill="auto"/>
          </w:tcPr>
          <w:p w14:paraId="7DD01D57" w14:textId="77777777" w:rsidR="00C1563E" w:rsidRDefault="00C1563E">
            <w:pPr>
              <w:rPr>
                <w:rFonts w:ascii="宋体"/>
                <w:vanish/>
              </w:rPr>
            </w:pPr>
          </w:p>
        </w:tc>
        <w:tc>
          <w:tcPr>
            <w:tcW w:w="0" w:type="auto"/>
            <w:shd w:val="clear" w:color="auto" w:fill="auto"/>
          </w:tcPr>
          <w:p w14:paraId="7DD01D58"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D59"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D65" w14:textId="77777777">
        <w:tc>
          <w:tcPr>
            <w:tcW w:w="0" w:type="auto"/>
            <w:gridSpan w:val="3"/>
            <w:shd w:val="clear" w:color="auto" w:fill="CCEEFF"/>
            <w:tcMar>
              <w:top w:w="40" w:type="dxa"/>
              <w:left w:w="20" w:type="dxa"/>
              <w:bottom w:w="40" w:type="dxa"/>
              <w:right w:w="20" w:type="dxa"/>
            </w:tcMar>
            <w:vAlign w:val="bottom"/>
          </w:tcPr>
          <w:p w14:paraId="7DD01D5B" w14:textId="77777777" w:rsidR="00C1563E" w:rsidRDefault="000B648B">
            <w:pPr>
              <w:textAlignment w:val="bottom"/>
            </w:pPr>
            <w:r>
              <w:rPr>
                <w:rFonts w:ascii="Times New Roman" w:eastAsia="宋体" w:hAnsi="Times New Roman"/>
                <w:i/>
                <w:iCs/>
                <w:color w:val="000000"/>
                <w:sz w:val="20"/>
                <w:szCs w:val="20"/>
              </w:rPr>
              <w:t>Warranty liability:</w:t>
            </w:r>
          </w:p>
        </w:tc>
        <w:tc>
          <w:tcPr>
            <w:tcW w:w="0" w:type="auto"/>
            <w:shd w:val="clear" w:color="auto" w:fill="auto"/>
          </w:tcPr>
          <w:p w14:paraId="7DD01D5C" w14:textId="77777777" w:rsidR="00C1563E" w:rsidRDefault="00C1563E">
            <w:pPr>
              <w:rPr>
                <w:rFonts w:ascii="宋体"/>
                <w:vanish/>
              </w:rPr>
            </w:pPr>
          </w:p>
        </w:tc>
        <w:tc>
          <w:tcPr>
            <w:tcW w:w="0" w:type="auto"/>
            <w:shd w:val="clear" w:color="auto" w:fill="auto"/>
          </w:tcPr>
          <w:p w14:paraId="7DD01D5D" w14:textId="77777777" w:rsidR="00C1563E" w:rsidRDefault="00C1563E">
            <w:pPr>
              <w:rPr>
                <w:rFonts w:ascii="宋体"/>
                <w:vanish/>
              </w:rPr>
            </w:pPr>
          </w:p>
        </w:tc>
        <w:tc>
          <w:tcPr>
            <w:tcW w:w="0" w:type="auto"/>
            <w:shd w:val="clear" w:color="auto" w:fill="auto"/>
          </w:tcPr>
          <w:p w14:paraId="7DD01D5E" w14:textId="77777777" w:rsidR="00C1563E" w:rsidRDefault="00C1563E">
            <w:pPr>
              <w:rPr>
                <w:rFonts w:ascii="宋体"/>
                <w:vanish/>
              </w:rPr>
            </w:pPr>
          </w:p>
        </w:tc>
        <w:tc>
          <w:tcPr>
            <w:tcW w:w="0" w:type="auto"/>
            <w:shd w:val="clear" w:color="auto" w:fill="auto"/>
          </w:tcPr>
          <w:p w14:paraId="7DD01D5F"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1D6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D6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D6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D63"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D64" w14:textId="77777777" w:rsidR="00C1563E" w:rsidRDefault="00C1563E">
            <w:pPr>
              <w:rPr>
                <w:rFonts w:ascii="宋体"/>
              </w:rPr>
            </w:pPr>
          </w:p>
        </w:tc>
      </w:tr>
      <w:tr w:rsidR="00C1563E" w14:paraId="7DD01D76" w14:textId="77777777">
        <w:tc>
          <w:tcPr>
            <w:tcW w:w="0" w:type="auto"/>
            <w:gridSpan w:val="3"/>
            <w:shd w:val="clear" w:color="auto" w:fill="FFFFFF"/>
            <w:tcMar>
              <w:top w:w="40" w:type="dxa"/>
              <w:left w:w="20" w:type="dxa"/>
              <w:bottom w:w="40" w:type="dxa"/>
              <w:right w:w="20" w:type="dxa"/>
            </w:tcMar>
            <w:vAlign w:val="bottom"/>
          </w:tcPr>
          <w:p w14:paraId="7DD01D66" w14:textId="77777777" w:rsidR="00C1563E" w:rsidRDefault="000B648B">
            <w:pPr>
              <w:textAlignment w:val="bottom"/>
            </w:pPr>
            <w:r>
              <w:rPr>
                <w:rFonts w:ascii="Times New Roman" w:eastAsia="宋体" w:hAnsi="Times New Roman"/>
                <w:color w:val="000000"/>
                <w:sz w:val="20"/>
                <w:szCs w:val="20"/>
              </w:rPr>
              <w:t>Warranty liability at beginning of period</w:t>
            </w:r>
          </w:p>
        </w:tc>
        <w:tc>
          <w:tcPr>
            <w:tcW w:w="0" w:type="auto"/>
            <w:shd w:val="clear" w:color="auto" w:fill="auto"/>
          </w:tcPr>
          <w:p w14:paraId="7DD01D67" w14:textId="77777777" w:rsidR="00C1563E" w:rsidRDefault="00C1563E">
            <w:pPr>
              <w:rPr>
                <w:rFonts w:ascii="宋体"/>
                <w:vanish/>
              </w:rPr>
            </w:pPr>
          </w:p>
        </w:tc>
        <w:tc>
          <w:tcPr>
            <w:tcW w:w="0" w:type="auto"/>
            <w:shd w:val="clear" w:color="auto" w:fill="auto"/>
          </w:tcPr>
          <w:p w14:paraId="7DD01D68" w14:textId="77777777" w:rsidR="00C1563E" w:rsidRDefault="00C1563E">
            <w:pPr>
              <w:rPr>
                <w:rFonts w:ascii="宋体"/>
                <w:vanish/>
              </w:rPr>
            </w:pPr>
          </w:p>
        </w:tc>
        <w:tc>
          <w:tcPr>
            <w:tcW w:w="0" w:type="auto"/>
            <w:shd w:val="clear" w:color="auto" w:fill="auto"/>
          </w:tcPr>
          <w:p w14:paraId="7DD01D69" w14:textId="77777777" w:rsidR="00C1563E" w:rsidRDefault="00C1563E">
            <w:pPr>
              <w:rPr>
                <w:rFonts w:ascii="宋体"/>
                <w:vanish/>
              </w:rPr>
            </w:pPr>
          </w:p>
        </w:tc>
        <w:tc>
          <w:tcPr>
            <w:tcW w:w="0" w:type="auto"/>
            <w:shd w:val="clear" w:color="auto" w:fill="auto"/>
          </w:tcPr>
          <w:p w14:paraId="7DD01D6A"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D01D6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D6C" w14:textId="77777777" w:rsidR="00C1563E" w:rsidRDefault="000B648B">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7DD01D6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6E"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D6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D70" w14:textId="77777777" w:rsidR="00C1563E" w:rsidRDefault="000B648B">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7DD01D7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7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D7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D74" w14:textId="77777777" w:rsidR="00C1563E" w:rsidRDefault="000B648B">
            <w:pPr>
              <w:jc w:val="right"/>
              <w:textAlignment w:val="bottom"/>
            </w:pPr>
            <w:r>
              <w:rPr>
                <w:rFonts w:ascii="Times New Roman" w:eastAsia="宋体" w:hAnsi="Times New Roman"/>
                <w:color w:val="000000"/>
                <w:sz w:val="20"/>
                <w:szCs w:val="20"/>
              </w:rPr>
              <w:t>539 </w:t>
            </w:r>
          </w:p>
        </w:tc>
        <w:tc>
          <w:tcPr>
            <w:tcW w:w="0" w:type="auto"/>
            <w:shd w:val="clear" w:color="auto" w:fill="FFFFFF"/>
            <w:tcMar>
              <w:top w:w="40" w:type="dxa"/>
              <w:left w:w="0" w:type="dxa"/>
              <w:bottom w:w="40" w:type="dxa"/>
              <w:right w:w="20" w:type="dxa"/>
            </w:tcMar>
            <w:vAlign w:val="bottom"/>
          </w:tcPr>
          <w:p w14:paraId="7DD01D75" w14:textId="77777777" w:rsidR="00C1563E" w:rsidRDefault="00C1563E">
            <w:pPr>
              <w:jc w:val="right"/>
              <w:rPr>
                <w:rFonts w:ascii="宋体"/>
              </w:rPr>
            </w:pPr>
          </w:p>
        </w:tc>
      </w:tr>
      <w:tr w:rsidR="00C1563E" w14:paraId="7DD01D84" w14:textId="77777777">
        <w:tc>
          <w:tcPr>
            <w:tcW w:w="0" w:type="auto"/>
            <w:gridSpan w:val="3"/>
            <w:shd w:val="clear" w:color="auto" w:fill="CCEEFF"/>
            <w:tcMar>
              <w:top w:w="40" w:type="dxa"/>
              <w:left w:w="155" w:type="dxa"/>
              <w:bottom w:w="40" w:type="dxa"/>
              <w:right w:w="20" w:type="dxa"/>
            </w:tcMar>
            <w:vAlign w:val="bottom"/>
          </w:tcPr>
          <w:p w14:paraId="7DD01D77" w14:textId="77777777" w:rsidR="00C1563E" w:rsidRDefault="000B648B">
            <w:pPr>
              <w:textAlignment w:val="bottom"/>
            </w:pPr>
            <w:r>
              <w:rPr>
                <w:rFonts w:ascii="Times New Roman" w:eastAsia="宋体" w:hAnsi="Times New Roman"/>
                <w:color w:val="000000"/>
                <w:sz w:val="20"/>
                <w:szCs w:val="20"/>
              </w:rPr>
              <w:t>Costs accrued for new warranty contracts and changes in estimates for pre-existing warranties (a) (b)</w:t>
            </w:r>
          </w:p>
        </w:tc>
        <w:tc>
          <w:tcPr>
            <w:tcW w:w="0" w:type="auto"/>
            <w:shd w:val="clear" w:color="auto" w:fill="auto"/>
          </w:tcPr>
          <w:p w14:paraId="7DD01D78" w14:textId="77777777" w:rsidR="00C1563E" w:rsidRDefault="00C1563E">
            <w:pPr>
              <w:rPr>
                <w:rFonts w:ascii="宋体"/>
                <w:vanish/>
              </w:rPr>
            </w:pPr>
          </w:p>
        </w:tc>
        <w:tc>
          <w:tcPr>
            <w:tcW w:w="0" w:type="auto"/>
            <w:shd w:val="clear" w:color="auto" w:fill="auto"/>
          </w:tcPr>
          <w:p w14:paraId="7DD01D79" w14:textId="77777777" w:rsidR="00C1563E" w:rsidRDefault="00C1563E">
            <w:pPr>
              <w:rPr>
                <w:rFonts w:ascii="宋体"/>
                <w:vanish/>
              </w:rPr>
            </w:pPr>
          </w:p>
        </w:tc>
        <w:tc>
          <w:tcPr>
            <w:tcW w:w="0" w:type="auto"/>
            <w:shd w:val="clear" w:color="auto" w:fill="auto"/>
          </w:tcPr>
          <w:p w14:paraId="7DD01D7A" w14:textId="77777777" w:rsidR="00C1563E" w:rsidRDefault="00C1563E">
            <w:pPr>
              <w:rPr>
                <w:rFonts w:ascii="宋体"/>
                <w:vanish/>
              </w:rPr>
            </w:pPr>
          </w:p>
        </w:tc>
        <w:tc>
          <w:tcPr>
            <w:tcW w:w="0" w:type="auto"/>
            <w:shd w:val="clear" w:color="auto" w:fill="auto"/>
          </w:tcPr>
          <w:p w14:paraId="7DD01D7B"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D7C" w14:textId="77777777" w:rsidR="00C1563E" w:rsidRDefault="000B648B">
            <w:pPr>
              <w:jc w:val="right"/>
              <w:textAlignment w:val="bottom"/>
            </w:pPr>
            <w:r>
              <w:rPr>
                <w:rFonts w:ascii="Times New Roman" w:eastAsia="宋体" w:hAnsi="Times New Roman"/>
                <w:color w:val="000000"/>
                <w:sz w:val="20"/>
                <w:szCs w:val="20"/>
              </w:rPr>
              <w:t>782 </w:t>
            </w:r>
          </w:p>
        </w:tc>
        <w:tc>
          <w:tcPr>
            <w:tcW w:w="0" w:type="auto"/>
            <w:shd w:val="clear" w:color="auto" w:fill="CCEEFF"/>
            <w:tcMar>
              <w:top w:w="40" w:type="dxa"/>
              <w:left w:w="0" w:type="dxa"/>
              <w:bottom w:w="40" w:type="dxa"/>
              <w:right w:w="20" w:type="dxa"/>
            </w:tcMar>
            <w:vAlign w:val="bottom"/>
          </w:tcPr>
          <w:p w14:paraId="7DD01D7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7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D7F" w14:textId="77777777" w:rsidR="00C1563E" w:rsidRDefault="000B648B">
            <w:pPr>
              <w:jc w:val="right"/>
              <w:textAlignment w:val="bottom"/>
            </w:pPr>
            <w:r>
              <w:rPr>
                <w:rFonts w:ascii="Times New Roman" w:eastAsia="宋体" w:hAnsi="Times New Roman"/>
                <w:color w:val="000000"/>
                <w:sz w:val="20"/>
                <w:szCs w:val="20"/>
              </w:rPr>
              <w:t>853 </w:t>
            </w:r>
          </w:p>
        </w:tc>
        <w:tc>
          <w:tcPr>
            <w:tcW w:w="0" w:type="auto"/>
            <w:shd w:val="clear" w:color="auto" w:fill="CCEEFF"/>
            <w:tcMar>
              <w:top w:w="40" w:type="dxa"/>
              <w:left w:w="0" w:type="dxa"/>
              <w:bottom w:w="40" w:type="dxa"/>
              <w:right w:w="20" w:type="dxa"/>
            </w:tcMar>
            <w:vAlign w:val="bottom"/>
          </w:tcPr>
          <w:p w14:paraId="7DD01D8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81"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D82" w14:textId="77777777" w:rsidR="00C1563E" w:rsidRDefault="000B648B">
            <w:pPr>
              <w:jc w:val="right"/>
              <w:textAlignment w:val="bottom"/>
            </w:pPr>
            <w:r>
              <w:rPr>
                <w:rFonts w:ascii="Times New Roman" w:eastAsia="宋体" w:hAnsi="Times New Roman"/>
                <w:color w:val="000000"/>
                <w:sz w:val="20"/>
                <w:szCs w:val="20"/>
              </w:rPr>
              <w:t>856 </w:t>
            </w:r>
          </w:p>
        </w:tc>
        <w:tc>
          <w:tcPr>
            <w:tcW w:w="0" w:type="auto"/>
            <w:shd w:val="clear" w:color="auto" w:fill="CCEEFF"/>
            <w:tcMar>
              <w:top w:w="40" w:type="dxa"/>
              <w:left w:w="0" w:type="dxa"/>
              <w:bottom w:w="40" w:type="dxa"/>
              <w:right w:w="20" w:type="dxa"/>
            </w:tcMar>
            <w:vAlign w:val="bottom"/>
          </w:tcPr>
          <w:p w14:paraId="7DD01D83" w14:textId="77777777" w:rsidR="00C1563E" w:rsidRDefault="00C1563E">
            <w:pPr>
              <w:jc w:val="right"/>
              <w:rPr>
                <w:rFonts w:ascii="宋体"/>
              </w:rPr>
            </w:pPr>
          </w:p>
        </w:tc>
      </w:tr>
      <w:tr w:rsidR="00C1563E" w14:paraId="7DD01D92" w14:textId="77777777">
        <w:tc>
          <w:tcPr>
            <w:tcW w:w="0" w:type="auto"/>
            <w:gridSpan w:val="3"/>
            <w:shd w:val="clear" w:color="auto" w:fill="FFFFFF"/>
            <w:tcMar>
              <w:top w:w="40" w:type="dxa"/>
              <w:left w:w="155" w:type="dxa"/>
              <w:bottom w:w="40" w:type="dxa"/>
              <w:right w:w="20" w:type="dxa"/>
            </w:tcMar>
            <w:vAlign w:val="bottom"/>
          </w:tcPr>
          <w:p w14:paraId="7DD01D85" w14:textId="77777777" w:rsidR="00C1563E" w:rsidRDefault="000B648B">
            <w:pPr>
              <w:textAlignment w:val="bottom"/>
            </w:pPr>
            <w:r>
              <w:rPr>
                <w:rFonts w:ascii="Times New Roman" w:eastAsia="宋体" w:hAnsi="Times New Roman"/>
                <w:color w:val="000000"/>
                <w:sz w:val="20"/>
                <w:szCs w:val="20"/>
              </w:rPr>
              <w:t>Se</w:t>
            </w:r>
            <w:r>
              <w:rPr>
                <w:rFonts w:ascii="Times New Roman" w:eastAsia="宋体" w:hAnsi="Times New Roman"/>
                <w:color w:val="000000"/>
                <w:sz w:val="20"/>
                <w:szCs w:val="20"/>
              </w:rPr>
              <w:t>rvice obligations honored</w:t>
            </w:r>
          </w:p>
        </w:tc>
        <w:tc>
          <w:tcPr>
            <w:tcW w:w="0" w:type="auto"/>
            <w:shd w:val="clear" w:color="auto" w:fill="auto"/>
          </w:tcPr>
          <w:p w14:paraId="7DD01D86" w14:textId="77777777" w:rsidR="00C1563E" w:rsidRDefault="00C1563E">
            <w:pPr>
              <w:rPr>
                <w:rFonts w:ascii="宋体"/>
                <w:vanish/>
              </w:rPr>
            </w:pPr>
          </w:p>
        </w:tc>
        <w:tc>
          <w:tcPr>
            <w:tcW w:w="0" w:type="auto"/>
            <w:shd w:val="clear" w:color="auto" w:fill="auto"/>
          </w:tcPr>
          <w:p w14:paraId="7DD01D87" w14:textId="77777777" w:rsidR="00C1563E" w:rsidRDefault="00C1563E">
            <w:pPr>
              <w:rPr>
                <w:rFonts w:ascii="宋体"/>
                <w:vanish/>
              </w:rPr>
            </w:pPr>
          </w:p>
        </w:tc>
        <w:tc>
          <w:tcPr>
            <w:tcW w:w="0" w:type="auto"/>
            <w:shd w:val="clear" w:color="auto" w:fill="auto"/>
          </w:tcPr>
          <w:p w14:paraId="7DD01D88" w14:textId="77777777" w:rsidR="00C1563E" w:rsidRDefault="00C1563E">
            <w:pPr>
              <w:rPr>
                <w:rFonts w:ascii="宋体"/>
                <w:vanish/>
              </w:rPr>
            </w:pPr>
          </w:p>
        </w:tc>
        <w:tc>
          <w:tcPr>
            <w:tcW w:w="0" w:type="auto"/>
            <w:shd w:val="clear" w:color="auto" w:fill="auto"/>
          </w:tcPr>
          <w:p w14:paraId="7DD01D89"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D8A" w14:textId="77777777" w:rsidR="00C1563E" w:rsidRDefault="000B648B">
            <w:pPr>
              <w:jc w:val="right"/>
              <w:textAlignment w:val="bottom"/>
            </w:pPr>
            <w:r>
              <w:rPr>
                <w:rFonts w:ascii="Times New Roman" w:eastAsia="宋体" w:hAnsi="Times New Roman"/>
                <w:color w:val="000000"/>
                <w:sz w:val="20"/>
                <w:szCs w:val="20"/>
              </w:rPr>
              <w:t>(805)</w:t>
            </w:r>
          </w:p>
        </w:tc>
        <w:tc>
          <w:tcPr>
            <w:tcW w:w="0" w:type="auto"/>
            <w:shd w:val="clear" w:color="auto" w:fill="FFFFFF"/>
            <w:tcMar>
              <w:top w:w="40" w:type="dxa"/>
              <w:left w:w="0" w:type="dxa"/>
              <w:bottom w:w="40" w:type="dxa"/>
              <w:right w:w="20" w:type="dxa"/>
            </w:tcMar>
            <w:vAlign w:val="bottom"/>
          </w:tcPr>
          <w:p w14:paraId="7DD01D8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8C"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D8D" w14:textId="77777777" w:rsidR="00C1563E" w:rsidRDefault="000B648B">
            <w:pPr>
              <w:jc w:val="right"/>
              <w:textAlignment w:val="bottom"/>
            </w:pPr>
            <w:r>
              <w:rPr>
                <w:rFonts w:ascii="Times New Roman" w:eastAsia="宋体" w:hAnsi="Times New Roman"/>
                <w:color w:val="000000"/>
                <w:sz w:val="20"/>
                <w:szCs w:val="20"/>
              </w:rPr>
              <w:t>(882)</w:t>
            </w:r>
          </w:p>
        </w:tc>
        <w:tc>
          <w:tcPr>
            <w:tcW w:w="0" w:type="auto"/>
            <w:shd w:val="clear" w:color="auto" w:fill="FFFFFF"/>
            <w:tcMar>
              <w:top w:w="40" w:type="dxa"/>
              <w:left w:w="0" w:type="dxa"/>
              <w:bottom w:w="40" w:type="dxa"/>
              <w:right w:w="20" w:type="dxa"/>
            </w:tcMar>
            <w:vAlign w:val="bottom"/>
          </w:tcPr>
          <w:p w14:paraId="7DD01D8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8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D90" w14:textId="77777777" w:rsidR="00C1563E" w:rsidRDefault="000B648B">
            <w:pPr>
              <w:jc w:val="right"/>
              <w:textAlignment w:val="bottom"/>
            </w:pPr>
            <w:r>
              <w:rPr>
                <w:rFonts w:ascii="Times New Roman" w:eastAsia="宋体" w:hAnsi="Times New Roman"/>
                <w:color w:val="000000"/>
                <w:sz w:val="20"/>
                <w:szCs w:val="20"/>
              </w:rPr>
              <w:t>(871)</w:t>
            </w:r>
          </w:p>
        </w:tc>
        <w:tc>
          <w:tcPr>
            <w:tcW w:w="0" w:type="auto"/>
            <w:shd w:val="clear" w:color="auto" w:fill="FFFFFF"/>
            <w:tcMar>
              <w:top w:w="40" w:type="dxa"/>
              <w:left w:w="0" w:type="dxa"/>
              <w:bottom w:w="40" w:type="dxa"/>
              <w:right w:w="20" w:type="dxa"/>
            </w:tcMar>
            <w:vAlign w:val="bottom"/>
          </w:tcPr>
          <w:p w14:paraId="7DD01D91" w14:textId="77777777" w:rsidR="00C1563E" w:rsidRDefault="00C1563E">
            <w:pPr>
              <w:jc w:val="right"/>
              <w:rPr>
                <w:rFonts w:ascii="宋体"/>
              </w:rPr>
            </w:pPr>
          </w:p>
        </w:tc>
      </w:tr>
      <w:tr w:rsidR="00C1563E" w14:paraId="7DD01DA3" w14:textId="77777777">
        <w:tc>
          <w:tcPr>
            <w:tcW w:w="0" w:type="auto"/>
            <w:gridSpan w:val="3"/>
            <w:shd w:val="clear" w:color="auto" w:fill="CCEEFF"/>
            <w:tcMar>
              <w:top w:w="40" w:type="dxa"/>
              <w:left w:w="20" w:type="dxa"/>
              <w:bottom w:w="40" w:type="dxa"/>
              <w:right w:w="20" w:type="dxa"/>
            </w:tcMar>
            <w:vAlign w:val="bottom"/>
          </w:tcPr>
          <w:p w14:paraId="7DD01D93" w14:textId="77777777" w:rsidR="00C1563E" w:rsidRDefault="000B648B">
            <w:pPr>
              <w:textAlignment w:val="bottom"/>
            </w:pPr>
            <w:r>
              <w:rPr>
                <w:rFonts w:ascii="Times New Roman" w:eastAsia="宋体" w:hAnsi="Times New Roman"/>
                <w:color w:val="000000"/>
                <w:sz w:val="20"/>
                <w:szCs w:val="20"/>
              </w:rPr>
              <w:t>Warranty liability at end of period</w:t>
            </w:r>
          </w:p>
        </w:tc>
        <w:tc>
          <w:tcPr>
            <w:tcW w:w="0" w:type="auto"/>
            <w:shd w:val="clear" w:color="auto" w:fill="auto"/>
          </w:tcPr>
          <w:p w14:paraId="7DD01D94" w14:textId="77777777" w:rsidR="00C1563E" w:rsidRDefault="00C1563E">
            <w:pPr>
              <w:rPr>
                <w:rFonts w:ascii="宋体"/>
                <w:vanish/>
              </w:rPr>
            </w:pPr>
          </w:p>
        </w:tc>
        <w:tc>
          <w:tcPr>
            <w:tcW w:w="0" w:type="auto"/>
            <w:shd w:val="clear" w:color="auto" w:fill="auto"/>
          </w:tcPr>
          <w:p w14:paraId="7DD01D95" w14:textId="77777777" w:rsidR="00C1563E" w:rsidRDefault="00C1563E">
            <w:pPr>
              <w:rPr>
                <w:rFonts w:ascii="宋体"/>
                <w:vanish/>
              </w:rPr>
            </w:pPr>
          </w:p>
        </w:tc>
        <w:tc>
          <w:tcPr>
            <w:tcW w:w="0" w:type="auto"/>
            <w:shd w:val="clear" w:color="auto" w:fill="auto"/>
          </w:tcPr>
          <w:p w14:paraId="7DD01D96" w14:textId="77777777" w:rsidR="00C1563E" w:rsidRDefault="00C1563E">
            <w:pPr>
              <w:rPr>
                <w:rFonts w:ascii="宋体"/>
                <w:vanish/>
              </w:rPr>
            </w:pPr>
          </w:p>
        </w:tc>
        <w:tc>
          <w:tcPr>
            <w:tcW w:w="0" w:type="auto"/>
            <w:shd w:val="clear" w:color="auto" w:fill="auto"/>
          </w:tcPr>
          <w:p w14:paraId="7DD01D97" w14:textId="77777777" w:rsidR="00C1563E" w:rsidRDefault="00C1563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D9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D99" w14:textId="77777777" w:rsidR="00C1563E" w:rsidRDefault="000B648B">
            <w:pPr>
              <w:jc w:val="right"/>
              <w:textAlignment w:val="bottom"/>
            </w:pPr>
            <w:r>
              <w:rPr>
                <w:rFonts w:ascii="Times New Roman" w:eastAsia="宋体" w:hAnsi="Times New Roman"/>
                <w:color w:val="000000"/>
                <w:sz w:val="20"/>
                <w:szCs w:val="20"/>
              </w:rPr>
              <w:t>473 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D9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9B"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D9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D9D" w14:textId="77777777" w:rsidR="00C1563E" w:rsidRDefault="000B648B">
            <w:pPr>
              <w:jc w:val="right"/>
              <w:textAlignment w:val="bottom"/>
            </w:pPr>
            <w:r>
              <w:rPr>
                <w:rFonts w:ascii="Times New Roman" w:eastAsia="宋体" w:hAnsi="Times New Roman"/>
                <w:color w:val="000000"/>
                <w:sz w:val="20"/>
                <w:szCs w:val="20"/>
              </w:rPr>
              <w:t>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D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9F" w14:textId="77777777" w:rsidR="00C1563E" w:rsidRDefault="00C1563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DD01DA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DD01DA1" w14:textId="77777777" w:rsidR="00C1563E" w:rsidRDefault="000B648B">
            <w:pPr>
              <w:jc w:val="right"/>
              <w:textAlignment w:val="bottom"/>
            </w:pPr>
            <w:r>
              <w:rPr>
                <w:rFonts w:ascii="Times New Roman" w:eastAsia="宋体" w:hAnsi="Times New Roman"/>
                <w:color w:val="000000"/>
                <w:sz w:val="20"/>
                <w:szCs w:val="20"/>
              </w:rPr>
              <w:t>524 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DA2" w14:textId="77777777" w:rsidR="00C1563E" w:rsidRDefault="00C1563E">
            <w:pPr>
              <w:jc w:val="right"/>
              <w:rPr>
                <w:rFonts w:ascii="宋体"/>
              </w:rPr>
            </w:pPr>
          </w:p>
        </w:tc>
      </w:tr>
      <w:tr w:rsidR="00C1563E" w14:paraId="7DD01DB4" w14:textId="77777777">
        <w:tc>
          <w:tcPr>
            <w:tcW w:w="0" w:type="auto"/>
            <w:gridSpan w:val="3"/>
            <w:shd w:val="clear" w:color="auto" w:fill="FFFFFF"/>
            <w:tcMar>
              <w:top w:w="40" w:type="dxa"/>
              <w:left w:w="155" w:type="dxa"/>
              <w:bottom w:w="40" w:type="dxa"/>
              <w:right w:w="20" w:type="dxa"/>
            </w:tcMar>
            <w:vAlign w:val="bottom"/>
          </w:tcPr>
          <w:p w14:paraId="7DD01DA4" w14:textId="77777777" w:rsidR="00C1563E" w:rsidRDefault="000B648B">
            <w:pPr>
              <w:textAlignment w:val="bottom"/>
            </w:pPr>
            <w:r>
              <w:rPr>
                <w:rFonts w:ascii="Times New Roman" w:eastAsia="宋体" w:hAnsi="Times New Roman"/>
                <w:color w:val="000000"/>
                <w:sz w:val="20"/>
                <w:szCs w:val="20"/>
              </w:rPr>
              <w:t>Current portion</w:t>
            </w:r>
          </w:p>
        </w:tc>
        <w:tc>
          <w:tcPr>
            <w:tcW w:w="0" w:type="auto"/>
            <w:shd w:val="clear" w:color="auto" w:fill="auto"/>
          </w:tcPr>
          <w:p w14:paraId="7DD01DA5" w14:textId="77777777" w:rsidR="00C1563E" w:rsidRDefault="00C1563E">
            <w:pPr>
              <w:rPr>
                <w:rFonts w:ascii="宋体"/>
                <w:vanish/>
              </w:rPr>
            </w:pPr>
          </w:p>
        </w:tc>
        <w:tc>
          <w:tcPr>
            <w:tcW w:w="0" w:type="auto"/>
            <w:shd w:val="clear" w:color="auto" w:fill="auto"/>
          </w:tcPr>
          <w:p w14:paraId="7DD01DA6" w14:textId="77777777" w:rsidR="00C1563E" w:rsidRDefault="00C1563E">
            <w:pPr>
              <w:rPr>
                <w:rFonts w:ascii="宋体"/>
                <w:vanish/>
              </w:rPr>
            </w:pPr>
          </w:p>
        </w:tc>
        <w:tc>
          <w:tcPr>
            <w:tcW w:w="0" w:type="auto"/>
            <w:shd w:val="clear" w:color="auto" w:fill="auto"/>
          </w:tcPr>
          <w:p w14:paraId="7DD01DA7" w14:textId="77777777" w:rsidR="00C1563E" w:rsidRDefault="00C1563E">
            <w:pPr>
              <w:rPr>
                <w:rFonts w:ascii="宋体"/>
                <w:vanish/>
              </w:rPr>
            </w:pPr>
          </w:p>
        </w:tc>
        <w:tc>
          <w:tcPr>
            <w:tcW w:w="0" w:type="auto"/>
            <w:shd w:val="clear" w:color="auto" w:fill="auto"/>
          </w:tcPr>
          <w:p w14:paraId="7DD01DA8" w14:textId="77777777" w:rsidR="00C1563E" w:rsidRDefault="00C1563E">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DD01DA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DD01DAA" w14:textId="77777777" w:rsidR="00C1563E" w:rsidRDefault="000B648B">
            <w:pPr>
              <w:jc w:val="right"/>
              <w:textAlignment w:val="bottom"/>
            </w:pPr>
            <w:r>
              <w:rPr>
                <w:rFonts w:ascii="Times New Roman" w:eastAsia="宋体" w:hAnsi="Times New Roman"/>
                <w:color w:val="000000"/>
                <w:sz w:val="20"/>
                <w:szCs w:val="20"/>
              </w:rPr>
              <w:t>356 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DA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AC" w14:textId="77777777" w:rsidR="00C1563E" w:rsidRDefault="00C1563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DD01DA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DD01DAE" w14:textId="77777777" w:rsidR="00C1563E" w:rsidRDefault="000B648B">
            <w:pPr>
              <w:jc w:val="right"/>
              <w:textAlignment w:val="bottom"/>
            </w:pPr>
            <w:r>
              <w:rPr>
                <w:rFonts w:ascii="Times New Roman" w:eastAsia="宋体" w:hAnsi="Times New Roman"/>
                <w:color w:val="000000"/>
                <w:sz w:val="20"/>
                <w:szCs w:val="20"/>
              </w:rPr>
              <w:t>341 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DA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DB0" w14:textId="77777777" w:rsidR="00C1563E" w:rsidRDefault="00C1563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DD01DB1" w14:textId="77777777" w:rsidR="00C1563E" w:rsidRDefault="000B648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DD01DB2" w14:textId="77777777" w:rsidR="00C1563E" w:rsidRDefault="000B648B">
            <w:pPr>
              <w:jc w:val="right"/>
              <w:textAlignment w:val="bottom"/>
            </w:pPr>
            <w:r>
              <w:rPr>
                <w:rFonts w:ascii="Times New Roman" w:eastAsia="宋体" w:hAnsi="Times New Roman"/>
                <w:color w:val="000000"/>
                <w:sz w:val="20"/>
                <w:szCs w:val="20"/>
              </w:rPr>
              <w:t>355 </w:t>
            </w:r>
          </w:p>
        </w:tc>
        <w:tc>
          <w:tcPr>
            <w:tcW w:w="0" w:type="auto"/>
            <w:tcBorders>
              <w:top w:val="double" w:sz="6" w:space="0" w:color="000000"/>
            </w:tcBorders>
            <w:shd w:val="clear" w:color="auto" w:fill="FFFFFF"/>
            <w:tcMar>
              <w:top w:w="40" w:type="dxa"/>
              <w:left w:w="0" w:type="dxa"/>
              <w:bottom w:w="40" w:type="dxa"/>
              <w:right w:w="20" w:type="dxa"/>
            </w:tcMar>
            <w:vAlign w:val="bottom"/>
          </w:tcPr>
          <w:p w14:paraId="7DD01DB3" w14:textId="77777777" w:rsidR="00C1563E" w:rsidRDefault="00C1563E">
            <w:pPr>
              <w:jc w:val="right"/>
              <w:rPr>
                <w:rFonts w:ascii="宋体"/>
              </w:rPr>
            </w:pPr>
          </w:p>
        </w:tc>
      </w:tr>
      <w:tr w:rsidR="00C1563E" w14:paraId="7DD01DC5" w14:textId="77777777">
        <w:tc>
          <w:tcPr>
            <w:tcW w:w="0" w:type="auto"/>
            <w:gridSpan w:val="3"/>
            <w:shd w:val="clear" w:color="auto" w:fill="CCEEFF"/>
            <w:tcMar>
              <w:top w:w="40" w:type="dxa"/>
              <w:left w:w="155" w:type="dxa"/>
              <w:bottom w:w="40" w:type="dxa"/>
              <w:right w:w="20" w:type="dxa"/>
            </w:tcMar>
            <w:vAlign w:val="bottom"/>
          </w:tcPr>
          <w:p w14:paraId="7DD01DB5" w14:textId="77777777" w:rsidR="00C1563E" w:rsidRDefault="000B648B">
            <w:pPr>
              <w:textAlignment w:val="bottom"/>
            </w:pPr>
            <w:r>
              <w:rPr>
                <w:rFonts w:ascii="Times New Roman" w:eastAsia="宋体" w:hAnsi="Times New Roman"/>
                <w:color w:val="000000"/>
                <w:sz w:val="20"/>
                <w:szCs w:val="20"/>
              </w:rPr>
              <w:t>Non-current portion</w:t>
            </w:r>
          </w:p>
        </w:tc>
        <w:tc>
          <w:tcPr>
            <w:tcW w:w="0" w:type="auto"/>
            <w:shd w:val="clear" w:color="auto" w:fill="auto"/>
          </w:tcPr>
          <w:p w14:paraId="7DD01DB6" w14:textId="77777777" w:rsidR="00C1563E" w:rsidRDefault="00C1563E">
            <w:pPr>
              <w:rPr>
                <w:rFonts w:ascii="宋体"/>
                <w:vanish/>
              </w:rPr>
            </w:pPr>
          </w:p>
        </w:tc>
        <w:tc>
          <w:tcPr>
            <w:tcW w:w="0" w:type="auto"/>
            <w:shd w:val="clear" w:color="auto" w:fill="auto"/>
          </w:tcPr>
          <w:p w14:paraId="7DD01DB7" w14:textId="77777777" w:rsidR="00C1563E" w:rsidRDefault="00C1563E">
            <w:pPr>
              <w:rPr>
                <w:rFonts w:ascii="宋体"/>
                <w:vanish/>
              </w:rPr>
            </w:pPr>
          </w:p>
        </w:tc>
        <w:tc>
          <w:tcPr>
            <w:tcW w:w="0" w:type="auto"/>
            <w:shd w:val="clear" w:color="auto" w:fill="auto"/>
          </w:tcPr>
          <w:p w14:paraId="7DD01DB8" w14:textId="77777777" w:rsidR="00C1563E" w:rsidRDefault="00C1563E">
            <w:pPr>
              <w:rPr>
                <w:rFonts w:ascii="宋体"/>
                <w:vanish/>
              </w:rPr>
            </w:pPr>
          </w:p>
        </w:tc>
        <w:tc>
          <w:tcPr>
            <w:tcW w:w="0" w:type="auto"/>
            <w:shd w:val="clear" w:color="auto" w:fill="auto"/>
          </w:tcPr>
          <w:p w14:paraId="7DD01DB9" w14:textId="77777777" w:rsidR="00C1563E" w:rsidRDefault="00C1563E">
            <w:pPr>
              <w:rPr>
                <w:rFonts w:ascii="宋体"/>
                <w:vanish/>
              </w:rPr>
            </w:pPr>
          </w:p>
        </w:tc>
        <w:tc>
          <w:tcPr>
            <w:tcW w:w="0" w:type="auto"/>
            <w:shd w:val="clear" w:color="auto" w:fill="CCEEFF"/>
            <w:tcMar>
              <w:top w:w="40" w:type="dxa"/>
              <w:left w:w="20" w:type="dxa"/>
              <w:bottom w:w="40" w:type="dxa"/>
              <w:right w:w="0" w:type="dxa"/>
            </w:tcMar>
            <w:vAlign w:val="bottom"/>
          </w:tcPr>
          <w:p w14:paraId="7DD01DB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DBB" w14:textId="77777777" w:rsidR="00C1563E" w:rsidRDefault="000B648B">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7DD01DB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B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DB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DBF" w14:textId="77777777" w:rsidR="00C1563E" w:rsidRDefault="000B648B">
            <w:pPr>
              <w:jc w:val="right"/>
              <w:textAlignment w:val="bottom"/>
            </w:pPr>
            <w:r>
              <w:rPr>
                <w:rFonts w:ascii="Times New Roman" w:eastAsia="宋体" w:hAnsi="Times New Roman"/>
                <w:color w:val="000000"/>
                <w:sz w:val="20"/>
                <w:szCs w:val="20"/>
              </w:rPr>
              <w:t>155 </w:t>
            </w:r>
          </w:p>
        </w:tc>
        <w:tc>
          <w:tcPr>
            <w:tcW w:w="0" w:type="auto"/>
            <w:shd w:val="clear" w:color="auto" w:fill="CCEEFF"/>
            <w:tcMar>
              <w:top w:w="40" w:type="dxa"/>
              <w:left w:w="0" w:type="dxa"/>
              <w:bottom w:w="40" w:type="dxa"/>
              <w:right w:w="20" w:type="dxa"/>
            </w:tcMar>
            <w:vAlign w:val="bottom"/>
          </w:tcPr>
          <w:p w14:paraId="7DD01DC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DC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DC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DC3" w14:textId="77777777" w:rsidR="00C1563E" w:rsidRDefault="000B648B">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7DD01DC4" w14:textId="77777777" w:rsidR="00C1563E" w:rsidRDefault="00C1563E">
            <w:pPr>
              <w:jc w:val="right"/>
              <w:rPr>
                <w:rFonts w:ascii="宋体"/>
              </w:rPr>
            </w:pPr>
          </w:p>
        </w:tc>
      </w:tr>
    </w:tbl>
    <w:p w14:paraId="7DD01DC6" w14:textId="77777777" w:rsidR="00C1563E" w:rsidRDefault="000B648B">
      <w:pPr>
        <w:ind w:hanging="360"/>
      </w:pPr>
      <w:r>
        <w:rPr>
          <w:rFonts w:ascii="Times New Roman" w:eastAsia="宋体" w:hAnsi="Times New Roman"/>
          <w:color w:val="000000"/>
          <w:sz w:val="20"/>
          <w:szCs w:val="20"/>
        </w:rPr>
        <w:t>____________________</w:t>
      </w:r>
    </w:p>
    <w:p w14:paraId="7DD01DC7" w14:textId="77777777" w:rsidR="00C1563E" w:rsidRDefault="000B648B">
      <w:pPr>
        <w:ind w:hanging="360"/>
      </w:pPr>
      <w:r>
        <w:rPr>
          <w:rFonts w:ascii="Times New Roman" w:eastAsia="宋体" w:hAnsi="Times New Roman"/>
          <w:color w:val="000000"/>
          <w:sz w:val="20"/>
          <w:szCs w:val="20"/>
        </w:rPr>
        <w:t>(a)Changes in cost estimates related to pre-existing warranties are aggregated with accruals for new standard warranty contracts. The Company’s warranty liability process does not differentiate between estimates made for pre-existing warranties and new war</w:t>
      </w:r>
      <w:r>
        <w:rPr>
          <w:rFonts w:ascii="Times New Roman" w:eastAsia="宋体" w:hAnsi="Times New Roman"/>
          <w:color w:val="000000"/>
          <w:sz w:val="20"/>
          <w:szCs w:val="20"/>
        </w:rPr>
        <w:t xml:space="preserve">ranty obligations. </w:t>
      </w:r>
    </w:p>
    <w:p w14:paraId="7DD01DC8" w14:textId="77777777" w:rsidR="00C1563E" w:rsidRDefault="000B648B">
      <w:pPr>
        <w:ind w:hanging="360"/>
      </w:pPr>
      <w:r>
        <w:rPr>
          <w:rFonts w:ascii="Times New Roman" w:eastAsia="宋体" w:hAnsi="Times New Roman"/>
          <w:color w:val="000000"/>
          <w:sz w:val="20"/>
          <w:szCs w:val="20"/>
        </w:rPr>
        <w:t>(b)Includes the impact of foreign currency exchange rate fluctuations.</w:t>
      </w:r>
    </w:p>
    <w:p w14:paraId="7DD01DC9" w14:textId="77777777" w:rsidR="00C1563E" w:rsidRDefault="00C1563E"/>
    <w:p w14:paraId="7DD01DCA" w14:textId="77777777" w:rsidR="00C1563E" w:rsidRDefault="000B648B">
      <w:r>
        <w:rPr>
          <w:rFonts w:ascii="Times New Roman" w:eastAsia="宋体" w:hAnsi="Times New Roman"/>
          <w:b/>
          <w:bCs/>
          <w:color w:val="000000"/>
          <w:sz w:val="20"/>
          <w:szCs w:val="20"/>
        </w:rPr>
        <w:t>Severance Charges</w:t>
      </w:r>
    </w:p>
    <w:p w14:paraId="7DD01DCB" w14:textId="77777777" w:rsidR="00C1563E" w:rsidRDefault="00C1563E"/>
    <w:p w14:paraId="7DD01DCC" w14:textId="77777777" w:rsidR="00C1563E" w:rsidRDefault="000B648B">
      <w:r>
        <w:rPr>
          <w:rFonts w:ascii="Times New Roman" w:eastAsia="宋体" w:hAnsi="Times New Roman"/>
          <w:color w:val="000000"/>
          <w:sz w:val="20"/>
          <w:szCs w:val="20"/>
        </w:rPr>
        <w:t>The Company incurs costs related to employee severance and records a liability for these costs when it is probable that employees will be entitle</w:t>
      </w:r>
      <w:r>
        <w:rPr>
          <w:rFonts w:ascii="Times New Roman" w:eastAsia="宋体" w:hAnsi="Times New Roman"/>
          <w:color w:val="000000"/>
          <w:sz w:val="20"/>
          <w:szCs w:val="20"/>
        </w:rPr>
        <w:t>d to termination benefits and the amounts can be reasonably estimated. The liability related to these actions is included in accrued and other current liabilities in the Consolidated Statements of Financial Position.</w:t>
      </w:r>
    </w:p>
    <w:p w14:paraId="7DD01DCD" w14:textId="77777777" w:rsidR="00C1563E" w:rsidRDefault="00C1563E"/>
    <w:p w14:paraId="7DD01DCE" w14:textId="77777777" w:rsidR="00C1563E" w:rsidRDefault="000B648B">
      <w:pPr>
        <w:spacing w:after="120"/>
      </w:pPr>
      <w:r>
        <w:rPr>
          <w:rFonts w:ascii="Times New Roman" w:eastAsia="宋体" w:hAnsi="Times New Roman"/>
          <w:color w:val="000000"/>
          <w:sz w:val="20"/>
          <w:szCs w:val="20"/>
        </w:rPr>
        <w:t>The following table presents the activ</w:t>
      </w:r>
      <w:r>
        <w:rPr>
          <w:rFonts w:ascii="Times New Roman" w:eastAsia="宋体" w:hAnsi="Times New Roman"/>
          <w:color w:val="000000"/>
          <w:sz w:val="20"/>
          <w:szCs w:val="20"/>
        </w:rPr>
        <w:t>ity related to the Company’s severance liability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23"/>
        <w:gridCol w:w="37"/>
        <w:gridCol w:w="36"/>
        <w:gridCol w:w="36"/>
        <w:gridCol w:w="36"/>
        <w:gridCol w:w="36"/>
        <w:gridCol w:w="121"/>
        <w:gridCol w:w="1169"/>
        <w:gridCol w:w="36"/>
        <w:gridCol w:w="36"/>
        <w:gridCol w:w="36"/>
        <w:gridCol w:w="36"/>
        <w:gridCol w:w="121"/>
        <w:gridCol w:w="1169"/>
        <w:gridCol w:w="36"/>
        <w:gridCol w:w="36"/>
        <w:gridCol w:w="36"/>
        <w:gridCol w:w="36"/>
        <w:gridCol w:w="121"/>
        <w:gridCol w:w="1169"/>
        <w:gridCol w:w="36"/>
      </w:tblGrid>
      <w:tr w:rsidR="00C1563E" w14:paraId="7DD01DE5" w14:textId="77777777">
        <w:trPr>
          <w:jc w:val="center"/>
        </w:trPr>
        <w:tc>
          <w:tcPr>
            <w:tcW w:w="50" w:type="pct"/>
            <w:shd w:val="clear" w:color="auto" w:fill="auto"/>
          </w:tcPr>
          <w:p w14:paraId="7DD01DCF" w14:textId="77777777" w:rsidR="00C1563E" w:rsidRDefault="00C1563E">
            <w:pPr>
              <w:rPr>
                <w:rFonts w:ascii="宋体"/>
              </w:rPr>
            </w:pPr>
          </w:p>
        </w:tc>
        <w:tc>
          <w:tcPr>
            <w:tcW w:w="2452" w:type="pct"/>
            <w:shd w:val="clear" w:color="auto" w:fill="auto"/>
          </w:tcPr>
          <w:p w14:paraId="7DD01DD0" w14:textId="77777777" w:rsidR="00C1563E" w:rsidRDefault="00C1563E">
            <w:pPr>
              <w:rPr>
                <w:rFonts w:ascii="宋体"/>
              </w:rPr>
            </w:pPr>
          </w:p>
        </w:tc>
        <w:tc>
          <w:tcPr>
            <w:tcW w:w="5" w:type="pct"/>
            <w:shd w:val="clear" w:color="auto" w:fill="auto"/>
          </w:tcPr>
          <w:p w14:paraId="7DD01DD1" w14:textId="77777777" w:rsidR="00C1563E" w:rsidRDefault="00C1563E">
            <w:pPr>
              <w:rPr>
                <w:rFonts w:ascii="宋体"/>
              </w:rPr>
            </w:pPr>
          </w:p>
        </w:tc>
        <w:tc>
          <w:tcPr>
            <w:tcW w:w="0" w:type="auto"/>
            <w:shd w:val="clear" w:color="auto" w:fill="auto"/>
          </w:tcPr>
          <w:p w14:paraId="7DD01DD2" w14:textId="77777777" w:rsidR="00C1563E" w:rsidRDefault="00C1563E">
            <w:pPr>
              <w:rPr>
                <w:rFonts w:ascii="宋体"/>
                <w:vanish/>
              </w:rPr>
            </w:pPr>
          </w:p>
        </w:tc>
        <w:tc>
          <w:tcPr>
            <w:tcW w:w="0" w:type="auto"/>
            <w:shd w:val="clear" w:color="auto" w:fill="auto"/>
          </w:tcPr>
          <w:p w14:paraId="7DD01DD3" w14:textId="77777777" w:rsidR="00C1563E" w:rsidRDefault="00C1563E">
            <w:pPr>
              <w:rPr>
                <w:rFonts w:ascii="宋体"/>
                <w:vanish/>
              </w:rPr>
            </w:pPr>
          </w:p>
        </w:tc>
        <w:tc>
          <w:tcPr>
            <w:tcW w:w="0" w:type="auto"/>
            <w:shd w:val="clear" w:color="auto" w:fill="auto"/>
          </w:tcPr>
          <w:p w14:paraId="7DD01DD4" w14:textId="77777777" w:rsidR="00C1563E" w:rsidRDefault="00C1563E">
            <w:pPr>
              <w:rPr>
                <w:rFonts w:ascii="宋体"/>
                <w:vanish/>
              </w:rPr>
            </w:pPr>
          </w:p>
        </w:tc>
        <w:tc>
          <w:tcPr>
            <w:tcW w:w="0" w:type="auto"/>
            <w:shd w:val="clear" w:color="auto" w:fill="auto"/>
          </w:tcPr>
          <w:p w14:paraId="7DD01DD5" w14:textId="77777777" w:rsidR="00C1563E" w:rsidRDefault="00C1563E">
            <w:pPr>
              <w:rPr>
                <w:rFonts w:ascii="宋体"/>
                <w:vanish/>
              </w:rPr>
            </w:pPr>
          </w:p>
        </w:tc>
        <w:tc>
          <w:tcPr>
            <w:tcW w:w="50" w:type="pct"/>
            <w:shd w:val="clear" w:color="auto" w:fill="auto"/>
          </w:tcPr>
          <w:p w14:paraId="7DD01DD6" w14:textId="77777777" w:rsidR="00C1563E" w:rsidRDefault="00C1563E">
            <w:pPr>
              <w:rPr>
                <w:rFonts w:ascii="宋体"/>
              </w:rPr>
            </w:pPr>
          </w:p>
        </w:tc>
        <w:tc>
          <w:tcPr>
            <w:tcW w:w="756" w:type="pct"/>
            <w:shd w:val="clear" w:color="auto" w:fill="auto"/>
          </w:tcPr>
          <w:p w14:paraId="7DD01DD7" w14:textId="77777777" w:rsidR="00C1563E" w:rsidRDefault="00C1563E">
            <w:pPr>
              <w:rPr>
                <w:rFonts w:ascii="宋体"/>
              </w:rPr>
            </w:pPr>
          </w:p>
        </w:tc>
        <w:tc>
          <w:tcPr>
            <w:tcW w:w="5" w:type="pct"/>
            <w:shd w:val="clear" w:color="auto" w:fill="auto"/>
          </w:tcPr>
          <w:p w14:paraId="7DD01DD8" w14:textId="77777777" w:rsidR="00C1563E" w:rsidRDefault="00C1563E">
            <w:pPr>
              <w:rPr>
                <w:rFonts w:ascii="宋体"/>
              </w:rPr>
            </w:pPr>
          </w:p>
        </w:tc>
        <w:tc>
          <w:tcPr>
            <w:tcW w:w="5" w:type="pct"/>
            <w:shd w:val="clear" w:color="auto" w:fill="auto"/>
          </w:tcPr>
          <w:p w14:paraId="7DD01DD9" w14:textId="77777777" w:rsidR="00C1563E" w:rsidRDefault="00C1563E">
            <w:pPr>
              <w:rPr>
                <w:rFonts w:ascii="宋体"/>
              </w:rPr>
            </w:pPr>
          </w:p>
        </w:tc>
        <w:tc>
          <w:tcPr>
            <w:tcW w:w="19" w:type="pct"/>
            <w:shd w:val="clear" w:color="auto" w:fill="auto"/>
          </w:tcPr>
          <w:p w14:paraId="7DD01DDA" w14:textId="77777777" w:rsidR="00C1563E" w:rsidRDefault="00C1563E">
            <w:pPr>
              <w:rPr>
                <w:rFonts w:ascii="宋体"/>
              </w:rPr>
            </w:pPr>
          </w:p>
        </w:tc>
        <w:tc>
          <w:tcPr>
            <w:tcW w:w="5" w:type="pct"/>
            <w:shd w:val="clear" w:color="auto" w:fill="auto"/>
          </w:tcPr>
          <w:p w14:paraId="7DD01DDB" w14:textId="77777777" w:rsidR="00C1563E" w:rsidRDefault="00C1563E">
            <w:pPr>
              <w:rPr>
                <w:rFonts w:ascii="宋体"/>
              </w:rPr>
            </w:pPr>
          </w:p>
        </w:tc>
        <w:tc>
          <w:tcPr>
            <w:tcW w:w="50" w:type="pct"/>
            <w:shd w:val="clear" w:color="auto" w:fill="auto"/>
          </w:tcPr>
          <w:p w14:paraId="7DD01DDC" w14:textId="77777777" w:rsidR="00C1563E" w:rsidRDefault="00C1563E">
            <w:pPr>
              <w:rPr>
                <w:rFonts w:ascii="宋体"/>
              </w:rPr>
            </w:pPr>
          </w:p>
        </w:tc>
        <w:tc>
          <w:tcPr>
            <w:tcW w:w="756" w:type="pct"/>
            <w:shd w:val="clear" w:color="auto" w:fill="auto"/>
          </w:tcPr>
          <w:p w14:paraId="7DD01DDD" w14:textId="77777777" w:rsidR="00C1563E" w:rsidRDefault="00C1563E">
            <w:pPr>
              <w:rPr>
                <w:rFonts w:ascii="宋体"/>
              </w:rPr>
            </w:pPr>
          </w:p>
        </w:tc>
        <w:tc>
          <w:tcPr>
            <w:tcW w:w="5" w:type="pct"/>
            <w:shd w:val="clear" w:color="auto" w:fill="auto"/>
          </w:tcPr>
          <w:p w14:paraId="7DD01DDE" w14:textId="77777777" w:rsidR="00C1563E" w:rsidRDefault="00C1563E">
            <w:pPr>
              <w:rPr>
                <w:rFonts w:ascii="宋体"/>
              </w:rPr>
            </w:pPr>
          </w:p>
        </w:tc>
        <w:tc>
          <w:tcPr>
            <w:tcW w:w="5" w:type="pct"/>
            <w:shd w:val="clear" w:color="auto" w:fill="auto"/>
          </w:tcPr>
          <w:p w14:paraId="7DD01DDF" w14:textId="77777777" w:rsidR="00C1563E" w:rsidRDefault="00C1563E">
            <w:pPr>
              <w:rPr>
                <w:rFonts w:ascii="宋体"/>
              </w:rPr>
            </w:pPr>
          </w:p>
        </w:tc>
        <w:tc>
          <w:tcPr>
            <w:tcW w:w="19" w:type="pct"/>
            <w:shd w:val="clear" w:color="auto" w:fill="auto"/>
          </w:tcPr>
          <w:p w14:paraId="7DD01DE0" w14:textId="77777777" w:rsidR="00C1563E" w:rsidRDefault="00C1563E">
            <w:pPr>
              <w:rPr>
                <w:rFonts w:ascii="宋体"/>
              </w:rPr>
            </w:pPr>
          </w:p>
        </w:tc>
        <w:tc>
          <w:tcPr>
            <w:tcW w:w="5" w:type="pct"/>
            <w:shd w:val="clear" w:color="auto" w:fill="auto"/>
          </w:tcPr>
          <w:p w14:paraId="7DD01DE1" w14:textId="77777777" w:rsidR="00C1563E" w:rsidRDefault="00C1563E">
            <w:pPr>
              <w:rPr>
                <w:rFonts w:ascii="宋体"/>
              </w:rPr>
            </w:pPr>
          </w:p>
        </w:tc>
        <w:tc>
          <w:tcPr>
            <w:tcW w:w="50" w:type="pct"/>
            <w:shd w:val="clear" w:color="auto" w:fill="auto"/>
          </w:tcPr>
          <w:p w14:paraId="7DD01DE2" w14:textId="77777777" w:rsidR="00C1563E" w:rsidRDefault="00C1563E">
            <w:pPr>
              <w:rPr>
                <w:rFonts w:ascii="宋体"/>
              </w:rPr>
            </w:pPr>
          </w:p>
        </w:tc>
        <w:tc>
          <w:tcPr>
            <w:tcW w:w="756" w:type="pct"/>
            <w:shd w:val="clear" w:color="auto" w:fill="auto"/>
          </w:tcPr>
          <w:p w14:paraId="7DD01DE3" w14:textId="77777777" w:rsidR="00C1563E" w:rsidRDefault="00C1563E">
            <w:pPr>
              <w:rPr>
                <w:rFonts w:ascii="宋体"/>
              </w:rPr>
            </w:pPr>
          </w:p>
        </w:tc>
        <w:tc>
          <w:tcPr>
            <w:tcW w:w="5" w:type="pct"/>
            <w:shd w:val="clear" w:color="auto" w:fill="auto"/>
          </w:tcPr>
          <w:p w14:paraId="7DD01DE4" w14:textId="77777777" w:rsidR="00C1563E" w:rsidRDefault="00C1563E">
            <w:pPr>
              <w:rPr>
                <w:rFonts w:ascii="宋体"/>
              </w:rPr>
            </w:pPr>
          </w:p>
        </w:tc>
      </w:tr>
      <w:tr w:rsidR="00C1563E" w14:paraId="7DD01DF0" w14:textId="77777777">
        <w:trPr>
          <w:jc w:val="center"/>
        </w:trPr>
        <w:tc>
          <w:tcPr>
            <w:tcW w:w="0" w:type="auto"/>
            <w:gridSpan w:val="3"/>
            <w:shd w:val="clear" w:color="auto" w:fill="auto"/>
            <w:tcMar>
              <w:top w:w="0" w:type="dxa"/>
              <w:left w:w="20" w:type="dxa"/>
              <w:bottom w:w="0" w:type="dxa"/>
              <w:right w:w="20" w:type="dxa"/>
            </w:tcMar>
          </w:tcPr>
          <w:p w14:paraId="7DD01DE6" w14:textId="77777777" w:rsidR="00C1563E" w:rsidRDefault="00C1563E">
            <w:pPr>
              <w:rPr>
                <w:rFonts w:ascii="宋体"/>
              </w:rPr>
            </w:pPr>
          </w:p>
        </w:tc>
        <w:tc>
          <w:tcPr>
            <w:tcW w:w="0" w:type="auto"/>
            <w:shd w:val="clear" w:color="auto" w:fill="auto"/>
          </w:tcPr>
          <w:p w14:paraId="7DD01DE7" w14:textId="77777777" w:rsidR="00C1563E" w:rsidRDefault="00C1563E">
            <w:pPr>
              <w:rPr>
                <w:rFonts w:ascii="宋体"/>
                <w:vanish/>
              </w:rPr>
            </w:pPr>
          </w:p>
        </w:tc>
        <w:tc>
          <w:tcPr>
            <w:tcW w:w="0" w:type="auto"/>
            <w:shd w:val="clear" w:color="auto" w:fill="auto"/>
          </w:tcPr>
          <w:p w14:paraId="7DD01DE8" w14:textId="77777777" w:rsidR="00C1563E" w:rsidRDefault="00C1563E">
            <w:pPr>
              <w:rPr>
                <w:rFonts w:ascii="宋体"/>
                <w:vanish/>
              </w:rPr>
            </w:pPr>
          </w:p>
        </w:tc>
        <w:tc>
          <w:tcPr>
            <w:tcW w:w="0" w:type="auto"/>
            <w:gridSpan w:val="11"/>
            <w:shd w:val="clear" w:color="auto" w:fill="auto"/>
            <w:tcMar>
              <w:top w:w="40" w:type="dxa"/>
              <w:left w:w="20" w:type="dxa"/>
              <w:bottom w:w="40" w:type="dxa"/>
              <w:right w:w="20" w:type="dxa"/>
            </w:tcMar>
            <w:vAlign w:val="bottom"/>
          </w:tcPr>
          <w:p w14:paraId="7DD01DE9" w14:textId="77777777" w:rsidR="00C1563E" w:rsidRDefault="000B648B">
            <w:pPr>
              <w:jc w:val="center"/>
              <w:textAlignment w:val="bottom"/>
            </w:pPr>
            <w:r>
              <w:rPr>
                <w:rFonts w:ascii="Times New Roman" w:eastAsia="宋体" w:hAnsi="Times New Roman"/>
                <w:b/>
                <w:bCs/>
                <w:color w:val="000000"/>
                <w:sz w:val="20"/>
                <w:szCs w:val="20"/>
              </w:rPr>
              <w:t>Fisc</w:t>
            </w:r>
            <w:r>
              <w:rPr>
                <w:rFonts w:ascii="Times New Roman" w:eastAsia="宋体" w:hAnsi="Times New Roman"/>
                <w:b/>
                <w:bCs/>
                <w:color w:val="000000"/>
                <w:sz w:val="20"/>
                <w:szCs w:val="20"/>
              </w:rPr>
              <w:t>al Year Ended</w:t>
            </w:r>
          </w:p>
        </w:tc>
        <w:tc>
          <w:tcPr>
            <w:tcW w:w="0" w:type="auto"/>
            <w:shd w:val="clear" w:color="auto" w:fill="auto"/>
          </w:tcPr>
          <w:p w14:paraId="7DD01DEA" w14:textId="77777777" w:rsidR="00C1563E" w:rsidRDefault="00C1563E">
            <w:pPr>
              <w:rPr>
                <w:rFonts w:ascii="宋体"/>
              </w:rPr>
            </w:pPr>
          </w:p>
        </w:tc>
        <w:tc>
          <w:tcPr>
            <w:tcW w:w="0" w:type="auto"/>
            <w:shd w:val="clear" w:color="auto" w:fill="auto"/>
          </w:tcPr>
          <w:p w14:paraId="7DD01DEB" w14:textId="77777777" w:rsidR="00C1563E" w:rsidRDefault="00C1563E">
            <w:pPr>
              <w:rPr>
                <w:rFonts w:ascii="宋体"/>
              </w:rPr>
            </w:pPr>
          </w:p>
        </w:tc>
        <w:tc>
          <w:tcPr>
            <w:tcW w:w="0" w:type="auto"/>
            <w:shd w:val="clear" w:color="auto" w:fill="auto"/>
          </w:tcPr>
          <w:p w14:paraId="7DD01DEC" w14:textId="77777777" w:rsidR="00C1563E" w:rsidRDefault="00C1563E">
            <w:pPr>
              <w:rPr>
                <w:rFonts w:ascii="宋体"/>
              </w:rPr>
            </w:pPr>
          </w:p>
        </w:tc>
        <w:tc>
          <w:tcPr>
            <w:tcW w:w="0" w:type="auto"/>
            <w:shd w:val="clear" w:color="auto" w:fill="auto"/>
          </w:tcPr>
          <w:p w14:paraId="7DD01DED" w14:textId="77777777" w:rsidR="00C1563E" w:rsidRDefault="00C1563E">
            <w:pPr>
              <w:rPr>
                <w:rFonts w:ascii="宋体"/>
              </w:rPr>
            </w:pPr>
          </w:p>
        </w:tc>
        <w:tc>
          <w:tcPr>
            <w:tcW w:w="0" w:type="auto"/>
            <w:shd w:val="clear" w:color="auto" w:fill="auto"/>
          </w:tcPr>
          <w:p w14:paraId="7DD01DEE" w14:textId="77777777" w:rsidR="00C1563E" w:rsidRDefault="00C1563E">
            <w:pPr>
              <w:rPr>
                <w:rFonts w:ascii="宋体"/>
              </w:rPr>
            </w:pPr>
          </w:p>
        </w:tc>
        <w:tc>
          <w:tcPr>
            <w:tcW w:w="0" w:type="auto"/>
            <w:shd w:val="clear" w:color="auto" w:fill="auto"/>
          </w:tcPr>
          <w:p w14:paraId="7DD01DEF" w14:textId="77777777" w:rsidR="00C1563E" w:rsidRDefault="00C1563E">
            <w:pPr>
              <w:rPr>
                <w:rFonts w:ascii="宋体"/>
              </w:rPr>
            </w:pPr>
          </w:p>
        </w:tc>
      </w:tr>
      <w:tr w:rsidR="00C1563E" w14:paraId="7DD01DFB" w14:textId="77777777">
        <w:trPr>
          <w:jc w:val="center"/>
        </w:trPr>
        <w:tc>
          <w:tcPr>
            <w:tcW w:w="0" w:type="auto"/>
            <w:gridSpan w:val="3"/>
            <w:shd w:val="clear" w:color="auto" w:fill="auto"/>
            <w:tcMar>
              <w:top w:w="40" w:type="dxa"/>
              <w:left w:w="20" w:type="dxa"/>
              <w:bottom w:w="40" w:type="dxa"/>
              <w:right w:w="20" w:type="dxa"/>
            </w:tcMar>
            <w:vAlign w:val="bottom"/>
          </w:tcPr>
          <w:p w14:paraId="7DD01DF1" w14:textId="77777777" w:rsidR="00C1563E" w:rsidRDefault="000B648B">
            <w:pPr>
              <w:jc w:val="center"/>
              <w:textAlignment w:val="bottom"/>
            </w:pPr>
            <w:r>
              <w:rPr>
                <w:rFonts w:ascii="Times New Roman" w:eastAsia="宋体" w:hAnsi="Times New Roman"/>
                <w:color w:val="000000"/>
                <w:sz w:val="20"/>
                <w:szCs w:val="20"/>
              </w:rPr>
              <w:t> </w:t>
            </w:r>
          </w:p>
        </w:tc>
        <w:tc>
          <w:tcPr>
            <w:tcW w:w="0" w:type="auto"/>
            <w:shd w:val="clear" w:color="auto" w:fill="auto"/>
          </w:tcPr>
          <w:p w14:paraId="7DD01DF2" w14:textId="77777777" w:rsidR="00C1563E" w:rsidRDefault="00C1563E">
            <w:pPr>
              <w:rPr>
                <w:rFonts w:ascii="宋体"/>
                <w:vanish/>
              </w:rPr>
            </w:pPr>
          </w:p>
        </w:tc>
        <w:tc>
          <w:tcPr>
            <w:tcW w:w="0" w:type="auto"/>
            <w:shd w:val="clear" w:color="auto" w:fill="auto"/>
          </w:tcPr>
          <w:p w14:paraId="7DD01DF3" w14:textId="77777777" w:rsidR="00C1563E" w:rsidRDefault="00C1563E">
            <w:pPr>
              <w:rPr>
                <w:rFonts w:ascii="宋体"/>
                <w:vanish/>
              </w:rPr>
            </w:pPr>
          </w:p>
        </w:tc>
        <w:tc>
          <w:tcPr>
            <w:tcW w:w="0" w:type="auto"/>
            <w:shd w:val="clear" w:color="auto" w:fill="auto"/>
          </w:tcPr>
          <w:p w14:paraId="7DD01DF4" w14:textId="77777777" w:rsidR="00C1563E" w:rsidRDefault="00C1563E">
            <w:pPr>
              <w:rPr>
                <w:rFonts w:ascii="宋体"/>
                <w:vanish/>
              </w:rPr>
            </w:pPr>
          </w:p>
        </w:tc>
        <w:tc>
          <w:tcPr>
            <w:tcW w:w="0" w:type="auto"/>
            <w:shd w:val="clear" w:color="auto" w:fill="auto"/>
          </w:tcPr>
          <w:p w14:paraId="7DD01DF5" w14:textId="77777777" w:rsidR="00C1563E" w:rsidRDefault="00C1563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DF6"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DF7"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DF8"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DF9"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DFA"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E02" w14:textId="77777777">
        <w:trPr>
          <w:jc w:val="center"/>
        </w:trPr>
        <w:tc>
          <w:tcPr>
            <w:tcW w:w="0" w:type="auto"/>
            <w:gridSpan w:val="3"/>
            <w:shd w:val="clear" w:color="auto" w:fill="auto"/>
            <w:tcMar>
              <w:top w:w="0" w:type="dxa"/>
              <w:left w:w="20" w:type="dxa"/>
              <w:bottom w:w="0" w:type="dxa"/>
              <w:right w:w="20" w:type="dxa"/>
            </w:tcMar>
          </w:tcPr>
          <w:p w14:paraId="7DD01DFC" w14:textId="77777777" w:rsidR="00C1563E" w:rsidRDefault="00C1563E">
            <w:pPr>
              <w:rPr>
                <w:rFonts w:ascii="宋体"/>
              </w:rPr>
            </w:pPr>
          </w:p>
        </w:tc>
        <w:tc>
          <w:tcPr>
            <w:tcW w:w="0" w:type="auto"/>
            <w:shd w:val="clear" w:color="auto" w:fill="auto"/>
          </w:tcPr>
          <w:p w14:paraId="7DD01DFD" w14:textId="77777777" w:rsidR="00C1563E" w:rsidRDefault="00C1563E">
            <w:pPr>
              <w:rPr>
                <w:rFonts w:ascii="宋体"/>
                <w:vanish/>
              </w:rPr>
            </w:pPr>
          </w:p>
        </w:tc>
        <w:tc>
          <w:tcPr>
            <w:tcW w:w="0" w:type="auto"/>
            <w:shd w:val="clear" w:color="auto" w:fill="auto"/>
          </w:tcPr>
          <w:p w14:paraId="7DD01DFE" w14:textId="77777777" w:rsidR="00C1563E" w:rsidRDefault="00C1563E">
            <w:pPr>
              <w:rPr>
                <w:rFonts w:ascii="宋体"/>
                <w:vanish/>
              </w:rPr>
            </w:pPr>
          </w:p>
        </w:tc>
        <w:tc>
          <w:tcPr>
            <w:tcW w:w="0" w:type="auto"/>
            <w:shd w:val="clear" w:color="auto" w:fill="auto"/>
          </w:tcPr>
          <w:p w14:paraId="7DD01DFF" w14:textId="77777777" w:rsidR="00C1563E" w:rsidRDefault="00C1563E">
            <w:pPr>
              <w:rPr>
                <w:rFonts w:ascii="宋体"/>
                <w:vanish/>
              </w:rPr>
            </w:pPr>
          </w:p>
        </w:tc>
        <w:tc>
          <w:tcPr>
            <w:tcW w:w="0" w:type="auto"/>
            <w:shd w:val="clear" w:color="auto" w:fill="auto"/>
          </w:tcPr>
          <w:p w14:paraId="7DD01E00" w14:textId="77777777" w:rsidR="00C1563E" w:rsidRDefault="00C1563E">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E01"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E0D" w14:textId="77777777">
        <w:trPr>
          <w:jc w:val="center"/>
        </w:trPr>
        <w:tc>
          <w:tcPr>
            <w:tcW w:w="0" w:type="auto"/>
            <w:gridSpan w:val="3"/>
            <w:shd w:val="clear" w:color="auto" w:fill="CCEEFF"/>
            <w:tcMar>
              <w:top w:w="40" w:type="dxa"/>
              <w:left w:w="20" w:type="dxa"/>
              <w:bottom w:w="40" w:type="dxa"/>
              <w:right w:w="20" w:type="dxa"/>
            </w:tcMar>
            <w:vAlign w:val="bottom"/>
          </w:tcPr>
          <w:p w14:paraId="7DD01E03" w14:textId="77777777" w:rsidR="00C1563E" w:rsidRDefault="000B648B">
            <w:pPr>
              <w:textAlignment w:val="bottom"/>
            </w:pPr>
            <w:r>
              <w:rPr>
                <w:rFonts w:ascii="Times New Roman" w:eastAsia="宋体" w:hAnsi="Times New Roman"/>
                <w:i/>
                <w:iCs/>
                <w:color w:val="000000"/>
                <w:sz w:val="20"/>
                <w:szCs w:val="20"/>
              </w:rPr>
              <w:t>Severance liability:</w:t>
            </w:r>
          </w:p>
        </w:tc>
        <w:tc>
          <w:tcPr>
            <w:tcW w:w="0" w:type="auto"/>
            <w:shd w:val="clear" w:color="auto" w:fill="auto"/>
          </w:tcPr>
          <w:p w14:paraId="7DD01E04" w14:textId="77777777" w:rsidR="00C1563E" w:rsidRDefault="00C1563E">
            <w:pPr>
              <w:rPr>
                <w:rFonts w:ascii="宋体"/>
                <w:vanish/>
              </w:rPr>
            </w:pPr>
          </w:p>
        </w:tc>
        <w:tc>
          <w:tcPr>
            <w:tcW w:w="0" w:type="auto"/>
            <w:shd w:val="clear" w:color="auto" w:fill="auto"/>
          </w:tcPr>
          <w:p w14:paraId="7DD01E05" w14:textId="77777777" w:rsidR="00C1563E" w:rsidRDefault="00C1563E">
            <w:pPr>
              <w:rPr>
                <w:rFonts w:ascii="宋体"/>
                <w:vanish/>
              </w:rPr>
            </w:pPr>
          </w:p>
        </w:tc>
        <w:tc>
          <w:tcPr>
            <w:tcW w:w="0" w:type="auto"/>
            <w:shd w:val="clear" w:color="auto" w:fill="auto"/>
          </w:tcPr>
          <w:p w14:paraId="7DD01E06" w14:textId="77777777" w:rsidR="00C1563E" w:rsidRDefault="00C1563E">
            <w:pPr>
              <w:rPr>
                <w:rFonts w:ascii="宋体"/>
                <w:vanish/>
              </w:rPr>
            </w:pPr>
          </w:p>
        </w:tc>
        <w:tc>
          <w:tcPr>
            <w:tcW w:w="0" w:type="auto"/>
            <w:shd w:val="clear" w:color="auto" w:fill="auto"/>
          </w:tcPr>
          <w:p w14:paraId="7DD01E07" w14:textId="77777777" w:rsidR="00C1563E" w:rsidRDefault="00C1563E">
            <w:pPr>
              <w:rPr>
                <w:rFonts w:ascii="宋体"/>
                <w:vanish/>
              </w:rPr>
            </w:pPr>
          </w:p>
        </w:tc>
        <w:tc>
          <w:tcPr>
            <w:tcW w:w="0" w:type="auto"/>
            <w:gridSpan w:val="3"/>
            <w:shd w:val="clear" w:color="auto" w:fill="CCEEFF"/>
            <w:tcMar>
              <w:top w:w="0" w:type="dxa"/>
              <w:left w:w="20" w:type="dxa"/>
              <w:bottom w:w="0" w:type="dxa"/>
              <w:right w:w="20" w:type="dxa"/>
            </w:tcMar>
          </w:tcPr>
          <w:p w14:paraId="7DD01E0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0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0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0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0C" w14:textId="77777777" w:rsidR="00C1563E" w:rsidRDefault="00C1563E">
            <w:pPr>
              <w:rPr>
                <w:rFonts w:ascii="宋体"/>
              </w:rPr>
            </w:pPr>
          </w:p>
        </w:tc>
      </w:tr>
      <w:tr w:rsidR="00C1563E" w14:paraId="7DD01E1E" w14:textId="77777777">
        <w:trPr>
          <w:jc w:val="center"/>
        </w:trPr>
        <w:tc>
          <w:tcPr>
            <w:tcW w:w="0" w:type="auto"/>
            <w:gridSpan w:val="3"/>
            <w:shd w:val="clear" w:color="auto" w:fill="FFFFFF"/>
            <w:tcMar>
              <w:top w:w="40" w:type="dxa"/>
              <w:left w:w="20" w:type="dxa"/>
              <w:bottom w:w="40" w:type="dxa"/>
              <w:right w:w="20" w:type="dxa"/>
            </w:tcMar>
            <w:vAlign w:val="bottom"/>
          </w:tcPr>
          <w:p w14:paraId="7DD01E0E" w14:textId="77777777" w:rsidR="00C1563E" w:rsidRDefault="000B648B">
            <w:pPr>
              <w:textAlignment w:val="bottom"/>
            </w:pPr>
            <w:r>
              <w:rPr>
                <w:rFonts w:ascii="Times New Roman" w:eastAsia="宋体" w:hAnsi="Times New Roman"/>
                <w:color w:val="000000"/>
                <w:sz w:val="20"/>
                <w:szCs w:val="20"/>
              </w:rPr>
              <w:t>Severance liability at beginning of period</w:t>
            </w:r>
          </w:p>
        </w:tc>
        <w:tc>
          <w:tcPr>
            <w:tcW w:w="0" w:type="auto"/>
            <w:shd w:val="clear" w:color="auto" w:fill="auto"/>
          </w:tcPr>
          <w:p w14:paraId="7DD01E0F" w14:textId="77777777" w:rsidR="00C1563E" w:rsidRDefault="00C1563E">
            <w:pPr>
              <w:rPr>
                <w:rFonts w:ascii="宋体"/>
                <w:vanish/>
              </w:rPr>
            </w:pPr>
          </w:p>
        </w:tc>
        <w:tc>
          <w:tcPr>
            <w:tcW w:w="0" w:type="auto"/>
            <w:shd w:val="clear" w:color="auto" w:fill="auto"/>
          </w:tcPr>
          <w:p w14:paraId="7DD01E10" w14:textId="77777777" w:rsidR="00C1563E" w:rsidRDefault="00C1563E">
            <w:pPr>
              <w:rPr>
                <w:rFonts w:ascii="宋体"/>
                <w:vanish/>
              </w:rPr>
            </w:pPr>
          </w:p>
        </w:tc>
        <w:tc>
          <w:tcPr>
            <w:tcW w:w="0" w:type="auto"/>
            <w:shd w:val="clear" w:color="auto" w:fill="auto"/>
          </w:tcPr>
          <w:p w14:paraId="7DD01E11" w14:textId="77777777" w:rsidR="00C1563E" w:rsidRDefault="00C1563E">
            <w:pPr>
              <w:rPr>
                <w:rFonts w:ascii="宋体"/>
                <w:vanish/>
              </w:rPr>
            </w:pPr>
          </w:p>
        </w:tc>
        <w:tc>
          <w:tcPr>
            <w:tcW w:w="0" w:type="auto"/>
            <w:shd w:val="clear" w:color="auto" w:fill="auto"/>
          </w:tcPr>
          <w:p w14:paraId="7DD01E12" w14:textId="77777777" w:rsidR="00C1563E" w:rsidRDefault="00C1563E">
            <w:pPr>
              <w:rPr>
                <w:rFonts w:ascii="宋体"/>
                <w:vanish/>
              </w:rPr>
            </w:pPr>
          </w:p>
        </w:tc>
        <w:tc>
          <w:tcPr>
            <w:tcW w:w="0" w:type="auto"/>
            <w:shd w:val="clear" w:color="auto" w:fill="FFFFFF"/>
            <w:tcMar>
              <w:top w:w="40" w:type="dxa"/>
              <w:left w:w="20" w:type="dxa"/>
              <w:bottom w:w="40" w:type="dxa"/>
              <w:right w:w="0" w:type="dxa"/>
            </w:tcMar>
            <w:vAlign w:val="bottom"/>
          </w:tcPr>
          <w:p w14:paraId="7DD01E1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14" w14:textId="77777777" w:rsidR="00C1563E" w:rsidRDefault="000B648B">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7DD01E1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16"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1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18" w14:textId="77777777" w:rsidR="00C1563E" w:rsidRDefault="000B648B">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7DD01E1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1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1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1C" w14:textId="77777777" w:rsidR="00C1563E" w:rsidRDefault="000B648B">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7DD01E1D" w14:textId="77777777" w:rsidR="00C1563E" w:rsidRDefault="00C1563E">
            <w:pPr>
              <w:jc w:val="right"/>
              <w:rPr>
                <w:rFonts w:ascii="宋体"/>
              </w:rPr>
            </w:pPr>
          </w:p>
        </w:tc>
      </w:tr>
      <w:tr w:rsidR="00C1563E" w14:paraId="7DD01E2C" w14:textId="77777777">
        <w:trPr>
          <w:jc w:val="center"/>
        </w:trPr>
        <w:tc>
          <w:tcPr>
            <w:tcW w:w="0" w:type="auto"/>
            <w:gridSpan w:val="3"/>
            <w:shd w:val="clear" w:color="auto" w:fill="CCEEFF"/>
            <w:tcMar>
              <w:top w:w="40" w:type="dxa"/>
              <w:left w:w="155" w:type="dxa"/>
              <w:bottom w:w="40" w:type="dxa"/>
              <w:right w:w="20" w:type="dxa"/>
            </w:tcMar>
            <w:vAlign w:val="bottom"/>
          </w:tcPr>
          <w:p w14:paraId="7DD01E1F" w14:textId="77777777" w:rsidR="00C1563E" w:rsidRDefault="000B648B">
            <w:pPr>
              <w:textAlignment w:val="bottom"/>
            </w:pPr>
            <w:r>
              <w:rPr>
                <w:rFonts w:ascii="Times New Roman" w:eastAsia="宋体" w:hAnsi="Times New Roman"/>
                <w:color w:val="000000"/>
                <w:sz w:val="20"/>
                <w:szCs w:val="20"/>
              </w:rPr>
              <w:t>Severance charges to provision</w:t>
            </w:r>
          </w:p>
        </w:tc>
        <w:tc>
          <w:tcPr>
            <w:tcW w:w="0" w:type="auto"/>
            <w:shd w:val="clear" w:color="auto" w:fill="auto"/>
          </w:tcPr>
          <w:p w14:paraId="7DD01E20" w14:textId="77777777" w:rsidR="00C1563E" w:rsidRDefault="00C1563E">
            <w:pPr>
              <w:rPr>
                <w:rFonts w:ascii="宋体"/>
                <w:vanish/>
              </w:rPr>
            </w:pPr>
          </w:p>
        </w:tc>
        <w:tc>
          <w:tcPr>
            <w:tcW w:w="0" w:type="auto"/>
            <w:shd w:val="clear" w:color="auto" w:fill="auto"/>
          </w:tcPr>
          <w:p w14:paraId="7DD01E21" w14:textId="77777777" w:rsidR="00C1563E" w:rsidRDefault="00C1563E">
            <w:pPr>
              <w:rPr>
                <w:rFonts w:ascii="宋体"/>
                <w:vanish/>
              </w:rPr>
            </w:pPr>
          </w:p>
        </w:tc>
        <w:tc>
          <w:tcPr>
            <w:tcW w:w="0" w:type="auto"/>
            <w:shd w:val="clear" w:color="auto" w:fill="auto"/>
          </w:tcPr>
          <w:p w14:paraId="7DD01E22" w14:textId="77777777" w:rsidR="00C1563E" w:rsidRDefault="00C1563E">
            <w:pPr>
              <w:rPr>
                <w:rFonts w:ascii="宋体"/>
                <w:vanish/>
              </w:rPr>
            </w:pPr>
          </w:p>
        </w:tc>
        <w:tc>
          <w:tcPr>
            <w:tcW w:w="0" w:type="auto"/>
            <w:shd w:val="clear" w:color="auto" w:fill="auto"/>
          </w:tcPr>
          <w:p w14:paraId="7DD01E23" w14:textId="77777777" w:rsidR="00C1563E" w:rsidRDefault="00C1563E">
            <w:pPr>
              <w:rPr>
                <w:rFonts w:ascii="宋体"/>
                <w:vanish/>
              </w:rPr>
            </w:pPr>
          </w:p>
        </w:tc>
        <w:tc>
          <w:tcPr>
            <w:tcW w:w="0" w:type="auto"/>
            <w:gridSpan w:val="2"/>
            <w:shd w:val="clear" w:color="auto" w:fill="CCEEFF"/>
            <w:tcMar>
              <w:top w:w="40" w:type="dxa"/>
              <w:left w:w="20" w:type="dxa"/>
              <w:bottom w:w="40" w:type="dxa"/>
              <w:right w:w="0" w:type="dxa"/>
            </w:tcMar>
            <w:vAlign w:val="bottom"/>
          </w:tcPr>
          <w:p w14:paraId="7DD01E24" w14:textId="77777777" w:rsidR="00C1563E" w:rsidRDefault="000B648B">
            <w:pPr>
              <w:jc w:val="right"/>
              <w:textAlignment w:val="bottom"/>
            </w:pPr>
            <w:r>
              <w:rPr>
                <w:rFonts w:ascii="Times New Roman" w:eastAsia="宋体" w:hAnsi="Times New Roman"/>
                <w:color w:val="000000"/>
                <w:sz w:val="20"/>
                <w:szCs w:val="20"/>
              </w:rPr>
              <w:t>452 </w:t>
            </w:r>
          </w:p>
        </w:tc>
        <w:tc>
          <w:tcPr>
            <w:tcW w:w="0" w:type="auto"/>
            <w:shd w:val="clear" w:color="auto" w:fill="CCEEFF"/>
            <w:tcMar>
              <w:top w:w="40" w:type="dxa"/>
              <w:left w:w="0" w:type="dxa"/>
              <w:bottom w:w="40" w:type="dxa"/>
              <w:right w:w="20" w:type="dxa"/>
            </w:tcMar>
            <w:vAlign w:val="bottom"/>
          </w:tcPr>
          <w:p w14:paraId="7DD01E2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2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27" w14:textId="77777777" w:rsidR="00C1563E" w:rsidRDefault="000B648B">
            <w:pPr>
              <w:jc w:val="right"/>
              <w:textAlignment w:val="bottom"/>
            </w:pPr>
            <w:r>
              <w:rPr>
                <w:rFonts w:ascii="Times New Roman" w:eastAsia="宋体" w:hAnsi="Times New Roman"/>
                <w:color w:val="000000"/>
                <w:sz w:val="20"/>
                <w:szCs w:val="20"/>
              </w:rPr>
              <w:t>266 </w:t>
            </w:r>
          </w:p>
        </w:tc>
        <w:tc>
          <w:tcPr>
            <w:tcW w:w="0" w:type="auto"/>
            <w:shd w:val="clear" w:color="auto" w:fill="CCEEFF"/>
            <w:tcMar>
              <w:top w:w="40" w:type="dxa"/>
              <w:left w:w="0" w:type="dxa"/>
              <w:bottom w:w="40" w:type="dxa"/>
              <w:right w:w="20" w:type="dxa"/>
            </w:tcMar>
            <w:vAlign w:val="bottom"/>
          </w:tcPr>
          <w:p w14:paraId="7DD01E2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2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2A" w14:textId="77777777" w:rsidR="00C1563E" w:rsidRDefault="000B648B">
            <w:pPr>
              <w:jc w:val="right"/>
              <w:textAlignment w:val="bottom"/>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bottom"/>
          </w:tcPr>
          <w:p w14:paraId="7DD01E2B" w14:textId="77777777" w:rsidR="00C1563E" w:rsidRDefault="00C1563E">
            <w:pPr>
              <w:jc w:val="right"/>
              <w:rPr>
                <w:rFonts w:ascii="宋体"/>
              </w:rPr>
            </w:pPr>
          </w:p>
        </w:tc>
      </w:tr>
      <w:tr w:rsidR="00C1563E" w14:paraId="7DD01E3A" w14:textId="77777777">
        <w:trPr>
          <w:jc w:val="center"/>
        </w:trPr>
        <w:tc>
          <w:tcPr>
            <w:tcW w:w="0" w:type="auto"/>
            <w:gridSpan w:val="3"/>
            <w:shd w:val="clear" w:color="auto" w:fill="FFFFFF"/>
            <w:tcMar>
              <w:top w:w="40" w:type="dxa"/>
              <w:left w:w="155" w:type="dxa"/>
              <w:bottom w:w="40" w:type="dxa"/>
              <w:right w:w="20" w:type="dxa"/>
            </w:tcMar>
            <w:vAlign w:val="bottom"/>
          </w:tcPr>
          <w:p w14:paraId="7DD01E2D" w14:textId="77777777" w:rsidR="00C1563E" w:rsidRDefault="000B648B">
            <w:pPr>
              <w:textAlignment w:val="bottom"/>
            </w:pPr>
            <w:r>
              <w:rPr>
                <w:rFonts w:ascii="Times New Roman" w:eastAsia="宋体" w:hAnsi="Times New Roman"/>
                <w:color w:val="000000"/>
                <w:sz w:val="20"/>
                <w:szCs w:val="20"/>
              </w:rPr>
              <w:t>Cash paid and other (a)</w:t>
            </w:r>
          </w:p>
        </w:tc>
        <w:tc>
          <w:tcPr>
            <w:tcW w:w="0" w:type="auto"/>
            <w:shd w:val="clear" w:color="auto" w:fill="auto"/>
          </w:tcPr>
          <w:p w14:paraId="7DD01E2E" w14:textId="77777777" w:rsidR="00C1563E" w:rsidRDefault="00C1563E">
            <w:pPr>
              <w:rPr>
                <w:rFonts w:ascii="宋体"/>
                <w:vanish/>
              </w:rPr>
            </w:pPr>
          </w:p>
        </w:tc>
        <w:tc>
          <w:tcPr>
            <w:tcW w:w="0" w:type="auto"/>
            <w:shd w:val="clear" w:color="auto" w:fill="auto"/>
          </w:tcPr>
          <w:p w14:paraId="7DD01E2F" w14:textId="77777777" w:rsidR="00C1563E" w:rsidRDefault="00C1563E">
            <w:pPr>
              <w:rPr>
                <w:rFonts w:ascii="宋体"/>
                <w:vanish/>
              </w:rPr>
            </w:pPr>
          </w:p>
        </w:tc>
        <w:tc>
          <w:tcPr>
            <w:tcW w:w="0" w:type="auto"/>
            <w:shd w:val="clear" w:color="auto" w:fill="auto"/>
          </w:tcPr>
          <w:p w14:paraId="7DD01E30" w14:textId="77777777" w:rsidR="00C1563E" w:rsidRDefault="00C1563E">
            <w:pPr>
              <w:rPr>
                <w:rFonts w:ascii="宋体"/>
                <w:vanish/>
              </w:rPr>
            </w:pPr>
          </w:p>
        </w:tc>
        <w:tc>
          <w:tcPr>
            <w:tcW w:w="0" w:type="auto"/>
            <w:shd w:val="clear" w:color="auto" w:fill="auto"/>
          </w:tcPr>
          <w:p w14:paraId="7DD01E31" w14:textId="77777777" w:rsidR="00C1563E" w:rsidRDefault="00C1563E">
            <w:pPr>
              <w:rPr>
                <w:rFonts w:ascii="宋体"/>
                <w:vanish/>
              </w:rPr>
            </w:pPr>
          </w:p>
        </w:tc>
        <w:tc>
          <w:tcPr>
            <w:tcW w:w="0" w:type="auto"/>
            <w:gridSpan w:val="2"/>
            <w:shd w:val="clear" w:color="auto" w:fill="FFFFFF"/>
            <w:tcMar>
              <w:top w:w="40" w:type="dxa"/>
              <w:left w:w="20" w:type="dxa"/>
              <w:bottom w:w="40" w:type="dxa"/>
              <w:right w:w="0" w:type="dxa"/>
            </w:tcMar>
            <w:vAlign w:val="bottom"/>
          </w:tcPr>
          <w:p w14:paraId="7DD01E32" w14:textId="77777777" w:rsidR="00C1563E" w:rsidRDefault="000B648B">
            <w:pPr>
              <w:jc w:val="right"/>
              <w:textAlignment w:val="bottom"/>
            </w:pPr>
            <w:r>
              <w:rPr>
                <w:rFonts w:ascii="Times New Roman" w:eastAsia="宋体" w:hAnsi="Times New Roman"/>
                <w:color w:val="000000"/>
                <w:sz w:val="20"/>
                <w:szCs w:val="20"/>
              </w:rPr>
              <w:t>(510)</w:t>
            </w:r>
          </w:p>
        </w:tc>
        <w:tc>
          <w:tcPr>
            <w:tcW w:w="0" w:type="auto"/>
            <w:shd w:val="clear" w:color="auto" w:fill="FFFFFF"/>
            <w:tcMar>
              <w:top w:w="40" w:type="dxa"/>
              <w:left w:w="0" w:type="dxa"/>
              <w:bottom w:w="40" w:type="dxa"/>
              <w:right w:w="20" w:type="dxa"/>
            </w:tcMar>
            <w:vAlign w:val="bottom"/>
          </w:tcPr>
          <w:p w14:paraId="7DD01E3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34"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35" w14:textId="77777777" w:rsidR="00C1563E" w:rsidRDefault="000B648B">
            <w:pPr>
              <w:jc w:val="right"/>
              <w:textAlignment w:val="bottom"/>
            </w:pPr>
            <w:r>
              <w:rPr>
                <w:rFonts w:ascii="Times New Roman" w:eastAsia="宋体" w:hAnsi="Times New Roman"/>
                <w:color w:val="000000"/>
                <w:sz w:val="20"/>
                <w:szCs w:val="20"/>
              </w:rPr>
              <w:t>(216)</w:t>
            </w:r>
          </w:p>
        </w:tc>
        <w:tc>
          <w:tcPr>
            <w:tcW w:w="0" w:type="auto"/>
            <w:shd w:val="clear" w:color="auto" w:fill="FFFFFF"/>
            <w:tcMar>
              <w:top w:w="40" w:type="dxa"/>
              <w:left w:w="0" w:type="dxa"/>
              <w:bottom w:w="40" w:type="dxa"/>
              <w:right w:w="20" w:type="dxa"/>
            </w:tcMar>
            <w:vAlign w:val="bottom"/>
          </w:tcPr>
          <w:p w14:paraId="7DD01E3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37"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38" w14:textId="77777777" w:rsidR="00C1563E" w:rsidRDefault="000B648B">
            <w:pPr>
              <w:jc w:val="right"/>
              <w:textAlignment w:val="bottom"/>
            </w:pPr>
            <w:r>
              <w:rPr>
                <w:rFonts w:ascii="Times New Roman" w:eastAsia="宋体" w:hAnsi="Times New Roman"/>
                <w:color w:val="000000"/>
                <w:sz w:val="20"/>
                <w:szCs w:val="20"/>
              </w:rPr>
              <w:t>(244)</w:t>
            </w:r>
          </w:p>
        </w:tc>
        <w:tc>
          <w:tcPr>
            <w:tcW w:w="0" w:type="auto"/>
            <w:shd w:val="clear" w:color="auto" w:fill="FFFFFF"/>
            <w:tcMar>
              <w:top w:w="40" w:type="dxa"/>
              <w:left w:w="0" w:type="dxa"/>
              <w:bottom w:w="40" w:type="dxa"/>
              <w:right w:w="20" w:type="dxa"/>
            </w:tcMar>
            <w:vAlign w:val="bottom"/>
          </w:tcPr>
          <w:p w14:paraId="7DD01E39" w14:textId="77777777" w:rsidR="00C1563E" w:rsidRDefault="00C1563E">
            <w:pPr>
              <w:jc w:val="right"/>
              <w:rPr>
                <w:rFonts w:ascii="宋体"/>
              </w:rPr>
            </w:pPr>
          </w:p>
        </w:tc>
      </w:tr>
      <w:tr w:rsidR="00C1563E" w14:paraId="7DD01E4B" w14:textId="77777777">
        <w:trPr>
          <w:jc w:val="center"/>
        </w:trPr>
        <w:tc>
          <w:tcPr>
            <w:tcW w:w="0" w:type="auto"/>
            <w:gridSpan w:val="3"/>
            <w:shd w:val="clear" w:color="auto" w:fill="CCEEFF"/>
            <w:tcMar>
              <w:top w:w="40" w:type="dxa"/>
              <w:left w:w="20" w:type="dxa"/>
              <w:bottom w:w="40" w:type="dxa"/>
              <w:right w:w="20" w:type="dxa"/>
            </w:tcMar>
            <w:vAlign w:val="bottom"/>
          </w:tcPr>
          <w:p w14:paraId="7DD01E3B" w14:textId="77777777" w:rsidR="00C1563E" w:rsidRDefault="000B648B">
            <w:pPr>
              <w:textAlignment w:val="bottom"/>
            </w:pPr>
            <w:r>
              <w:rPr>
                <w:rFonts w:ascii="Times New Roman" w:eastAsia="宋体" w:hAnsi="Times New Roman"/>
                <w:color w:val="000000"/>
                <w:sz w:val="20"/>
                <w:szCs w:val="20"/>
              </w:rPr>
              <w:t>Severance liability at end of period</w:t>
            </w:r>
          </w:p>
        </w:tc>
        <w:tc>
          <w:tcPr>
            <w:tcW w:w="0" w:type="auto"/>
            <w:shd w:val="clear" w:color="auto" w:fill="auto"/>
          </w:tcPr>
          <w:p w14:paraId="7DD01E3C" w14:textId="77777777" w:rsidR="00C1563E" w:rsidRDefault="00C1563E">
            <w:pPr>
              <w:rPr>
                <w:rFonts w:ascii="宋体"/>
                <w:vanish/>
              </w:rPr>
            </w:pPr>
          </w:p>
        </w:tc>
        <w:tc>
          <w:tcPr>
            <w:tcW w:w="0" w:type="auto"/>
            <w:shd w:val="clear" w:color="auto" w:fill="auto"/>
          </w:tcPr>
          <w:p w14:paraId="7DD01E3D" w14:textId="77777777" w:rsidR="00C1563E" w:rsidRDefault="00C1563E">
            <w:pPr>
              <w:rPr>
                <w:rFonts w:ascii="宋体"/>
                <w:vanish/>
              </w:rPr>
            </w:pPr>
          </w:p>
        </w:tc>
        <w:tc>
          <w:tcPr>
            <w:tcW w:w="0" w:type="auto"/>
            <w:shd w:val="clear" w:color="auto" w:fill="auto"/>
          </w:tcPr>
          <w:p w14:paraId="7DD01E3E" w14:textId="77777777" w:rsidR="00C1563E" w:rsidRDefault="00C1563E">
            <w:pPr>
              <w:rPr>
                <w:rFonts w:ascii="宋体"/>
                <w:vanish/>
              </w:rPr>
            </w:pPr>
          </w:p>
        </w:tc>
        <w:tc>
          <w:tcPr>
            <w:tcW w:w="0" w:type="auto"/>
            <w:shd w:val="clear" w:color="auto" w:fill="auto"/>
          </w:tcPr>
          <w:p w14:paraId="7DD01E3F" w14:textId="77777777" w:rsidR="00C1563E" w:rsidRDefault="00C1563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4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41" w14:textId="77777777" w:rsidR="00C1563E" w:rsidRDefault="000B648B">
            <w:pPr>
              <w:jc w:val="right"/>
              <w:textAlignment w:val="bottom"/>
            </w:pPr>
            <w:r>
              <w:rPr>
                <w:rFonts w:ascii="Times New Roman" w:eastAsia="宋体" w:hAnsi="Times New Roman"/>
                <w:color w:val="000000"/>
                <w:sz w:val="20"/>
                <w:szCs w:val="20"/>
              </w:rPr>
              <w:t>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4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43"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4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45" w14:textId="77777777" w:rsidR="00C1563E" w:rsidRDefault="000B648B">
            <w:pPr>
              <w:jc w:val="right"/>
              <w:textAlignment w:val="bottom"/>
            </w:pPr>
            <w:r>
              <w:rPr>
                <w:rFonts w:ascii="Times New Roman" w:eastAsia="宋体" w:hAnsi="Times New Roman"/>
                <w:color w:val="000000"/>
                <w:sz w:val="20"/>
                <w:szCs w:val="20"/>
              </w:rPr>
              <w:t>196 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4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47"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4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49" w14:textId="77777777" w:rsidR="00C1563E" w:rsidRDefault="000B648B">
            <w:pPr>
              <w:jc w:val="right"/>
              <w:textAlignment w:val="bottom"/>
            </w:pPr>
            <w:r>
              <w:rPr>
                <w:rFonts w:ascii="Times New Roman" w:eastAsia="宋体" w:hAnsi="Times New Roman"/>
                <w:color w:val="000000"/>
                <w:sz w:val="20"/>
                <w:szCs w:val="20"/>
              </w:rPr>
              <w:t>146 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4A" w14:textId="77777777" w:rsidR="00C1563E" w:rsidRDefault="00C1563E">
            <w:pPr>
              <w:jc w:val="right"/>
              <w:rPr>
                <w:rFonts w:ascii="宋体"/>
              </w:rPr>
            </w:pPr>
          </w:p>
        </w:tc>
      </w:tr>
    </w:tbl>
    <w:p w14:paraId="7DD01E4C" w14:textId="77777777" w:rsidR="00C1563E" w:rsidRDefault="000B648B">
      <w:r>
        <w:rPr>
          <w:rFonts w:ascii="Times New Roman" w:eastAsia="宋体" w:hAnsi="Times New Roman"/>
          <w:color w:val="000000"/>
          <w:sz w:val="20"/>
          <w:szCs w:val="20"/>
        </w:rPr>
        <w:t>____________________</w:t>
      </w:r>
    </w:p>
    <w:p w14:paraId="7DD01E4D" w14:textId="77777777" w:rsidR="00C1563E" w:rsidRDefault="000B648B">
      <w:pPr>
        <w:ind w:hanging="360"/>
      </w:pPr>
      <w:r>
        <w:rPr>
          <w:rFonts w:ascii="Times New Roman" w:eastAsia="宋体" w:hAnsi="Times New Roman"/>
          <w:color w:val="000000"/>
          <w:sz w:val="20"/>
          <w:szCs w:val="20"/>
        </w:rPr>
        <w:t xml:space="preserve">(a)    Other adjustments include the impact of foreign currency exchange rate fluctuations. </w:t>
      </w:r>
    </w:p>
    <w:p w14:paraId="7DD01E4E" w14:textId="77777777" w:rsidR="00C1563E" w:rsidRDefault="00C1563E">
      <w:pPr>
        <w:ind w:hanging="360"/>
      </w:pPr>
    </w:p>
    <w:p w14:paraId="7DD01E4F" w14:textId="77777777" w:rsidR="00C1563E" w:rsidRDefault="00C1563E">
      <w:pPr>
        <w:jc w:val="center"/>
      </w:pPr>
    </w:p>
    <w:p w14:paraId="7DD01E50" w14:textId="77777777" w:rsidR="00C1563E" w:rsidRDefault="000B648B">
      <w:pPr>
        <w:jc w:val="center"/>
      </w:pPr>
      <w:r>
        <w:rPr>
          <w:rFonts w:ascii="Times New Roman" w:eastAsia="宋体" w:hAnsi="Times New Roman"/>
          <w:color w:val="000000"/>
          <w:sz w:val="20"/>
          <w:szCs w:val="20"/>
        </w:rPr>
        <w:t>163</w:t>
      </w:r>
    </w:p>
    <w:p w14:paraId="7DD01E51" w14:textId="77777777" w:rsidR="00C1563E" w:rsidRDefault="00C1563E">
      <w:pPr>
        <w:jc w:val="center"/>
      </w:pPr>
    </w:p>
    <w:p w14:paraId="7DD01E52" w14:textId="77777777" w:rsidR="00C1563E" w:rsidRDefault="000B648B">
      <w:r>
        <w:pict w14:anchorId="7DD0260D">
          <v:rect id="_x0000_i1187" style="width:415.3pt;height:1.5pt" o:hralign="center" o:hrstd="t" o:hr="t" fillcolor="#a0a0a0" stroked="f"/>
        </w:pict>
      </w:r>
    </w:p>
    <w:p w14:paraId="7DD01E53" w14:textId="77777777" w:rsidR="00C1563E" w:rsidRDefault="000B648B">
      <w:hyperlink r:id="rId346" w:anchor="i418e32e4a35149ffbf7d3a25d66881b8_10" w:history="1">
        <w:r>
          <w:rPr>
            <w:rStyle w:val="a5"/>
            <w:rFonts w:ascii="Times New Roman" w:eastAsia="宋体" w:hAnsi="Times New Roman"/>
            <w:sz w:val="20"/>
            <w:szCs w:val="20"/>
          </w:rPr>
          <w:t>Table of Contents</w:t>
        </w:r>
      </w:hyperlink>
    </w:p>
    <w:p w14:paraId="7DD01E54" w14:textId="77777777" w:rsidR="00C1563E" w:rsidRDefault="000B648B">
      <w:pPr>
        <w:spacing w:after="120"/>
      </w:pPr>
      <w:r>
        <w:rPr>
          <w:rFonts w:ascii="Times New Roman" w:eastAsia="宋体" w:hAnsi="Times New Roman"/>
          <w:color w:val="000000"/>
          <w:sz w:val="20"/>
          <w:szCs w:val="20"/>
        </w:rPr>
        <w:t>The following table presents severance charges as included in the Consolidated Statements of Income (Loss) for the periods indica</w:t>
      </w:r>
      <w:r>
        <w:rPr>
          <w:rFonts w:ascii="Times New Roman" w:eastAsia="宋体" w:hAnsi="Times New Roman"/>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998"/>
        <w:gridCol w:w="37"/>
        <w:gridCol w:w="121"/>
        <w:gridCol w:w="1192"/>
        <w:gridCol w:w="36"/>
        <w:gridCol w:w="36"/>
        <w:gridCol w:w="36"/>
        <w:gridCol w:w="36"/>
        <w:gridCol w:w="121"/>
        <w:gridCol w:w="1192"/>
        <w:gridCol w:w="36"/>
        <w:gridCol w:w="36"/>
        <w:gridCol w:w="36"/>
        <w:gridCol w:w="36"/>
        <w:gridCol w:w="121"/>
        <w:gridCol w:w="1192"/>
        <w:gridCol w:w="36"/>
      </w:tblGrid>
      <w:tr w:rsidR="00C1563E" w14:paraId="7DD01E67" w14:textId="77777777">
        <w:tc>
          <w:tcPr>
            <w:tcW w:w="50" w:type="pct"/>
            <w:shd w:val="clear" w:color="auto" w:fill="auto"/>
          </w:tcPr>
          <w:p w14:paraId="7DD01E55" w14:textId="77777777" w:rsidR="00C1563E" w:rsidRDefault="00C1563E">
            <w:pPr>
              <w:rPr>
                <w:rFonts w:ascii="宋体"/>
              </w:rPr>
            </w:pPr>
          </w:p>
        </w:tc>
        <w:tc>
          <w:tcPr>
            <w:tcW w:w="2452" w:type="pct"/>
            <w:shd w:val="clear" w:color="auto" w:fill="auto"/>
          </w:tcPr>
          <w:p w14:paraId="7DD01E56" w14:textId="77777777" w:rsidR="00C1563E" w:rsidRDefault="00C1563E">
            <w:pPr>
              <w:rPr>
                <w:rFonts w:ascii="宋体"/>
              </w:rPr>
            </w:pPr>
          </w:p>
        </w:tc>
        <w:tc>
          <w:tcPr>
            <w:tcW w:w="5" w:type="pct"/>
            <w:shd w:val="clear" w:color="auto" w:fill="auto"/>
          </w:tcPr>
          <w:p w14:paraId="7DD01E57" w14:textId="77777777" w:rsidR="00C1563E" w:rsidRDefault="00C1563E">
            <w:pPr>
              <w:rPr>
                <w:rFonts w:ascii="宋体"/>
              </w:rPr>
            </w:pPr>
          </w:p>
        </w:tc>
        <w:tc>
          <w:tcPr>
            <w:tcW w:w="50" w:type="pct"/>
            <w:shd w:val="clear" w:color="auto" w:fill="auto"/>
          </w:tcPr>
          <w:p w14:paraId="7DD01E58" w14:textId="77777777" w:rsidR="00C1563E" w:rsidRDefault="00C1563E">
            <w:pPr>
              <w:rPr>
                <w:rFonts w:ascii="宋体"/>
              </w:rPr>
            </w:pPr>
          </w:p>
        </w:tc>
        <w:tc>
          <w:tcPr>
            <w:tcW w:w="756" w:type="pct"/>
            <w:shd w:val="clear" w:color="auto" w:fill="auto"/>
          </w:tcPr>
          <w:p w14:paraId="7DD01E59" w14:textId="77777777" w:rsidR="00C1563E" w:rsidRDefault="00C1563E">
            <w:pPr>
              <w:rPr>
                <w:rFonts w:ascii="宋体"/>
              </w:rPr>
            </w:pPr>
          </w:p>
        </w:tc>
        <w:tc>
          <w:tcPr>
            <w:tcW w:w="5" w:type="pct"/>
            <w:shd w:val="clear" w:color="auto" w:fill="auto"/>
          </w:tcPr>
          <w:p w14:paraId="7DD01E5A" w14:textId="77777777" w:rsidR="00C1563E" w:rsidRDefault="00C1563E">
            <w:pPr>
              <w:rPr>
                <w:rFonts w:ascii="宋体"/>
              </w:rPr>
            </w:pPr>
          </w:p>
        </w:tc>
        <w:tc>
          <w:tcPr>
            <w:tcW w:w="5" w:type="pct"/>
            <w:shd w:val="clear" w:color="auto" w:fill="auto"/>
          </w:tcPr>
          <w:p w14:paraId="7DD01E5B" w14:textId="77777777" w:rsidR="00C1563E" w:rsidRDefault="00C1563E">
            <w:pPr>
              <w:rPr>
                <w:rFonts w:ascii="宋体"/>
              </w:rPr>
            </w:pPr>
          </w:p>
        </w:tc>
        <w:tc>
          <w:tcPr>
            <w:tcW w:w="19" w:type="pct"/>
            <w:shd w:val="clear" w:color="auto" w:fill="auto"/>
          </w:tcPr>
          <w:p w14:paraId="7DD01E5C" w14:textId="77777777" w:rsidR="00C1563E" w:rsidRDefault="00C1563E">
            <w:pPr>
              <w:rPr>
                <w:rFonts w:ascii="宋体"/>
              </w:rPr>
            </w:pPr>
          </w:p>
        </w:tc>
        <w:tc>
          <w:tcPr>
            <w:tcW w:w="5" w:type="pct"/>
            <w:shd w:val="clear" w:color="auto" w:fill="auto"/>
          </w:tcPr>
          <w:p w14:paraId="7DD01E5D" w14:textId="77777777" w:rsidR="00C1563E" w:rsidRDefault="00C1563E">
            <w:pPr>
              <w:rPr>
                <w:rFonts w:ascii="宋体"/>
              </w:rPr>
            </w:pPr>
          </w:p>
        </w:tc>
        <w:tc>
          <w:tcPr>
            <w:tcW w:w="50" w:type="pct"/>
            <w:shd w:val="clear" w:color="auto" w:fill="auto"/>
          </w:tcPr>
          <w:p w14:paraId="7DD01E5E" w14:textId="77777777" w:rsidR="00C1563E" w:rsidRDefault="00C1563E">
            <w:pPr>
              <w:rPr>
                <w:rFonts w:ascii="宋体"/>
              </w:rPr>
            </w:pPr>
          </w:p>
        </w:tc>
        <w:tc>
          <w:tcPr>
            <w:tcW w:w="756" w:type="pct"/>
            <w:shd w:val="clear" w:color="auto" w:fill="auto"/>
          </w:tcPr>
          <w:p w14:paraId="7DD01E5F" w14:textId="77777777" w:rsidR="00C1563E" w:rsidRDefault="00C1563E">
            <w:pPr>
              <w:rPr>
                <w:rFonts w:ascii="宋体"/>
              </w:rPr>
            </w:pPr>
          </w:p>
        </w:tc>
        <w:tc>
          <w:tcPr>
            <w:tcW w:w="5" w:type="pct"/>
            <w:shd w:val="clear" w:color="auto" w:fill="auto"/>
          </w:tcPr>
          <w:p w14:paraId="7DD01E60" w14:textId="77777777" w:rsidR="00C1563E" w:rsidRDefault="00C1563E">
            <w:pPr>
              <w:rPr>
                <w:rFonts w:ascii="宋体"/>
              </w:rPr>
            </w:pPr>
          </w:p>
        </w:tc>
        <w:tc>
          <w:tcPr>
            <w:tcW w:w="5" w:type="pct"/>
            <w:shd w:val="clear" w:color="auto" w:fill="auto"/>
          </w:tcPr>
          <w:p w14:paraId="7DD01E61" w14:textId="77777777" w:rsidR="00C1563E" w:rsidRDefault="00C1563E">
            <w:pPr>
              <w:rPr>
                <w:rFonts w:ascii="宋体"/>
              </w:rPr>
            </w:pPr>
          </w:p>
        </w:tc>
        <w:tc>
          <w:tcPr>
            <w:tcW w:w="19" w:type="pct"/>
            <w:shd w:val="clear" w:color="auto" w:fill="auto"/>
          </w:tcPr>
          <w:p w14:paraId="7DD01E62" w14:textId="77777777" w:rsidR="00C1563E" w:rsidRDefault="00C1563E">
            <w:pPr>
              <w:rPr>
                <w:rFonts w:ascii="宋体"/>
              </w:rPr>
            </w:pPr>
          </w:p>
        </w:tc>
        <w:tc>
          <w:tcPr>
            <w:tcW w:w="5" w:type="pct"/>
            <w:shd w:val="clear" w:color="auto" w:fill="auto"/>
          </w:tcPr>
          <w:p w14:paraId="7DD01E63" w14:textId="77777777" w:rsidR="00C1563E" w:rsidRDefault="00C1563E">
            <w:pPr>
              <w:rPr>
                <w:rFonts w:ascii="宋体"/>
              </w:rPr>
            </w:pPr>
          </w:p>
        </w:tc>
        <w:tc>
          <w:tcPr>
            <w:tcW w:w="50" w:type="pct"/>
            <w:shd w:val="clear" w:color="auto" w:fill="auto"/>
          </w:tcPr>
          <w:p w14:paraId="7DD01E64" w14:textId="77777777" w:rsidR="00C1563E" w:rsidRDefault="00C1563E">
            <w:pPr>
              <w:rPr>
                <w:rFonts w:ascii="宋体"/>
              </w:rPr>
            </w:pPr>
          </w:p>
        </w:tc>
        <w:tc>
          <w:tcPr>
            <w:tcW w:w="756" w:type="pct"/>
            <w:shd w:val="clear" w:color="auto" w:fill="auto"/>
          </w:tcPr>
          <w:p w14:paraId="7DD01E65" w14:textId="77777777" w:rsidR="00C1563E" w:rsidRDefault="00C1563E">
            <w:pPr>
              <w:rPr>
                <w:rFonts w:ascii="宋体"/>
              </w:rPr>
            </w:pPr>
          </w:p>
        </w:tc>
        <w:tc>
          <w:tcPr>
            <w:tcW w:w="5" w:type="pct"/>
            <w:shd w:val="clear" w:color="auto" w:fill="auto"/>
          </w:tcPr>
          <w:p w14:paraId="7DD01E66" w14:textId="77777777" w:rsidR="00C1563E" w:rsidRDefault="00C1563E">
            <w:pPr>
              <w:rPr>
                <w:rFonts w:ascii="宋体"/>
              </w:rPr>
            </w:pPr>
          </w:p>
        </w:tc>
      </w:tr>
      <w:tr w:rsidR="00C1563E" w14:paraId="7DD01E6A" w14:textId="77777777">
        <w:tc>
          <w:tcPr>
            <w:tcW w:w="0" w:type="auto"/>
            <w:gridSpan w:val="3"/>
            <w:shd w:val="clear" w:color="auto" w:fill="auto"/>
            <w:tcMar>
              <w:top w:w="0" w:type="dxa"/>
              <w:left w:w="20" w:type="dxa"/>
              <w:bottom w:w="0" w:type="dxa"/>
              <w:right w:w="20" w:type="dxa"/>
            </w:tcMar>
          </w:tcPr>
          <w:p w14:paraId="7DD01E68"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E69"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E71" w14:textId="77777777">
        <w:tc>
          <w:tcPr>
            <w:tcW w:w="0" w:type="auto"/>
            <w:gridSpan w:val="3"/>
            <w:shd w:val="clear" w:color="auto" w:fill="auto"/>
            <w:tcMar>
              <w:top w:w="0" w:type="dxa"/>
              <w:left w:w="20" w:type="dxa"/>
              <w:bottom w:w="0" w:type="dxa"/>
              <w:right w:w="20" w:type="dxa"/>
            </w:tcMar>
          </w:tcPr>
          <w:p w14:paraId="7DD01E6B"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E6C"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E6D"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E6E"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E6F"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E70"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E74" w14:textId="77777777">
        <w:tc>
          <w:tcPr>
            <w:tcW w:w="0" w:type="auto"/>
            <w:gridSpan w:val="3"/>
            <w:shd w:val="clear" w:color="auto" w:fill="auto"/>
            <w:tcMar>
              <w:top w:w="0" w:type="dxa"/>
              <w:left w:w="20" w:type="dxa"/>
              <w:bottom w:w="0" w:type="dxa"/>
              <w:right w:w="20" w:type="dxa"/>
            </w:tcMar>
          </w:tcPr>
          <w:p w14:paraId="7DD01E72"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E73"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E7B" w14:textId="77777777">
        <w:tc>
          <w:tcPr>
            <w:tcW w:w="0" w:type="auto"/>
            <w:gridSpan w:val="3"/>
            <w:shd w:val="clear" w:color="auto" w:fill="CCEEFF"/>
            <w:tcMar>
              <w:top w:w="40" w:type="dxa"/>
              <w:left w:w="20" w:type="dxa"/>
              <w:bottom w:w="40" w:type="dxa"/>
              <w:right w:w="20" w:type="dxa"/>
            </w:tcMar>
            <w:vAlign w:val="bottom"/>
          </w:tcPr>
          <w:p w14:paraId="7DD01E75" w14:textId="77777777" w:rsidR="00C1563E" w:rsidRDefault="000B648B">
            <w:pPr>
              <w:textAlignment w:val="bottom"/>
            </w:pPr>
            <w:r>
              <w:rPr>
                <w:rFonts w:ascii="Times New Roman" w:eastAsia="宋体" w:hAnsi="Times New Roman"/>
                <w:i/>
                <w:iCs/>
                <w:color w:val="000000"/>
                <w:sz w:val="20"/>
                <w:szCs w:val="20"/>
              </w:rPr>
              <w:t>Severance charges:</w:t>
            </w:r>
          </w:p>
        </w:tc>
        <w:tc>
          <w:tcPr>
            <w:tcW w:w="0" w:type="auto"/>
            <w:gridSpan w:val="3"/>
            <w:shd w:val="clear" w:color="auto" w:fill="CCEEFF"/>
            <w:tcMar>
              <w:top w:w="0" w:type="dxa"/>
              <w:left w:w="20" w:type="dxa"/>
              <w:bottom w:w="0" w:type="dxa"/>
              <w:right w:w="20" w:type="dxa"/>
            </w:tcMar>
          </w:tcPr>
          <w:p w14:paraId="7DD01E76"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77"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78"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7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7A" w14:textId="77777777" w:rsidR="00C1563E" w:rsidRDefault="00C1563E">
            <w:pPr>
              <w:rPr>
                <w:rFonts w:ascii="宋体"/>
              </w:rPr>
            </w:pPr>
          </w:p>
        </w:tc>
      </w:tr>
      <w:tr w:rsidR="00C1563E" w14:paraId="7DD01E88" w14:textId="77777777">
        <w:tc>
          <w:tcPr>
            <w:tcW w:w="0" w:type="auto"/>
            <w:gridSpan w:val="3"/>
            <w:shd w:val="clear" w:color="auto" w:fill="FFFFFF"/>
            <w:tcMar>
              <w:top w:w="40" w:type="dxa"/>
              <w:left w:w="140" w:type="dxa"/>
              <w:bottom w:w="40" w:type="dxa"/>
              <w:right w:w="20" w:type="dxa"/>
            </w:tcMar>
            <w:vAlign w:val="bottom"/>
          </w:tcPr>
          <w:p w14:paraId="7DD01E7C" w14:textId="77777777" w:rsidR="00C1563E" w:rsidRDefault="000B648B">
            <w:pPr>
              <w:textAlignment w:val="bottom"/>
            </w:pPr>
            <w:r>
              <w:rPr>
                <w:rFonts w:ascii="Times New Roman" w:eastAsia="宋体" w:hAnsi="Times New Roman"/>
                <w:color w:val="000000"/>
                <w:sz w:val="20"/>
                <w:szCs w:val="20"/>
              </w:rPr>
              <w:t>Cost of net revenue</w:t>
            </w:r>
          </w:p>
        </w:tc>
        <w:tc>
          <w:tcPr>
            <w:tcW w:w="0" w:type="auto"/>
            <w:shd w:val="clear" w:color="auto" w:fill="FFFFFF"/>
            <w:tcMar>
              <w:top w:w="40" w:type="dxa"/>
              <w:left w:w="20" w:type="dxa"/>
              <w:bottom w:w="40" w:type="dxa"/>
              <w:right w:w="0" w:type="dxa"/>
            </w:tcMar>
            <w:vAlign w:val="bottom"/>
          </w:tcPr>
          <w:p w14:paraId="7DD01E7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7E" w14:textId="77777777" w:rsidR="00C1563E" w:rsidRDefault="000B648B">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bottom"/>
          </w:tcPr>
          <w:p w14:paraId="7DD01E7F"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80"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81"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82" w14:textId="77777777" w:rsidR="00C1563E" w:rsidRDefault="000B648B">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7DD01E8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84"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8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86" w14:textId="77777777" w:rsidR="00C1563E" w:rsidRDefault="000B648B">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DD01E87" w14:textId="77777777" w:rsidR="00C1563E" w:rsidRDefault="00C1563E">
            <w:pPr>
              <w:jc w:val="right"/>
              <w:rPr>
                <w:rFonts w:ascii="宋体"/>
              </w:rPr>
            </w:pPr>
          </w:p>
        </w:tc>
      </w:tr>
      <w:tr w:rsidR="00C1563E" w14:paraId="7DD01E92" w14:textId="77777777">
        <w:tc>
          <w:tcPr>
            <w:tcW w:w="0" w:type="auto"/>
            <w:gridSpan w:val="3"/>
            <w:shd w:val="clear" w:color="auto" w:fill="CCEEFF"/>
            <w:tcMar>
              <w:top w:w="40" w:type="dxa"/>
              <w:left w:w="140" w:type="dxa"/>
              <w:bottom w:w="40" w:type="dxa"/>
              <w:right w:w="20" w:type="dxa"/>
            </w:tcMar>
            <w:vAlign w:val="bottom"/>
          </w:tcPr>
          <w:p w14:paraId="7DD01E89" w14:textId="77777777" w:rsidR="00C1563E" w:rsidRDefault="000B648B">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7DD01E8A" w14:textId="77777777" w:rsidR="00C1563E" w:rsidRDefault="000B648B">
            <w:pPr>
              <w:jc w:val="right"/>
              <w:textAlignment w:val="bottom"/>
            </w:pPr>
            <w:r>
              <w:rPr>
                <w:rFonts w:ascii="Times New Roman" w:eastAsia="宋体" w:hAnsi="Times New Roman"/>
                <w:color w:val="000000"/>
                <w:sz w:val="20"/>
                <w:szCs w:val="20"/>
              </w:rPr>
              <w:t>313 </w:t>
            </w:r>
          </w:p>
        </w:tc>
        <w:tc>
          <w:tcPr>
            <w:tcW w:w="0" w:type="auto"/>
            <w:shd w:val="clear" w:color="auto" w:fill="CCEEFF"/>
            <w:tcMar>
              <w:top w:w="40" w:type="dxa"/>
              <w:left w:w="0" w:type="dxa"/>
              <w:bottom w:w="40" w:type="dxa"/>
              <w:right w:w="20" w:type="dxa"/>
            </w:tcMar>
            <w:vAlign w:val="bottom"/>
          </w:tcPr>
          <w:p w14:paraId="7DD01E8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8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8D" w14:textId="77777777" w:rsidR="00C1563E" w:rsidRDefault="000B648B">
            <w:pPr>
              <w:jc w:val="right"/>
              <w:textAlignment w:val="bottom"/>
            </w:pPr>
            <w:r>
              <w:rPr>
                <w:rFonts w:ascii="Times New Roman" w:eastAsia="宋体" w:hAnsi="Times New Roman"/>
                <w:color w:val="000000"/>
                <w:sz w:val="20"/>
                <w:szCs w:val="20"/>
              </w:rPr>
              <w:t>177 </w:t>
            </w:r>
          </w:p>
        </w:tc>
        <w:tc>
          <w:tcPr>
            <w:tcW w:w="0" w:type="auto"/>
            <w:shd w:val="clear" w:color="auto" w:fill="CCEEFF"/>
            <w:tcMar>
              <w:top w:w="40" w:type="dxa"/>
              <w:left w:w="0" w:type="dxa"/>
              <w:bottom w:w="40" w:type="dxa"/>
              <w:right w:w="20" w:type="dxa"/>
            </w:tcMar>
            <w:vAlign w:val="bottom"/>
          </w:tcPr>
          <w:p w14:paraId="7DD01E8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8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90" w14:textId="77777777" w:rsidR="00C1563E" w:rsidRDefault="000B648B">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7DD01E91" w14:textId="77777777" w:rsidR="00C1563E" w:rsidRDefault="00C1563E">
            <w:pPr>
              <w:jc w:val="right"/>
              <w:rPr>
                <w:rFonts w:ascii="宋体"/>
              </w:rPr>
            </w:pPr>
          </w:p>
        </w:tc>
      </w:tr>
      <w:tr w:rsidR="00C1563E" w14:paraId="7DD01E9C" w14:textId="77777777">
        <w:tc>
          <w:tcPr>
            <w:tcW w:w="0" w:type="auto"/>
            <w:gridSpan w:val="3"/>
            <w:shd w:val="clear" w:color="auto" w:fill="FFFFFF"/>
            <w:tcMar>
              <w:top w:w="40" w:type="dxa"/>
              <w:left w:w="140" w:type="dxa"/>
              <w:bottom w:w="40" w:type="dxa"/>
              <w:right w:w="20" w:type="dxa"/>
            </w:tcMar>
            <w:vAlign w:val="bottom"/>
          </w:tcPr>
          <w:p w14:paraId="7DD01E93" w14:textId="77777777" w:rsidR="00C1563E" w:rsidRDefault="000B648B">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DD01E94" w14:textId="77777777" w:rsidR="00C1563E" w:rsidRDefault="000B648B">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DD01E9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9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97" w14:textId="77777777" w:rsidR="00C1563E" w:rsidRDefault="000B648B">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DD01E9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9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9A" w14:textId="77777777" w:rsidR="00C1563E" w:rsidRDefault="000B648B">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DD01E9B" w14:textId="77777777" w:rsidR="00C1563E" w:rsidRDefault="00C1563E">
            <w:pPr>
              <w:jc w:val="right"/>
              <w:rPr>
                <w:rFonts w:ascii="宋体"/>
              </w:rPr>
            </w:pPr>
          </w:p>
        </w:tc>
      </w:tr>
      <w:tr w:rsidR="00C1563E" w14:paraId="7DD01EA9" w14:textId="77777777">
        <w:tc>
          <w:tcPr>
            <w:tcW w:w="0" w:type="auto"/>
            <w:gridSpan w:val="3"/>
            <w:shd w:val="clear" w:color="auto" w:fill="CCEEFF"/>
            <w:tcMar>
              <w:top w:w="40" w:type="dxa"/>
              <w:left w:w="275" w:type="dxa"/>
              <w:bottom w:w="40" w:type="dxa"/>
              <w:right w:w="20" w:type="dxa"/>
            </w:tcMar>
            <w:vAlign w:val="bottom"/>
          </w:tcPr>
          <w:p w14:paraId="7DD01E9D" w14:textId="77777777" w:rsidR="00C1563E" w:rsidRDefault="000B648B">
            <w:pPr>
              <w:textAlignment w:val="bottom"/>
            </w:pPr>
            <w:r>
              <w:rPr>
                <w:rFonts w:ascii="Times New Roman" w:eastAsia="宋体" w:hAnsi="Times New Roman"/>
                <w:color w:val="000000"/>
                <w:sz w:val="20"/>
                <w:szCs w:val="20"/>
              </w:rPr>
              <w:t>Total severance charges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9E"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9F" w14:textId="77777777" w:rsidR="00C1563E" w:rsidRDefault="000B648B">
            <w:pPr>
              <w:jc w:val="right"/>
              <w:textAlignment w:val="bottom"/>
            </w:pPr>
            <w:r>
              <w:rPr>
                <w:rFonts w:ascii="Times New Roman" w:eastAsia="宋体" w:hAnsi="Times New Roman"/>
                <w:color w:val="000000"/>
                <w:sz w:val="20"/>
                <w:szCs w:val="20"/>
              </w:rPr>
              <w:t>452 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A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A1"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A2"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A3" w14:textId="77777777" w:rsidR="00C1563E" w:rsidRDefault="000B648B">
            <w:pPr>
              <w:jc w:val="right"/>
              <w:textAlignment w:val="bottom"/>
            </w:pPr>
            <w:r>
              <w:rPr>
                <w:rFonts w:ascii="Times New Roman" w:eastAsia="宋体" w:hAnsi="Times New Roman"/>
                <w:color w:val="000000"/>
                <w:sz w:val="20"/>
                <w:szCs w:val="20"/>
              </w:rPr>
              <w:t>266 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A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A5"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EA6"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EA7" w14:textId="77777777" w:rsidR="00C1563E" w:rsidRDefault="000B648B">
            <w:pPr>
              <w:jc w:val="right"/>
              <w:textAlignment w:val="bottom"/>
            </w:pPr>
            <w:r>
              <w:rPr>
                <w:rFonts w:ascii="Times New Roman" w:eastAsia="宋体" w:hAnsi="Times New Roman"/>
                <w:color w:val="000000"/>
                <w:sz w:val="20"/>
                <w:szCs w:val="20"/>
              </w:rPr>
              <w:t>215 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EA8" w14:textId="77777777" w:rsidR="00C1563E" w:rsidRDefault="00C1563E">
            <w:pPr>
              <w:jc w:val="right"/>
              <w:rPr>
                <w:rFonts w:ascii="宋体"/>
              </w:rPr>
            </w:pPr>
          </w:p>
        </w:tc>
      </w:tr>
    </w:tbl>
    <w:p w14:paraId="7DD01EAA" w14:textId="77777777" w:rsidR="00C1563E" w:rsidRDefault="00C1563E"/>
    <w:p w14:paraId="7DD01EAB" w14:textId="77777777" w:rsidR="00C1563E" w:rsidRDefault="000B648B">
      <w:r>
        <w:rPr>
          <w:rFonts w:ascii="Times New Roman" w:eastAsia="宋体" w:hAnsi="Times New Roman"/>
          <w:b/>
          <w:bCs/>
          <w:color w:val="000000"/>
          <w:sz w:val="20"/>
          <w:szCs w:val="20"/>
        </w:rPr>
        <w:t>Interest and other, net</w:t>
      </w:r>
    </w:p>
    <w:p w14:paraId="7DD01EAC" w14:textId="77777777" w:rsidR="00C1563E" w:rsidRDefault="00C1563E"/>
    <w:p w14:paraId="7DD01EAD" w14:textId="77777777" w:rsidR="00C1563E" w:rsidRDefault="000B648B">
      <w:pPr>
        <w:spacing w:after="120"/>
      </w:pPr>
      <w:r>
        <w:rPr>
          <w:rFonts w:ascii="Times New Roman" w:eastAsia="宋体" w:hAnsi="Times New Roman"/>
          <w:color w:val="000000"/>
          <w:sz w:val="20"/>
          <w:szCs w:val="20"/>
        </w:rPr>
        <w:t>The following table presents information regarding interest and other, net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96"/>
        <w:gridCol w:w="38"/>
        <w:gridCol w:w="121"/>
        <w:gridCol w:w="1192"/>
        <w:gridCol w:w="36"/>
        <w:gridCol w:w="36"/>
        <w:gridCol w:w="36"/>
        <w:gridCol w:w="36"/>
        <w:gridCol w:w="121"/>
        <w:gridCol w:w="1192"/>
        <w:gridCol w:w="36"/>
        <w:gridCol w:w="36"/>
        <w:gridCol w:w="36"/>
        <w:gridCol w:w="36"/>
        <w:gridCol w:w="121"/>
        <w:gridCol w:w="1192"/>
        <w:gridCol w:w="36"/>
      </w:tblGrid>
      <w:tr w:rsidR="00C1563E" w14:paraId="7DD01EC0" w14:textId="77777777">
        <w:trPr>
          <w:jc w:val="center"/>
        </w:trPr>
        <w:tc>
          <w:tcPr>
            <w:tcW w:w="50" w:type="pct"/>
            <w:shd w:val="clear" w:color="auto" w:fill="auto"/>
          </w:tcPr>
          <w:p w14:paraId="7DD01EAE" w14:textId="77777777" w:rsidR="00C1563E" w:rsidRDefault="00C1563E">
            <w:pPr>
              <w:rPr>
                <w:rFonts w:ascii="宋体"/>
              </w:rPr>
            </w:pPr>
          </w:p>
        </w:tc>
        <w:tc>
          <w:tcPr>
            <w:tcW w:w="2452" w:type="pct"/>
            <w:shd w:val="clear" w:color="auto" w:fill="auto"/>
          </w:tcPr>
          <w:p w14:paraId="7DD01EAF" w14:textId="77777777" w:rsidR="00C1563E" w:rsidRDefault="00C1563E">
            <w:pPr>
              <w:rPr>
                <w:rFonts w:ascii="宋体"/>
              </w:rPr>
            </w:pPr>
          </w:p>
        </w:tc>
        <w:tc>
          <w:tcPr>
            <w:tcW w:w="5" w:type="pct"/>
            <w:shd w:val="clear" w:color="auto" w:fill="auto"/>
          </w:tcPr>
          <w:p w14:paraId="7DD01EB0" w14:textId="77777777" w:rsidR="00C1563E" w:rsidRDefault="00C1563E">
            <w:pPr>
              <w:rPr>
                <w:rFonts w:ascii="宋体"/>
              </w:rPr>
            </w:pPr>
          </w:p>
        </w:tc>
        <w:tc>
          <w:tcPr>
            <w:tcW w:w="50" w:type="pct"/>
            <w:shd w:val="clear" w:color="auto" w:fill="auto"/>
          </w:tcPr>
          <w:p w14:paraId="7DD01EB1" w14:textId="77777777" w:rsidR="00C1563E" w:rsidRDefault="00C1563E">
            <w:pPr>
              <w:rPr>
                <w:rFonts w:ascii="宋体"/>
              </w:rPr>
            </w:pPr>
          </w:p>
        </w:tc>
        <w:tc>
          <w:tcPr>
            <w:tcW w:w="756" w:type="pct"/>
            <w:shd w:val="clear" w:color="auto" w:fill="auto"/>
          </w:tcPr>
          <w:p w14:paraId="7DD01EB2" w14:textId="77777777" w:rsidR="00C1563E" w:rsidRDefault="00C1563E">
            <w:pPr>
              <w:rPr>
                <w:rFonts w:ascii="宋体"/>
              </w:rPr>
            </w:pPr>
          </w:p>
        </w:tc>
        <w:tc>
          <w:tcPr>
            <w:tcW w:w="5" w:type="pct"/>
            <w:shd w:val="clear" w:color="auto" w:fill="auto"/>
          </w:tcPr>
          <w:p w14:paraId="7DD01EB3" w14:textId="77777777" w:rsidR="00C1563E" w:rsidRDefault="00C1563E">
            <w:pPr>
              <w:rPr>
                <w:rFonts w:ascii="宋体"/>
              </w:rPr>
            </w:pPr>
          </w:p>
        </w:tc>
        <w:tc>
          <w:tcPr>
            <w:tcW w:w="5" w:type="pct"/>
            <w:shd w:val="clear" w:color="auto" w:fill="auto"/>
          </w:tcPr>
          <w:p w14:paraId="7DD01EB4" w14:textId="77777777" w:rsidR="00C1563E" w:rsidRDefault="00C1563E">
            <w:pPr>
              <w:rPr>
                <w:rFonts w:ascii="宋体"/>
              </w:rPr>
            </w:pPr>
          </w:p>
        </w:tc>
        <w:tc>
          <w:tcPr>
            <w:tcW w:w="19" w:type="pct"/>
            <w:shd w:val="clear" w:color="auto" w:fill="auto"/>
          </w:tcPr>
          <w:p w14:paraId="7DD01EB5" w14:textId="77777777" w:rsidR="00C1563E" w:rsidRDefault="00C1563E">
            <w:pPr>
              <w:rPr>
                <w:rFonts w:ascii="宋体"/>
              </w:rPr>
            </w:pPr>
          </w:p>
        </w:tc>
        <w:tc>
          <w:tcPr>
            <w:tcW w:w="5" w:type="pct"/>
            <w:shd w:val="clear" w:color="auto" w:fill="auto"/>
          </w:tcPr>
          <w:p w14:paraId="7DD01EB6" w14:textId="77777777" w:rsidR="00C1563E" w:rsidRDefault="00C1563E">
            <w:pPr>
              <w:rPr>
                <w:rFonts w:ascii="宋体"/>
              </w:rPr>
            </w:pPr>
          </w:p>
        </w:tc>
        <w:tc>
          <w:tcPr>
            <w:tcW w:w="50" w:type="pct"/>
            <w:shd w:val="clear" w:color="auto" w:fill="auto"/>
          </w:tcPr>
          <w:p w14:paraId="7DD01EB7" w14:textId="77777777" w:rsidR="00C1563E" w:rsidRDefault="00C1563E">
            <w:pPr>
              <w:rPr>
                <w:rFonts w:ascii="宋体"/>
              </w:rPr>
            </w:pPr>
          </w:p>
        </w:tc>
        <w:tc>
          <w:tcPr>
            <w:tcW w:w="756" w:type="pct"/>
            <w:shd w:val="clear" w:color="auto" w:fill="auto"/>
          </w:tcPr>
          <w:p w14:paraId="7DD01EB8" w14:textId="77777777" w:rsidR="00C1563E" w:rsidRDefault="00C1563E">
            <w:pPr>
              <w:rPr>
                <w:rFonts w:ascii="宋体"/>
              </w:rPr>
            </w:pPr>
          </w:p>
        </w:tc>
        <w:tc>
          <w:tcPr>
            <w:tcW w:w="5" w:type="pct"/>
            <w:shd w:val="clear" w:color="auto" w:fill="auto"/>
          </w:tcPr>
          <w:p w14:paraId="7DD01EB9" w14:textId="77777777" w:rsidR="00C1563E" w:rsidRDefault="00C1563E">
            <w:pPr>
              <w:rPr>
                <w:rFonts w:ascii="宋体"/>
              </w:rPr>
            </w:pPr>
          </w:p>
        </w:tc>
        <w:tc>
          <w:tcPr>
            <w:tcW w:w="5" w:type="pct"/>
            <w:shd w:val="clear" w:color="auto" w:fill="auto"/>
          </w:tcPr>
          <w:p w14:paraId="7DD01EBA" w14:textId="77777777" w:rsidR="00C1563E" w:rsidRDefault="00C1563E">
            <w:pPr>
              <w:rPr>
                <w:rFonts w:ascii="宋体"/>
              </w:rPr>
            </w:pPr>
          </w:p>
        </w:tc>
        <w:tc>
          <w:tcPr>
            <w:tcW w:w="19" w:type="pct"/>
            <w:shd w:val="clear" w:color="auto" w:fill="auto"/>
          </w:tcPr>
          <w:p w14:paraId="7DD01EBB" w14:textId="77777777" w:rsidR="00C1563E" w:rsidRDefault="00C1563E">
            <w:pPr>
              <w:rPr>
                <w:rFonts w:ascii="宋体"/>
              </w:rPr>
            </w:pPr>
          </w:p>
        </w:tc>
        <w:tc>
          <w:tcPr>
            <w:tcW w:w="5" w:type="pct"/>
            <w:shd w:val="clear" w:color="auto" w:fill="auto"/>
          </w:tcPr>
          <w:p w14:paraId="7DD01EBC" w14:textId="77777777" w:rsidR="00C1563E" w:rsidRDefault="00C1563E">
            <w:pPr>
              <w:rPr>
                <w:rFonts w:ascii="宋体"/>
              </w:rPr>
            </w:pPr>
          </w:p>
        </w:tc>
        <w:tc>
          <w:tcPr>
            <w:tcW w:w="50" w:type="pct"/>
            <w:shd w:val="clear" w:color="auto" w:fill="auto"/>
          </w:tcPr>
          <w:p w14:paraId="7DD01EBD" w14:textId="77777777" w:rsidR="00C1563E" w:rsidRDefault="00C1563E">
            <w:pPr>
              <w:rPr>
                <w:rFonts w:ascii="宋体"/>
              </w:rPr>
            </w:pPr>
          </w:p>
        </w:tc>
        <w:tc>
          <w:tcPr>
            <w:tcW w:w="756" w:type="pct"/>
            <w:shd w:val="clear" w:color="auto" w:fill="auto"/>
          </w:tcPr>
          <w:p w14:paraId="7DD01EBE" w14:textId="77777777" w:rsidR="00C1563E" w:rsidRDefault="00C1563E">
            <w:pPr>
              <w:rPr>
                <w:rFonts w:ascii="宋体"/>
              </w:rPr>
            </w:pPr>
          </w:p>
        </w:tc>
        <w:tc>
          <w:tcPr>
            <w:tcW w:w="5" w:type="pct"/>
            <w:shd w:val="clear" w:color="auto" w:fill="auto"/>
          </w:tcPr>
          <w:p w14:paraId="7DD01EBF" w14:textId="77777777" w:rsidR="00C1563E" w:rsidRDefault="00C1563E">
            <w:pPr>
              <w:rPr>
                <w:rFonts w:ascii="宋体"/>
              </w:rPr>
            </w:pPr>
          </w:p>
        </w:tc>
      </w:tr>
      <w:tr w:rsidR="00C1563E" w14:paraId="7DD01EC3" w14:textId="77777777">
        <w:trPr>
          <w:jc w:val="center"/>
        </w:trPr>
        <w:tc>
          <w:tcPr>
            <w:tcW w:w="0" w:type="auto"/>
            <w:gridSpan w:val="3"/>
            <w:shd w:val="clear" w:color="auto" w:fill="auto"/>
            <w:tcMar>
              <w:top w:w="0" w:type="dxa"/>
              <w:left w:w="20" w:type="dxa"/>
              <w:bottom w:w="0" w:type="dxa"/>
              <w:right w:w="20" w:type="dxa"/>
            </w:tcMar>
          </w:tcPr>
          <w:p w14:paraId="7DD01EC1"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EC2"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ECA" w14:textId="77777777">
        <w:trPr>
          <w:jc w:val="center"/>
        </w:trPr>
        <w:tc>
          <w:tcPr>
            <w:tcW w:w="0" w:type="auto"/>
            <w:gridSpan w:val="3"/>
            <w:shd w:val="clear" w:color="auto" w:fill="auto"/>
            <w:tcMar>
              <w:top w:w="0" w:type="dxa"/>
              <w:left w:w="20" w:type="dxa"/>
              <w:bottom w:w="0" w:type="dxa"/>
              <w:right w:w="20" w:type="dxa"/>
            </w:tcMar>
          </w:tcPr>
          <w:p w14:paraId="7DD01EC4"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EC5"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EC6"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EC7"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EC8"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EC9"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ECD" w14:textId="77777777">
        <w:trPr>
          <w:jc w:val="center"/>
        </w:trPr>
        <w:tc>
          <w:tcPr>
            <w:tcW w:w="0" w:type="auto"/>
            <w:gridSpan w:val="3"/>
            <w:shd w:val="clear" w:color="auto" w:fill="auto"/>
            <w:tcMar>
              <w:top w:w="0" w:type="dxa"/>
              <w:left w:w="20" w:type="dxa"/>
              <w:bottom w:w="0" w:type="dxa"/>
              <w:right w:w="20" w:type="dxa"/>
            </w:tcMar>
          </w:tcPr>
          <w:p w14:paraId="7DD01ECB"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ECC"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ED4" w14:textId="77777777">
        <w:trPr>
          <w:jc w:val="center"/>
        </w:trPr>
        <w:tc>
          <w:tcPr>
            <w:tcW w:w="0" w:type="auto"/>
            <w:gridSpan w:val="3"/>
            <w:shd w:val="clear" w:color="auto" w:fill="CCEEFF"/>
            <w:tcMar>
              <w:top w:w="40" w:type="dxa"/>
              <w:left w:w="20" w:type="dxa"/>
              <w:bottom w:w="40" w:type="dxa"/>
              <w:right w:w="20" w:type="dxa"/>
            </w:tcMar>
            <w:vAlign w:val="bottom"/>
          </w:tcPr>
          <w:p w14:paraId="7DD01ECE" w14:textId="77777777" w:rsidR="00C1563E" w:rsidRDefault="000B648B">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0" w:type="dxa"/>
              <w:left w:w="20" w:type="dxa"/>
              <w:bottom w:w="0" w:type="dxa"/>
              <w:right w:w="20" w:type="dxa"/>
            </w:tcMar>
          </w:tcPr>
          <w:p w14:paraId="7DD01ECF"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D0"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D1"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D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ED3" w14:textId="77777777" w:rsidR="00C1563E" w:rsidRDefault="00C1563E">
            <w:pPr>
              <w:rPr>
                <w:rFonts w:ascii="宋体"/>
              </w:rPr>
            </w:pPr>
          </w:p>
        </w:tc>
      </w:tr>
      <w:tr w:rsidR="00C1563E" w14:paraId="7DD01EE1" w14:textId="77777777">
        <w:trPr>
          <w:jc w:val="center"/>
        </w:trPr>
        <w:tc>
          <w:tcPr>
            <w:tcW w:w="0" w:type="auto"/>
            <w:gridSpan w:val="3"/>
            <w:shd w:val="clear" w:color="auto" w:fill="FFFFFF"/>
            <w:tcMar>
              <w:top w:w="40" w:type="dxa"/>
              <w:left w:w="125" w:type="dxa"/>
              <w:bottom w:w="40" w:type="dxa"/>
              <w:right w:w="20" w:type="dxa"/>
            </w:tcMar>
            <w:vAlign w:val="bottom"/>
          </w:tcPr>
          <w:p w14:paraId="7DD01ED5" w14:textId="77777777" w:rsidR="00C1563E" w:rsidRDefault="000B648B">
            <w:pPr>
              <w:textAlignment w:val="bottom"/>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bottom"/>
          </w:tcPr>
          <w:p w14:paraId="7DD01ED6"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D7" w14:textId="77777777" w:rsidR="00C1563E" w:rsidRDefault="000B648B">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7DD01ED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D9"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D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DB" w14:textId="77777777" w:rsidR="00C1563E" w:rsidRDefault="000B648B">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7DD01ED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DD"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ED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EDF" w14:textId="77777777" w:rsidR="00C1563E" w:rsidRDefault="000B648B">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7DD01EE0" w14:textId="77777777" w:rsidR="00C1563E" w:rsidRDefault="00C1563E">
            <w:pPr>
              <w:jc w:val="right"/>
              <w:rPr>
                <w:rFonts w:ascii="宋体"/>
              </w:rPr>
            </w:pPr>
          </w:p>
        </w:tc>
      </w:tr>
      <w:tr w:rsidR="00C1563E" w14:paraId="7DD01EEB" w14:textId="77777777">
        <w:trPr>
          <w:jc w:val="center"/>
        </w:trPr>
        <w:tc>
          <w:tcPr>
            <w:tcW w:w="0" w:type="auto"/>
            <w:gridSpan w:val="3"/>
            <w:shd w:val="clear" w:color="auto" w:fill="CCEEFF"/>
            <w:tcMar>
              <w:top w:w="40" w:type="dxa"/>
              <w:left w:w="125" w:type="dxa"/>
              <w:bottom w:w="40" w:type="dxa"/>
              <w:right w:w="20" w:type="dxa"/>
            </w:tcMar>
            <w:vAlign w:val="bottom"/>
          </w:tcPr>
          <w:p w14:paraId="7DD01EE2" w14:textId="77777777" w:rsidR="00C1563E" w:rsidRDefault="000B648B">
            <w:pPr>
              <w:textAlignment w:val="bottom"/>
            </w:pPr>
            <w:r>
              <w:rPr>
                <w:rFonts w:ascii="Times New Roman" w:eastAsia="宋体" w:hAnsi="Times New Roman"/>
                <w:color w:val="000000"/>
                <w:sz w:val="20"/>
                <w:szCs w:val="20"/>
              </w:rPr>
              <w:t>Gain on strategic investments, net (a)</w:t>
            </w:r>
          </w:p>
        </w:tc>
        <w:tc>
          <w:tcPr>
            <w:tcW w:w="0" w:type="auto"/>
            <w:gridSpan w:val="2"/>
            <w:shd w:val="clear" w:color="auto" w:fill="CCEEFF"/>
            <w:tcMar>
              <w:top w:w="40" w:type="dxa"/>
              <w:left w:w="20" w:type="dxa"/>
              <w:bottom w:w="40" w:type="dxa"/>
              <w:right w:w="0" w:type="dxa"/>
            </w:tcMar>
            <w:vAlign w:val="bottom"/>
          </w:tcPr>
          <w:p w14:paraId="7DD01EE3" w14:textId="77777777" w:rsidR="00C1563E" w:rsidRDefault="000B648B">
            <w:pPr>
              <w:jc w:val="right"/>
              <w:textAlignment w:val="bottom"/>
            </w:pPr>
            <w:r>
              <w:rPr>
                <w:rFonts w:ascii="Times New Roman" w:eastAsia="宋体" w:hAnsi="Times New Roman"/>
                <w:color w:val="000000"/>
                <w:sz w:val="20"/>
                <w:szCs w:val="20"/>
              </w:rPr>
              <w:t>582 </w:t>
            </w:r>
          </w:p>
        </w:tc>
        <w:tc>
          <w:tcPr>
            <w:tcW w:w="0" w:type="auto"/>
            <w:shd w:val="clear" w:color="auto" w:fill="CCEEFF"/>
            <w:tcMar>
              <w:top w:w="40" w:type="dxa"/>
              <w:left w:w="0" w:type="dxa"/>
              <w:bottom w:w="40" w:type="dxa"/>
              <w:right w:w="20" w:type="dxa"/>
            </w:tcMar>
            <w:vAlign w:val="bottom"/>
          </w:tcPr>
          <w:p w14:paraId="7DD01EE4"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E5"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E6" w14:textId="77777777" w:rsidR="00C1563E" w:rsidRDefault="000B648B">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DD01EE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E8"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E9" w14:textId="77777777" w:rsidR="00C1563E" w:rsidRDefault="000B648B">
            <w:pPr>
              <w:jc w:val="right"/>
              <w:textAlignment w:val="bottom"/>
            </w:pPr>
            <w:r>
              <w:rPr>
                <w:rFonts w:ascii="Times New Roman" w:eastAsia="宋体" w:hAnsi="Times New Roman"/>
                <w:color w:val="000000"/>
                <w:sz w:val="20"/>
                <w:szCs w:val="20"/>
              </w:rPr>
              <w:t>342 </w:t>
            </w:r>
          </w:p>
        </w:tc>
        <w:tc>
          <w:tcPr>
            <w:tcW w:w="0" w:type="auto"/>
            <w:shd w:val="clear" w:color="auto" w:fill="CCEEFF"/>
            <w:tcMar>
              <w:top w:w="40" w:type="dxa"/>
              <w:left w:w="0" w:type="dxa"/>
              <w:bottom w:w="40" w:type="dxa"/>
              <w:right w:w="20" w:type="dxa"/>
            </w:tcMar>
            <w:vAlign w:val="bottom"/>
          </w:tcPr>
          <w:p w14:paraId="7DD01EEA" w14:textId="77777777" w:rsidR="00C1563E" w:rsidRDefault="00C1563E">
            <w:pPr>
              <w:jc w:val="right"/>
              <w:rPr>
                <w:rFonts w:ascii="宋体"/>
              </w:rPr>
            </w:pPr>
          </w:p>
        </w:tc>
      </w:tr>
      <w:tr w:rsidR="00C1563E" w14:paraId="7DD01EF5" w14:textId="77777777">
        <w:trPr>
          <w:jc w:val="center"/>
        </w:trPr>
        <w:tc>
          <w:tcPr>
            <w:tcW w:w="0" w:type="auto"/>
            <w:gridSpan w:val="3"/>
            <w:shd w:val="clear" w:color="auto" w:fill="FFFFFF"/>
            <w:tcMar>
              <w:top w:w="40" w:type="dxa"/>
              <w:left w:w="125" w:type="dxa"/>
              <w:bottom w:w="40" w:type="dxa"/>
              <w:right w:w="20" w:type="dxa"/>
            </w:tcMar>
            <w:vAlign w:val="bottom"/>
          </w:tcPr>
          <w:p w14:paraId="7DD01EEC" w14:textId="77777777" w:rsidR="00C1563E" w:rsidRDefault="000B648B">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7DD01EED" w14:textId="77777777" w:rsidR="00C1563E" w:rsidRDefault="000B648B">
            <w:pPr>
              <w:jc w:val="right"/>
              <w:textAlignment w:val="bottom"/>
            </w:pPr>
            <w:r>
              <w:rPr>
                <w:rFonts w:ascii="Times New Roman" w:eastAsia="宋体" w:hAnsi="Times New Roman"/>
                <w:color w:val="000000"/>
                <w:sz w:val="20"/>
                <w:szCs w:val="20"/>
              </w:rPr>
              <w:t>(2,389)</w:t>
            </w:r>
          </w:p>
        </w:tc>
        <w:tc>
          <w:tcPr>
            <w:tcW w:w="0" w:type="auto"/>
            <w:shd w:val="clear" w:color="auto" w:fill="FFFFFF"/>
            <w:tcMar>
              <w:top w:w="40" w:type="dxa"/>
              <w:left w:w="0" w:type="dxa"/>
              <w:bottom w:w="40" w:type="dxa"/>
              <w:right w:w="20" w:type="dxa"/>
            </w:tcMar>
            <w:vAlign w:val="bottom"/>
          </w:tcPr>
          <w:p w14:paraId="7DD01EE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EF"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F0" w14:textId="77777777" w:rsidR="00C1563E" w:rsidRDefault="000B648B">
            <w:pPr>
              <w:jc w:val="right"/>
              <w:textAlignment w:val="bottom"/>
            </w:pPr>
            <w:r>
              <w:rPr>
                <w:rFonts w:ascii="Times New Roman" w:eastAsia="宋体" w:hAnsi="Times New Roman"/>
                <w:color w:val="000000"/>
                <w:sz w:val="20"/>
                <w:szCs w:val="20"/>
              </w:rPr>
              <w:t>(2,675)</w:t>
            </w:r>
          </w:p>
        </w:tc>
        <w:tc>
          <w:tcPr>
            <w:tcW w:w="0" w:type="auto"/>
            <w:shd w:val="clear" w:color="auto" w:fill="FFFFFF"/>
            <w:tcMar>
              <w:top w:w="40" w:type="dxa"/>
              <w:left w:w="0" w:type="dxa"/>
              <w:bottom w:w="40" w:type="dxa"/>
              <w:right w:w="20" w:type="dxa"/>
            </w:tcMar>
            <w:vAlign w:val="bottom"/>
          </w:tcPr>
          <w:p w14:paraId="7DD01EF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EF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EF3" w14:textId="77777777" w:rsidR="00C1563E" w:rsidRDefault="000B648B">
            <w:pPr>
              <w:jc w:val="right"/>
              <w:textAlignment w:val="bottom"/>
            </w:pPr>
            <w:r>
              <w:rPr>
                <w:rFonts w:ascii="Times New Roman" w:eastAsia="宋体" w:hAnsi="Times New Roman"/>
                <w:color w:val="000000"/>
                <w:sz w:val="20"/>
                <w:szCs w:val="20"/>
              </w:rPr>
              <w:t>(2,488)</w:t>
            </w:r>
          </w:p>
        </w:tc>
        <w:tc>
          <w:tcPr>
            <w:tcW w:w="0" w:type="auto"/>
            <w:shd w:val="clear" w:color="auto" w:fill="FFFFFF"/>
            <w:tcMar>
              <w:top w:w="40" w:type="dxa"/>
              <w:left w:w="0" w:type="dxa"/>
              <w:bottom w:w="40" w:type="dxa"/>
              <w:right w:w="20" w:type="dxa"/>
            </w:tcMar>
            <w:vAlign w:val="bottom"/>
          </w:tcPr>
          <w:p w14:paraId="7DD01EF4" w14:textId="77777777" w:rsidR="00C1563E" w:rsidRDefault="00C1563E">
            <w:pPr>
              <w:jc w:val="right"/>
              <w:rPr>
                <w:rFonts w:ascii="宋体"/>
              </w:rPr>
            </w:pPr>
          </w:p>
        </w:tc>
      </w:tr>
      <w:tr w:rsidR="00C1563E" w14:paraId="7DD01EFF" w14:textId="77777777">
        <w:trPr>
          <w:jc w:val="center"/>
        </w:trPr>
        <w:tc>
          <w:tcPr>
            <w:tcW w:w="0" w:type="auto"/>
            <w:gridSpan w:val="3"/>
            <w:shd w:val="clear" w:color="auto" w:fill="CCEEFF"/>
            <w:tcMar>
              <w:top w:w="40" w:type="dxa"/>
              <w:left w:w="125" w:type="dxa"/>
              <w:bottom w:w="40" w:type="dxa"/>
              <w:right w:w="20" w:type="dxa"/>
            </w:tcMar>
            <w:vAlign w:val="bottom"/>
          </w:tcPr>
          <w:p w14:paraId="7DD01EF6" w14:textId="77777777" w:rsidR="00C1563E" w:rsidRDefault="000B648B">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7DD01EF7" w14:textId="77777777" w:rsidR="00C1563E" w:rsidRDefault="000B648B">
            <w:pPr>
              <w:jc w:val="right"/>
              <w:textAlignment w:val="bottom"/>
            </w:pPr>
            <w:r>
              <w:rPr>
                <w:rFonts w:ascii="Times New Roman" w:eastAsia="宋体" w:hAnsi="Times New Roman"/>
                <w:color w:val="000000"/>
                <w:sz w:val="20"/>
                <w:szCs w:val="20"/>
              </w:rPr>
              <w:t>(127)</w:t>
            </w:r>
          </w:p>
        </w:tc>
        <w:tc>
          <w:tcPr>
            <w:tcW w:w="0" w:type="auto"/>
            <w:shd w:val="clear" w:color="auto" w:fill="CCEEFF"/>
            <w:tcMar>
              <w:top w:w="40" w:type="dxa"/>
              <w:left w:w="0" w:type="dxa"/>
              <w:bottom w:w="40" w:type="dxa"/>
              <w:right w:w="20" w:type="dxa"/>
            </w:tcMar>
            <w:vAlign w:val="bottom"/>
          </w:tcPr>
          <w:p w14:paraId="7DD01EF8"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F9"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FA" w14:textId="77777777" w:rsidR="00C1563E" w:rsidRDefault="000B648B">
            <w:pPr>
              <w:jc w:val="right"/>
              <w:textAlignment w:val="bottom"/>
            </w:pPr>
            <w:r>
              <w:rPr>
                <w:rFonts w:ascii="Times New Roman" w:eastAsia="宋体" w:hAnsi="Times New Roman"/>
                <w:color w:val="000000"/>
                <w:sz w:val="20"/>
                <w:szCs w:val="20"/>
              </w:rPr>
              <w:t>(162)</w:t>
            </w:r>
          </w:p>
        </w:tc>
        <w:tc>
          <w:tcPr>
            <w:tcW w:w="0" w:type="auto"/>
            <w:shd w:val="clear" w:color="auto" w:fill="CCEEFF"/>
            <w:tcMar>
              <w:top w:w="40" w:type="dxa"/>
              <w:left w:w="0" w:type="dxa"/>
              <w:bottom w:w="40" w:type="dxa"/>
              <w:right w:w="20" w:type="dxa"/>
            </w:tcMar>
            <w:vAlign w:val="bottom"/>
          </w:tcPr>
          <w:p w14:paraId="7DD01EF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EF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EFD" w14:textId="77777777" w:rsidR="00C1563E" w:rsidRDefault="000B648B">
            <w:pPr>
              <w:jc w:val="right"/>
              <w:textAlignment w:val="bottom"/>
            </w:pPr>
            <w:r>
              <w:rPr>
                <w:rFonts w:ascii="Times New Roman" w:eastAsia="宋体" w:hAnsi="Times New Roman"/>
                <w:color w:val="000000"/>
                <w:sz w:val="20"/>
                <w:szCs w:val="20"/>
              </w:rPr>
              <w:t>(206)</w:t>
            </w:r>
          </w:p>
        </w:tc>
        <w:tc>
          <w:tcPr>
            <w:tcW w:w="0" w:type="auto"/>
            <w:shd w:val="clear" w:color="auto" w:fill="CCEEFF"/>
            <w:tcMar>
              <w:top w:w="40" w:type="dxa"/>
              <w:left w:w="0" w:type="dxa"/>
              <w:bottom w:w="40" w:type="dxa"/>
              <w:right w:w="20" w:type="dxa"/>
            </w:tcMar>
            <w:vAlign w:val="bottom"/>
          </w:tcPr>
          <w:p w14:paraId="7DD01EFE" w14:textId="77777777" w:rsidR="00C1563E" w:rsidRDefault="00C1563E">
            <w:pPr>
              <w:jc w:val="right"/>
              <w:rPr>
                <w:rFonts w:ascii="宋体"/>
              </w:rPr>
            </w:pPr>
          </w:p>
        </w:tc>
      </w:tr>
      <w:tr w:rsidR="00C1563E" w14:paraId="7DD01F09" w14:textId="77777777">
        <w:trPr>
          <w:jc w:val="center"/>
        </w:trPr>
        <w:tc>
          <w:tcPr>
            <w:tcW w:w="0" w:type="auto"/>
            <w:gridSpan w:val="3"/>
            <w:shd w:val="clear" w:color="auto" w:fill="FFFFFF"/>
            <w:tcMar>
              <w:top w:w="40" w:type="dxa"/>
              <w:left w:w="125" w:type="dxa"/>
              <w:bottom w:w="40" w:type="dxa"/>
              <w:right w:w="20" w:type="dxa"/>
            </w:tcMar>
            <w:vAlign w:val="bottom"/>
          </w:tcPr>
          <w:p w14:paraId="7DD01F00" w14:textId="77777777" w:rsidR="00C1563E" w:rsidRDefault="000B648B">
            <w:pPr>
              <w:textAlignment w:val="bottom"/>
            </w:pPr>
            <w:r>
              <w:rPr>
                <w:rFonts w:ascii="Times New Roman" w:eastAsia="宋体" w:hAnsi="Times New Roman"/>
                <w:color w:val="000000"/>
                <w:sz w:val="20"/>
                <w:szCs w:val="20"/>
              </w:rPr>
              <w:t>Other (b)</w:t>
            </w:r>
          </w:p>
        </w:tc>
        <w:tc>
          <w:tcPr>
            <w:tcW w:w="0" w:type="auto"/>
            <w:gridSpan w:val="2"/>
            <w:shd w:val="clear" w:color="auto" w:fill="FFFFFF"/>
            <w:tcMar>
              <w:top w:w="40" w:type="dxa"/>
              <w:left w:w="20" w:type="dxa"/>
              <w:bottom w:w="40" w:type="dxa"/>
              <w:right w:w="0" w:type="dxa"/>
            </w:tcMar>
            <w:vAlign w:val="bottom"/>
          </w:tcPr>
          <w:p w14:paraId="7DD01F01" w14:textId="77777777" w:rsidR="00C1563E" w:rsidRDefault="000B648B">
            <w:pPr>
              <w:jc w:val="right"/>
              <w:textAlignment w:val="bottom"/>
            </w:pPr>
            <w:r>
              <w:rPr>
                <w:rFonts w:ascii="Times New Roman" w:eastAsia="宋体" w:hAnsi="Times New Roman"/>
                <w:color w:val="000000"/>
                <w:sz w:val="20"/>
                <w:szCs w:val="20"/>
              </w:rPr>
              <w:t>406 </w:t>
            </w:r>
          </w:p>
        </w:tc>
        <w:tc>
          <w:tcPr>
            <w:tcW w:w="0" w:type="auto"/>
            <w:shd w:val="clear" w:color="auto" w:fill="FFFFFF"/>
            <w:tcMar>
              <w:top w:w="40" w:type="dxa"/>
              <w:left w:w="0" w:type="dxa"/>
              <w:bottom w:w="40" w:type="dxa"/>
              <w:right w:w="20" w:type="dxa"/>
            </w:tcMar>
            <w:vAlign w:val="bottom"/>
          </w:tcPr>
          <w:p w14:paraId="7DD01F0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03"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F04" w14:textId="77777777" w:rsidR="00C1563E" w:rsidRDefault="000B648B">
            <w:pPr>
              <w:jc w:val="right"/>
              <w:textAlignment w:val="bottom"/>
            </w:pPr>
            <w:r>
              <w:rPr>
                <w:rFonts w:ascii="Times New Roman" w:eastAsia="宋体" w:hAnsi="Times New Roman"/>
                <w:color w:val="000000"/>
                <w:sz w:val="20"/>
                <w:szCs w:val="20"/>
              </w:rPr>
              <w:t>(143)</w:t>
            </w:r>
          </w:p>
        </w:tc>
        <w:tc>
          <w:tcPr>
            <w:tcW w:w="0" w:type="auto"/>
            <w:shd w:val="clear" w:color="auto" w:fill="FFFFFF"/>
            <w:tcMar>
              <w:top w:w="40" w:type="dxa"/>
              <w:left w:w="0" w:type="dxa"/>
              <w:bottom w:w="40" w:type="dxa"/>
              <w:right w:w="20" w:type="dxa"/>
            </w:tcMar>
            <w:vAlign w:val="bottom"/>
          </w:tcPr>
          <w:p w14:paraId="7DD01F0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0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F07" w14:textId="77777777" w:rsidR="00C1563E" w:rsidRDefault="000B648B">
            <w:pPr>
              <w:jc w:val="right"/>
              <w:textAlignment w:val="bottom"/>
            </w:pP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7DD01F08" w14:textId="77777777" w:rsidR="00C1563E" w:rsidRDefault="00C1563E">
            <w:pPr>
              <w:jc w:val="right"/>
              <w:rPr>
                <w:rFonts w:ascii="宋体"/>
              </w:rPr>
            </w:pPr>
          </w:p>
        </w:tc>
      </w:tr>
      <w:tr w:rsidR="00C1563E" w14:paraId="7DD01F16" w14:textId="77777777">
        <w:trPr>
          <w:jc w:val="center"/>
        </w:trPr>
        <w:tc>
          <w:tcPr>
            <w:tcW w:w="0" w:type="auto"/>
            <w:gridSpan w:val="3"/>
            <w:shd w:val="clear" w:color="auto" w:fill="CCEEFF"/>
            <w:tcMar>
              <w:top w:w="40" w:type="dxa"/>
              <w:left w:w="275" w:type="dxa"/>
              <w:bottom w:w="40" w:type="dxa"/>
              <w:right w:w="20" w:type="dxa"/>
            </w:tcMar>
            <w:vAlign w:val="bottom"/>
          </w:tcPr>
          <w:p w14:paraId="7DD01F0A" w14:textId="77777777" w:rsidR="00C1563E" w:rsidRDefault="000B648B">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F0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F0C" w14:textId="77777777" w:rsidR="00C1563E" w:rsidRDefault="000B648B">
            <w:pPr>
              <w:jc w:val="right"/>
              <w:textAlignment w:val="bottom"/>
            </w:pPr>
            <w:r>
              <w:rPr>
                <w:rFonts w:ascii="Times New Roman" w:eastAsia="宋体" w:hAnsi="Times New Roman"/>
                <w:color w:val="000000"/>
                <w:sz w:val="20"/>
                <w:szCs w:val="20"/>
              </w:rPr>
              <w:t>(1,474)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F0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0E"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F0F"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F10" w14:textId="77777777" w:rsidR="00C1563E" w:rsidRDefault="000B648B">
            <w:pPr>
              <w:jc w:val="right"/>
              <w:textAlignment w:val="bottom"/>
            </w:pPr>
            <w:r>
              <w:rPr>
                <w:rFonts w:ascii="Times New Roman" w:eastAsia="宋体" w:hAnsi="Times New Roman"/>
                <w:color w:val="000000"/>
                <w:sz w:val="20"/>
                <w:szCs w:val="20"/>
              </w:rPr>
              <w:t>(2,626)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F1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12" w14:textId="77777777" w:rsidR="00C1563E" w:rsidRDefault="00C1563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DD01F1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DD01F14" w14:textId="77777777" w:rsidR="00C1563E" w:rsidRDefault="000B648B">
            <w:pPr>
              <w:jc w:val="right"/>
              <w:textAlignment w:val="bottom"/>
            </w:pPr>
            <w:r>
              <w:rPr>
                <w:rFonts w:ascii="Times New Roman" w:eastAsia="宋体" w:hAnsi="Times New Roman"/>
                <w:color w:val="000000"/>
                <w:sz w:val="20"/>
                <w:szCs w:val="20"/>
              </w:rPr>
              <w:t>(2,170)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DD01F15" w14:textId="77777777" w:rsidR="00C1563E" w:rsidRDefault="00C1563E">
            <w:pPr>
              <w:jc w:val="right"/>
              <w:rPr>
                <w:rFonts w:ascii="宋体"/>
              </w:rPr>
            </w:pPr>
          </w:p>
        </w:tc>
      </w:tr>
    </w:tbl>
    <w:p w14:paraId="7DD01F17" w14:textId="77777777" w:rsidR="00C1563E" w:rsidRDefault="000B648B">
      <w:r>
        <w:rPr>
          <w:rFonts w:ascii="Times New Roman" w:eastAsia="宋体" w:hAnsi="Times New Roman"/>
          <w:color w:val="000000"/>
          <w:sz w:val="20"/>
          <w:szCs w:val="20"/>
        </w:rPr>
        <w:t>____________________</w:t>
      </w:r>
    </w:p>
    <w:p w14:paraId="7DD01F18" w14:textId="77777777" w:rsidR="00C1563E" w:rsidRDefault="000B648B">
      <w:pPr>
        <w:ind w:hanging="360"/>
      </w:pPr>
      <w:r>
        <w:rPr>
          <w:rFonts w:ascii="Times New Roman" w:eastAsia="宋体" w:hAnsi="Times New Roman"/>
          <w:color w:val="000000"/>
          <w:sz w:val="20"/>
          <w:szCs w:val="20"/>
        </w:rPr>
        <w:t xml:space="preserve">(a)    Gain on strategic investments, net includes a $396 million net gain on the fair value adjustment of one of the Company’s strategic </w:t>
      </w:r>
      <w:r>
        <w:rPr>
          <w:rFonts w:ascii="Times New Roman" w:eastAsia="宋体" w:hAnsi="Times New Roman"/>
          <w:color w:val="000000"/>
          <w:sz w:val="20"/>
          <w:szCs w:val="20"/>
        </w:rPr>
        <w:t>investments during the fiscal year ended January 29, 2021.</w:t>
      </w:r>
    </w:p>
    <w:p w14:paraId="7DD01F19" w14:textId="77777777" w:rsidR="00C1563E" w:rsidRDefault="000B648B">
      <w:pPr>
        <w:ind w:hanging="360"/>
      </w:pPr>
      <w:r>
        <w:rPr>
          <w:rFonts w:ascii="Times New Roman" w:eastAsia="宋体" w:hAnsi="Times New Roman"/>
          <w:color w:val="000000"/>
          <w:sz w:val="20"/>
          <w:szCs w:val="20"/>
        </w:rPr>
        <w:t>(b) Other includes a pre-tax gain of $338 million on the sale of RSA Security and a gain of $120 million recognized from the sale of certain intellectual property assets during the fiscal year ende</w:t>
      </w:r>
      <w:r>
        <w:rPr>
          <w:rFonts w:ascii="Times New Roman" w:eastAsia="宋体" w:hAnsi="Times New Roman"/>
          <w:color w:val="000000"/>
          <w:sz w:val="20"/>
          <w:szCs w:val="20"/>
        </w:rPr>
        <w:t>d January 29, 2021.</w:t>
      </w:r>
    </w:p>
    <w:p w14:paraId="7DD01F1A" w14:textId="77777777" w:rsidR="00C1563E" w:rsidRDefault="00C1563E">
      <w:pPr>
        <w:jc w:val="center"/>
      </w:pPr>
    </w:p>
    <w:p w14:paraId="7DD01F1B" w14:textId="77777777" w:rsidR="00C1563E" w:rsidRDefault="000B648B">
      <w:pPr>
        <w:jc w:val="center"/>
      </w:pPr>
      <w:r>
        <w:rPr>
          <w:rFonts w:ascii="Times New Roman" w:eastAsia="宋体" w:hAnsi="Times New Roman"/>
          <w:color w:val="000000"/>
          <w:sz w:val="20"/>
          <w:szCs w:val="20"/>
        </w:rPr>
        <w:t>164</w:t>
      </w:r>
    </w:p>
    <w:p w14:paraId="7DD01F1C" w14:textId="77777777" w:rsidR="00C1563E" w:rsidRDefault="00C1563E">
      <w:pPr>
        <w:jc w:val="center"/>
      </w:pPr>
    </w:p>
    <w:p w14:paraId="7DD01F1D" w14:textId="77777777" w:rsidR="00C1563E" w:rsidRDefault="000B648B">
      <w:r>
        <w:pict w14:anchorId="7DD0260E">
          <v:rect id="_x0000_i1188" style="width:415.3pt;height:1.5pt" o:hralign="center" o:hrstd="t" o:hr="t" fillcolor="#a0a0a0" stroked="f"/>
        </w:pict>
      </w:r>
    </w:p>
    <w:p w14:paraId="7DD01F1E" w14:textId="77777777" w:rsidR="00C1563E" w:rsidRDefault="000B648B">
      <w:hyperlink r:id="rId347" w:anchor="i418e32e4a35149ffbf7d3a25d66881b8_10" w:history="1">
        <w:r>
          <w:rPr>
            <w:rStyle w:val="a5"/>
            <w:rFonts w:ascii="Times New Roman" w:eastAsia="宋体" w:hAnsi="Times New Roman"/>
            <w:sz w:val="20"/>
            <w:szCs w:val="20"/>
          </w:rPr>
          <w:t>Table of Contents</w:t>
        </w:r>
      </w:hyperlink>
    </w:p>
    <w:p w14:paraId="7DD01F1F" w14:textId="77777777" w:rsidR="00C1563E" w:rsidRDefault="000B648B">
      <w:r>
        <w:rPr>
          <w:rFonts w:ascii="Times New Roman" w:eastAsia="宋体" w:hAnsi="Times New Roman"/>
          <w:b/>
          <w:bCs/>
          <w:color w:val="000000"/>
          <w:sz w:val="20"/>
          <w:szCs w:val="20"/>
        </w:rPr>
        <w:t>NOTE 21 —</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CONDENSED FINANCIAL INFORMATION OF </w:t>
      </w:r>
      <w:r>
        <w:rPr>
          <w:rFonts w:ascii="Times New Roman" w:eastAsia="宋体" w:hAnsi="Times New Roman"/>
          <w:b/>
          <w:bCs/>
          <w:color w:val="000000"/>
          <w:sz w:val="20"/>
          <w:szCs w:val="20"/>
        </w:rPr>
        <w:t>PARENT COMPANY</w:t>
      </w:r>
      <w:r>
        <w:rPr>
          <w:rFonts w:ascii="Times New Roman" w:eastAsia="宋体" w:hAnsi="Times New Roman"/>
          <w:color w:val="000000"/>
          <w:sz w:val="20"/>
          <w:szCs w:val="20"/>
        </w:rPr>
        <w:t xml:space="preserve"> </w:t>
      </w:r>
    </w:p>
    <w:p w14:paraId="7DD01F20" w14:textId="77777777" w:rsidR="00C1563E" w:rsidRDefault="00C1563E"/>
    <w:p w14:paraId="7DD01F21" w14:textId="77777777" w:rsidR="00C1563E" w:rsidRDefault="000B648B">
      <w:r>
        <w:rPr>
          <w:rFonts w:ascii="Times New Roman" w:eastAsia="宋体" w:hAnsi="Times New Roman"/>
          <w:color w:val="000000"/>
          <w:sz w:val="20"/>
          <w:szCs w:val="20"/>
        </w:rPr>
        <w:t>Dell Technologies Inc. has no material assets or standalone operations other than its ownership in its consolidated subsidiaries. There are restrictions under credit agreements and indentures governing the First Lien Notes and the Senior N</w:t>
      </w:r>
      <w:r>
        <w:rPr>
          <w:rFonts w:ascii="Times New Roman" w:eastAsia="宋体" w:hAnsi="Times New Roman"/>
          <w:color w:val="000000"/>
          <w:sz w:val="20"/>
          <w:szCs w:val="20"/>
        </w:rPr>
        <w:t xml:space="preserve">otes, described in Note 6 of the Notes to the Consolidated Financial Statements, on the Company’s ability to obtain funds from any of its subsidiaries through dividends, loans, or advances. </w:t>
      </w:r>
      <w:r>
        <w:rPr>
          <w:rFonts w:ascii="Times New Roman" w:eastAsia="宋体" w:hAnsi="Times New Roman"/>
          <w:color w:val="000000"/>
          <w:sz w:val="20"/>
          <w:szCs w:val="20"/>
          <w:shd w:val="clear" w:color="auto" w:fill="FFFFFF"/>
        </w:rPr>
        <w:t xml:space="preserve">As of </w:t>
      </w:r>
      <w:r>
        <w:rPr>
          <w:rFonts w:ascii="Times New Roman" w:eastAsia="宋体" w:hAnsi="Times New Roman"/>
          <w:color w:val="000000"/>
          <w:sz w:val="20"/>
          <w:szCs w:val="20"/>
        </w:rPr>
        <w:t>January 29, 2021</w:t>
      </w:r>
      <w:r>
        <w:rPr>
          <w:rFonts w:ascii="Times New Roman" w:eastAsia="宋体" w:hAnsi="Times New Roman"/>
          <w:color w:val="000000"/>
          <w:sz w:val="20"/>
          <w:szCs w:val="20"/>
          <w:shd w:val="clear" w:color="auto" w:fill="FFFFFF"/>
        </w:rPr>
        <w:t>, the Company had certain consolidated subsi</w:t>
      </w:r>
      <w:r>
        <w:rPr>
          <w:rFonts w:ascii="Times New Roman" w:eastAsia="宋体" w:hAnsi="Times New Roman"/>
          <w:color w:val="000000"/>
          <w:sz w:val="20"/>
          <w:szCs w:val="20"/>
          <w:shd w:val="clear" w:color="auto" w:fill="FFFFFF"/>
        </w:rPr>
        <w:t xml:space="preserve">diaries that were designated as unrestricted subsidiaries for all purposes of the applicable credit agreements and such indentures. As of </w:t>
      </w:r>
      <w:r>
        <w:rPr>
          <w:rFonts w:ascii="Times New Roman" w:eastAsia="宋体" w:hAnsi="Times New Roman"/>
          <w:color w:val="000000"/>
          <w:sz w:val="20"/>
          <w:szCs w:val="20"/>
        </w:rPr>
        <w:t>January 29, 2021</w:t>
      </w:r>
      <w:r>
        <w:rPr>
          <w:rFonts w:ascii="Times New Roman" w:eastAsia="宋体" w:hAnsi="Times New Roman"/>
          <w:color w:val="000000"/>
          <w:sz w:val="20"/>
          <w:szCs w:val="20"/>
          <w:shd w:val="clear" w:color="auto" w:fill="FFFFFF"/>
        </w:rPr>
        <w:t>, substantially all of the net assets of the Company’s consolidated subsidiaries were restricted, with</w:t>
      </w:r>
      <w:r>
        <w:rPr>
          <w:rFonts w:ascii="Times New Roman" w:eastAsia="宋体" w:hAnsi="Times New Roman"/>
          <w:color w:val="000000"/>
          <w:sz w:val="20"/>
          <w:szCs w:val="20"/>
          <w:shd w:val="clear" w:color="auto" w:fill="FFFFFF"/>
        </w:rPr>
        <w:t xml:space="preserve"> the exception of the Company’s unrestricted subsidiaries, primarily VMware, Inc., Secureworks, and their respective subsidiaries. </w:t>
      </w:r>
      <w:r>
        <w:rPr>
          <w:rFonts w:ascii="Times New Roman" w:eastAsia="宋体" w:hAnsi="Times New Roman"/>
          <w:color w:val="000000"/>
          <w:sz w:val="20"/>
          <w:szCs w:val="20"/>
        </w:rPr>
        <w:t>Accordingly, this condensed financial information is presented on a “Parent-only” basis. Under a Parent-only presentation, De</w:t>
      </w:r>
      <w:r>
        <w:rPr>
          <w:rFonts w:ascii="Times New Roman" w:eastAsia="宋体" w:hAnsi="Times New Roman"/>
          <w:color w:val="000000"/>
          <w:sz w:val="20"/>
          <w:szCs w:val="20"/>
        </w:rPr>
        <w:t>ll Technologies Inc.’s investments in its consolidated subsidiaries are presented under the equity method of accounting.</w:t>
      </w:r>
    </w:p>
    <w:p w14:paraId="7DD01F22" w14:textId="77777777" w:rsidR="00C1563E" w:rsidRDefault="00C1563E"/>
    <w:p w14:paraId="7DD01F23" w14:textId="77777777" w:rsidR="00C1563E" w:rsidRDefault="000B648B">
      <w:pPr>
        <w:spacing w:after="120"/>
      </w:pPr>
      <w:r>
        <w:rPr>
          <w:rFonts w:ascii="Times New Roman" w:eastAsia="宋体" w:hAnsi="Times New Roman"/>
          <w:color w:val="000000"/>
          <w:sz w:val="20"/>
          <w:szCs w:val="20"/>
        </w:rPr>
        <w:t>The following table presents the financial position of Dell Technologies Inc. (Parent)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443"/>
        <w:gridCol w:w="41"/>
        <w:gridCol w:w="121"/>
        <w:gridCol w:w="1193"/>
        <w:gridCol w:w="36"/>
        <w:gridCol w:w="36"/>
        <w:gridCol w:w="36"/>
        <w:gridCol w:w="36"/>
        <w:gridCol w:w="121"/>
        <w:gridCol w:w="1194"/>
        <w:gridCol w:w="36"/>
      </w:tblGrid>
      <w:tr w:rsidR="00C1563E" w14:paraId="7DD01F30" w14:textId="77777777">
        <w:trPr>
          <w:jc w:val="center"/>
        </w:trPr>
        <w:tc>
          <w:tcPr>
            <w:tcW w:w="50" w:type="pct"/>
            <w:shd w:val="clear" w:color="auto" w:fill="auto"/>
          </w:tcPr>
          <w:p w14:paraId="7DD01F24" w14:textId="77777777" w:rsidR="00C1563E" w:rsidRDefault="00C1563E">
            <w:pPr>
              <w:rPr>
                <w:rFonts w:ascii="宋体"/>
              </w:rPr>
            </w:pPr>
          </w:p>
        </w:tc>
        <w:tc>
          <w:tcPr>
            <w:tcW w:w="3307" w:type="pct"/>
            <w:shd w:val="clear" w:color="auto" w:fill="auto"/>
          </w:tcPr>
          <w:p w14:paraId="7DD01F25" w14:textId="77777777" w:rsidR="00C1563E" w:rsidRDefault="00C1563E">
            <w:pPr>
              <w:rPr>
                <w:rFonts w:ascii="宋体"/>
              </w:rPr>
            </w:pPr>
          </w:p>
        </w:tc>
        <w:tc>
          <w:tcPr>
            <w:tcW w:w="5" w:type="pct"/>
            <w:shd w:val="clear" w:color="auto" w:fill="auto"/>
          </w:tcPr>
          <w:p w14:paraId="7DD01F26" w14:textId="77777777" w:rsidR="00C1563E" w:rsidRDefault="00C1563E">
            <w:pPr>
              <w:rPr>
                <w:rFonts w:ascii="宋体"/>
              </w:rPr>
            </w:pPr>
          </w:p>
        </w:tc>
        <w:tc>
          <w:tcPr>
            <w:tcW w:w="50" w:type="pct"/>
            <w:shd w:val="clear" w:color="auto" w:fill="auto"/>
          </w:tcPr>
          <w:p w14:paraId="7DD01F27" w14:textId="77777777" w:rsidR="00C1563E" w:rsidRDefault="00C1563E">
            <w:pPr>
              <w:rPr>
                <w:rFonts w:ascii="宋体"/>
              </w:rPr>
            </w:pPr>
          </w:p>
        </w:tc>
        <w:tc>
          <w:tcPr>
            <w:tcW w:w="749" w:type="pct"/>
            <w:shd w:val="clear" w:color="auto" w:fill="auto"/>
          </w:tcPr>
          <w:p w14:paraId="7DD01F28" w14:textId="77777777" w:rsidR="00C1563E" w:rsidRDefault="00C1563E">
            <w:pPr>
              <w:rPr>
                <w:rFonts w:ascii="宋体"/>
              </w:rPr>
            </w:pPr>
          </w:p>
        </w:tc>
        <w:tc>
          <w:tcPr>
            <w:tcW w:w="5" w:type="pct"/>
            <w:shd w:val="clear" w:color="auto" w:fill="auto"/>
          </w:tcPr>
          <w:p w14:paraId="7DD01F29" w14:textId="77777777" w:rsidR="00C1563E" w:rsidRDefault="00C1563E">
            <w:pPr>
              <w:rPr>
                <w:rFonts w:ascii="宋体"/>
              </w:rPr>
            </w:pPr>
          </w:p>
        </w:tc>
        <w:tc>
          <w:tcPr>
            <w:tcW w:w="5" w:type="pct"/>
            <w:shd w:val="clear" w:color="auto" w:fill="auto"/>
          </w:tcPr>
          <w:p w14:paraId="7DD01F2A" w14:textId="77777777" w:rsidR="00C1563E" w:rsidRDefault="00C1563E">
            <w:pPr>
              <w:rPr>
                <w:rFonts w:ascii="宋体"/>
              </w:rPr>
            </w:pPr>
          </w:p>
        </w:tc>
        <w:tc>
          <w:tcPr>
            <w:tcW w:w="19" w:type="pct"/>
            <w:shd w:val="clear" w:color="auto" w:fill="auto"/>
          </w:tcPr>
          <w:p w14:paraId="7DD01F2B" w14:textId="77777777" w:rsidR="00C1563E" w:rsidRDefault="00C1563E">
            <w:pPr>
              <w:rPr>
                <w:rFonts w:ascii="宋体"/>
              </w:rPr>
            </w:pPr>
          </w:p>
        </w:tc>
        <w:tc>
          <w:tcPr>
            <w:tcW w:w="5" w:type="pct"/>
            <w:shd w:val="clear" w:color="auto" w:fill="auto"/>
          </w:tcPr>
          <w:p w14:paraId="7DD01F2C" w14:textId="77777777" w:rsidR="00C1563E" w:rsidRDefault="00C1563E">
            <w:pPr>
              <w:rPr>
                <w:rFonts w:ascii="宋体"/>
              </w:rPr>
            </w:pPr>
          </w:p>
        </w:tc>
        <w:tc>
          <w:tcPr>
            <w:tcW w:w="50" w:type="pct"/>
            <w:shd w:val="clear" w:color="auto" w:fill="auto"/>
          </w:tcPr>
          <w:p w14:paraId="7DD01F2D" w14:textId="77777777" w:rsidR="00C1563E" w:rsidRDefault="00C1563E">
            <w:pPr>
              <w:rPr>
                <w:rFonts w:ascii="宋体"/>
              </w:rPr>
            </w:pPr>
          </w:p>
        </w:tc>
        <w:tc>
          <w:tcPr>
            <w:tcW w:w="749" w:type="pct"/>
            <w:shd w:val="clear" w:color="auto" w:fill="auto"/>
          </w:tcPr>
          <w:p w14:paraId="7DD01F2E" w14:textId="77777777" w:rsidR="00C1563E" w:rsidRDefault="00C1563E">
            <w:pPr>
              <w:rPr>
                <w:rFonts w:ascii="宋体"/>
              </w:rPr>
            </w:pPr>
          </w:p>
        </w:tc>
        <w:tc>
          <w:tcPr>
            <w:tcW w:w="5" w:type="pct"/>
            <w:shd w:val="clear" w:color="auto" w:fill="auto"/>
          </w:tcPr>
          <w:p w14:paraId="7DD01F2F" w14:textId="77777777" w:rsidR="00C1563E" w:rsidRDefault="00C1563E">
            <w:pPr>
              <w:rPr>
                <w:rFonts w:ascii="宋体"/>
              </w:rPr>
            </w:pPr>
          </w:p>
        </w:tc>
      </w:tr>
      <w:tr w:rsidR="00C1563E" w14:paraId="7DD01F35" w14:textId="77777777">
        <w:trPr>
          <w:jc w:val="center"/>
        </w:trPr>
        <w:tc>
          <w:tcPr>
            <w:tcW w:w="0" w:type="auto"/>
            <w:gridSpan w:val="3"/>
            <w:shd w:val="clear" w:color="auto" w:fill="auto"/>
            <w:tcMar>
              <w:top w:w="0" w:type="dxa"/>
              <w:left w:w="20" w:type="dxa"/>
              <w:bottom w:w="0" w:type="dxa"/>
              <w:right w:w="20" w:type="dxa"/>
            </w:tcMar>
          </w:tcPr>
          <w:p w14:paraId="7DD01F3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1F32"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tcMar>
              <w:top w:w="0" w:type="dxa"/>
              <w:left w:w="20" w:type="dxa"/>
              <w:bottom w:w="0" w:type="dxa"/>
              <w:right w:w="20" w:type="dxa"/>
            </w:tcMar>
          </w:tcPr>
          <w:p w14:paraId="7DD01F33" w14:textId="77777777" w:rsidR="00C1563E" w:rsidRDefault="00C1563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DD01F34" w14:textId="77777777" w:rsidR="00C1563E" w:rsidRDefault="000B648B">
            <w:pPr>
              <w:jc w:val="center"/>
              <w:textAlignment w:val="bottom"/>
            </w:pPr>
            <w:r>
              <w:rPr>
                <w:rFonts w:ascii="Times New Roman" w:eastAsia="宋体" w:hAnsi="Times New Roman"/>
                <w:b/>
                <w:bCs/>
                <w:color w:val="000000"/>
                <w:sz w:val="20"/>
                <w:szCs w:val="20"/>
              </w:rPr>
              <w:t>January 31, 2020</w:t>
            </w:r>
          </w:p>
        </w:tc>
      </w:tr>
      <w:tr w:rsidR="00C1563E" w14:paraId="7DD01F38" w14:textId="77777777">
        <w:trPr>
          <w:jc w:val="center"/>
        </w:trPr>
        <w:tc>
          <w:tcPr>
            <w:tcW w:w="0" w:type="auto"/>
            <w:gridSpan w:val="3"/>
            <w:shd w:val="clear" w:color="auto" w:fill="auto"/>
            <w:tcMar>
              <w:top w:w="0" w:type="dxa"/>
              <w:left w:w="20" w:type="dxa"/>
              <w:bottom w:w="0" w:type="dxa"/>
              <w:right w:w="20" w:type="dxa"/>
            </w:tcMar>
          </w:tcPr>
          <w:p w14:paraId="7DD01F36" w14:textId="77777777" w:rsidR="00C1563E" w:rsidRDefault="00C1563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DD01F37"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F3D" w14:textId="77777777">
        <w:trPr>
          <w:jc w:val="center"/>
        </w:trPr>
        <w:tc>
          <w:tcPr>
            <w:tcW w:w="0" w:type="auto"/>
            <w:gridSpan w:val="3"/>
            <w:shd w:val="clear" w:color="auto" w:fill="CCEEFF"/>
            <w:tcMar>
              <w:top w:w="40" w:type="dxa"/>
              <w:left w:w="20" w:type="dxa"/>
              <w:bottom w:w="40" w:type="dxa"/>
              <w:right w:w="20" w:type="dxa"/>
            </w:tcMar>
            <w:vAlign w:val="bottom"/>
          </w:tcPr>
          <w:p w14:paraId="7DD01F39" w14:textId="77777777" w:rsidR="00C1563E" w:rsidRDefault="000B648B">
            <w:pPr>
              <w:textAlignment w:val="bottom"/>
            </w:pPr>
            <w:r>
              <w:rPr>
                <w:rFonts w:ascii="Times New Roman" w:eastAsia="宋体" w:hAnsi="Times New Roman"/>
                <w:i/>
                <w:iCs/>
                <w:color w:val="000000"/>
                <w:sz w:val="20"/>
                <w:szCs w:val="20"/>
              </w:rPr>
              <w:t>Assets:</w:t>
            </w:r>
          </w:p>
        </w:tc>
        <w:tc>
          <w:tcPr>
            <w:tcW w:w="0" w:type="auto"/>
            <w:gridSpan w:val="3"/>
            <w:shd w:val="clear" w:color="auto" w:fill="CCEEFF"/>
            <w:tcMar>
              <w:top w:w="0" w:type="dxa"/>
              <w:left w:w="20" w:type="dxa"/>
              <w:bottom w:w="0" w:type="dxa"/>
              <w:right w:w="20" w:type="dxa"/>
            </w:tcMar>
          </w:tcPr>
          <w:p w14:paraId="7DD01F3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F3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F3C" w14:textId="77777777" w:rsidR="00C1563E" w:rsidRDefault="00C1563E">
            <w:pPr>
              <w:rPr>
                <w:rFonts w:ascii="宋体"/>
              </w:rPr>
            </w:pPr>
          </w:p>
        </w:tc>
      </w:tr>
      <w:tr w:rsidR="00C1563E" w14:paraId="7DD01F46" w14:textId="77777777">
        <w:trPr>
          <w:jc w:val="center"/>
        </w:trPr>
        <w:tc>
          <w:tcPr>
            <w:tcW w:w="0" w:type="auto"/>
            <w:gridSpan w:val="3"/>
            <w:shd w:val="clear" w:color="auto" w:fill="FFFFFF"/>
            <w:tcMar>
              <w:top w:w="40" w:type="dxa"/>
              <w:left w:w="20" w:type="dxa"/>
              <w:bottom w:w="40" w:type="dxa"/>
              <w:right w:w="20" w:type="dxa"/>
            </w:tcMar>
            <w:vAlign w:val="bottom"/>
          </w:tcPr>
          <w:p w14:paraId="7DD01F3E" w14:textId="77777777" w:rsidR="00C1563E" w:rsidRDefault="000B648B">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DD01F3F"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F40" w14:textId="77777777" w:rsidR="00C1563E" w:rsidRDefault="000B648B">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DD01F4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42"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F43"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F4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F45" w14:textId="77777777" w:rsidR="00C1563E" w:rsidRDefault="00C1563E">
            <w:pPr>
              <w:jc w:val="right"/>
              <w:rPr>
                <w:rFonts w:ascii="宋体"/>
              </w:rPr>
            </w:pPr>
          </w:p>
        </w:tc>
      </w:tr>
      <w:tr w:rsidR="00C1563E" w14:paraId="7DD01F4B" w14:textId="77777777">
        <w:trPr>
          <w:jc w:val="center"/>
          <w:hidden/>
        </w:trPr>
        <w:tc>
          <w:tcPr>
            <w:tcW w:w="0" w:type="auto"/>
            <w:gridSpan w:val="3"/>
            <w:shd w:val="clear" w:color="auto" w:fill="auto"/>
          </w:tcPr>
          <w:p w14:paraId="7DD01F47" w14:textId="77777777" w:rsidR="00C1563E" w:rsidRDefault="00C1563E">
            <w:pPr>
              <w:rPr>
                <w:rFonts w:ascii="宋体"/>
                <w:vanish/>
              </w:rPr>
            </w:pPr>
          </w:p>
        </w:tc>
        <w:tc>
          <w:tcPr>
            <w:tcW w:w="0" w:type="auto"/>
            <w:gridSpan w:val="3"/>
            <w:shd w:val="clear" w:color="auto" w:fill="auto"/>
          </w:tcPr>
          <w:p w14:paraId="7DD01F48" w14:textId="77777777" w:rsidR="00C1563E" w:rsidRDefault="00C1563E">
            <w:pPr>
              <w:rPr>
                <w:rFonts w:ascii="宋体"/>
                <w:vanish/>
              </w:rPr>
            </w:pPr>
          </w:p>
        </w:tc>
        <w:tc>
          <w:tcPr>
            <w:tcW w:w="0" w:type="auto"/>
            <w:gridSpan w:val="3"/>
            <w:shd w:val="clear" w:color="auto" w:fill="auto"/>
          </w:tcPr>
          <w:p w14:paraId="7DD01F49" w14:textId="77777777" w:rsidR="00C1563E" w:rsidRDefault="00C1563E">
            <w:pPr>
              <w:rPr>
                <w:rFonts w:ascii="宋体"/>
                <w:vanish/>
              </w:rPr>
            </w:pPr>
          </w:p>
        </w:tc>
        <w:tc>
          <w:tcPr>
            <w:tcW w:w="0" w:type="auto"/>
            <w:gridSpan w:val="3"/>
            <w:shd w:val="clear" w:color="auto" w:fill="auto"/>
          </w:tcPr>
          <w:p w14:paraId="7DD01F4A" w14:textId="77777777" w:rsidR="00C1563E" w:rsidRDefault="00C1563E">
            <w:pPr>
              <w:rPr>
                <w:rFonts w:ascii="宋体"/>
                <w:vanish/>
              </w:rPr>
            </w:pPr>
          </w:p>
        </w:tc>
      </w:tr>
      <w:tr w:rsidR="00C1563E" w14:paraId="7DD01F52" w14:textId="77777777">
        <w:trPr>
          <w:jc w:val="center"/>
        </w:trPr>
        <w:tc>
          <w:tcPr>
            <w:tcW w:w="0" w:type="auto"/>
            <w:gridSpan w:val="3"/>
            <w:shd w:val="clear" w:color="auto" w:fill="CCEEFF"/>
            <w:tcMar>
              <w:top w:w="40" w:type="dxa"/>
              <w:left w:w="20" w:type="dxa"/>
              <w:bottom w:w="40" w:type="dxa"/>
              <w:right w:w="20" w:type="dxa"/>
            </w:tcMar>
            <w:vAlign w:val="bottom"/>
          </w:tcPr>
          <w:p w14:paraId="7DD01F4C" w14:textId="77777777" w:rsidR="00C1563E" w:rsidRDefault="000B648B">
            <w:pPr>
              <w:textAlignment w:val="bottom"/>
            </w:pPr>
            <w:r>
              <w:rPr>
                <w:rFonts w:ascii="Times New Roman" w:eastAsia="宋体" w:hAnsi="Times New Roman"/>
                <w:color w:val="000000"/>
                <w:sz w:val="20"/>
                <w:szCs w:val="20"/>
              </w:rPr>
              <w:t>Investments in subsidiaries</w:t>
            </w:r>
          </w:p>
        </w:tc>
        <w:tc>
          <w:tcPr>
            <w:tcW w:w="0" w:type="auto"/>
            <w:gridSpan w:val="2"/>
            <w:shd w:val="clear" w:color="auto" w:fill="CCEEFF"/>
            <w:tcMar>
              <w:top w:w="40" w:type="dxa"/>
              <w:left w:w="20" w:type="dxa"/>
              <w:bottom w:w="40" w:type="dxa"/>
              <w:right w:w="0" w:type="dxa"/>
            </w:tcMar>
            <w:vAlign w:val="bottom"/>
          </w:tcPr>
          <w:p w14:paraId="7DD01F4D" w14:textId="77777777" w:rsidR="00C1563E" w:rsidRDefault="000B648B">
            <w:pPr>
              <w:jc w:val="right"/>
              <w:textAlignment w:val="bottom"/>
            </w:pPr>
            <w:r>
              <w:rPr>
                <w:rFonts w:ascii="Times New Roman" w:eastAsia="宋体" w:hAnsi="Times New Roman"/>
                <w:color w:val="000000"/>
                <w:sz w:val="20"/>
                <w:szCs w:val="20"/>
              </w:rPr>
              <w:t>2,950 </w:t>
            </w:r>
          </w:p>
        </w:tc>
        <w:tc>
          <w:tcPr>
            <w:tcW w:w="0" w:type="auto"/>
            <w:shd w:val="clear" w:color="auto" w:fill="CCEEFF"/>
            <w:tcMar>
              <w:top w:w="40" w:type="dxa"/>
              <w:left w:w="0" w:type="dxa"/>
              <w:bottom w:w="40" w:type="dxa"/>
              <w:right w:w="20" w:type="dxa"/>
            </w:tcMar>
            <w:vAlign w:val="bottom"/>
          </w:tcPr>
          <w:p w14:paraId="7DD01F4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4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F50"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F51" w14:textId="77777777" w:rsidR="00C1563E" w:rsidRDefault="00C1563E">
            <w:pPr>
              <w:jc w:val="right"/>
              <w:rPr>
                <w:rFonts w:ascii="宋体"/>
              </w:rPr>
            </w:pPr>
          </w:p>
        </w:tc>
      </w:tr>
      <w:tr w:rsidR="00C1563E" w14:paraId="7DD01F57" w14:textId="77777777">
        <w:trPr>
          <w:jc w:val="center"/>
          <w:hidden/>
        </w:trPr>
        <w:tc>
          <w:tcPr>
            <w:tcW w:w="0" w:type="auto"/>
            <w:gridSpan w:val="3"/>
            <w:shd w:val="clear" w:color="auto" w:fill="auto"/>
          </w:tcPr>
          <w:p w14:paraId="7DD01F53" w14:textId="77777777" w:rsidR="00C1563E" w:rsidRDefault="00C1563E">
            <w:pPr>
              <w:rPr>
                <w:rFonts w:ascii="宋体"/>
                <w:vanish/>
              </w:rPr>
            </w:pPr>
          </w:p>
        </w:tc>
        <w:tc>
          <w:tcPr>
            <w:tcW w:w="0" w:type="auto"/>
            <w:gridSpan w:val="3"/>
            <w:shd w:val="clear" w:color="auto" w:fill="auto"/>
          </w:tcPr>
          <w:p w14:paraId="7DD01F54" w14:textId="77777777" w:rsidR="00C1563E" w:rsidRDefault="00C1563E">
            <w:pPr>
              <w:rPr>
                <w:rFonts w:ascii="宋体"/>
                <w:vanish/>
              </w:rPr>
            </w:pPr>
          </w:p>
        </w:tc>
        <w:tc>
          <w:tcPr>
            <w:tcW w:w="0" w:type="auto"/>
            <w:gridSpan w:val="3"/>
            <w:shd w:val="clear" w:color="auto" w:fill="auto"/>
          </w:tcPr>
          <w:p w14:paraId="7DD01F55" w14:textId="77777777" w:rsidR="00C1563E" w:rsidRDefault="00C1563E">
            <w:pPr>
              <w:rPr>
                <w:rFonts w:ascii="宋体"/>
                <w:vanish/>
              </w:rPr>
            </w:pPr>
          </w:p>
        </w:tc>
        <w:tc>
          <w:tcPr>
            <w:tcW w:w="0" w:type="auto"/>
            <w:gridSpan w:val="3"/>
            <w:shd w:val="clear" w:color="auto" w:fill="auto"/>
          </w:tcPr>
          <w:p w14:paraId="7DD01F56" w14:textId="77777777" w:rsidR="00C1563E" w:rsidRDefault="00C1563E">
            <w:pPr>
              <w:rPr>
                <w:rFonts w:ascii="宋体"/>
                <w:vanish/>
              </w:rPr>
            </w:pPr>
          </w:p>
        </w:tc>
      </w:tr>
      <w:tr w:rsidR="00C1563E" w14:paraId="7DD01F60" w14:textId="77777777">
        <w:trPr>
          <w:jc w:val="center"/>
        </w:trPr>
        <w:tc>
          <w:tcPr>
            <w:tcW w:w="0" w:type="auto"/>
            <w:gridSpan w:val="3"/>
            <w:shd w:val="clear" w:color="auto" w:fill="FFFFFF"/>
            <w:tcMar>
              <w:top w:w="40" w:type="dxa"/>
              <w:left w:w="155" w:type="dxa"/>
              <w:bottom w:w="40" w:type="dxa"/>
              <w:right w:w="20" w:type="dxa"/>
            </w:tcMar>
            <w:vAlign w:val="bottom"/>
          </w:tcPr>
          <w:p w14:paraId="7DD01F58" w14:textId="77777777" w:rsidR="00C1563E" w:rsidRDefault="000B648B">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1F59"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F5A" w14:textId="77777777" w:rsidR="00C1563E" w:rsidRDefault="000B648B">
            <w:pPr>
              <w:jc w:val="right"/>
              <w:textAlignment w:val="bottom"/>
            </w:pPr>
            <w:r>
              <w:rPr>
                <w:rFonts w:ascii="Times New Roman" w:eastAsia="宋体" w:hAnsi="Times New Roman"/>
                <w:color w:val="000000"/>
                <w:sz w:val="20"/>
                <w:szCs w:val="20"/>
              </w:rPr>
              <w:t>2,951 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F5B"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5C"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1F5D"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1F5E"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F5F" w14:textId="77777777" w:rsidR="00C1563E" w:rsidRDefault="00C1563E">
            <w:pPr>
              <w:jc w:val="right"/>
              <w:rPr>
                <w:rFonts w:ascii="宋体"/>
              </w:rPr>
            </w:pPr>
          </w:p>
        </w:tc>
      </w:tr>
      <w:tr w:rsidR="00C1563E" w14:paraId="7DD01F65" w14:textId="77777777">
        <w:trPr>
          <w:jc w:val="center"/>
        </w:trPr>
        <w:tc>
          <w:tcPr>
            <w:tcW w:w="0" w:type="auto"/>
            <w:gridSpan w:val="3"/>
            <w:shd w:val="clear" w:color="auto" w:fill="CCEEFF"/>
            <w:tcMar>
              <w:top w:w="40" w:type="dxa"/>
              <w:left w:w="20" w:type="dxa"/>
              <w:bottom w:w="40" w:type="dxa"/>
              <w:right w:w="20" w:type="dxa"/>
            </w:tcMar>
            <w:vAlign w:val="bottom"/>
          </w:tcPr>
          <w:p w14:paraId="7DD01F61" w14:textId="77777777" w:rsidR="00C1563E" w:rsidRDefault="000B648B">
            <w:pPr>
              <w:textAlignment w:val="bottom"/>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tcPr>
          <w:p w14:paraId="7DD01F62"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1F63"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1F64" w14:textId="77777777" w:rsidR="00C1563E" w:rsidRDefault="00C1563E">
            <w:pPr>
              <w:rPr>
                <w:rFonts w:ascii="宋体"/>
              </w:rPr>
            </w:pPr>
          </w:p>
        </w:tc>
      </w:tr>
      <w:tr w:rsidR="00C1563E" w14:paraId="7DD01F6E" w14:textId="77777777">
        <w:trPr>
          <w:jc w:val="center"/>
        </w:trPr>
        <w:tc>
          <w:tcPr>
            <w:tcW w:w="0" w:type="auto"/>
            <w:gridSpan w:val="3"/>
            <w:shd w:val="clear" w:color="auto" w:fill="FFFFFF"/>
            <w:tcMar>
              <w:top w:w="40" w:type="dxa"/>
              <w:left w:w="20" w:type="dxa"/>
              <w:bottom w:w="40" w:type="dxa"/>
              <w:right w:w="20" w:type="dxa"/>
            </w:tcMar>
            <w:vAlign w:val="bottom"/>
          </w:tcPr>
          <w:p w14:paraId="7DD01F66" w14:textId="77777777" w:rsidR="00C1563E" w:rsidRDefault="000B648B">
            <w:pPr>
              <w:textAlignment w:val="bottom"/>
            </w:pPr>
            <w:r>
              <w:rPr>
                <w:rFonts w:ascii="Times New Roman" w:eastAsia="宋体" w:hAnsi="Times New Roman"/>
                <w:color w:val="000000"/>
                <w:sz w:val="20"/>
                <w:szCs w:val="20"/>
              </w:rPr>
              <w:t>Short-term debt</w:t>
            </w:r>
          </w:p>
        </w:tc>
        <w:tc>
          <w:tcPr>
            <w:tcW w:w="0" w:type="auto"/>
            <w:shd w:val="clear" w:color="auto" w:fill="FFFFFF"/>
            <w:tcMar>
              <w:top w:w="40" w:type="dxa"/>
              <w:left w:w="20" w:type="dxa"/>
              <w:bottom w:w="40" w:type="dxa"/>
              <w:right w:w="0" w:type="dxa"/>
            </w:tcMar>
            <w:vAlign w:val="bottom"/>
          </w:tcPr>
          <w:p w14:paraId="7DD01F67"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F6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F6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6A" w14:textId="77777777" w:rsidR="00C1563E" w:rsidRDefault="00C1563E">
            <w:pPr>
              <w:rPr>
                <w:rFonts w:ascii="宋体"/>
              </w:rPr>
            </w:pPr>
          </w:p>
        </w:tc>
        <w:tc>
          <w:tcPr>
            <w:tcW w:w="0" w:type="auto"/>
            <w:shd w:val="clear" w:color="auto" w:fill="FFFFFF"/>
            <w:tcMar>
              <w:top w:w="40" w:type="dxa"/>
              <w:left w:w="20" w:type="dxa"/>
              <w:bottom w:w="40" w:type="dxa"/>
              <w:right w:w="0" w:type="dxa"/>
            </w:tcMar>
            <w:vAlign w:val="bottom"/>
          </w:tcPr>
          <w:p w14:paraId="7DD01F6B"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DD01F6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1F6D" w14:textId="77777777" w:rsidR="00C1563E" w:rsidRDefault="00C1563E">
            <w:pPr>
              <w:jc w:val="right"/>
              <w:rPr>
                <w:rFonts w:ascii="宋体"/>
              </w:rPr>
            </w:pPr>
          </w:p>
        </w:tc>
      </w:tr>
      <w:tr w:rsidR="00C1563E" w14:paraId="7DD01F73" w14:textId="77777777">
        <w:trPr>
          <w:jc w:val="center"/>
          <w:hidden/>
        </w:trPr>
        <w:tc>
          <w:tcPr>
            <w:tcW w:w="0" w:type="auto"/>
            <w:gridSpan w:val="3"/>
            <w:shd w:val="clear" w:color="auto" w:fill="auto"/>
          </w:tcPr>
          <w:p w14:paraId="7DD01F6F" w14:textId="77777777" w:rsidR="00C1563E" w:rsidRDefault="00C1563E">
            <w:pPr>
              <w:rPr>
                <w:rFonts w:ascii="宋体"/>
                <w:vanish/>
              </w:rPr>
            </w:pPr>
          </w:p>
        </w:tc>
        <w:tc>
          <w:tcPr>
            <w:tcW w:w="0" w:type="auto"/>
            <w:gridSpan w:val="3"/>
            <w:shd w:val="clear" w:color="auto" w:fill="auto"/>
          </w:tcPr>
          <w:p w14:paraId="7DD01F70" w14:textId="77777777" w:rsidR="00C1563E" w:rsidRDefault="00C1563E">
            <w:pPr>
              <w:rPr>
                <w:rFonts w:ascii="宋体"/>
                <w:vanish/>
              </w:rPr>
            </w:pPr>
          </w:p>
        </w:tc>
        <w:tc>
          <w:tcPr>
            <w:tcW w:w="0" w:type="auto"/>
            <w:gridSpan w:val="3"/>
            <w:shd w:val="clear" w:color="auto" w:fill="auto"/>
          </w:tcPr>
          <w:p w14:paraId="7DD01F71" w14:textId="77777777" w:rsidR="00C1563E" w:rsidRDefault="00C1563E">
            <w:pPr>
              <w:rPr>
                <w:rFonts w:ascii="宋体"/>
                <w:vanish/>
              </w:rPr>
            </w:pPr>
          </w:p>
        </w:tc>
        <w:tc>
          <w:tcPr>
            <w:tcW w:w="0" w:type="auto"/>
            <w:gridSpan w:val="3"/>
            <w:shd w:val="clear" w:color="auto" w:fill="auto"/>
          </w:tcPr>
          <w:p w14:paraId="7DD01F72" w14:textId="77777777" w:rsidR="00C1563E" w:rsidRDefault="00C1563E">
            <w:pPr>
              <w:rPr>
                <w:rFonts w:ascii="宋体"/>
                <w:vanish/>
              </w:rPr>
            </w:pPr>
          </w:p>
        </w:tc>
      </w:tr>
      <w:tr w:rsidR="00C1563E" w14:paraId="7DD01F78" w14:textId="77777777">
        <w:trPr>
          <w:jc w:val="center"/>
          <w:hidden/>
        </w:trPr>
        <w:tc>
          <w:tcPr>
            <w:tcW w:w="0" w:type="auto"/>
            <w:gridSpan w:val="3"/>
            <w:shd w:val="clear" w:color="auto" w:fill="auto"/>
          </w:tcPr>
          <w:p w14:paraId="7DD01F74" w14:textId="77777777" w:rsidR="00C1563E" w:rsidRDefault="00C1563E">
            <w:pPr>
              <w:rPr>
                <w:rFonts w:ascii="宋体"/>
                <w:vanish/>
              </w:rPr>
            </w:pPr>
          </w:p>
        </w:tc>
        <w:tc>
          <w:tcPr>
            <w:tcW w:w="0" w:type="auto"/>
            <w:gridSpan w:val="3"/>
            <w:shd w:val="clear" w:color="auto" w:fill="auto"/>
          </w:tcPr>
          <w:p w14:paraId="7DD01F75" w14:textId="77777777" w:rsidR="00C1563E" w:rsidRDefault="00C1563E">
            <w:pPr>
              <w:rPr>
                <w:rFonts w:ascii="宋体"/>
                <w:vanish/>
              </w:rPr>
            </w:pPr>
          </w:p>
        </w:tc>
        <w:tc>
          <w:tcPr>
            <w:tcW w:w="0" w:type="auto"/>
            <w:gridSpan w:val="3"/>
            <w:shd w:val="clear" w:color="auto" w:fill="auto"/>
          </w:tcPr>
          <w:p w14:paraId="7DD01F76" w14:textId="77777777" w:rsidR="00C1563E" w:rsidRDefault="00C1563E">
            <w:pPr>
              <w:rPr>
                <w:rFonts w:ascii="宋体"/>
                <w:vanish/>
              </w:rPr>
            </w:pPr>
          </w:p>
        </w:tc>
        <w:tc>
          <w:tcPr>
            <w:tcW w:w="0" w:type="auto"/>
            <w:gridSpan w:val="3"/>
            <w:shd w:val="clear" w:color="auto" w:fill="auto"/>
          </w:tcPr>
          <w:p w14:paraId="7DD01F77" w14:textId="77777777" w:rsidR="00C1563E" w:rsidRDefault="00C1563E">
            <w:pPr>
              <w:rPr>
                <w:rFonts w:ascii="宋体"/>
                <w:vanish/>
              </w:rPr>
            </w:pPr>
          </w:p>
        </w:tc>
      </w:tr>
      <w:tr w:rsidR="00C1563E" w14:paraId="7DD01F7F" w14:textId="77777777">
        <w:trPr>
          <w:jc w:val="center"/>
        </w:trPr>
        <w:tc>
          <w:tcPr>
            <w:tcW w:w="0" w:type="auto"/>
            <w:gridSpan w:val="3"/>
            <w:shd w:val="clear" w:color="auto" w:fill="CCEEFF"/>
            <w:tcMar>
              <w:top w:w="40" w:type="dxa"/>
              <w:left w:w="20" w:type="dxa"/>
              <w:bottom w:w="40" w:type="dxa"/>
              <w:right w:w="20" w:type="dxa"/>
            </w:tcMar>
            <w:vAlign w:val="bottom"/>
          </w:tcPr>
          <w:p w14:paraId="7DD01F79" w14:textId="77777777" w:rsidR="00C1563E" w:rsidRDefault="000B648B">
            <w:pPr>
              <w:textAlignment w:val="bottom"/>
            </w:pPr>
            <w:r>
              <w:rPr>
                <w:rFonts w:ascii="Times New Roman" w:eastAsia="宋体" w:hAnsi="Times New Roman"/>
                <w:color w:val="000000"/>
                <w:sz w:val="20"/>
                <w:szCs w:val="20"/>
              </w:rPr>
              <w:t>Guarantees of subsidiary obligations (a)</w:t>
            </w:r>
          </w:p>
        </w:tc>
        <w:tc>
          <w:tcPr>
            <w:tcW w:w="0" w:type="auto"/>
            <w:gridSpan w:val="2"/>
            <w:shd w:val="clear" w:color="auto" w:fill="CCEEFF"/>
            <w:tcMar>
              <w:top w:w="40" w:type="dxa"/>
              <w:left w:w="20" w:type="dxa"/>
              <w:bottom w:w="40" w:type="dxa"/>
              <w:right w:w="0" w:type="dxa"/>
            </w:tcMar>
            <w:vAlign w:val="bottom"/>
          </w:tcPr>
          <w:p w14:paraId="7DD01F7A"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1F7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7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F7D" w14:textId="77777777" w:rsidR="00C1563E" w:rsidRDefault="000B648B">
            <w:pPr>
              <w:jc w:val="right"/>
              <w:textAlignment w:val="bottom"/>
            </w:pPr>
            <w:r>
              <w:rPr>
                <w:rFonts w:ascii="Times New Roman" w:eastAsia="宋体" w:hAnsi="Times New Roman"/>
                <w:color w:val="000000"/>
                <w:sz w:val="20"/>
                <w:szCs w:val="20"/>
              </w:rPr>
              <w:t>945 </w:t>
            </w:r>
          </w:p>
        </w:tc>
        <w:tc>
          <w:tcPr>
            <w:tcW w:w="0" w:type="auto"/>
            <w:shd w:val="clear" w:color="auto" w:fill="CCEEFF"/>
            <w:tcMar>
              <w:top w:w="40" w:type="dxa"/>
              <w:left w:w="0" w:type="dxa"/>
              <w:bottom w:w="40" w:type="dxa"/>
              <w:right w:w="20" w:type="dxa"/>
            </w:tcMar>
            <w:vAlign w:val="bottom"/>
          </w:tcPr>
          <w:p w14:paraId="7DD01F7E" w14:textId="77777777" w:rsidR="00C1563E" w:rsidRDefault="00C1563E">
            <w:pPr>
              <w:jc w:val="right"/>
              <w:rPr>
                <w:rFonts w:ascii="宋体"/>
              </w:rPr>
            </w:pPr>
          </w:p>
        </w:tc>
      </w:tr>
      <w:tr w:rsidR="00C1563E" w14:paraId="7DD01F86" w14:textId="77777777">
        <w:trPr>
          <w:jc w:val="center"/>
        </w:trPr>
        <w:tc>
          <w:tcPr>
            <w:tcW w:w="0" w:type="auto"/>
            <w:gridSpan w:val="3"/>
            <w:shd w:val="clear" w:color="auto" w:fill="FFFFFF"/>
            <w:tcMar>
              <w:top w:w="40" w:type="dxa"/>
              <w:left w:w="155" w:type="dxa"/>
              <w:bottom w:w="40" w:type="dxa"/>
              <w:right w:w="20" w:type="dxa"/>
            </w:tcMar>
            <w:vAlign w:val="bottom"/>
          </w:tcPr>
          <w:p w14:paraId="7DD01F80" w14:textId="77777777" w:rsidR="00C1563E" w:rsidRDefault="000B648B">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F81"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F8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83"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1F84" w14:textId="77777777" w:rsidR="00C1563E" w:rsidRDefault="000B648B">
            <w:pPr>
              <w:jc w:val="right"/>
              <w:textAlignment w:val="bottom"/>
            </w:pPr>
            <w:r>
              <w:rPr>
                <w:rFonts w:ascii="Times New Roman" w:eastAsia="宋体" w:hAnsi="Times New Roman"/>
                <w:color w:val="000000"/>
                <w:sz w:val="20"/>
                <w:szCs w:val="20"/>
              </w:rPr>
              <w:t>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1F85" w14:textId="77777777" w:rsidR="00C1563E" w:rsidRDefault="00C1563E">
            <w:pPr>
              <w:jc w:val="right"/>
              <w:rPr>
                <w:rFonts w:ascii="宋体"/>
              </w:rPr>
            </w:pPr>
          </w:p>
        </w:tc>
      </w:tr>
      <w:tr w:rsidR="00C1563E" w14:paraId="7DD01F8D" w14:textId="77777777">
        <w:trPr>
          <w:jc w:val="center"/>
        </w:trPr>
        <w:tc>
          <w:tcPr>
            <w:tcW w:w="0" w:type="auto"/>
            <w:gridSpan w:val="3"/>
            <w:shd w:val="clear" w:color="auto" w:fill="CCEEFF"/>
            <w:tcMar>
              <w:top w:w="40" w:type="dxa"/>
              <w:left w:w="20" w:type="dxa"/>
              <w:bottom w:w="40" w:type="dxa"/>
              <w:right w:w="20" w:type="dxa"/>
            </w:tcMar>
            <w:vAlign w:val="bottom"/>
          </w:tcPr>
          <w:p w14:paraId="7DD01F87" w14:textId="77777777" w:rsidR="00C1563E" w:rsidRDefault="000B648B">
            <w:pPr>
              <w:textAlignment w:val="bottom"/>
            </w:pPr>
            <w:r>
              <w:rPr>
                <w:rFonts w:ascii="Times New Roman" w:eastAsia="宋体" w:hAnsi="Times New Roman"/>
                <w:color w:val="000000"/>
                <w:sz w:val="20"/>
                <w:szCs w:val="20"/>
              </w:rPr>
              <w:t>Redeemable shares</w:t>
            </w:r>
          </w:p>
        </w:tc>
        <w:tc>
          <w:tcPr>
            <w:tcW w:w="0" w:type="auto"/>
            <w:gridSpan w:val="2"/>
            <w:shd w:val="clear" w:color="auto" w:fill="CCEEFF"/>
            <w:tcMar>
              <w:top w:w="40" w:type="dxa"/>
              <w:left w:w="20" w:type="dxa"/>
              <w:bottom w:w="40" w:type="dxa"/>
              <w:right w:w="0" w:type="dxa"/>
            </w:tcMar>
            <w:vAlign w:val="bottom"/>
          </w:tcPr>
          <w:p w14:paraId="7DD01F88" w14:textId="77777777" w:rsidR="00C1563E" w:rsidRDefault="000B648B">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7DD01F8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8A"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F8B" w14:textId="77777777" w:rsidR="00C1563E" w:rsidRDefault="000B648B">
            <w:pPr>
              <w:jc w:val="right"/>
              <w:textAlignment w:val="bottom"/>
            </w:pPr>
            <w:r>
              <w:rPr>
                <w:rFonts w:ascii="Times New Roman" w:eastAsia="宋体" w:hAnsi="Times New Roman"/>
                <w:color w:val="000000"/>
                <w:sz w:val="20"/>
                <w:szCs w:val="20"/>
              </w:rPr>
              <w:t>629 </w:t>
            </w:r>
          </w:p>
        </w:tc>
        <w:tc>
          <w:tcPr>
            <w:tcW w:w="0" w:type="auto"/>
            <w:shd w:val="clear" w:color="auto" w:fill="CCEEFF"/>
            <w:tcMar>
              <w:top w:w="40" w:type="dxa"/>
              <w:left w:w="0" w:type="dxa"/>
              <w:bottom w:w="40" w:type="dxa"/>
              <w:right w:w="20" w:type="dxa"/>
            </w:tcMar>
            <w:vAlign w:val="bottom"/>
          </w:tcPr>
          <w:p w14:paraId="7DD01F8C" w14:textId="77777777" w:rsidR="00C1563E" w:rsidRDefault="00C1563E">
            <w:pPr>
              <w:jc w:val="right"/>
              <w:rPr>
                <w:rFonts w:ascii="宋体"/>
              </w:rPr>
            </w:pPr>
          </w:p>
        </w:tc>
      </w:tr>
      <w:tr w:rsidR="00C1563E" w14:paraId="7DD01F92" w14:textId="77777777">
        <w:trPr>
          <w:jc w:val="center"/>
        </w:trPr>
        <w:tc>
          <w:tcPr>
            <w:tcW w:w="0" w:type="auto"/>
            <w:gridSpan w:val="3"/>
            <w:shd w:val="clear" w:color="auto" w:fill="FFFFFF"/>
            <w:tcMar>
              <w:top w:w="40" w:type="dxa"/>
              <w:left w:w="20" w:type="dxa"/>
              <w:bottom w:w="40" w:type="dxa"/>
              <w:right w:w="20" w:type="dxa"/>
            </w:tcMar>
            <w:vAlign w:val="bottom"/>
          </w:tcPr>
          <w:p w14:paraId="7DD01F8E" w14:textId="77777777" w:rsidR="00C1563E" w:rsidRDefault="000B648B">
            <w:pPr>
              <w:textAlignment w:val="bottom"/>
            </w:pPr>
            <w:r>
              <w:rPr>
                <w:rFonts w:ascii="Times New Roman" w:eastAsia="宋体" w:hAnsi="Times New Roman"/>
                <w:i/>
                <w:iCs/>
                <w:color w:val="000000"/>
                <w:sz w:val="20"/>
                <w:szCs w:val="20"/>
              </w:rPr>
              <w:t>Stockholders’ equity (deficit):</w:t>
            </w:r>
          </w:p>
        </w:tc>
        <w:tc>
          <w:tcPr>
            <w:tcW w:w="0" w:type="auto"/>
            <w:gridSpan w:val="3"/>
            <w:shd w:val="clear" w:color="auto" w:fill="FFFFFF"/>
            <w:tcMar>
              <w:top w:w="0" w:type="dxa"/>
              <w:left w:w="20" w:type="dxa"/>
              <w:bottom w:w="0" w:type="dxa"/>
              <w:right w:w="20" w:type="dxa"/>
            </w:tcMar>
          </w:tcPr>
          <w:p w14:paraId="7DD01F8F"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90"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91" w14:textId="77777777" w:rsidR="00C1563E" w:rsidRDefault="00C1563E">
            <w:pPr>
              <w:rPr>
                <w:rFonts w:ascii="宋体"/>
              </w:rPr>
            </w:pPr>
          </w:p>
        </w:tc>
      </w:tr>
      <w:tr w:rsidR="00C1563E" w14:paraId="7DD01F99" w14:textId="77777777">
        <w:trPr>
          <w:jc w:val="center"/>
        </w:trPr>
        <w:tc>
          <w:tcPr>
            <w:tcW w:w="0" w:type="auto"/>
            <w:gridSpan w:val="3"/>
            <w:shd w:val="clear" w:color="auto" w:fill="CCEEFF"/>
            <w:tcMar>
              <w:top w:w="40" w:type="dxa"/>
              <w:left w:w="20" w:type="dxa"/>
              <w:bottom w:w="40" w:type="dxa"/>
              <w:right w:w="20" w:type="dxa"/>
            </w:tcMar>
            <w:vAlign w:val="bottom"/>
          </w:tcPr>
          <w:p w14:paraId="7DD01F93" w14:textId="77777777" w:rsidR="00C1563E" w:rsidRDefault="000B648B">
            <w:pPr>
              <w:textAlignment w:val="bottom"/>
            </w:pPr>
            <w:r>
              <w:rPr>
                <w:rFonts w:ascii="Times New Roman" w:eastAsia="宋体" w:hAnsi="Times New Roman"/>
                <w:color w:val="000000"/>
                <w:sz w:val="20"/>
                <w:szCs w:val="20"/>
              </w:rPr>
              <w:t>Common stock and capital in excess of $0.01 par value</w:t>
            </w:r>
          </w:p>
        </w:tc>
        <w:tc>
          <w:tcPr>
            <w:tcW w:w="0" w:type="auto"/>
            <w:gridSpan w:val="2"/>
            <w:shd w:val="clear" w:color="auto" w:fill="CCEEFF"/>
            <w:tcMar>
              <w:top w:w="40" w:type="dxa"/>
              <w:left w:w="20" w:type="dxa"/>
              <w:bottom w:w="40" w:type="dxa"/>
              <w:right w:w="0" w:type="dxa"/>
            </w:tcMar>
            <w:vAlign w:val="bottom"/>
          </w:tcPr>
          <w:p w14:paraId="7DD01F94" w14:textId="77777777" w:rsidR="00C1563E" w:rsidRDefault="000B648B">
            <w:pPr>
              <w:jc w:val="right"/>
              <w:textAlignment w:val="bottom"/>
            </w:pPr>
            <w:r>
              <w:rPr>
                <w:rFonts w:ascii="Times New Roman" w:eastAsia="宋体" w:hAnsi="Times New Roman"/>
                <w:color w:val="000000"/>
                <w:sz w:val="20"/>
                <w:szCs w:val="20"/>
              </w:rPr>
              <w:t>16,849 </w:t>
            </w:r>
          </w:p>
        </w:tc>
        <w:tc>
          <w:tcPr>
            <w:tcW w:w="0" w:type="auto"/>
            <w:shd w:val="clear" w:color="auto" w:fill="CCEEFF"/>
            <w:tcMar>
              <w:top w:w="40" w:type="dxa"/>
              <w:left w:w="0" w:type="dxa"/>
              <w:bottom w:w="40" w:type="dxa"/>
              <w:right w:w="20" w:type="dxa"/>
            </w:tcMar>
            <w:vAlign w:val="bottom"/>
          </w:tcPr>
          <w:p w14:paraId="7DD01F95"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96"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F97" w14:textId="77777777" w:rsidR="00C1563E" w:rsidRDefault="000B648B">
            <w:pPr>
              <w:jc w:val="right"/>
              <w:textAlignment w:val="bottom"/>
            </w:pPr>
            <w:r>
              <w:rPr>
                <w:rFonts w:ascii="Times New Roman" w:eastAsia="宋体" w:hAnsi="Times New Roman"/>
                <w:color w:val="000000"/>
                <w:sz w:val="20"/>
                <w:szCs w:val="20"/>
              </w:rPr>
              <w:t>16,091 </w:t>
            </w:r>
          </w:p>
        </w:tc>
        <w:tc>
          <w:tcPr>
            <w:tcW w:w="0" w:type="auto"/>
            <w:shd w:val="clear" w:color="auto" w:fill="CCEEFF"/>
            <w:tcMar>
              <w:top w:w="40" w:type="dxa"/>
              <w:left w:w="0" w:type="dxa"/>
              <w:bottom w:w="40" w:type="dxa"/>
              <w:right w:w="20" w:type="dxa"/>
            </w:tcMar>
            <w:vAlign w:val="bottom"/>
          </w:tcPr>
          <w:p w14:paraId="7DD01F98" w14:textId="77777777" w:rsidR="00C1563E" w:rsidRDefault="00C1563E">
            <w:pPr>
              <w:jc w:val="right"/>
              <w:rPr>
                <w:rFonts w:ascii="宋体"/>
              </w:rPr>
            </w:pPr>
          </w:p>
        </w:tc>
      </w:tr>
      <w:tr w:rsidR="00C1563E" w14:paraId="7DD01FA0" w14:textId="77777777">
        <w:trPr>
          <w:jc w:val="center"/>
        </w:trPr>
        <w:tc>
          <w:tcPr>
            <w:tcW w:w="0" w:type="auto"/>
            <w:gridSpan w:val="3"/>
            <w:shd w:val="clear" w:color="auto" w:fill="FFFFFF"/>
            <w:tcMar>
              <w:top w:w="40" w:type="dxa"/>
              <w:left w:w="155" w:type="dxa"/>
              <w:bottom w:w="40" w:type="dxa"/>
              <w:right w:w="20" w:type="dxa"/>
            </w:tcMar>
            <w:vAlign w:val="bottom"/>
          </w:tcPr>
          <w:p w14:paraId="7DD01F9A" w14:textId="77777777" w:rsidR="00C1563E" w:rsidRDefault="000B648B">
            <w:pPr>
              <w:textAlignment w:val="bottom"/>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7DD01F9B" w14:textId="77777777" w:rsidR="00C1563E" w:rsidRDefault="000B648B">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7DD01F9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9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F9E" w14:textId="77777777" w:rsidR="00C1563E" w:rsidRDefault="000B648B">
            <w:pPr>
              <w:jc w:val="right"/>
              <w:textAlignment w:val="bottom"/>
            </w:pPr>
            <w:r>
              <w:rPr>
                <w:rFonts w:ascii="Times New Roman" w:eastAsia="宋体" w:hAnsi="Times New Roman"/>
                <w:color w:val="000000"/>
                <w:sz w:val="20"/>
                <w:szCs w:val="20"/>
              </w:rPr>
              <w:t>(65)</w:t>
            </w:r>
          </w:p>
        </w:tc>
        <w:tc>
          <w:tcPr>
            <w:tcW w:w="0" w:type="auto"/>
            <w:shd w:val="clear" w:color="auto" w:fill="FFFFFF"/>
            <w:tcMar>
              <w:top w:w="40" w:type="dxa"/>
              <w:left w:w="0" w:type="dxa"/>
              <w:bottom w:w="40" w:type="dxa"/>
              <w:right w:w="20" w:type="dxa"/>
            </w:tcMar>
            <w:vAlign w:val="bottom"/>
          </w:tcPr>
          <w:p w14:paraId="7DD01F9F" w14:textId="77777777" w:rsidR="00C1563E" w:rsidRDefault="00C1563E">
            <w:pPr>
              <w:jc w:val="right"/>
              <w:rPr>
                <w:rFonts w:ascii="宋体"/>
              </w:rPr>
            </w:pPr>
          </w:p>
        </w:tc>
      </w:tr>
      <w:tr w:rsidR="00C1563E" w14:paraId="7DD01FA7" w14:textId="77777777">
        <w:trPr>
          <w:jc w:val="center"/>
        </w:trPr>
        <w:tc>
          <w:tcPr>
            <w:tcW w:w="0" w:type="auto"/>
            <w:gridSpan w:val="3"/>
            <w:shd w:val="clear" w:color="auto" w:fill="CCEEFF"/>
            <w:tcMar>
              <w:top w:w="40" w:type="dxa"/>
              <w:left w:w="155" w:type="dxa"/>
              <w:bottom w:w="40" w:type="dxa"/>
              <w:right w:w="20" w:type="dxa"/>
            </w:tcMar>
            <w:vAlign w:val="bottom"/>
          </w:tcPr>
          <w:p w14:paraId="7DD01FA1" w14:textId="77777777" w:rsidR="00C1563E" w:rsidRDefault="000B648B">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7DD01FA2" w14:textId="77777777" w:rsidR="00C1563E" w:rsidRDefault="000B648B">
            <w:pPr>
              <w:jc w:val="right"/>
              <w:textAlignment w:val="bottom"/>
            </w:pPr>
            <w:r>
              <w:rPr>
                <w:rFonts w:ascii="Times New Roman" w:eastAsia="宋体" w:hAnsi="Times New Roman"/>
                <w:color w:val="000000"/>
                <w:sz w:val="20"/>
                <w:szCs w:val="20"/>
              </w:rPr>
              <w:t>(13,751)</w:t>
            </w:r>
          </w:p>
        </w:tc>
        <w:tc>
          <w:tcPr>
            <w:tcW w:w="0" w:type="auto"/>
            <w:shd w:val="clear" w:color="auto" w:fill="CCEEFF"/>
            <w:tcMar>
              <w:top w:w="40" w:type="dxa"/>
              <w:left w:w="0" w:type="dxa"/>
              <w:bottom w:w="40" w:type="dxa"/>
              <w:right w:w="20" w:type="dxa"/>
            </w:tcMar>
            <w:vAlign w:val="bottom"/>
          </w:tcPr>
          <w:p w14:paraId="7DD01FA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A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1FA5" w14:textId="77777777" w:rsidR="00C1563E" w:rsidRDefault="000B648B">
            <w:pPr>
              <w:jc w:val="right"/>
              <w:textAlignment w:val="bottom"/>
            </w:pPr>
            <w:r>
              <w:rPr>
                <w:rFonts w:ascii="Times New Roman" w:eastAsia="宋体" w:hAnsi="Times New Roman"/>
                <w:color w:val="000000"/>
                <w:sz w:val="20"/>
                <w:szCs w:val="20"/>
              </w:rPr>
              <w:t>(16,891)</w:t>
            </w:r>
          </w:p>
        </w:tc>
        <w:tc>
          <w:tcPr>
            <w:tcW w:w="0" w:type="auto"/>
            <w:shd w:val="clear" w:color="auto" w:fill="CCEEFF"/>
            <w:tcMar>
              <w:top w:w="40" w:type="dxa"/>
              <w:left w:w="0" w:type="dxa"/>
              <w:bottom w:w="40" w:type="dxa"/>
              <w:right w:w="20" w:type="dxa"/>
            </w:tcMar>
            <w:vAlign w:val="bottom"/>
          </w:tcPr>
          <w:p w14:paraId="7DD01FA6" w14:textId="77777777" w:rsidR="00C1563E" w:rsidRDefault="00C1563E">
            <w:pPr>
              <w:jc w:val="right"/>
              <w:rPr>
                <w:rFonts w:ascii="宋体"/>
              </w:rPr>
            </w:pPr>
          </w:p>
        </w:tc>
      </w:tr>
      <w:tr w:rsidR="00C1563E" w14:paraId="7DD01FAE" w14:textId="77777777">
        <w:trPr>
          <w:jc w:val="center"/>
        </w:trPr>
        <w:tc>
          <w:tcPr>
            <w:tcW w:w="0" w:type="auto"/>
            <w:gridSpan w:val="3"/>
            <w:shd w:val="clear" w:color="auto" w:fill="FFFFFF"/>
            <w:tcMar>
              <w:top w:w="40" w:type="dxa"/>
              <w:left w:w="155" w:type="dxa"/>
              <w:bottom w:w="40" w:type="dxa"/>
              <w:right w:w="20" w:type="dxa"/>
            </w:tcMar>
            <w:vAlign w:val="bottom"/>
          </w:tcPr>
          <w:p w14:paraId="7DD01FA8" w14:textId="77777777" w:rsidR="00C1563E" w:rsidRDefault="000B648B">
            <w:pPr>
              <w:textAlignment w:val="bottom"/>
            </w:pPr>
            <w:r>
              <w:rPr>
                <w:rFonts w:ascii="Times New Roman" w:eastAsia="宋体" w:hAnsi="Times New Roman"/>
                <w:color w:val="000000"/>
                <w:sz w:val="20"/>
                <w:szCs w:val="20"/>
              </w:rPr>
              <w:t>Accumulated other comprehensive income (loss)</w:t>
            </w:r>
          </w:p>
        </w:tc>
        <w:tc>
          <w:tcPr>
            <w:tcW w:w="0" w:type="auto"/>
            <w:gridSpan w:val="2"/>
            <w:shd w:val="clear" w:color="auto" w:fill="FFFFFF"/>
            <w:tcMar>
              <w:top w:w="40" w:type="dxa"/>
              <w:left w:w="20" w:type="dxa"/>
              <w:bottom w:w="40" w:type="dxa"/>
              <w:right w:w="0" w:type="dxa"/>
            </w:tcMar>
            <w:vAlign w:val="bottom"/>
          </w:tcPr>
          <w:p w14:paraId="7DD01FA9" w14:textId="77777777" w:rsidR="00C1563E" w:rsidRDefault="000B648B">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7DD01FA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A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1FAC" w14:textId="77777777" w:rsidR="00C1563E" w:rsidRDefault="000B648B">
            <w:pPr>
              <w:jc w:val="right"/>
              <w:textAlignment w:val="bottom"/>
            </w:pPr>
            <w:r>
              <w:rPr>
                <w:rFonts w:ascii="Times New Roman" w:eastAsia="宋体" w:hAnsi="Times New Roman"/>
                <w:color w:val="000000"/>
                <w:sz w:val="20"/>
                <w:szCs w:val="20"/>
              </w:rPr>
              <w:t>(709)</w:t>
            </w:r>
          </w:p>
        </w:tc>
        <w:tc>
          <w:tcPr>
            <w:tcW w:w="0" w:type="auto"/>
            <w:shd w:val="clear" w:color="auto" w:fill="FFFFFF"/>
            <w:tcMar>
              <w:top w:w="40" w:type="dxa"/>
              <w:left w:w="0" w:type="dxa"/>
              <w:bottom w:w="40" w:type="dxa"/>
              <w:right w:w="20" w:type="dxa"/>
            </w:tcMar>
            <w:vAlign w:val="bottom"/>
          </w:tcPr>
          <w:p w14:paraId="7DD01FAD" w14:textId="77777777" w:rsidR="00C1563E" w:rsidRDefault="00C1563E">
            <w:pPr>
              <w:jc w:val="right"/>
              <w:rPr>
                <w:rFonts w:ascii="宋体"/>
              </w:rPr>
            </w:pPr>
          </w:p>
        </w:tc>
      </w:tr>
      <w:tr w:rsidR="00C1563E" w14:paraId="7DD01FB5" w14:textId="77777777">
        <w:trPr>
          <w:jc w:val="center"/>
        </w:trPr>
        <w:tc>
          <w:tcPr>
            <w:tcW w:w="0" w:type="auto"/>
            <w:gridSpan w:val="3"/>
            <w:shd w:val="clear" w:color="auto" w:fill="CCEEFF"/>
            <w:tcMar>
              <w:top w:w="40" w:type="dxa"/>
              <w:left w:w="245" w:type="dxa"/>
              <w:bottom w:w="40" w:type="dxa"/>
              <w:right w:w="20" w:type="dxa"/>
            </w:tcMar>
            <w:vAlign w:val="bottom"/>
          </w:tcPr>
          <w:p w14:paraId="7DD01FAF" w14:textId="77777777" w:rsidR="00C1563E" w:rsidRDefault="000B648B">
            <w:pPr>
              <w:textAlignment w:val="bottom"/>
            </w:pPr>
            <w:r>
              <w:rPr>
                <w:rFonts w:ascii="Times New Roman" w:eastAsia="宋体" w:hAnsi="Times New Roman"/>
                <w:color w:val="000000"/>
                <w:sz w:val="20"/>
                <w:szCs w:val="20"/>
              </w:rPr>
              <w:t>Total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FB0" w14:textId="77777777" w:rsidR="00C1563E" w:rsidRDefault="000B648B">
            <w:pPr>
              <w:jc w:val="right"/>
              <w:textAlignment w:val="bottom"/>
            </w:pPr>
            <w:r>
              <w:rPr>
                <w:rFonts w:ascii="Times New Roman" w:eastAsia="宋体" w:hAnsi="Times New Roman"/>
                <w:color w:val="000000"/>
                <w:sz w:val="20"/>
                <w:szCs w:val="20"/>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FB1"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B2"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1FB3" w14:textId="77777777" w:rsidR="00C1563E" w:rsidRDefault="000B648B">
            <w:pPr>
              <w:jc w:val="right"/>
              <w:textAlignment w:val="bottom"/>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1FB4" w14:textId="77777777" w:rsidR="00C1563E" w:rsidRDefault="00C1563E">
            <w:pPr>
              <w:jc w:val="right"/>
              <w:rPr>
                <w:rFonts w:ascii="宋体"/>
              </w:rPr>
            </w:pPr>
          </w:p>
        </w:tc>
      </w:tr>
      <w:tr w:rsidR="00C1563E" w14:paraId="7DD01FBE" w14:textId="77777777">
        <w:trPr>
          <w:jc w:val="center"/>
        </w:trPr>
        <w:tc>
          <w:tcPr>
            <w:tcW w:w="0" w:type="auto"/>
            <w:gridSpan w:val="3"/>
            <w:shd w:val="clear" w:color="auto" w:fill="FFFFFF"/>
            <w:tcMar>
              <w:top w:w="40" w:type="dxa"/>
              <w:left w:w="380" w:type="dxa"/>
              <w:bottom w:w="40" w:type="dxa"/>
              <w:right w:w="20" w:type="dxa"/>
            </w:tcMar>
            <w:vAlign w:val="bottom"/>
          </w:tcPr>
          <w:p w14:paraId="7DD01FB6" w14:textId="77777777" w:rsidR="00C1563E" w:rsidRDefault="000B648B">
            <w:pPr>
              <w:textAlignment w:val="bottom"/>
            </w:pPr>
            <w:r>
              <w:rPr>
                <w:rFonts w:ascii="Times New Roman" w:eastAsia="宋体" w:hAnsi="Times New Roman"/>
                <w:color w:val="000000"/>
                <w:sz w:val="20"/>
                <w:szCs w:val="20"/>
              </w:rPr>
              <w:t>Total liabilities, redeemable shares, and stockholders’ equity (deficit)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FB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FB8" w14:textId="77777777" w:rsidR="00C1563E" w:rsidRDefault="000B648B">
            <w:pPr>
              <w:jc w:val="right"/>
              <w:textAlignment w:val="bottom"/>
            </w:pPr>
            <w:r>
              <w:rPr>
                <w:rFonts w:ascii="Times New Roman" w:eastAsia="宋体" w:hAnsi="Times New Roman"/>
                <w:color w:val="000000"/>
                <w:sz w:val="20"/>
                <w:szCs w:val="20"/>
              </w:rPr>
              <w:t>2,951 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FB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1FBA"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1FB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1FBC"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1FBD" w14:textId="77777777" w:rsidR="00C1563E" w:rsidRDefault="00C1563E">
            <w:pPr>
              <w:jc w:val="right"/>
              <w:rPr>
                <w:rFonts w:ascii="宋体"/>
              </w:rPr>
            </w:pPr>
          </w:p>
        </w:tc>
      </w:tr>
    </w:tbl>
    <w:p w14:paraId="7DD01FBF" w14:textId="77777777" w:rsidR="00C1563E" w:rsidRDefault="000B648B">
      <w:r>
        <w:rPr>
          <w:rFonts w:ascii="Times New Roman" w:eastAsia="宋体" w:hAnsi="Times New Roman"/>
          <w:color w:val="000000"/>
          <w:sz w:val="20"/>
          <w:szCs w:val="20"/>
        </w:rPr>
        <w:t>____________________</w:t>
      </w:r>
    </w:p>
    <w:p w14:paraId="7DD01FC0" w14:textId="77777777" w:rsidR="00C1563E" w:rsidRDefault="000B648B">
      <w:pPr>
        <w:ind w:hanging="360"/>
      </w:pPr>
      <w:r>
        <w:rPr>
          <w:rFonts w:ascii="Times New Roman" w:eastAsia="宋体" w:hAnsi="Times New Roman"/>
          <w:color w:val="000000"/>
          <w:sz w:val="20"/>
          <w:szCs w:val="20"/>
        </w:rPr>
        <w:t xml:space="preserve">(a)    Guarantees of subsidiary obligations represents the capital Dell Technologies Inc. received in excess of the carrying amount of its investments in subsidiaries. </w:t>
      </w:r>
    </w:p>
    <w:p w14:paraId="7DD01FC1" w14:textId="77777777" w:rsidR="00C1563E" w:rsidRDefault="00C1563E">
      <w:pPr>
        <w:ind w:hanging="360"/>
      </w:pPr>
    </w:p>
    <w:p w14:paraId="7DD01FC2" w14:textId="77777777" w:rsidR="00C1563E" w:rsidRDefault="00C1563E"/>
    <w:p w14:paraId="7DD01FC3" w14:textId="77777777" w:rsidR="00C1563E" w:rsidRDefault="00C1563E">
      <w:pPr>
        <w:jc w:val="center"/>
      </w:pPr>
    </w:p>
    <w:p w14:paraId="7DD01FC4" w14:textId="77777777" w:rsidR="00C1563E" w:rsidRDefault="000B648B">
      <w:pPr>
        <w:jc w:val="center"/>
      </w:pPr>
      <w:r>
        <w:rPr>
          <w:rFonts w:ascii="Times New Roman" w:eastAsia="宋体" w:hAnsi="Times New Roman"/>
          <w:color w:val="000000"/>
          <w:sz w:val="20"/>
          <w:szCs w:val="20"/>
        </w:rPr>
        <w:t>165</w:t>
      </w:r>
    </w:p>
    <w:p w14:paraId="7DD01FC5" w14:textId="77777777" w:rsidR="00C1563E" w:rsidRDefault="00C1563E">
      <w:pPr>
        <w:jc w:val="center"/>
      </w:pPr>
    </w:p>
    <w:p w14:paraId="7DD01FC6" w14:textId="77777777" w:rsidR="00C1563E" w:rsidRDefault="000B648B">
      <w:r>
        <w:pict w14:anchorId="7DD0260F">
          <v:rect id="_x0000_i1189" style="width:415.3pt;height:1.5pt" o:hralign="center" o:hrstd="t" o:hr="t" fillcolor="#a0a0a0" stroked="f"/>
        </w:pict>
      </w:r>
    </w:p>
    <w:p w14:paraId="7DD01FC7" w14:textId="77777777" w:rsidR="00C1563E" w:rsidRDefault="000B648B">
      <w:hyperlink r:id="rId348" w:anchor="i418e32e4a35149ffbf7d3a25d66881b8_10" w:history="1">
        <w:r>
          <w:rPr>
            <w:rStyle w:val="a5"/>
            <w:rFonts w:ascii="Times New Roman" w:eastAsia="宋体" w:hAnsi="Times New Roman"/>
            <w:sz w:val="20"/>
            <w:szCs w:val="20"/>
          </w:rPr>
          <w:t>Table of Contents</w:t>
        </w:r>
      </w:hyperlink>
    </w:p>
    <w:p w14:paraId="7DD01FC8" w14:textId="77777777" w:rsidR="00C1563E" w:rsidRDefault="000B648B">
      <w:pPr>
        <w:spacing w:after="120"/>
      </w:pPr>
      <w:r>
        <w:rPr>
          <w:rFonts w:ascii="Times New Roman" w:eastAsia="宋体" w:hAnsi="Times New Roman"/>
          <w:color w:val="000000"/>
          <w:sz w:val="20"/>
          <w:szCs w:val="20"/>
        </w:rPr>
        <w:t xml:space="preserve">The following table presents a reconciliation of the equity in net income (loss) of </w:t>
      </w:r>
      <w:r>
        <w:rPr>
          <w:rFonts w:ascii="Times New Roman" w:eastAsia="宋体" w:hAnsi="Times New Roman"/>
          <w:color w:val="000000"/>
          <w:sz w:val="20"/>
          <w:szCs w:val="20"/>
        </w:rPr>
        <w:t>subsidiaries to the net income (loss) attributable to Dell Technologies Inc., and a reconciliation of consolidated net income (loss) to comprehensive net income (loss) attributable to Dell Technologies Inc.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07"/>
        <w:gridCol w:w="38"/>
        <w:gridCol w:w="121"/>
        <w:gridCol w:w="1192"/>
        <w:gridCol w:w="36"/>
        <w:gridCol w:w="36"/>
        <w:gridCol w:w="36"/>
        <w:gridCol w:w="36"/>
        <w:gridCol w:w="121"/>
        <w:gridCol w:w="1181"/>
        <w:gridCol w:w="36"/>
        <w:gridCol w:w="36"/>
        <w:gridCol w:w="36"/>
        <w:gridCol w:w="36"/>
        <w:gridCol w:w="121"/>
        <w:gridCol w:w="1192"/>
        <w:gridCol w:w="36"/>
      </w:tblGrid>
      <w:tr w:rsidR="00C1563E" w14:paraId="7DD01FDB" w14:textId="77777777">
        <w:trPr>
          <w:jc w:val="center"/>
        </w:trPr>
        <w:tc>
          <w:tcPr>
            <w:tcW w:w="50" w:type="pct"/>
            <w:shd w:val="clear" w:color="auto" w:fill="auto"/>
          </w:tcPr>
          <w:p w14:paraId="7DD01FC9" w14:textId="77777777" w:rsidR="00C1563E" w:rsidRDefault="00C1563E">
            <w:pPr>
              <w:rPr>
                <w:rFonts w:ascii="宋体"/>
              </w:rPr>
            </w:pPr>
          </w:p>
        </w:tc>
        <w:tc>
          <w:tcPr>
            <w:tcW w:w="2459" w:type="pct"/>
            <w:shd w:val="clear" w:color="auto" w:fill="auto"/>
          </w:tcPr>
          <w:p w14:paraId="7DD01FCA" w14:textId="77777777" w:rsidR="00C1563E" w:rsidRDefault="00C1563E">
            <w:pPr>
              <w:rPr>
                <w:rFonts w:ascii="宋体"/>
              </w:rPr>
            </w:pPr>
          </w:p>
        </w:tc>
        <w:tc>
          <w:tcPr>
            <w:tcW w:w="5" w:type="pct"/>
            <w:shd w:val="clear" w:color="auto" w:fill="auto"/>
          </w:tcPr>
          <w:p w14:paraId="7DD01FCB" w14:textId="77777777" w:rsidR="00C1563E" w:rsidRDefault="00C1563E">
            <w:pPr>
              <w:rPr>
                <w:rFonts w:ascii="宋体"/>
              </w:rPr>
            </w:pPr>
          </w:p>
        </w:tc>
        <w:tc>
          <w:tcPr>
            <w:tcW w:w="50" w:type="pct"/>
            <w:shd w:val="clear" w:color="auto" w:fill="auto"/>
          </w:tcPr>
          <w:p w14:paraId="7DD01FCC" w14:textId="77777777" w:rsidR="00C1563E" w:rsidRDefault="00C1563E">
            <w:pPr>
              <w:rPr>
                <w:rFonts w:ascii="宋体"/>
              </w:rPr>
            </w:pPr>
          </w:p>
        </w:tc>
        <w:tc>
          <w:tcPr>
            <w:tcW w:w="756" w:type="pct"/>
            <w:shd w:val="clear" w:color="auto" w:fill="auto"/>
          </w:tcPr>
          <w:p w14:paraId="7DD01FCD" w14:textId="77777777" w:rsidR="00C1563E" w:rsidRDefault="00C1563E">
            <w:pPr>
              <w:rPr>
                <w:rFonts w:ascii="宋体"/>
              </w:rPr>
            </w:pPr>
          </w:p>
        </w:tc>
        <w:tc>
          <w:tcPr>
            <w:tcW w:w="5" w:type="pct"/>
            <w:shd w:val="clear" w:color="auto" w:fill="auto"/>
          </w:tcPr>
          <w:p w14:paraId="7DD01FCE" w14:textId="77777777" w:rsidR="00C1563E" w:rsidRDefault="00C1563E">
            <w:pPr>
              <w:rPr>
                <w:rFonts w:ascii="宋体"/>
              </w:rPr>
            </w:pPr>
          </w:p>
        </w:tc>
        <w:tc>
          <w:tcPr>
            <w:tcW w:w="5" w:type="pct"/>
            <w:shd w:val="clear" w:color="auto" w:fill="auto"/>
          </w:tcPr>
          <w:p w14:paraId="7DD01FCF" w14:textId="77777777" w:rsidR="00C1563E" w:rsidRDefault="00C1563E">
            <w:pPr>
              <w:rPr>
                <w:rFonts w:ascii="宋体"/>
              </w:rPr>
            </w:pPr>
          </w:p>
        </w:tc>
        <w:tc>
          <w:tcPr>
            <w:tcW w:w="19" w:type="pct"/>
            <w:shd w:val="clear" w:color="auto" w:fill="auto"/>
          </w:tcPr>
          <w:p w14:paraId="7DD01FD0" w14:textId="77777777" w:rsidR="00C1563E" w:rsidRDefault="00C1563E">
            <w:pPr>
              <w:rPr>
                <w:rFonts w:ascii="宋体"/>
              </w:rPr>
            </w:pPr>
          </w:p>
        </w:tc>
        <w:tc>
          <w:tcPr>
            <w:tcW w:w="5" w:type="pct"/>
            <w:shd w:val="clear" w:color="auto" w:fill="auto"/>
          </w:tcPr>
          <w:p w14:paraId="7DD01FD1" w14:textId="77777777" w:rsidR="00C1563E" w:rsidRDefault="00C1563E">
            <w:pPr>
              <w:rPr>
                <w:rFonts w:ascii="宋体"/>
              </w:rPr>
            </w:pPr>
          </w:p>
        </w:tc>
        <w:tc>
          <w:tcPr>
            <w:tcW w:w="50" w:type="pct"/>
            <w:shd w:val="clear" w:color="auto" w:fill="auto"/>
          </w:tcPr>
          <w:p w14:paraId="7DD01FD2" w14:textId="77777777" w:rsidR="00C1563E" w:rsidRDefault="00C1563E">
            <w:pPr>
              <w:rPr>
                <w:rFonts w:ascii="宋体"/>
              </w:rPr>
            </w:pPr>
          </w:p>
        </w:tc>
        <w:tc>
          <w:tcPr>
            <w:tcW w:w="749" w:type="pct"/>
            <w:shd w:val="clear" w:color="auto" w:fill="auto"/>
          </w:tcPr>
          <w:p w14:paraId="7DD01FD3" w14:textId="77777777" w:rsidR="00C1563E" w:rsidRDefault="00C1563E">
            <w:pPr>
              <w:rPr>
                <w:rFonts w:ascii="宋体"/>
              </w:rPr>
            </w:pPr>
          </w:p>
        </w:tc>
        <w:tc>
          <w:tcPr>
            <w:tcW w:w="5" w:type="pct"/>
            <w:shd w:val="clear" w:color="auto" w:fill="auto"/>
          </w:tcPr>
          <w:p w14:paraId="7DD01FD4" w14:textId="77777777" w:rsidR="00C1563E" w:rsidRDefault="00C1563E">
            <w:pPr>
              <w:rPr>
                <w:rFonts w:ascii="宋体"/>
              </w:rPr>
            </w:pPr>
          </w:p>
        </w:tc>
        <w:tc>
          <w:tcPr>
            <w:tcW w:w="5" w:type="pct"/>
            <w:shd w:val="clear" w:color="auto" w:fill="auto"/>
          </w:tcPr>
          <w:p w14:paraId="7DD01FD5" w14:textId="77777777" w:rsidR="00C1563E" w:rsidRDefault="00C1563E">
            <w:pPr>
              <w:rPr>
                <w:rFonts w:ascii="宋体"/>
              </w:rPr>
            </w:pPr>
          </w:p>
        </w:tc>
        <w:tc>
          <w:tcPr>
            <w:tcW w:w="19" w:type="pct"/>
            <w:shd w:val="clear" w:color="auto" w:fill="auto"/>
          </w:tcPr>
          <w:p w14:paraId="7DD01FD6" w14:textId="77777777" w:rsidR="00C1563E" w:rsidRDefault="00C1563E">
            <w:pPr>
              <w:rPr>
                <w:rFonts w:ascii="宋体"/>
              </w:rPr>
            </w:pPr>
          </w:p>
        </w:tc>
        <w:tc>
          <w:tcPr>
            <w:tcW w:w="5" w:type="pct"/>
            <w:shd w:val="clear" w:color="auto" w:fill="auto"/>
          </w:tcPr>
          <w:p w14:paraId="7DD01FD7" w14:textId="77777777" w:rsidR="00C1563E" w:rsidRDefault="00C1563E">
            <w:pPr>
              <w:rPr>
                <w:rFonts w:ascii="宋体"/>
              </w:rPr>
            </w:pPr>
          </w:p>
        </w:tc>
        <w:tc>
          <w:tcPr>
            <w:tcW w:w="50" w:type="pct"/>
            <w:shd w:val="clear" w:color="auto" w:fill="auto"/>
          </w:tcPr>
          <w:p w14:paraId="7DD01FD8" w14:textId="77777777" w:rsidR="00C1563E" w:rsidRDefault="00C1563E">
            <w:pPr>
              <w:rPr>
                <w:rFonts w:ascii="宋体"/>
              </w:rPr>
            </w:pPr>
          </w:p>
        </w:tc>
        <w:tc>
          <w:tcPr>
            <w:tcW w:w="756" w:type="pct"/>
            <w:shd w:val="clear" w:color="auto" w:fill="auto"/>
          </w:tcPr>
          <w:p w14:paraId="7DD01FD9" w14:textId="77777777" w:rsidR="00C1563E" w:rsidRDefault="00C1563E">
            <w:pPr>
              <w:rPr>
                <w:rFonts w:ascii="宋体"/>
              </w:rPr>
            </w:pPr>
          </w:p>
        </w:tc>
        <w:tc>
          <w:tcPr>
            <w:tcW w:w="5" w:type="pct"/>
            <w:shd w:val="clear" w:color="auto" w:fill="auto"/>
          </w:tcPr>
          <w:p w14:paraId="7DD01FDA" w14:textId="77777777" w:rsidR="00C1563E" w:rsidRDefault="00C1563E">
            <w:pPr>
              <w:rPr>
                <w:rFonts w:ascii="宋体"/>
              </w:rPr>
            </w:pPr>
          </w:p>
        </w:tc>
      </w:tr>
      <w:tr w:rsidR="00C1563E" w14:paraId="7DD01FDE" w14:textId="77777777">
        <w:trPr>
          <w:jc w:val="center"/>
        </w:trPr>
        <w:tc>
          <w:tcPr>
            <w:tcW w:w="0" w:type="auto"/>
            <w:gridSpan w:val="3"/>
            <w:shd w:val="clear" w:color="auto" w:fill="auto"/>
            <w:tcMar>
              <w:top w:w="0" w:type="dxa"/>
              <w:left w:w="20" w:type="dxa"/>
              <w:bottom w:w="0" w:type="dxa"/>
              <w:right w:w="20" w:type="dxa"/>
            </w:tcMar>
          </w:tcPr>
          <w:p w14:paraId="7DD01FDC"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1FDD"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1FE5" w14:textId="77777777">
        <w:trPr>
          <w:jc w:val="center"/>
        </w:trPr>
        <w:tc>
          <w:tcPr>
            <w:tcW w:w="0" w:type="auto"/>
            <w:gridSpan w:val="3"/>
            <w:shd w:val="clear" w:color="auto" w:fill="auto"/>
            <w:tcMar>
              <w:top w:w="0" w:type="dxa"/>
              <w:left w:w="20" w:type="dxa"/>
              <w:bottom w:w="0" w:type="dxa"/>
              <w:right w:w="20" w:type="dxa"/>
            </w:tcMar>
          </w:tcPr>
          <w:p w14:paraId="7DD01FD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1FE0"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1FE1"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FE2"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1FE3"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1FE4"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1FE8" w14:textId="77777777">
        <w:trPr>
          <w:jc w:val="center"/>
        </w:trPr>
        <w:tc>
          <w:tcPr>
            <w:tcW w:w="0" w:type="auto"/>
            <w:gridSpan w:val="3"/>
            <w:shd w:val="clear" w:color="auto" w:fill="auto"/>
            <w:tcMar>
              <w:top w:w="0" w:type="dxa"/>
              <w:left w:w="20" w:type="dxa"/>
              <w:bottom w:w="0" w:type="dxa"/>
              <w:right w:w="20" w:type="dxa"/>
            </w:tcMar>
          </w:tcPr>
          <w:p w14:paraId="7DD01FE6"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1FE7"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1FF5" w14:textId="77777777">
        <w:trPr>
          <w:jc w:val="center"/>
        </w:trPr>
        <w:tc>
          <w:tcPr>
            <w:tcW w:w="0" w:type="auto"/>
            <w:gridSpan w:val="3"/>
            <w:shd w:val="clear" w:color="auto" w:fill="CCEEFF"/>
            <w:tcMar>
              <w:top w:w="40" w:type="dxa"/>
              <w:left w:w="20" w:type="dxa"/>
              <w:bottom w:w="40" w:type="dxa"/>
              <w:right w:w="20" w:type="dxa"/>
            </w:tcMar>
            <w:vAlign w:val="bottom"/>
          </w:tcPr>
          <w:p w14:paraId="7DD01FE9" w14:textId="77777777" w:rsidR="00C1563E" w:rsidRDefault="000B648B">
            <w:pPr>
              <w:textAlignment w:val="bottom"/>
            </w:pPr>
            <w:r>
              <w:rPr>
                <w:rFonts w:ascii="Times New Roman" w:eastAsia="宋体" w:hAnsi="Times New Roman"/>
                <w:color w:val="000000"/>
                <w:sz w:val="20"/>
                <w:szCs w:val="20"/>
              </w:rPr>
              <w:t>Equity in net income (loss) of subsidiaries attributable to Dell Technologies Inc.</w:t>
            </w:r>
          </w:p>
        </w:tc>
        <w:tc>
          <w:tcPr>
            <w:tcW w:w="0" w:type="auto"/>
            <w:shd w:val="clear" w:color="auto" w:fill="CCEEFF"/>
            <w:tcMar>
              <w:top w:w="40" w:type="dxa"/>
              <w:left w:w="20" w:type="dxa"/>
              <w:bottom w:w="40" w:type="dxa"/>
              <w:right w:w="0" w:type="dxa"/>
            </w:tcMar>
            <w:vAlign w:val="bottom"/>
          </w:tcPr>
          <w:p w14:paraId="7DD01FEA"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FEB" w14:textId="77777777" w:rsidR="00C1563E" w:rsidRDefault="000B648B">
            <w:pPr>
              <w:jc w:val="right"/>
              <w:textAlignment w:val="bottom"/>
            </w:pPr>
            <w:r>
              <w:rPr>
                <w:rFonts w:ascii="Times New Roman" w:eastAsia="宋体" w:hAnsi="Times New Roman"/>
                <w:color w:val="000000"/>
                <w:sz w:val="20"/>
                <w:szCs w:val="20"/>
              </w:rPr>
              <w:t>3,267 </w:t>
            </w:r>
          </w:p>
        </w:tc>
        <w:tc>
          <w:tcPr>
            <w:tcW w:w="0" w:type="auto"/>
            <w:shd w:val="clear" w:color="auto" w:fill="CCEEFF"/>
            <w:tcMar>
              <w:top w:w="40" w:type="dxa"/>
              <w:left w:w="0" w:type="dxa"/>
              <w:bottom w:w="40" w:type="dxa"/>
              <w:right w:w="20" w:type="dxa"/>
            </w:tcMar>
            <w:vAlign w:val="bottom"/>
          </w:tcPr>
          <w:p w14:paraId="7DD01FEC"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ED"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FEE"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FEF" w14:textId="77777777" w:rsidR="00C1563E" w:rsidRDefault="000B648B">
            <w:pPr>
              <w:jc w:val="right"/>
              <w:textAlignment w:val="bottom"/>
            </w:pPr>
            <w:r>
              <w:rPr>
                <w:rFonts w:ascii="Times New Roman" w:eastAsia="宋体" w:hAnsi="Times New Roman"/>
                <w:color w:val="000000"/>
                <w:sz w:val="20"/>
                <w:szCs w:val="20"/>
              </w:rPr>
              <w:t>4,643 </w:t>
            </w:r>
          </w:p>
        </w:tc>
        <w:tc>
          <w:tcPr>
            <w:tcW w:w="0" w:type="auto"/>
            <w:shd w:val="clear" w:color="auto" w:fill="CCEEFF"/>
            <w:tcMar>
              <w:top w:w="40" w:type="dxa"/>
              <w:left w:w="0" w:type="dxa"/>
              <w:bottom w:w="40" w:type="dxa"/>
              <w:right w:w="20" w:type="dxa"/>
            </w:tcMar>
            <w:vAlign w:val="bottom"/>
          </w:tcPr>
          <w:p w14:paraId="7DD01FF0"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1FF1"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1FF2"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1FF3" w14:textId="77777777" w:rsidR="00C1563E" w:rsidRDefault="000B648B">
            <w:pPr>
              <w:jc w:val="right"/>
              <w:textAlignment w:val="bottom"/>
            </w:pPr>
            <w:r>
              <w:rPr>
                <w:rFonts w:ascii="Times New Roman" w:eastAsia="宋体" w:hAnsi="Times New Roman"/>
                <w:color w:val="000000"/>
                <w:sz w:val="20"/>
                <w:szCs w:val="20"/>
              </w:rPr>
              <w:t>(2,042)</w:t>
            </w:r>
          </w:p>
        </w:tc>
        <w:tc>
          <w:tcPr>
            <w:tcW w:w="0" w:type="auto"/>
            <w:shd w:val="clear" w:color="auto" w:fill="CCEEFF"/>
            <w:tcMar>
              <w:top w:w="40" w:type="dxa"/>
              <w:left w:w="0" w:type="dxa"/>
              <w:bottom w:w="40" w:type="dxa"/>
              <w:right w:w="20" w:type="dxa"/>
            </w:tcMar>
            <w:vAlign w:val="bottom"/>
          </w:tcPr>
          <w:p w14:paraId="7DD01FF4" w14:textId="77777777" w:rsidR="00C1563E" w:rsidRDefault="00C1563E">
            <w:pPr>
              <w:jc w:val="right"/>
              <w:rPr>
                <w:rFonts w:ascii="宋体"/>
              </w:rPr>
            </w:pPr>
          </w:p>
        </w:tc>
      </w:tr>
      <w:tr w:rsidR="00C1563E" w14:paraId="7DD01FFC" w14:textId="77777777">
        <w:trPr>
          <w:trHeight w:val="280"/>
          <w:jc w:val="center"/>
        </w:trPr>
        <w:tc>
          <w:tcPr>
            <w:tcW w:w="0" w:type="auto"/>
            <w:gridSpan w:val="3"/>
            <w:shd w:val="clear" w:color="auto" w:fill="FFFFFF"/>
            <w:tcMar>
              <w:top w:w="0" w:type="dxa"/>
              <w:left w:w="20" w:type="dxa"/>
              <w:bottom w:w="0" w:type="dxa"/>
              <w:right w:w="20" w:type="dxa"/>
            </w:tcMar>
          </w:tcPr>
          <w:p w14:paraId="7DD01FF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F7"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F8"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F9"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FA"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1FFB" w14:textId="77777777" w:rsidR="00C1563E" w:rsidRDefault="00C1563E">
            <w:pPr>
              <w:rPr>
                <w:rFonts w:ascii="宋体"/>
              </w:rPr>
            </w:pPr>
          </w:p>
        </w:tc>
      </w:tr>
      <w:tr w:rsidR="00C1563E" w14:paraId="7DD02006" w14:textId="77777777">
        <w:trPr>
          <w:jc w:val="center"/>
        </w:trPr>
        <w:tc>
          <w:tcPr>
            <w:tcW w:w="0" w:type="auto"/>
            <w:gridSpan w:val="3"/>
            <w:shd w:val="clear" w:color="auto" w:fill="CCEEFF"/>
            <w:tcMar>
              <w:top w:w="40" w:type="dxa"/>
              <w:left w:w="20" w:type="dxa"/>
              <w:bottom w:w="40" w:type="dxa"/>
              <w:right w:w="20" w:type="dxa"/>
            </w:tcMar>
            <w:vAlign w:val="bottom"/>
          </w:tcPr>
          <w:p w14:paraId="7DD01FFD" w14:textId="77777777" w:rsidR="00C1563E" w:rsidRDefault="000B648B">
            <w:pPr>
              <w:textAlignment w:val="bottom"/>
            </w:pPr>
            <w:r>
              <w:rPr>
                <w:rFonts w:ascii="Times New Roman" w:eastAsia="宋体" w:hAnsi="Times New Roman"/>
                <w:color w:val="000000"/>
                <w:sz w:val="20"/>
                <w:szCs w:val="20"/>
              </w:rPr>
              <w:t>Parent - Total operating expense (a)</w:t>
            </w:r>
          </w:p>
        </w:tc>
        <w:tc>
          <w:tcPr>
            <w:tcW w:w="0" w:type="auto"/>
            <w:gridSpan w:val="2"/>
            <w:shd w:val="clear" w:color="auto" w:fill="CCEEFF"/>
            <w:tcMar>
              <w:top w:w="40" w:type="dxa"/>
              <w:left w:w="20" w:type="dxa"/>
              <w:bottom w:w="40" w:type="dxa"/>
              <w:right w:w="0" w:type="dxa"/>
            </w:tcMar>
            <w:vAlign w:val="bottom"/>
          </w:tcPr>
          <w:p w14:paraId="7DD01FFE" w14:textId="77777777" w:rsidR="00C1563E" w:rsidRDefault="000B648B">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7DD01FFF"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00"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01" w14:textId="77777777" w:rsidR="00C1563E" w:rsidRDefault="000B648B">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DD02002"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03"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04" w14:textId="77777777" w:rsidR="00C1563E" w:rsidRDefault="000B648B">
            <w:pPr>
              <w:jc w:val="right"/>
              <w:textAlignment w:val="bottom"/>
            </w:pPr>
            <w:r>
              <w:rPr>
                <w:rFonts w:ascii="Times New Roman" w:eastAsia="宋体" w:hAnsi="Times New Roman"/>
                <w:color w:val="000000"/>
                <w:sz w:val="20"/>
                <w:szCs w:val="20"/>
              </w:rPr>
              <w:t>(273)</w:t>
            </w:r>
          </w:p>
        </w:tc>
        <w:tc>
          <w:tcPr>
            <w:tcW w:w="0" w:type="auto"/>
            <w:shd w:val="clear" w:color="auto" w:fill="CCEEFF"/>
            <w:tcMar>
              <w:top w:w="40" w:type="dxa"/>
              <w:left w:w="0" w:type="dxa"/>
              <w:bottom w:w="40" w:type="dxa"/>
              <w:right w:w="20" w:type="dxa"/>
            </w:tcMar>
            <w:vAlign w:val="bottom"/>
          </w:tcPr>
          <w:p w14:paraId="7DD02005" w14:textId="77777777" w:rsidR="00C1563E" w:rsidRDefault="00C1563E">
            <w:pPr>
              <w:jc w:val="right"/>
              <w:rPr>
                <w:rFonts w:ascii="宋体"/>
              </w:rPr>
            </w:pPr>
          </w:p>
        </w:tc>
      </w:tr>
      <w:tr w:rsidR="00C1563E" w14:paraId="7DD02010" w14:textId="77777777">
        <w:trPr>
          <w:jc w:val="center"/>
        </w:trPr>
        <w:tc>
          <w:tcPr>
            <w:tcW w:w="0" w:type="auto"/>
            <w:gridSpan w:val="3"/>
            <w:shd w:val="clear" w:color="auto" w:fill="FFFFFF"/>
            <w:tcMar>
              <w:top w:w="40" w:type="dxa"/>
              <w:left w:w="20" w:type="dxa"/>
              <w:bottom w:w="40" w:type="dxa"/>
              <w:right w:w="20" w:type="dxa"/>
            </w:tcMar>
            <w:vAlign w:val="bottom"/>
          </w:tcPr>
          <w:p w14:paraId="7DD02007" w14:textId="77777777" w:rsidR="00C1563E" w:rsidRDefault="000B648B">
            <w:pPr>
              <w:textAlignment w:val="bottom"/>
            </w:pPr>
            <w:r>
              <w:rPr>
                <w:rFonts w:ascii="Times New Roman" w:eastAsia="宋体" w:hAnsi="Times New Roman"/>
                <w:color w:val="000000"/>
                <w:sz w:val="20"/>
                <w:szCs w:val="20"/>
              </w:rPr>
              <w:t>Parent - Interest and other, net</w:t>
            </w:r>
          </w:p>
        </w:tc>
        <w:tc>
          <w:tcPr>
            <w:tcW w:w="0" w:type="auto"/>
            <w:gridSpan w:val="2"/>
            <w:shd w:val="clear" w:color="auto" w:fill="FFFFFF"/>
            <w:tcMar>
              <w:top w:w="40" w:type="dxa"/>
              <w:left w:w="20" w:type="dxa"/>
              <w:bottom w:w="40" w:type="dxa"/>
              <w:right w:w="0" w:type="dxa"/>
            </w:tcMar>
            <w:vAlign w:val="bottom"/>
          </w:tcPr>
          <w:p w14:paraId="7DD02008"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20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0A"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0B"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200C"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0D"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0E" w14:textId="77777777" w:rsidR="00C1563E" w:rsidRDefault="000B648B">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7DD0200F" w14:textId="77777777" w:rsidR="00C1563E" w:rsidRDefault="00C1563E">
            <w:pPr>
              <w:jc w:val="right"/>
              <w:rPr>
                <w:rFonts w:ascii="宋体"/>
              </w:rPr>
            </w:pPr>
          </w:p>
        </w:tc>
      </w:tr>
      <w:tr w:rsidR="00C1563E" w14:paraId="7DD0201A" w14:textId="77777777">
        <w:trPr>
          <w:jc w:val="center"/>
        </w:trPr>
        <w:tc>
          <w:tcPr>
            <w:tcW w:w="0" w:type="auto"/>
            <w:gridSpan w:val="3"/>
            <w:shd w:val="clear" w:color="auto" w:fill="CCEEFF"/>
            <w:tcMar>
              <w:top w:w="40" w:type="dxa"/>
              <w:left w:w="20" w:type="dxa"/>
              <w:bottom w:w="40" w:type="dxa"/>
              <w:right w:w="20" w:type="dxa"/>
            </w:tcMar>
            <w:vAlign w:val="bottom"/>
          </w:tcPr>
          <w:p w14:paraId="7DD02011" w14:textId="77777777" w:rsidR="00C1563E" w:rsidRDefault="000B648B">
            <w:pPr>
              <w:textAlignment w:val="bottom"/>
            </w:pPr>
            <w:r>
              <w:rPr>
                <w:rFonts w:ascii="Times New Roman" w:eastAsia="宋体" w:hAnsi="Times New Roman"/>
                <w:color w:val="000000"/>
                <w:sz w:val="20"/>
                <w:szCs w:val="20"/>
              </w:rPr>
              <w:t>Parent - Income tax (expense) benefit (a)</w:t>
            </w:r>
          </w:p>
        </w:tc>
        <w:tc>
          <w:tcPr>
            <w:tcW w:w="0" w:type="auto"/>
            <w:gridSpan w:val="2"/>
            <w:shd w:val="clear" w:color="auto" w:fill="CCEEFF"/>
            <w:tcMar>
              <w:top w:w="40" w:type="dxa"/>
              <w:left w:w="20" w:type="dxa"/>
              <w:bottom w:w="40" w:type="dxa"/>
              <w:right w:w="0" w:type="dxa"/>
            </w:tcMar>
            <w:vAlign w:val="bottom"/>
          </w:tcPr>
          <w:p w14:paraId="7DD02012" w14:textId="77777777" w:rsidR="00C1563E" w:rsidRDefault="000B648B">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DD02013"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14"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15" w14:textId="77777777" w:rsidR="00C1563E" w:rsidRDefault="000B648B">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DD0201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17"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18" w14:textId="77777777" w:rsidR="00C1563E" w:rsidRDefault="000B648B">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7DD02019" w14:textId="77777777" w:rsidR="00C1563E" w:rsidRDefault="00C1563E">
            <w:pPr>
              <w:jc w:val="right"/>
              <w:rPr>
                <w:rFonts w:ascii="宋体"/>
              </w:rPr>
            </w:pPr>
          </w:p>
        </w:tc>
      </w:tr>
      <w:tr w:rsidR="00C1563E" w14:paraId="7DD02027" w14:textId="77777777">
        <w:trPr>
          <w:jc w:val="center"/>
        </w:trPr>
        <w:tc>
          <w:tcPr>
            <w:tcW w:w="0" w:type="auto"/>
            <w:gridSpan w:val="3"/>
            <w:shd w:val="clear" w:color="auto" w:fill="FFFFFF"/>
            <w:tcMar>
              <w:top w:w="40" w:type="dxa"/>
              <w:left w:w="245" w:type="dxa"/>
              <w:bottom w:w="40" w:type="dxa"/>
              <w:right w:w="20" w:type="dxa"/>
            </w:tcMar>
            <w:vAlign w:val="bottom"/>
          </w:tcPr>
          <w:p w14:paraId="7DD0201B" w14:textId="77777777" w:rsidR="00C1563E" w:rsidRDefault="000B648B">
            <w:pPr>
              <w:textAlignment w:val="bottom"/>
            </w:pPr>
            <w:r>
              <w:rPr>
                <w:rFonts w:ascii="Times New Roman" w:eastAsia="宋体" w:hAnsi="Times New Roman"/>
                <w:color w:val="000000"/>
                <w:sz w:val="20"/>
                <w:szCs w:val="20"/>
              </w:rPr>
              <w:t xml:space="preserve">Parent - Loss before equity in net income of </w:t>
            </w:r>
            <w:r>
              <w:rPr>
                <w:rFonts w:ascii="Times New Roman" w:eastAsia="宋体" w:hAnsi="Times New Roman"/>
                <w:color w:val="000000"/>
                <w:sz w:val="20"/>
                <w:szCs w:val="20"/>
              </w:rPr>
              <w:t>subsidiaries</w:t>
            </w:r>
          </w:p>
        </w:tc>
        <w:tc>
          <w:tcPr>
            <w:tcW w:w="0" w:type="auto"/>
            <w:tcBorders>
              <w:top w:val="single" w:sz="8" w:space="0" w:color="000000"/>
            </w:tcBorders>
            <w:shd w:val="clear" w:color="auto" w:fill="FFFFFF"/>
            <w:tcMar>
              <w:top w:w="40" w:type="dxa"/>
              <w:left w:w="20" w:type="dxa"/>
              <w:bottom w:w="40" w:type="dxa"/>
              <w:right w:w="0" w:type="dxa"/>
            </w:tcMar>
            <w:vAlign w:val="bottom"/>
          </w:tcPr>
          <w:p w14:paraId="7DD0201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201D" w14:textId="77777777" w:rsidR="00C1563E" w:rsidRDefault="000B648B">
            <w:pPr>
              <w:jc w:val="right"/>
              <w:textAlignment w:val="bottom"/>
            </w:pPr>
            <w:r>
              <w:rPr>
                <w:rFonts w:ascii="Times New Roman" w:eastAsia="宋体" w:hAnsi="Times New Roman"/>
                <w:color w:val="000000"/>
                <w:sz w:val="20"/>
                <w:szCs w:val="20"/>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1E"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1F"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2020"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2021" w14:textId="77777777" w:rsidR="00C1563E" w:rsidRDefault="000B648B">
            <w:pPr>
              <w:jc w:val="right"/>
              <w:textAlignment w:val="bottom"/>
            </w:pPr>
            <w:r>
              <w:rPr>
                <w:rFonts w:ascii="Times New Roman" w:eastAsia="宋体" w:hAnsi="Times New Roman"/>
                <w:color w:val="000000"/>
                <w:sz w:val="20"/>
                <w:szCs w:val="20"/>
              </w:rPr>
              <w:t>(27)</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22"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23" w14:textId="77777777" w:rsidR="00C1563E" w:rsidRDefault="00C1563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DD0202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DD02025" w14:textId="77777777" w:rsidR="00C1563E" w:rsidRDefault="000B648B">
            <w:pPr>
              <w:jc w:val="right"/>
              <w:textAlignment w:val="bottom"/>
            </w:pPr>
            <w:r>
              <w:rPr>
                <w:rFonts w:ascii="Times New Roman" w:eastAsia="宋体" w:hAnsi="Times New Roman"/>
                <w:color w:val="000000"/>
                <w:sz w:val="20"/>
                <w:szCs w:val="20"/>
              </w:rPr>
              <w:t>(268)</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26" w14:textId="77777777" w:rsidR="00C1563E" w:rsidRDefault="00C1563E">
            <w:pPr>
              <w:jc w:val="right"/>
              <w:rPr>
                <w:rFonts w:ascii="宋体"/>
              </w:rPr>
            </w:pPr>
          </w:p>
        </w:tc>
      </w:tr>
      <w:tr w:rsidR="00C1563E" w14:paraId="7DD0202E" w14:textId="77777777">
        <w:trPr>
          <w:trHeight w:val="280"/>
          <w:jc w:val="center"/>
        </w:trPr>
        <w:tc>
          <w:tcPr>
            <w:tcW w:w="0" w:type="auto"/>
            <w:gridSpan w:val="3"/>
            <w:shd w:val="clear" w:color="auto" w:fill="CCEEFF"/>
            <w:tcMar>
              <w:top w:w="0" w:type="dxa"/>
              <w:left w:w="20" w:type="dxa"/>
              <w:bottom w:w="0" w:type="dxa"/>
              <w:right w:w="20" w:type="dxa"/>
            </w:tcMar>
          </w:tcPr>
          <w:p w14:paraId="7DD02028"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202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2A"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202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2C" w14:textId="77777777" w:rsidR="00C1563E" w:rsidRDefault="00C1563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DD0202D" w14:textId="77777777" w:rsidR="00C1563E" w:rsidRDefault="00C1563E">
            <w:pPr>
              <w:rPr>
                <w:rFonts w:ascii="宋体"/>
              </w:rPr>
            </w:pPr>
          </w:p>
        </w:tc>
      </w:tr>
      <w:tr w:rsidR="00C1563E" w14:paraId="7DD02038" w14:textId="77777777">
        <w:trPr>
          <w:jc w:val="center"/>
        </w:trPr>
        <w:tc>
          <w:tcPr>
            <w:tcW w:w="0" w:type="auto"/>
            <w:gridSpan w:val="3"/>
            <w:shd w:val="clear" w:color="auto" w:fill="FFFFFF"/>
            <w:tcMar>
              <w:top w:w="40" w:type="dxa"/>
              <w:left w:w="20" w:type="dxa"/>
              <w:bottom w:w="40" w:type="dxa"/>
              <w:right w:w="20" w:type="dxa"/>
            </w:tcMar>
            <w:vAlign w:val="bottom"/>
          </w:tcPr>
          <w:p w14:paraId="7DD0202F" w14:textId="77777777" w:rsidR="00C1563E" w:rsidRDefault="000B648B">
            <w:pPr>
              <w:textAlignment w:val="bottom"/>
            </w:pPr>
            <w:r>
              <w:rPr>
                <w:rFonts w:ascii="Times New Roman" w:eastAsia="宋体" w:hAnsi="Times New Roman"/>
                <w:color w:val="000000"/>
                <w:sz w:val="20"/>
                <w:szCs w:val="20"/>
              </w:rPr>
              <w:t>Consolidated net income (loss) attributable to Dell Technologies Inc.</w:t>
            </w:r>
          </w:p>
        </w:tc>
        <w:tc>
          <w:tcPr>
            <w:tcW w:w="0" w:type="auto"/>
            <w:gridSpan w:val="2"/>
            <w:shd w:val="clear" w:color="auto" w:fill="FFFFFF"/>
            <w:tcMar>
              <w:top w:w="40" w:type="dxa"/>
              <w:left w:w="20" w:type="dxa"/>
              <w:bottom w:w="40" w:type="dxa"/>
              <w:right w:w="0" w:type="dxa"/>
            </w:tcMar>
            <w:vAlign w:val="bottom"/>
          </w:tcPr>
          <w:p w14:paraId="7DD02030" w14:textId="77777777" w:rsidR="00C1563E" w:rsidRDefault="000B648B">
            <w:pPr>
              <w:jc w:val="right"/>
              <w:textAlignment w:val="bottom"/>
            </w:pPr>
            <w:r>
              <w:rPr>
                <w:rFonts w:ascii="Times New Roman" w:eastAsia="宋体" w:hAnsi="Times New Roman"/>
                <w:color w:val="000000"/>
                <w:sz w:val="20"/>
                <w:szCs w:val="20"/>
              </w:rPr>
              <w:t>3,250 </w:t>
            </w:r>
          </w:p>
        </w:tc>
        <w:tc>
          <w:tcPr>
            <w:tcW w:w="0" w:type="auto"/>
            <w:shd w:val="clear" w:color="auto" w:fill="FFFFFF"/>
            <w:tcMar>
              <w:top w:w="40" w:type="dxa"/>
              <w:left w:w="0" w:type="dxa"/>
              <w:bottom w:w="40" w:type="dxa"/>
              <w:right w:w="20" w:type="dxa"/>
            </w:tcMar>
            <w:vAlign w:val="bottom"/>
          </w:tcPr>
          <w:p w14:paraId="7DD0203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3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33" w14:textId="77777777" w:rsidR="00C1563E" w:rsidRDefault="000B648B">
            <w:pPr>
              <w:jc w:val="right"/>
              <w:textAlignment w:val="bottom"/>
            </w:pPr>
            <w:r>
              <w:rPr>
                <w:rFonts w:ascii="Times New Roman" w:eastAsia="宋体" w:hAnsi="Times New Roman"/>
                <w:color w:val="000000"/>
                <w:sz w:val="20"/>
                <w:szCs w:val="20"/>
              </w:rPr>
              <w:t>4,616 </w:t>
            </w:r>
          </w:p>
        </w:tc>
        <w:tc>
          <w:tcPr>
            <w:tcW w:w="0" w:type="auto"/>
            <w:shd w:val="clear" w:color="auto" w:fill="FFFFFF"/>
            <w:tcMar>
              <w:top w:w="40" w:type="dxa"/>
              <w:left w:w="0" w:type="dxa"/>
              <w:bottom w:w="40" w:type="dxa"/>
              <w:right w:w="20" w:type="dxa"/>
            </w:tcMar>
            <w:vAlign w:val="bottom"/>
          </w:tcPr>
          <w:p w14:paraId="7DD0203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3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36" w14:textId="77777777" w:rsidR="00C1563E" w:rsidRDefault="000B648B">
            <w:pPr>
              <w:jc w:val="right"/>
              <w:textAlignment w:val="bottom"/>
            </w:pPr>
            <w:r>
              <w:rPr>
                <w:rFonts w:ascii="Times New Roman" w:eastAsia="宋体" w:hAnsi="Times New Roman"/>
                <w:color w:val="000000"/>
                <w:sz w:val="20"/>
                <w:szCs w:val="20"/>
              </w:rPr>
              <w:t>(2,310)</w:t>
            </w:r>
          </w:p>
        </w:tc>
        <w:tc>
          <w:tcPr>
            <w:tcW w:w="0" w:type="auto"/>
            <w:shd w:val="clear" w:color="auto" w:fill="FFFFFF"/>
            <w:tcMar>
              <w:top w:w="40" w:type="dxa"/>
              <w:left w:w="0" w:type="dxa"/>
              <w:bottom w:w="40" w:type="dxa"/>
              <w:right w:w="20" w:type="dxa"/>
            </w:tcMar>
            <w:vAlign w:val="bottom"/>
          </w:tcPr>
          <w:p w14:paraId="7DD02037" w14:textId="77777777" w:rsidR="00C1563E" w:rsidRDefault="00C1563E">
            <w:pPr>
              <w:jc w:val="right"/>
              <w:rPr>
                <w:rFonts w:ascii="宋体"/>
              </w:rPr>
            </w:pPr>
          </w:p>
        </w:tc>
      </w:tr>
      <w:tr w:rsidR="00C1563E" w14:paraId="7DD02042" w14:textId="77777777">
        <w:trPr>
          <w:jc w:val="center"/>
        </w:trPr>
        <w:tc>
          <w:tcPr>
            <w:tcW w:w="0" w:type="auto"/>
            <w:gridSpan w:val="3"/>
            <w:shd w:val="clear" w:color="auto" w:fill="CCEEFF"/>
            <w:tcMar>
              <w:top w:w="40" w:type="dxa"/>
              <w:left w:w="20" w:type="dxa"/>
              <w:bottom w:w="40" w:type="dxa"/>
              <w:right w:w="20" w:type="dxa"/>
            </w:tcMar>
            <w:vAlign w:val="bottom"/>
          </w:tcPr>
          <w:p w14:paraId="7DD02039" w14:textId="77777777" w:rsidR="00C1563E" w:rsidRDefault="000B648B">
            <w:pPr>
              <w:textAlignment w:val="bottom"/>
            </w:pPr>
            <w:r>
              <w:rPr>
                <w:rFonts w:ascii="Times New Roman" w:eastAsia="宋体" w:hAnsi="Times New Roman"/>
                <w:color w:val="000000"/>
                <w:sz w:val="20"/>
                <w:szCs w:val="20"/>
              </w:rPr>
              <w:t xml:space="preserve">Other comprehensive income (loss) of subsidiaries </w:t>
            </w:r>
            <w:r>
              <w:rPr>
                <w:rFonts w:ascii="Times New Roman" w:eastAsia="宋体" w:hAnsi="Times New Roman"/>
                <w:color w:val="000000"/>
                <w:sz w:val="20"/>
                <w:szCs w:val="20"/>
              </w:rPr>
              <w:t>attributable to Dell Technologies Inc.</w:t>
            </w:r>
          </w:p>
        </w:tc>
        <w:tc>
          <w:tcPr>
            <w:tcW w:w="0" w:type="auto"/>
            <w:gridSpan w:val="2"/>
            <w:shd w:val="clear" w:color="auto" w:fill="CCEEFF"/>
            <w:tcMar>
              <w:top w:w="40" w:type="dxa"/>
              <w:left w:w="20" w:type="dxa"/>
              <w:bottom w:w="40" w:type="dxa"/>
              <w:right w:w="0" w:type="dxa"/>
            </w:tcMar>
            <w:vAlign w:val="bottom"/>
          </w:tcPr>
          <w:p w14:paraId="7DD0203A" w14:textId="77777777" w:rsidR="00C1563E" w:rsidRDefault="000B648B">
            <w:pPr>
              <w:jc w:val="right"/>
              <w:textAlignment w:val="bottom"/>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bottom"/>
          </w:tcPr>
          <w:p w14:paraId="7DD0203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3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3D" w14:textId="77777777" w:rsidR="00C1563E" w:rsidRDefault="000B648B">
            <w:pPr>
              <w:jc w:val="right"/>
              <w:textAlignment w:val="bottom"/>
            </w:pPr>
            <w:r>
              <w:rPr>
                <w:rFonts w:ascii="Times New Roman" w:eastAsia="宋体" w:hAnsi="Times New Roman"/>
                <w:color w:val="000000"/>
                <w:sz w:val="20"/>
                <w:szCs w:val="20"/>
              </w:rPr>
              <w:t>(242)</w:t>
            </w:r>
          </w:p>
        </w:tc>
        <w:tc>
          <w:tcPr>
            <w:tcW w:w="0" w:type="auto"/>
            <w:shd w:val="clear" w:color="auto" w:fill="CCEEFF"/>
            <w:tcMar>
              <w:top w:w="40" w:type="dxa"/>
              <w:left w:w="0" w:type="dxa"/>
              <w:bottom w:w="40" w:type="dxa"/>
              <w:right w:w="20" w:type="dxa"/>
            </w:tcMar>
            <w:vAlign w:val="bottom"/>
          </w:tcPr>
          <w:p w14:paraId="7DD0203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3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40" w14:textId="77777777" w:rsidR="00C1563E" w:rsidRDefault="000B648B">
            <w:pPr>
              <w:jc w:val="right"/>
              <w:textAlignment w:val="bottom"/>
            </w:pPr>
            <w:r>
              <w:rPr>
                <w:rFonts w:ascii="Times New Roman" w:eastAsia="宋体" w:hAnsi="Times New Roman"/>
                <w:color w:val="000000"/>
                <w:sz w:val="20"/>
                <w:szCs w:val="20"/>
              </w:rPr>
              <w:t>(539)</w:t>
            </w:r>
          </w:p>
        </w:tc>
        <w:tc>
          <w:tcPr>
            <w:tcW w:w="0" w:type="auto"/>
            <w:shd w:val="clear" w:color="auto" w:fill="CCEEFF"/>
            <w:tcMar>
              <w:top w:w="40" w:type="dxa"/>
              <w:left w:w="0" w:type="dxa"/>
              <w:bottom w:w="40" w:type="dxa"/>
              <w:right w:w="20" w:type="dxa"/>
            </w:tcMar>
            <w:vAlign w:val="bottom"/>
          </w:tcPr>
          <w:p w14:paraId="7DD02041" w14:textId="77777777" w:rsidR="00C1563E" w:rsidRDefault="00C1563E">
            <w:pPr>
              <w:jc w:val="right"/>
              <w:rPr>
                <w:rFonts w:ascii="宋体"/>
              </w:rPr>
            </w:pPr>
          </w:p>
        </w:tc>
      </w:tr>
      <w:tr w:rsidR="00C1563E" w14:paraId="7DD0204F" w14:textId="77777777">
        <w:trPr>
          <w:jc w:val="center"/>
        </w:trPr>
        <w:tc>
          <w:tcPr>
            <w:tcW w:w="0" w:type="auto"/>
            <w:gridSpan w:val="3"/>
            <w:shd w:val="clear" w:color="auto" w:fill="FFFFFF"/>
            <w:tcMar>
              <w:top w:w="40" w:type="dxa"/>
              <w:left w:w="20" w:type="dxa"/>
              <w:bottom w:w="40" w:type="dxa"/>
              <w:right w:w="20" w:type="dxa"/>
            </w:tcMar>
            <w:vAlign w:val="bottom"/>
          </w:tcPr>
          <w:p w14:paraId="7DD02043" w14:textId="77777777" w:rsidR="00C1563E" w:rsidRDefault="000B648B">
            <w:pPr>
              <w:textAlignment w:val="bottom"/>
            </w:pPr>
            <w:r>
              <w:rPr>
                <w:rFonts w:ascii="Times New Roman" w:eastAsia="宋体" w:hAnsi="Times New Roman"/>
                <w:color w:val="000000"/>
                <w:sz w:val="20"/>
                <w:szCs w:val="20"/>
              </w:rPr>
              <w:t>Comprehensive income (loss)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044"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045" w14:textId="77777777" w:rsidR="00C1563E" w:rsidRDefault="000B648B">
            <w:pPr>
              <w:jc w:val="right"/>
              <w:textAlignment w:val="bottom"/>
            </w:pPr>
            <w:r>
              <w:rPr>
                <w:rFonts w:ascii="Times New Roman" w:eastAsia="宋体" w:hAnsi="Times New Roman"/>
                <w:color w:val="000000"/>
                <w:sz w:val="20"/>
                <w:szCs w:val="20"/>
              </w:rPr>
              <w:t>3,645 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046"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47"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048"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049" w14:textId="77777777" w:rsidR="00C1563E" w:rsidRDefault="000B648B">
            <w:pPr>
              <w:jc w:val="right"/>
              <w:textAlignment w:val="bottom"/>
            </w:pPr>
            <w:r>
              <w:rPr>
                <w:rFonts w:ascii="Times New Roman" w:eastAsia="宋体" w:hAnsi="Times New Roman"/>
                <w:color w:val="000000"/>
                <w:sz w:val="20"/>
                <w:szCs w:val="20"/>
              </w:rPr>
              <w:t>4,374 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04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4B"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04C"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04D" w14:textId="77777777" w:rsidR="00C1563E" w:rsidRDefault="000B648B">
            <w:pPr>
              <w:jc w:val="right"/>
              <w:textAlignment w:val="bottom"/>
            </w:pPr>
            <w:r>
              <w:rPr>
                <w:rFonts w:ascii="Times New Roman" w:eastAsia="宋体" w:hAnsi="Times New Roman"/>
                <w:color w:val="000000"/>
                <w:sz w:val="20"/>
                <w:szCs w:val="20"/>
              </w:rPr>
              <w:t>(2,849)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04E" w14:textId="77777777" w:rsidR="00C1563E" w:rsidRDefault="00C1563E">
            <w:pPr>
              <w:jc w:val="right"/>
              <w:rPr>
                <w:rFonts w:ascii="宋体"/>
              </w:rPr>
            </w:pPr>
          </w:p>
        </w:tc>
      </w:tr>
    </w:tbl>
    <w:p w14:paraId="7DD02050" w14:textId="77777777" w:rsidR="00C1563E" w:rsidRDefault="000B648B">
      <w:pPr>
        <w:spacing w:before="120"/>
      </w:pPr>
      <w:r>
        <w:rPr>
          <w:rFonts w:ascii="Times New Roman" w:eastAsia="宋体" w:hAnsi="Times New Roman"/>
          <w:color w:val="000000"/>
        </w:rPr>
        <w:t>____________________</w:t>
      </w:r>
    </w:p>
    <w:p w14:paraId="7DD02051" w14:textId="77777777" w:rsidR="00C1563E" w:rsidRDefault="000B648B">
      <w:pPr>
        <w:ind w:hanging="360"/>
      </w:pPr>
      <w:r>
        <w:rPr>
          <w:rFonts w:ascii="Times New Roman" w:eastAsia="宋体" w:hAnsi="Times New Roman"/>
          <w:color w:val="000000"/>
          <w:sz w:val="20"/>
          <w:szCs w:val="20"/>
        </w:rPr>
        <w:t xml:space="preserve">(a)    During the fiscal years ended January 29, 2021, January 31, 2020, and February 1, 2019, the total operating expense and the associated income tax (expense) </w:t>
      </w:r>
      <w:r>
        <w:rPr>
          <w:rFonts w:ascii="Times New Roman" w:eastAsia="宋体" w:hAnsi="Times New Roman"/>
          <w:color w:val="000000"/>
          <w:sz w:val="20"/>
          <w:szCs w:val="20"/>
        </w:rPr>
        <w:t>benefit were primarily related to the costs incurred in the Class V transaction described in Note 1 of the Notes to the Consolidated Financial Statements.</w:t>
      </w:r>
    </w:p>
    <w:p w14:paraId="7DD02052" w14:textId="77777777" w:rsidR="00C1563E" w:rsidRDefault="00C1563E">
      <w:pPr>
        <w:ind w:hanging="360"/>
      </w:pPr>
    </w:p>
    <w:p w14:paraId="7DD02053" w14:textId="77777777" w:rsidR="00C1563E" w:rsidRDefault="000B648B">
      <w:r>
        <w:rPr>
          <w:rFonts w:ascii="Times New Roman" w:eastAsia="宋体" w:hAnsi="Times New Roman"/>
          <w:color w:val="000000"/>
          <w:sz w:val="20"/>
          <w:szCs w:val="20"/>
        </w:rPr>
        <w:t>The following table presents the cash flows of Dell Technologies Inc. (Parent) for the periods indic</w:t>
      </w:r>
      <w:r>
        <w:rPr>
          <w:rFonts w:ascii="Times New Roman" w:eastAsia="宋体" w:hAnsi="Times New Roman"/>
          <w:color w:val="000000"/>
          <w:sz w:val="20"/>
          <w:szCs w:val="20"/>
        </w:rPr>
        <w:t>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32"/>
        <w:gridCol w:w="37"/>
        <w:gridCol w:w="121"/>
        <w:gridCol w:w="1180"/>
        <w:gridCol w:w="36"/>
        <w:gridCol w:w="36"/>
        <w:gridCol w:w="36"/>
        <w:gridCol w:w="36"/>
        <w:gridCol w:w="121"/>
        <w:gridCol w:w="1181"/>
        <w:gridCol w:w="36"/>
        <w:gridCol w:w="36"/>
        <w:gridCol w:w="36"/>
        <w:gridCol w:w="36"/>
        <w:gridCol w:w="121"/>
        <w:gridCol w:w="1181"/>
        <w:gridCol w:w="36"/>
      </w:tblGrid>
      <w:tr w:rsidR="00C1563E" w14:paraId="7DD02066" w14:textId="77777777">
        <w:trPr>
          <w:jc w:val="center"/>
        </w:trPr>
        <w:tc>
          <w:tcPr>
            <w:tcW w:w="50" w:type="pct"/>
            <w:shd w:val="clear" w:color="auto" w:fill="auto"/>
          </w:tcPr>
          <w:p w14:paraId="7DD02054" w14:textId="77777777" w:rsidR="00C1563E" w:rsidRDefault="00C1563E">
            <w:pPr>
              <w:rPr>
                <w:rFonts w:ascii="宋体"/>
              </w:rPr>
            </w:pPr>
          </w:p>
        </w:tc>
        <w:tc>
          <w:tcPr>
            <w:tcW w:w="2474" w:type="pct"/>
            <w:shd w:val="clear" w:color="auto" w:fill="auto"/>
          </w:tcPr>
          <w:p w14:paraId="7DD02055" w14:textId="77777777" w:rsidR="00C1563E" w:rsidRDefault="00C1563E">
            <w:pPr>
              <w:rPr>
                <w:rFonts w:ascii="宋体"/>
              </w:rPr>
            </w:pPr>
          </w:p>
        </w:tc>
        <w:tc>
          <w:tcPr>
            <w:tcW w:w="5" w:type="pct"/>
            <w:shd w:val="clear" w:color="auto" w:fill="auto"/>
          </w:tcPr>
          <w:p w14:paraId="7DD02056" w14:textId="77777777" w:rsidR="00C1563E" w:rsidRDefault="00C1563E">
            <w:pPr>
              <w:rPr>
                <w:rFonts w:ascii="宋体"/>
              </w:rPr>
            </w:pPr>
          </w:p>
        </w:tc>
        <w:tc>
          <w:tcPr>
            <w:tcW w:w="50" w:type="pct"/>
            <w:shd w:val="clear" w:color="auto" w:fill="auto"/>
          </w:tcPr>
          <w:p w14:paraId="7DD02057" w14:textId="77777777" w:rsidR="00C1563E" w:rsidRDefault="00C1563E">
            <w:pPr>
              <w:rPr>
                <w:rFonts w:ascii="宋体"/>
              </w:rPr>
            </w:pPr>
          </w:p>
        </w:tc>
        <w:tc>
          <w:tcPr>
            <w:tcW w:w="749" w:type="pct"/>
            <w:shd w:val="clear" w:color="auto" w:fill="auto"/>
          </w:tcPr>
          <w:p w14:paraId="7DD02058" w14:textId="77777777" w:rsidR="00C1563E" w:rsidRDefault="00C1563E">
            <w:pPr>
              <w:rPr>
                <w:rFonts w:ascii="宋体"/>
              </w:rPr>
            </w:pPr>
          </w:p>
        </w:tc>
        <w:tc>
          <w:tcPr>
            <w:tcW w:w="5" w:type="pct"/>
            <w:shd w:val="clear" w:color="auto" w:fill="auto"/>
          </w:tcPr>
          <w:p w14:paraId="7DD02059" w14:textId="77777777" w:rsidR="00C1563E" w:rsidRDefault="00C1563E">
            <w:pPr>
              <w:rPr>
                <w:rFonts w:ascii="宋体"/>
              </w:rPr>
            </w:pPr>
          </w:p>
        </w:tc>
        <w:tc>
          <w:tcPr>
            <w:tcW w:w="5" w:type="pct"/>
            <w:shd w:val="clear" w:color="auto" w:fill="auto"/>
          </w:tcPr>
          <w:p w14:paraId="7DD0205A" w14:textId="77777777" w:rsidR="00C1563E" w:rsidRDefault="00C1563E">
            <w:pPr>
              <w:rPr>
                <w:rFonts w:ascii="宋体"/>
              </w:rPr>
            </w:pPr>
          </w:p>
        </w:tc>
        <w:tc>
          <w:tcPr>
            <w:tcW w:w="19" w:type="pct"/>
            <w:shd w:val="clear" w:color="auto" w:fill="auto"/>
          </w:tcPr>
          <w:p w14:paraId="7DD0205B" w14:textId="77777777" w:rsidR="00C1563E" w:rsidRDefault="00C1563E">
            <w:pPr>
              <w:rPr>
                <w:rFonts w:ascii="宋体"/>
              </w:rPr>
            </w:pPr>
          </w:p>
        </w:tc>
        <w:tc>
          <w:tcPr>
            <w:tcW w:w="5" w:type="pct"/>
            <w:shd w:val="clear" w:color="auto" w:fill="auto"/>
          </w:tcPr>
          <w:p w14:paraId="7DD0205C" w14:textId="77777777" w:rsidR="00C1563E" w:rsidRDefault="00C1563E">
            <w:pPr>
              <w:rPr>
                <w:rFonts w:ascii="宋体"/>
              </w:rPr>
            </w:pPr>
          </w:p>
        </w:tc>
        <w:tc>
          <w:tcPr>
            <w:tcW w:w="50" w:type="pct"/>
            <w:shd w:val="clear" w:color="auto" w:fill="auto"/>
          </w:tcPr>
          <w:p w14:paraId="7DD0205D" w14:textId="77777777" w:rsidR="00C1563E" w:rsidRDefault="00C1563E">
            <w:pPr>
              <w:rPr>
                <w:rFonts w:ascii="宋体"/>
              </w:rPr>
            </w:pPr>
          </w:p>
        </w:tc>
        <w:tc>
          <w:tcPr>
            <w:tcW w:w="749" w:type="pct"/>
            <w:shd w:val="clear" w:color="auto" w:fill="auto"/>
          </w:tcPr>
          <w:p w14:paraId="7DD0205E" w14:textId="77777777" w:rsidR="00C1563E" w:rsidRDefault="00C1563E">
            <w:pPr>
              <w:rPr>
                <w:rFonts w:ascii="宋体"/>
              </w:rPr>
            </w:pPr>
          </w:p>
        </w:tc>
        <w:tc>
          <w:tcPr>
            <w:tcW w:w="5" w:type="pct"/>
            <w:shd w:val="clear" w:color="auto" w:fill="auto"/>
          </w:tcPr>
          <w:p w14:paraId="7DD0205F" w14:textId="77777777" w:rsidR="00C1563E" w:rsidRDefault="00C1563E">
            <w:pPr>
              <w:rPr>
                <w:rFonts w:ascii="宋体"/>
              </w:rPr>
            </w:pPr>
          </w:p>
        </w:tc>
        <w:tc>
          <w:tcPr>
            <w:tcW w:w="5" w:type="pct"/>
            <w:shd w:val="clear" w:color="auto" w:fill="auto"/>
          </w:tcPr>
          <w:p w14:paraId="7DD02060" w14:textId="77777777" w:rsidR="00C1563E" w:rsidRDefault="00C1563E">
            <w:pPr>
              <w:rPr>
                <w:rFonts w:ascii="宋体"/>
              </w:rPr>
            </w:pPr>
          </w:p>
        </w:tc>
        <w:tc>
          <w:tcPr>
            <w:tcW w:w="19" w:type="pct"/>
            <w:shd w:val="clear" w:color="auto" w:fill="auto"/>
          </w:tcPr>
          <w:p w14:paraId="7DD02061" w14:textId="77777777" w:rsidR="00C1563E" w:rsidRDefault="00C1563E">
            <w:pPr>
              <w:rPr>
                <w:rFonts w:ascii="宋体"/>
              </w:rPr>
            </w:pPr>
          </w:p>
        </w:tc>
        <w:tc>
          <w:tcPr>
            <w:tcW w:w="5" w:type="pct"/>
            <w:shd w:val="clear" w:color="auto" w:fill="auto"/>
          </w:tcPr>
          <w:p w14:paraId="7DD02062" w14:textId="77777777" w:rsidR="00C1563E" w:rsidRDefault="00C1563E">
            <w:pPr>
              <w:rPr>
                <w:rFonts w:ascii="宋体"/>
              </w:rPr>
            </w:pPr>
          </w:p>
        </w:tc>
        <w:tc>
          <w:tcPr>
            <w:tcW w:w="50" w:type="pct"/>
            <w:shd w:val="clear" w:color="auto" w:fill="auto"/>
          </w:tcPr>
          <w:p w14:paraId="7DD02063" w14:textId="77777777" w:rsidR="00C1563E" w:rsidRDefault="00C1563E">
            <w:pPr>
              <w:rPr>
                <w:rFonts w:ascii="宋体"/>
              </w:rPr>
            </w:pPr>
          </w:p>
        </w:tc>
        <w:tc>
          <w:tcPr>
            <w:tcW w:w="749" w:type="pct"/>
            <w:shd w:val="clear" w:color="auto" w:fill="auto"/>
          </w:tcPr>
          <w:p w14:paraId="7DD02064" w14:textId="77777777" w:rsidR="00C1563E" w:rsidRDefault="00C1563E">
            <w:pPr>
              <w:rPr>
                <w:rFonts w:ascii="宋体"/>
              </w:rPr>
            </w:pPr>
          </w:p>
        </w:tc>
        <w:tc>
          <w:tcPr>
            <w:tcW w:w="5" w:type="pct"/>
            <w:shd w:val="clear" w:color="auto" w:fill="auto"/>
          </w:tcPr>
          <w:p w14:paraId="7DD02065" w14:textId="77777777" w:rsidR="00C1563E" w:rsidRDefault="00C1563E">
            <w:pPr>
              <w:rPr>
                <w:rFonts w:ascii="宋体"/>
              </w:rPr>
            </w:pPr>
          </w:p>
        </w:tc>
      </w:tr>
      <w:tr w:rsidR="00C1563E" w14:paraId="7DD02069" w14:textId="77777777">
        <w:trPr>
          <w:jc w:val="center"/>
        </w:trPr>
        <w:tc>
          <w:tcPr>
            <w:tcW w:w="0" w:type="auto"/>
            <w:gridSpan w:val="3"/>
            <w:shd w:val="clear" w:color="auto" w:fill="auto"/>
            <w:tcMar>
              <w:top w:w="0" w:type="dxa"/>
              <w:left w:w="20" w:type="dxa"/>
              <w:bottom w:w="0" w:type="dxa"/>
              <w:right w:w="20" w:type="dxa"/>
            </w:tcMar>
          </w:tcPr>
          <w:p w14:paraId="7DD02067" w14:textId="77777777" w:rsidR="00C1563E" w:rsidRDefault="00C1563E">
            <w:pPr>
              <w:rPr>
                <w:rFonts w:ascii="宋体"/>
              </w:rPr>
            </w:pPr>
          </w:p>
        </w:tc>
        <w:tc>
          <w:tcPr>
            <w:tcW w:w="0" w:type="auto"/>
            <w:gridSpan w:val="15"/>
            <w:shd w:val="clear" w:color="auto" w:fill="auto"/>
            <w:tcMar>
              <w:top w:w="40" w:type="dxa"/>
              <w:left w:w="20" w:type="dxa"/>
              <w:bottom w:w="40" w:type="dxa"/>
              <w:right w:w="20" w:type="dxa"/>
            </w:tcMar>
            <w:vAlign w:val="bottom"/>
          </w:tcPr>
          <w:p w14:paraId="7DD02068" w14:textId="77777777" w:rsidR="00C1563E" w:rsidRDefault="000B648B">
            <w:pPr>
              <w:jc w:val="center"/>
              <w:textAlignment w:val="bottom"/>
            </w:pPr>
            <w:r>
              <w:rPr>
                <w:rFonts w:ascii="Times New Roman" w:eastAsia="宋体" w:hAnsi="Times New Roman"/>
                <w:b/>
                <w:bCs/>
                <w:color w:val="000000"/>
                <w:sz w:val="20"/>
                <w:szCs w:val="20"/>
              </w:rPr>
              <w:t>Fiscal Year Ended</w:t>
            </w:r>
          </w:p>
        </w:tc>
      </w:tr>
      <w:tr w:rsidR="00C1563E" w14:paraId="7DD02070" w14:textId="77777777">
        <w:trPr>
          <w:jc w:val="center"/>
        </w:trPr>
        <w:tc>
          <w:tcPr>
            <w:tcW w:w="0" w:type="auto"/>
            <w:gridSpan w:val="3"/>
            <w:shd w:val="clear" w:color="auto" w:fill="auto"/>
            <w:tcMar>
              <w:top w:w="0" w:type="dxa"/>
              <w:left w:w="20" w:type="dxa"/>
              <w:bottom w:w="0" w:type="dxa"/>
              <w:right w:w="20" w:type="dxa"/>
            </w:tcMar>
          </w:tcPr>
          <w:p w14:paraId="7DD0206A"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06B" w14:textId="77777777" w:rsidR="00C1563E" w:rsidRDefault="000B648B">
            <w:pPr>
              <w:jc w:val="center"/>
              <w:textAlignment w:val="bottom"/>
            </w:pPr>
            <w:r>
              <w:rPr>
                <w:rFonts w:ascii="Times New Roman" w:eastAsia="宋体" w:hAnsi="Times New Roman"/>
                <w:b/>
                <w:bCs/>
                <w:color w:val="000000"/>
                <w:sz w:val="20"/>
                <w:szCs w:val="20"/>
              </w:rPr>
              <w:t>January 29, 2021</w:t>
            </w:r>
          </w:p>
        </w:tc>
        <w:tc>
          <w:tcPr>
            <w:tcW w:w="0" w:type="auto"/>
            <w:gridSpan w:val="3"/>
            <w:tcBorders>
              <w:top w:val="single" w:sz="8" w:space="0" w:color="000000"/>
            </w:tcBorders>
            <w:shd w:val="clear" w:color="auto" w:fill="auto"/>
            <w:tcMar>
              <w:top w:w="0" w:type="dxa"/>
              <w:left w:w="20" w:type="dxa"/>
              <w:bottom w:w="0" w:type="dxa"/>
              <w:right w:w="20" w:type="dxa"/>
            </w:tcMar>
          </w:tcPr>
          <w:p w14:paraId="7DD0206C"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206D" w14:textId="77777777" w:rsidR="00C1563E" w:rsidRDefault="000B648B">
            <w:pPr>
              <w:jc w:val="center"/>
              <w:textAlignment w:val="bottom"/>
            </w:pPr>
            <w:r>
              <w:rPr>
                <w:rFonts w:ascii="Times New Roman" w:eastAsia="宋体" w:hAnsi="Times New Roman"/>
                <w:b/>
                <w:bCs/>
                <w:color w:val="000000"/>
                <w:sz w:val="20"/>
                <w:szCs w:val="20"/>
              </w:rPr>
              <w:t>January 31, 2020</w:t>
            </w:r>
          </w:p>
        </w:tc>
        <w:tc>
          <w:tcPr>
            <w:tcW w:w="0" w:type="auto"/>
            <w:gridSpan w:val="3"/>
            <w:tcBorders>
              <w:top w:val="single" w:sz="8" w:space="0" w:color="000000"/>
            </w:tcBorders>
            <w:shd w:val="clear" w:color="auto" w:fill="auto"/>
            <w:tcMar>
              <w:top w:w="0" w:type="dxa"/>
              <w:left w:w="20" w:type="dxa"/>
              <w:bottom w:w="0" w:type="dxa"/>
              <w:right w:w="20" w:type="dxa"/>
            </w:tcMar>
          </w:tcPr>
          <w:p w14:paraId="7DD0206E" w14:textId="77777777" w:rsidR="00C1563E" w:rsidRDefault="00C1563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DD0206F" w14:textId="77777777" w:rsidR="00C1563E" w:rsidRDefault="000B648B">
            <w:pPr>
              <w:jc w:val="center"/>
              <w:textAlignment w:val="bottom"/>
            </w:pPr>
            <w:r>
              <w:rPr>
                <w:rFonts w:ascii="Times New Roman" w:eastAsia="宋体" w:hAnsi="Times New Roman"/>
                <w:b/>
                <w:bCs/>
                <w:color w:val="000000"/>
                <w:sz w:val="20"/>
                <w:szCs w:val="20"/>
              </w:rPr>
              <w:t>February 1, 2019</w:t>
            </w:r>
          </w:p>
        </w:tc>
      </w:tr>
      <w:tr w:rsidR="00C1563E" w14:paraId="7DD02073" w14:textId="77777777">
        <w:trPr>
          <w:jc w:val="center"/>
        </w:trPr>
        <w:tc>
          <w:tcPr>
            <w:tcW w:w="0" w:type="auto"/>
            <w:gridSpan w:val="3"/>
            <w:shd w:val="clear" w:color="auto" w:fill="auto"/>
            <w:tcMar>
              <w:top w:w="0" w:type="dxa"/>
              <w:left w:w="20" w:type="dxa"/>
              <w:bottom w:w="0" w:type="dxa"/>
              <w:right w:w="20" w:type="dxa"/>
            </w:tcMar>
          </w:tcPr>
          <w:p w14:paraId="7DD02071" w14:textId="77777777" w:rsidR="00C1563E" w:rsidRDefault="00C1563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DD02072" w14:textId="77777777" w:rsidR="00C1563E" w:rsidRDefault="000B648B">
            <w:pPr>
              <w:jc w:val="center"/>
              <w:textAlignment w:val="bottom"/>
            </w:pPr>
            <w:r>
              <w:rPr>
                <w:rFonts w:ascii="Times New Roman" w:eastAsia="宋体" w:hAnsi="Times New Roman"/>
                <w:color w:val="000000"/>
                <w:sz w:val="20"/>
                <w:szCs w:val="20"/>
              </w:rPr>
              <w:t>(in millions)</w:t>
            </w:r>
          </w:p>
        </w:tc>
      </w:tr>
      <w:tr w:rsidR="00C1563E" w14:paraId="7DD02080" w14:textId="77777777">
        <w:trPr>
          <w:jc w:val="center"/>
        </w:trPr>
        <w:tc>
          <w:tcPr>
            <w:tcW w:w="0" w:type="auto"/>
            <w:gridSpan w:val="3"/>
            <w:shd w:val="clear" w:color="auto" w:fill="CCEEFF"/>
            <w:tcMar>
              <w:top w:w="40" w:type="dxa"/>
              <w:left w:w="245" w:type="dxa"/>
              <w:bottom w:w="40" w:type="dxa"/>
              <w:right w:w="20" w:type="dxa"/>
            </w:tcMar>
            <w:vAlign w:val="bottom"/>
          </w:tcPr>
          <w:p w14:paraId="7DD02074" w14:textId="77777777" w:rsidR="00C1563E" w:rsidRDefault="000B648B">
            <w:pPr>
              <w:textAlignment w:val="bottom"/>
            </w:pPr>
            <w:r>
              <w:rPr>
                <w:rFonts w:ascii="Times New Roman" w:eastAsia="宋体" w:hAnsi="Times New Roman"/>
                <w:color w:val="000000"/>
                <w:sz w:val="20"/>
                <w:szCs w:val="20"/>
              </w:rPr>
              <w:t>Change in cash from operating activities</w:t>
            </w:r>
          </w:p>
        </w:tc>
        <w:tc>
          <w:tcPr>
            <w:tcW w:w="0" w:type="auto"/>
            <w:shd w:val="clear" w:color="auto" w:fill="CCEEFF"/>
            <w:tcMar>
              <w:top w:w="40" w:type="dxa"/>
              <w:left w:w="20" w:type="dxa"/>
              <w:bottom w:w="40" w:type="dxa"/>
              <w:right w:w="0" w:type="dxa"/>
            </w:tcMar>
            <w:vAlign w:val="bottom"/>
          </w:tcPr>
          <w:p w14:paraId="7DD02075"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2076" w14:textId="77777777" w:rsidR="00C1563E" w:rsidRDefault="000B648B">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7DD02077"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78"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2079"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207A" w14:textId="77777777" w:rsidR="00C1563E" w:rsidRDefault="000B648B">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7DD0207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7C" w14:textId="77777777" w:rsidR="00C1563E" w:rsidRDefault="00C1563E">
            <w:pPr>
              <w:rPr>
                <w:rFonts w:ascii="宋体"/>
              </w:rPr>
            </w:pPr>
          </w:p>
        </w:tc>
        <w:tc>
          <w:tcPr>
            <w:tcW w:w="0" w:type="auto"/>
            <w:shd w:val="clear" w:color="auto" w:fill="CCEEFF"/>
            <w:tcMar>
              <w:top w:w="40" w:type="dxa"/>
              <w:left w:w="20" w:type="dxa"/>
              <w:bottom w:w="40" w:type="dxa"/>
              <w:right w:w="0" w:type="dxa"/>
            </w:tcMar>
            <w:vAlign w:val="bottom"/>
          </w:tcPr>
          <w:p w14:paraId="7DD0207D" w14:textId="77777777" w:rsidR="00C1563E" w:rsidRDefault="000B648B">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DD0207E" w14:textId="77777777" w:rsidR="00C1563E" w:rsidRDefault="000B648B">
            <w:pPr>
              <w:jc w:val="right"/>
              <w:textAlignment w:val="bottom"/>
            </w:pPr>
            <w:r>
              <w:rPr>
                <w:rFonts w:ascii="Times New Roman" w:eastAsia="宋体" w:hAnsi="Times New Roman"/>
                <w:color w:val="000000"/>
                <w:sz w:val="20"/>
                <w:szCs w:val="20"/>
              </w:rPr>
              <w:t>(274)</w:t>
            </w:r>
          </w:p>
        </w:tc>
        <w:tc>
          <w:tcPr>
            <w:tcW w:w="0" w:type="auto"/>
            <w:shd w:val="clear" w:color="auto" w:fill="CCEEFF"/>
            <w:tcMar>
              <w:top w:w="40" w:type="dxa"/>
              <w:left w:w="0" w:type="dxa"/>
              <w:bottom w:w="40" w:type="dxa"/>
              <w:right w:w="20" w:type="dxa"/>
            </w:tcMar>
            <w:vAlign w:val="bottom"/>
          </w:tcPr>
          <w:p w14:paraId="7DD0207F" w14:textId="77777777" w:rsidR="00C1563E" w:rsidRDefault="00C1563E">
            <w:pPr>
              <w:jc w:val="right"/>
              <w:rPr>
                <w:rFonts w:ascii="宋体"/>
              </w:rPr>
            </w:pPr>
          </w:p>
        </w:tc>
      </w:tr>
      <w:tr w:rsidR="00C1563E" w14:paraId="7DD02087" w14:textId="77777777">
        <w:trPr>
          <w:trHeight w:val="280"/>
          <w:jc w:val="center"/>
        </w:trPr>
        <w:tc>
          <w:tcPr>
            <w:tcW w:w="0" w:type="auto"/>
            <w:gridSpan w:val="3"/>
            <w:shd w:val="clear" w:color="auto" w:fill="FFFFFF"/>
            <w:tcMar>
              <w:top w:w="0" w:type="dxa"/>
              <w:left w:w="20" w:type="dxa"/>
              <w:bottom w:w="0" w:type="dxa"/>
              <w:right w:w="20" w:type="dxa"/>
            </w:tcMar>
          </w:tcPr>
          <w:p w14:paraId="7DD02081"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82"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83"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8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85"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86" w14:textId="77777777" w:rsidR="00C1563E" w:rsidRDefault="00C1563E">
            <w:pPr>
              <w:rPr>
                <w:rFonts w:ascii="宋体"/>
              </w:rPr>
            </w:pPr>
          </w:p>
        </w:tc>
      </w:tr>
      <w:tr w:rsidR="00C1563E" w14:paraId="7DD0208E" w14:textId="77777777">
        <w:trPr>
          <w:jc w:val="center"/>
        </w:trPr>
        <w:tc>
          <w:tcPr>
            <w:tcW w:w="0" w:type="auto"/>
            <w:gridSpan w:val="3"/>
            <w:shd w:val="clear" w:color="auto" w:fill="CCEEFF"/>
            <w:tcMar>
              <w:top w:w="40" w:type="dxa"/>
              <w:left w:w="20" w:type="dxa"/>
              <w:bottom w:w="40" w:type="dxa"/>
              <w:right w:w="20" w:type="dxa"/>
            </w:tcMar>
            <w:vAlign w:val="bottom"/>
          </w:tcPr>
          <w:p w14:paraId="7DD02088" w14:textId="77777777" w:rsidR="00C1563E" w:rsidRDefault="000B648B">
            <w:pPr>
              <w:textAlignment w:val="bottom"/>
            </w:pPr>
            <w:r>
              <w:rPr>
                <w:rFonts w:ascii="Times New Roman" w:eastAsia="宋体" w:hAnsi="Times New Roman"/>
                <w:color w:val="000000"/>
                <w:sz w:val="20"/>
                <w:szCs w:val="20"/>
              </w:rPr>
              <w:t>Cash flows from investing activities:</w:t>
            </w:r>
          </w:p>
        </w:tc>
        <w:tc>
          <w:tcPr>
            <w:tcW w:w="0" w:type="auto"/>
            <w:gridSpan w:val="3"/>
            <w:shd w:val="clear" w:color="auto" w:fill="CCEEFF"/>
            <w:tcMar>
              <w:top w:w="0" w:type="dxa"/>
              <w:left w:w="20" w:type="dxa"/>
              <w:bottom w:w="0" w:type="dxa"/>
              <w:right w:w="20" w:type="dxa"/>
            </w:tcMar>
          </w:tcPr>
          <w:p w14:paraId="7DD02089"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8A"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8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8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8D" w14:textId="77777777" w:rsidR="00C1563E" w:rsidRDefault="00C1563E">
            <w:pPr>
              <w:rPr>
                <w:rFonts w:ascii="宋体"/>
              </w:rPr>
            </w:pPr>
          </w:p>
        </w:tc>
      </w:tr>
      <w:tr w:rsidR="00C1563E" w14:paraId="7DD02098" w14:textId="77777777">
        <w:trPr>
          <w:jc w:val="center"/>
        </w:trPr>
        <w:tc>
          <w:tcPr>
            <w:tcW w:w="0" w:type="auto"/>
            <w:gridSpan w:val="3"/>
            <w:shd w:val="clear" w:color="auto" w:fill="FFFFFF"/>
            <w:tcMar>
              <w:top w:w="40" w:type="dxa"/>
              <w:left w:w="155" w:type="dxa"/>
              <w:bottom w:w="40" w:type="dxa"/>
              <w:right w:w="20" w:type="dxa"/>
            </w:tcMar>
            <w:vAlign w:val="bottom"/>
          </w:tcPr>
          <w:p w14:paraId="7DD0208F" w14:textId="77777777" w:rsidR="00C1563E" w:rsidRDefault="000B648B">
            <w:pPr>
              <w:textAlignment w:val="bottom"/>
            </w:pPr>
            <w:r>
              <w:rPr>
                <w:rFonts w:ascii="Times New Roman" w:eastAsia="宋体" w:hAnsi="Times New Roman"/>
                <w:color w:val="000000"/>
                <w:sz w:val="20"/>
                <w:szCs w:val="20"/>
              </w:rPr>
              <w:t>Transfer (to)/from subsidiary</w:t>
            </w:r>
          </w:p>
        </w:tc>
        <w:tc>
          <w:tcPr>
            <w:tcW w:w="0" w:type="auto"/>
            <w:gridSpan w:val="2"/>
            <w:shd w:val="clear" w:color="auto" w:fill="FFFFFF"/>
            <w:tcMar>
              <w:top w:w="40" w:type="dxa"/>
              <w:left w:w="20" w:type="dxa"/>
              <w:bottom w:w="40" w:type="dxa"/>
              <w:right w:w="0" w:type="dxa"/>
            </w:tcMar>
            <w:vAlign w:val="bottom"/>
          </w:tcPr>
          <w:p w14:paraId="7DD02090" w14:textId="77777777" w:rsidR="00C1563E" w:rsidRDefault="000B648B">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7DD02091"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92"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93" w14:textId="77777777" w:rsidR="00C1563E" w:rsidRDefault="000B648B">
            <w:pPr>
              <w:jc w:val="right"/>
              <w:textAlignment w:val="bottom"/>
            </w:pPr>
            <w:r>
              <w:rPr>
                <w:rFonts w:ascii="Times New Roman" w:eastAsia="宋体" w:hAnsi="Times New Roman"/>
                <w:color w:val="000000"/>
                <w:sz w:val="20"/>
                <w:szCs w:val="20"/>
              </w:rPr>
              <w:t>(308)</w:t>
            </w:r>
          </w:p>
        </w:tc>
        <w:tc>
          <w:tcPr>
            <w:tcW w:w="0" w:type="auto"/>
            <w:shd w:val="clear" w:color="auto" w:fill="FFFFFF"/>
            <w:tcMar>
              <w:top w:w="40" w:type="dxa"/>
              <w:left w:w="0" w:type="dxa"/>
              <w:bottom w:w="40" w:type="dxa"/>
              <w:right w:w="20" w:type="dxa"/>
            </w:tcMar>
            <w:vAlign w:val="bottom"/>
          </w:tcPr>
          <w:p w14:paraId="7DD02094"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95"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96" w14:textId="77777777" w:rsidR="00C1563E" w:rsidRDefault="000B648B">
            <w:pPr>
              <w:jc w:val="right"/>
              <w:textAlignment w:val="bottom"/>
            </w:pPr>
            <w:r>
              <w:rPr>
                <w:rFonts w:ascii="Times New Roman" w:eastAsia="宋体" w:hAnsi="Times New Roman"/>
                <w:color w:val="000000"/>
                <w:sz w:val="20"/>
                <w:szCs w:val="20"/>
              </w:rPr>
              <w:t>14,360 </w:t>
            </w:r>
          </w:p>
        </w:tc>
        <w:tc>
          <w:tcPr>
            <w:tcW w:w="0" w:type="auto"/>
            <w:shd w:val="clear" w:color="auto" w:fill="FFFFFF"/>
            <w:tcMar>
              <w:top w:w="40" w:type="dxa"/>
              <w:left w:w="0" w:type="dxa"/>
              <w:bottom w:w="40" w:type="dxa"/>
              <w:right w:w="20" w:type="dxa"/>
            </w:tcMar>
            <w:vAlign w:val="bottom"/>
          </w:tcPr>
          <w:p w14:paraId="7DD02097" w14:textId="77777777" w:rsidR="00C1563E" w:rsidRDefault="00C1563E">
            <w:pPr>
              <w:jc w:val="right"/>
              <w:rPr>
                <w:rFonts w:ascii="宋体"/>
              </w:rPr>
            </w:pPr>
          </w:p>
        </w:tc>
      </w:tr>
      <w:tr w:rsidR="00C1563E" w14:paraId="7DD020A2" w14:textId="77777777">
        <w:trPr>
          <w:jc w:val="center"/>
        </w:trPr>
        <w:tc>
          <w:tcPr>
            <w:tcW w:w="0" w:type="auto"/>
            <w:gridSpan w:val="3"/>
            <w:shd w:val="clear" w:color="auto" w:fill="CCEEFF"/>
            <w:tcMar>
              <w:top w:w="40" w:type="dxa"/>
              <w:left w:w="245" w:type="dxa"/>
              <w:bottom w:w="40" w:type="dxa"/>
              <w:right w:w="20" w:type="dxa"/>
            </w:tcMar>
            <w:vAlign w:val="bottom"/>
          </w:tcPr>
          <w:p w14:paraId="7DD02099" w14:textId="77777777" w:rsidR="00C1563E" w:rsidRDefault="000B648B">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9A" w14:textId="77777777" w:rsidR="00C1563E" w:rsidRDefault="000B648B">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9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9C"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9D" w14:textId="77777777" w:rsidR="00C1563E" w:rsidRDefault="000B648B">
            <w:pPr>
              <w:jc w:val="right"/>
              <w:textAlignment w:val="bottom"/>
            </w:pPr>
            <w:r>
              <w:rPr>
                <w:rFonts w:ascii="Times New Roman" w:eastAsia="宋体" w:hAnsi="Times New Roman"/>
                <w:color w:val="000000"/>
                <w:sz w:val="20"/>
                <w:szCs w:val="20"/>
              </w:rPr>
              <w:t>(308)</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9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9F"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A0" w14:textId="77777777" w:rsidR="00C1563E" w:rsidRDefault="000B648B">
            <w:pPr>
              <w:jc w:val="right"/>
              <w:textAlignment w:val="bottom"/>
            </w:pPr>
            <w:r>
              <w:rPr>
                <w:rFonts w:ascii="Times New Roman" w:eastAsia="宋体" w:hAnsi="Times New Roman"/>
                <w:color w:val="000000"/>
                <w:sz w:val="20"/>
                <w:szCs w:val="20"/>
              </w:rPr>
              <w:t>14,360 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A1" w14:textId="77777777" w:rsidR="00C1563E" w:rsidRDefault="00C1563E">
            <w:pPr>
              <w:jc w:val="right"/>
              <w:rPr>
                <w:rFonts w:ascii="宋体"/>
              </w:rPr>
            </w:pPr>
          </w:p>
        </w:tc>
      </w:tr>
      <w:tr w:rsidR="00C1563E" w14:paraId="7DD020A9" w14:textId="77777777">
        <w:trPr>
          <w:trHeight w:val="280"/>
          <w:jc w:val="center"/>
        </w:trPr>
        <w:tc>
          <w:tcPr>
            <w:tcW w:w="0" w:type="auto"/>
            <w:gridSpan w:val="3"/>
            <w:shd w:val="clear" w:color="auto" w:fill="FFFFFF"/>
            <w:tcMar>
              <w:top w:w="0" w:type="dxa"/>
              <w:left w:w="20" w:type="dxa"/>
              <w:bottom w:w="0" w:type="dxa"/>
              <w:right w:w="20" w:type="dxa"/>
            </w:tcMar>
          </w:tcPr>
          <w:p w14:paraId="7DD020A3"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20A4"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A5"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20A6" w14:textId="77777777" w:rsidR="00C1563E" w:rsidRDefault="00C1563E">
            <w:pPr>
              <w:rPr>
                <w:rFonts w:ascii="宋体"/>
              </w:rPr>
            </w:pPr>
          </w:p>
        </w:tc>
        <w:tc>
          <w:tcPr>
            <w:tcW w:w="0" w:type="auto"/>
            <w:gridSpan w:val="3"/>
            <w:shd w:val="clear" w:color="auto" w:fill="FFFFFF"/>
            <w:tcMar>
              <w:top w:w="0" w:type="dxa"/>
              <w:left w:w="20" w:type="dxa"/>
              <w:bottom w:w="0" w:type="dxa"/>
              <w:right w:w="20" w:type="dxa"/>
            </w:tcMar>
          </w:tcPr>
          <w:p w14:paraId="7DD020A7" w14:textId="77777777" w:rsidR="00C1563E" w:rsidRDefault="00C1563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DD020A8" w14:textId="77777777" w:rsidR="00C1563E" w:rsidRDefault="00C1563E">
            <w:pPr>
              <w:rPr>
                <w:rFonts w:ascii="宋体"/>
              </w:rPr>
            </w:pPr>
          </w:p>
        </w:tc>
      </w:tr>
      <w:tr w:rsidR="00C1563E" w14:paraId="7DD020B0" w14:textId="77777777">
        <w:trPr>
          <w:jc w:val="center"/>
        </w:trPr>
        <w:tc>
          <w:tcPr>
            <w:tcW w:w="0" w:type="auto"/>
            <w:gridSpan w:val="3"/>
            <w:shd w:val="clear" w:color="auto" w:fill="CCEEFF"/>
            <w:tcMar>
              <w:top w:w="40" w:type="dxa"/>
              <w:left w:w="20" w:type="dxa"/>
              <w:bottom w:w="40" w:type="dxa"/>
              <w:right w:w="20" w:type="dxa"/>
            </w:tcMar>
            <w:vAlign w:val="bottom"/>
          </w:tcPr>
          <w:p w14:paraId="7DD020AA" w14:textId="77777777" w:rsidR="00C1563E" w:rsidRDefault="000B648B">
            <w:pPr>
              <w:textAlignment w:val="bottom"/>
            </w:pPr>
            <w:r>
              <w:rPr>
                <w:rFonts w:ascii="Times New Roman" w:eastAsia="宋体" w:hAnsi="Times New Roman"/>
                <w:color w:val="000000"/>
                <w:sz w:val="20"/>
                <w:szCs w:val="20"/>
              </w:rPr>
              <w:t>Cash flows from financing activities:</w:t>
            </w:r>
          </w:p>
        </w:tc>
        <w:tc>
          <w:tcPr>
            <w:tcW w:w="0" w:type="auto"/>
            <w:gridSpan w:val="3"/>
            <w:shd w:val="clear" w:color="auto" w:fill="CCEEFF"/>
            <w:tcMar>
              <w:top w:w="0" w:type="dxa"/>
              <w:left w:w="20" w:type="dxa"/>
              <w:bottom w:w="0" w:type="dxa"/>
              <w:right w:w="20" w:type="dxa"/>
            </w:tcMar>
          </w:tcPr>
          <w:p w14:paraId="7DD020AB"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AC"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AD"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AE" w14:textId="77777777" w:rsidR="00C1563E" w:rsidRDefault="00C1563E">
            <w:pPr>
              <w:rPr>
                <w:rFonts w:ascii="宋体"/>
              </w:rPr>
            </w:pPr>
          </w:p>
        </w:tc>
        <w:tc>
          <w:tcPr>
            <w:tcW w:w="0" w:type="auto"/>
            <w:gridSpan w:val="3"/>
            <w:shd w:val="clear" w:color="auto" w:fill="CCEEFF"/>
            <w:tcMar>
              <w:top w:w="0" w:type="dxa"/>
              <w:left w:w="20" w:type="dxa"/>
              <w:bottom w:w="0" w:type="dxa"/>
              <w:right w:w="20" w:type="dxa"/>
            </w:tcMar>
          </w:tcPr>
          <w:p w14:paraId="7DD020AF" w14:textId="77777777" w:rsidR="00C1563E" w:rsidRDefault="00C1563E">
            <w:pPr>
              <w:rPr>
                <w:rFonts w:ascii="宋体"/>
              </w:rPr>
            </w:pPr>
          </w:p>
        </w:tc>
      </w:tr>
      <w:tr w:rsidR="00C1563E" w14:paraId="7DD020B7" w14:textId="77777777">
        <w:trPr>
          <w:jc w:val="center"/>
          <w:hidden/>
        </w:trPr>
        <w:tc>
          <w:tcPr>
            <w:tcW w:w="0" w:type="auto"/>
            <w:gridSpan w:val="3"/>
            <w:shd w:val="clear" w:color="auto" w:fill="auto"/>
          </w:tcPr>
          <w:p w14:paraId="7DD020B1" w14:textId="77777777" w:rsidR="00C1563E" w:rsidRDefault="00C1563E">
            <w:pPr>
              <w:rPr>
                <w:rFonts w:ascii="宋体"/>
                <w:vanish/>
              </w:rPr>
            </w:pPr>
          </w:p>
        </w:tc>
        <w:tc>
          <w:tcPr>
            <w:tcW w:w="0" w:type="auto"/>
            <w:gridSpan w:val="3"/>
            <w:shd w:val="clear" w:color="auto" w:fill="auto"/>
          </w:tcPr>
          <w:p w14:paraId="7DD020B2" w14:textId="77777777" w:rsidR="00C1563E" w:rsidRDefault="00C1563E">
            <w:pPr>
              <w:rPr>
                <w:rFonts w:ascii="宋体"/>
                <w:vanish/>
              </w:rPr>
            </w:pPr>
          </w:p>
        </w:tc>
        <w:tc>
          <w:tcPr>
            <w:tcW w:w="0" w:type="auto"/>
            <w:gridSpan w:val="3"/>
            <w:shd w:val="clear" w:color="auto" w:fill="auto"/>
          </w:tcPr>
          <w:p w14:paraId="7DD020B3" w14:textId="77777777" w:rsidR="00C1563E" w:rsidRDefault="00C1563E">
            <w:pPr>
              <w:rPr>
                <w:rFonts w:ascii="宋体"/>
                <w:vanish/>
              </w:rPr>
            </w:pPr>
          </w:p>
        </w:tc>
        <w:tc>
          <w:tcPr>
            <w:tcW w:w="0" w:type="auto"/>
            <w:gridSpan w:val="3"/>
            <w:shd w:val="clear" w:color="auto" w:fill="auto"/>
          </w:tcPr>
          <w:p w14:paraId="7DD020B4" w14:textId="77777777" w:rsidR="00C1563E" w:rsidRDefault="00C1563E">
            <w:pPr>
              <w:rPr>
                <w:rFonts w:ascii="宋体"/>
                <w:vanish/>
              </w:rPr>
            </w:pPr>
          </w:p>
        </w:tc>
        <w:tc>
          <w:tcPr>
            <w:tcW w:w="0" w:type="auto"/>
            <w:gridSpan w:val="3"/>
            <w:shd w:val="clear" w:color="auto" w:fill="auto"/>
          </w:tcPr>
          <w:p w14:paraId="7DD020B5" w14:textId="77777777" w:rsidR="00C1563E" w:rsidRDefault="00C1563E">
            <w:pPr>
              <w:rPr>
                <w:rFonts w:ascii="宋体"/>
                <w:vanish/>
              </w:rPr>
            </w:pPr>
          </w:p>
        </w:tc>
        <w:tc>
          <w:tcPr>
            <w:tcW w:w="0" w:type="auto"/>
            <w:gridSpan w:val="3"/>
            <w:shd w:val="clear" w:color="auto" w:fill="auto"/>
          </w:tcPr>
          <w:p w14:paraId="7DD020B6" w14:textId="77777777" w:rsidR="00C1563E" w:rsidRDefault="00C1563E">
            <w:pPr>
              <w:rPr>
                <w:rFonts w:ascii="宋体"/>
                <w:vanish/>
              </w:rPr>
            </w:pPr>
          </w:p>
        </w:tc>
      </w:tr>
      <w:tr w:rsidR="00C1563E" w14:paraId="7DD020C1" w14:textId="77777777">
        <w:trPr>
          <w:jc w:val="center"/>
        </w:trPr>
        <w:tc>
          <w:tcPr>
            <w:tcW w:w="0" w:type="auto"/>
            <w:gridSpan w:val="3"/>
            <w:shd w:val="clear" w:color="auto" w:fill="FFFFFF"/>
            <w:tcMar>
              <w:top w:w="40" w:type="dxa"/>
              <w:left w:w="20" w:type="dxa"/>
              <w:bottom w:w="40" w:type="dxa"/>
              <w:right w:w="20" w:type="dxa"/>
            </w:tcMar>
            <w:vAlign w:val="bottom"/>
          </w:tcPr>
          <w:p w14:paraId="7DD020B8" w14:textId="77777777" w:rsidR="00C1563E" w:rsidRDefault="000B648B">
            <w:pPr>
              <w:spacing w:before="100" w:after="100"/>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FFFFFF"/>
            <w:tcMar>
              <w:top w:w="40" w:type="dxa"/>
              <w:left w:w="20" w:type="dxa"/>
              <w:bottom w:w="40" w:type="dxa"/>
              <w:right w:w="0" w:type="dxa"/>
            </w:tcMar>
            <w:vAlign w:val="bottom"/>
          </w:tcPr>
          <w:p w14:paraId="7DD020B9" w14:textId="77777777" w:rsidR="00C1563E" w:rsidRDefault="000B648B">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7DD020BA"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BB"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BC" w14:textId="77777777" w:rsidR="00C1563E" w:rsidRDefault="000B648B">
            <w:pPr>
              <w:jc w:val="right"/>
              <w:textAlignment w:val="bottom"/>
            </w:pPr>
            <w:r>
              <w:rPr>
                <w:rFonts w:ascii="Times New Roman" w:eastAsia="宋体" w:hAnsi="Times New Roman"/>
                <w:color w:val="000000"/>
                <w:sz w:val="20"/>
                <w:szCs w:val="20"/>
              </w:rPr>
              <w:t>350 </w:t>
            </w:r>
          </w:p>
        </w:tc>
        <w:tc>
          <w:tcPr>
            <w:tcW w:w="0" w:type="auto"/>
            <w:shd w:val="clear" w:color="auto" w:fill="FFFFFF"/>
            <w:tcMar>
              <w:top w:w="40" w:type="dxa"/>
              <w:left w:w="0" w:type="dxa"/>
              <w:bottom w:w="40" w:type="dxa"/>
              <w:right w:w="20" w:type="dxa"/>
            </w:tcMar>
            <w:vAlign w:val="bottom"/>
          </w:tcPr>
          <w:p w14:paraId="7DD020BD"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BE"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BF" w14:textId="77777777" w:rsidR="00C1563E" w:rsidRDefault="000B648B">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DD020C0" w14:textId="77777777" w:rsidR="00C1563E" w:rsidRDefault="00C1563E">
            <w:pPr>
              <w:jc w:val="right"/>
              <w:rPr>
                <w:rFonts w:ascii="宋体"/>
              </w:rPr>
            </w:pPr>
          </w:p>
        </w:tc>
      </w:tr>
      <w:tr w:rsidR="00C1563E" w14:paraId="7DD020C8" w14:textId="77777777">
        <w:trPr>
          <w:jc w:val="center"/>
          <w:hidden/>
        </w:trPr>
        <w:tc>
          <w:tcPr>
            <w:tcW w:w="0" w:type="auto"/>
            <w:gridSpan w:val="3"/>
            <w:shd w:val="clear" w:color="auto" w:fill="auto"/>
          </w:tcPr>
          <w:p w14:paraId="7DD020C2" w14:textId="77777777" w:rsidR="00C1563E" w:rsidRDefault="00C1563E">
            <w:pPr>
              <w:rPr>
                <w:rFonts w:ascii="宋体"/>
                <w:vanish/>
              </w:rPr>
            </w:pPr>
          </w:p>
        </w:tc>
        <w:tc>
          <w:tcPr>
            <w:tcW w:w="0" w:type="auto"/>
            <w:gridSpan w:val="3"/>
            <w:shd w:val="clear" w:color="auto" w:fill="auto"/>
          </w:tcPr>
          <w:p w14:paraId="7DD020C3" w14:textId="77777777" w:rsidR="00C1563E" w:rsidRDefault="00C1563E">
            <w:pPr>
              <w:rPr>
                <w:rFonts w:ascii="宋体"/>
                <w:vanish/>
              </w:rPr>
            </w:pPr>
          </w:p>
        </w:tc>
        <w:tc>
          <w:tcPr>
            <w:tcW w:w="0" w:type="auto"/>
            <w:gridSpan w:val="3"/>
            <w:shd w:val="clear" w:color="auto" w:fill="auto"/>
          </w:tcPr>
          <w:p w14:paraId="7DD020C4" w14:textId="77777777" w:rsidR="00C1563E" w:rsidRDefault="00C1563E">
            <w:pPr>
              <w:rPr>
                <w:rFonts w:ascii="宋体"/>
                <w:vanish/>
              </w:rPr>
            </w:pPr>
          </w:p>
        </w:tc>
        <w:tc>
          <w:tcPr>
            <w:tcW w:w="0" w:type="auto"/>
            <w:gridSpan w:val="3"/>
            <w:shd w:val="clear" w:color="auto" w:fill="auto"/>
          </w:tcPr>
          <w:p w14:paraId="7DD020C5" w14:textId="77777777" w:rsidR="00C1563E" w:rsidRDefault="00C1563E">
            <w:pPr>
              <w:rPr>
                <w:rFonts w:ascii="宋体"/>
                <w:vanish/>
              </w:rPr>
            </w:pPr>
          </w:p>
        </w:tc>
        <w:tc>
          <w:tcPr>
            <w:tcW w:w="0" w:type="auto"/>
            <w:gridSpan w:val="3"/>
            <w:shd w:val="clear" w:color="auto" w:fill="auto"/>
          </w:tcPr>
          <w:p w14:paraId="7DD020C6" w14:textId="77777777" w:rsidR="00C1563E" w:rsidRDefault="00C1563E">
            <w:pPr>
              <w:rPr>
                <w:rFonts w:ascii="宋体"/>
                <w:vanish/>
              </w:rPr>
            </w:pPr>
          </w:p>
        </w:tc>
        <w:tc>
          <w:tcPr>
            <w:tcW w:w="0" w:type="auto"/>
            <w:gridSpan w:val="3"/>
            <w:shd w:val="clear" w:color="auto" w:fill="auto"/>
          </w:tcPr>
          <w:p w14:paraId="7DD020C7" w14:textId="77777777" w:rsidR="00C1563E" w:rsidRDefault="00C1563E">
            <w:pPr>
              <w:rPr>
                <w:rFonts w:ascii="宋体"/>
                <w:vanish/>
              </w:rPr>
            </w:pPr>
          </w:p>
        </w:tc>
      </w:tr>
      <w:tr w:rsidR="00C1563E" w14:paraId="7DD020D2" w14:textId="77777777">
        <w:trPr>
          <w:jc w:val="center"/>
        </w:trPr>
        <w:tc>
          <w:tcPr>
            <w:tcW w:w="0" w:type="auto"/>
            <w:gridSpan w:val="3"/>
            <w:shd w:val="clear" w:color="auto" w:fill="CCEEFF"/>
            <w:tcMar>
              <w:top w:w="40" w:type="dxa"/>
              <w:left w:w="155" w:type="dxa"/>
              <w:bottom w:w="40" w:type="dxa"/>
              <w:right w:w="20" w:type="dxa"/>
            </w:tcMar>
            <w:vAlign w:val="bottom"/>
          </w:tcPr>
          <w:p w14:paraId="7DD020C9" w14:textId="77777777" w:rsidR="00C1563E" w:rsidRDefault="000B648B">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CCEEFF"/>
            <w:tcMar>
              <w:top w:w="40" w:type="dxa"/>
              <w:left w:w="20" w:type="dxa"/>
              <w:bottom w:w="40" w:type="dxa"/>
              <w:right w:w="0" w:type="dxa"/>
            </w:tcMar>
            <w:vAlign w:val="bottom"/>
          </w:tcPr>
          <w:p w14:paraId="7DD020CA" w14:textId="77777777" w:rsidR="00C1563E" w:rsidRDefault="000B648B">
            <w:pPr>
              <w:jc w:val="right"/>
              <w:textAlignment w:val="bottom"/>
            </w:pPr>
            <w:r>
              <w:rPr>
                <w:rFonts w:ascii="Times New Roman" w:eastAsia="宋体" w:hAnsi="Times New Roman"/>
                <w:color w:val="000000"/>
                <w:sz w:val="20"/>
                <w:szCs w:val="20"/>
              </w:rPr>
              <w:t>(241)</w:t>
            </w:r>
          </w:p>
        </w:tc>
        <w:tc>
          <w:tcPr>
            <w:tcW w:w="0" w:type="auto"/>
            <w:shd w:val="clear" w:color="auto" w:fill="CCEEFF"/>
            <w:tcMar>
              <w:top w:w="40" w:type="dxa"/>
              <w:left w:w="0" w:type="dxa"/>
              <w:bottom w:w="40" w:type="dxa"/>
              <w:right w:w="20" w:type="dxa"/>
            </w:tcMar>
            <w:vAlign w:val="bottom"/>
          </w:tcPr>
          <w:p w14:paraId="7DD020CB"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CC"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CD" w14:textId="77777777" w:rsidR="00C1563E" w:rsidRDefault="000B648B">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7DD020CE"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CF"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D0" w14:textId="77777777" w:rsidR="00C1563E" w:rsidRDefault="000B648B">
            <w:pPr>
              <w:jc w:val="right"/>
              <w:textAlignment w:val="bottom"/>
            </w:pPr>
            <w:r>
              <w:rPr>
                <w:rFonts w:ascii="Times New Roman" w:eastAsia="宋体" w:hAnsi="Times New Roman"/>
                <w:color w:val="000000"/>
                <w:sz w:val="20"/>
                <w:szCs w:val="20"/>
              </w:rPr>
              <w:t>(14,075)</w:t>
            </w:r>
          </w:p>
        </w:tc>
        <w:tc>
          <w:tcPr>
            <w:tcW w:w="0" w:type="auto"/>
            <w:shd w:val="clear" w:color="auto" w:fill="CCEEFF"/>
            <w:tcMar>
              <w:top w:w="40" w:type="dxa"/>
              <w:left w:w="0" w:type="dxa"/>
              <w:bottom w:w="40" w:type="dxa"/>
              <w:right w:w="20" w:type="dxa"/>
            </w:tcMar>
            <w:vAlign w:val="bottom"/>
          </w:tcPr>
          <w:p w14:paraId="7DD020D1" w14:textId="77777777" w:rsidR="00C1563E" w:rsidRDefault="00C1563E">
            <w:pPr>
              <w:jc w:val="right"/>
              <w:rPr>
                <w:rFonts w:ascii="宋体"/>
              </w:rPr>
            </w:pPr>
          </w:p>
        </w:tc>
      </w:tr>
      <w:tr w:rsidR="00C1563E" w14:paraId="7DD020DC" w14:textId="77777777">
        <w:trPr>
          <w:jc w:val="center"/>
        </w:trPr>
        <w:tc>
          <w:tcPr>
            <w:tcW w:w="0" w:type="auto"/>
            <w:gridSpan w:val="3"/>
            <w:shd w:val="clear" w:color="auto" w:fill="FFFFFF"/>
            <w:tcMar>
              <w:top w:w="40" w:type="dxa"/>
              <w:left w:w="155" w:type="dxa"/>
              <w:bottom w:w="40" w:type="dxa"/>
              <w:right w:w="20" w:type="dxa"/>
            </w:tcMar>
            <w:vAlign w:val="bottom"/>
          </w:tcPr>
          <w:p w14:paraId="7DD020D3" w14:textId="77777777" w:rsidR="00C1563E" w:rsidRDefault="000B648B">
            <w:pPr>
              <w:textAlignment w:val="bottom"/>
            </w:pPr>
            <w:r>
              <w:rPr>
                <w:rFonts w:ascii="Times New Roman" w:eastAsia="宋体" w:hAnsi="Times New Roman"/>
                <w:color w:val="000000"/>
                <w:sz w:val="20"/>
                <w:szCs w:val="20"/>
              </w:rPr>
              <w:t>Repayments of debt</w:t>
            </w:r>
          </w:p>
        </w:tc>
        <w:tc>
          <w:tcPr>
            <w:tcW w:w="0" w:type="auto"/>
            <w:gridSpan w:val="2"/>
            <w:shd w:val="clear" w:color="auto" w:fill="FFFFFF"/>
            <w:tcMar>
              <w:top w:w="40" w:type="dxa"/>
              <w:left w:w="20" w:type="dxa"/>
              <w:bottom w:w="40" w:type="dxa"/>
              <w:right w:w="0" w:type="dxa"/>
            </w:tcMar>
            <w:vAlign w:val="bottom"/>
          </w:tcPr>
          <w:p w14:paraId="7DD020D4"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DD020D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D6"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D7" w14:textId="77777777" w:rsidR="00C1563E" w:rsidRDefault="000B648B">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DD020D8"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D9" w14:textId="77777777" w:rsidR="00C1563E" w:rsidRDefault="00C1563E">
            <w:pPr>
              <w:rPr>
                <w:rFonts w:ascii="宋体"/>
              </w:rPr>
            </w:pPr>
          </w:p>
        </w:tc>
        <w:tc>
          <w:tcPr>
            <w:tcW w:w="0" w:type="auto"/>
            <w:gridSpan w:val="2"/>
            <w:shd w:val="clear" w:color="auto" w:fill="FFFFFF"/>
            <w:tcMar>
              <w:top w:w="40" w:type="dxa"/>
              <w:left w:w="20" w:type="dxa"/>
              <w:bottom w:w="40" w:type="dxa"/>
              <w:right w:w="0" w:type="dxa"/>
            </w:tcMar>
            <w:vAlign w:val="bottom"/>
          </w:tcPr>
          <w:p w14:paraId="7DD020DA" w14:textId="77777777" w:rsidR="00C1563E" w:rsidRDefault="000B648B">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DD020DB" w14:textId="77777777" w:rsidR="00C1563E" w:rsidRDefault="00C1563E">
            <w:pPr>
              <w:jc w:val="right"/>
              <w:rPr>
                <w:rFonts w:ascii="宋体"/>
              </w:rPr>
            </w:pPr>
          </w:p>
        </w:tc>
      </w:tr>
      <w:tr w:rsidR="00C1563E" w14:paraId="7DD020E3" w14:textId="77777777">
        <w:trPr>
          <w:jc w:val="center"/>
          <w:hidden/>
        </w:trPr>
        <w:tc>
          <w:tcPr>
            <w:tcW w:w="0" w:type="auto"/>
            <w:gridSpan w:val="3"/>
            <w:shd w:val="clear" w:color="auto" w:fill="auto"/>
          </w:tcPr>
          <w:p w14:paraId="7DD020DD" w14:textId="77777777" w:rsidR="00C1563E" w:rsidRDefault="00C1563E">
            <w:pPr>
              <w:rPr>
                <w:rFonts w:ascii="宋体"/>
                <w:vanish/>
              </w:rPr>
            </w:pPr>
          </w:p>
        </w:tc>
        <w:tc>
          <w:tcPr>
            <w:tcW w:w="0" w:type="auto"/>
            <w:gridSpan w:val="3"/>
            <w:shd w:val="clear" w:color="auto" w:fill="auto"/>
          </w:tcPr>
          <w:p w14:paraId="7DD020DE" w14:textId="77777777" w:rsidR="00C1563E" w:rsidRDefault="00C1563E">
            <w:pPr>
              <w:rPr>
                <w:rFonts w:ascii="宋体"/>
                <w:vanish/>
              </w:rPr>
            </w:pPr>
          </w:p>
        </w:tc>
        <w:tc>
          <w:tcPr>
            <w:tcW w:w="0" w:type="auto"/>
            <w:gridSpan w:val="3"/>
            <w:shd w:val="clear" w:color="auto" w:fill="auto"/>
          </w:tcPr>
          <w:p w14:paraId="7DD020DF" w14:textId="77777777" w:rsidR="00C1563E" w:rsidRDefault="00C1563E">
            <w:pPr>
              <w:rPr>
                <w:rFonts w:ascii="宋体"/>
                <w:vanish/>
              </w:rPr>
            </w:pPr>
          </w:p>
        </w:tc>
        <w:tc>
          <w:tcPr>
            <w:tcW w:w="0" w:type="auto"/>
            <w:gridSpan w:val="3"/>
            <w:shd w:val="clear" w:color="auto" w:fill="auto"/>
          </w:tcPr>
          <w:p w14:paraId="7DD020E0" w14:textId="77777777" w:rsidR="00C1563E" w:rsidRDefault="00C1563E">
            <w:pPr>
              <w:rPr>
                <w:rFonts w:ascii="宋体"/>
                <w:vanish/>
              </w:rPr>
            </w:pPr>
          </w:p>
        </w:tc>
        <w:tc>
          <w:tcPr>
            <w:tcW w:w="0" w:type="auto"/>
            <w:gridSpan w:val="3"/>
            <w:shd w:val="clear" w:color="auto" w:fill="auto"/>
          </w:tcPr>
          <w:p w14:paraId="7DD020E1" w14:textId="77777777" w:rsidR="00C1563E" w:rsidRDefault="00C1563E">
            <w:pPr>
              <w:rPr>
                <w:rFonts w:ascii="宋体"/>
                <w:vanish/>
              </w:rPr>
            </w:pPr>
          </w:p>
        </w:tc>
        <w:tc>
          <w:tcPr>
            <w:tcW w:w="0" w:type="auto"/>
            <w:gridSpan w:val="3"/>
            <w:shd w:val="clear" w:color="auto" w:fill="auto"/>
          </w:tcPr>
          <w:p w14:paraId="7DD020E2" w14:textId="77777777" w:rsidR="00C1563E" w:rsidRDefault="00C1563E">
            <w:pPr>
              <w:rPr>
                <w:rFonts w:ascii="宋体"/>
                <w:vanish/>
              </w:rPr>
            </w:pPr>
          </w:p>
        </w:tc>
      </w:tr>
      <w:tr w:rsidR="00C1563E" w14:paraId="7DD020ED" w14:textId="77777777">
        <w:trPr>
          <w:jc w:val="center"/>
        </w:trPr>
        <w:tc>
          <w:tcPr>
            <w:tcW w:w="0" w:type="auto"/>
            <w:gridSpan w:val="3"/>
            <w:shd w:val="clear" w:color="auto" w:fill="CCEEFF"/>
            <w:tcMar>
              <w:top w:w="40" w:type="dxa"/>
              <w:left w:w="245" w:type="dxa"/>
              <w:bottom w:w="40" w:type="dxa"/>
              <w:right w:w="20" w:type="dxa"/>
            </w:tcMar>
            <w:vAlign w:val="bottom"/>
          </w:tcPr>
          <w:p w14:paraId="7DD020E4" w14:textId="77777777" w:rsidR="00C1563E" w:rsidRDefault="000B648B">
            <w:pPr>
              <w:textAlignment w:val="bottom"/>
            </w:pPr>
            <w:r>
              <w:rPr>
                <w:rFonts w:ascii="Times New Roman" w:eastAsia="宋体" w:hAnsi="Times New Roman"/>
                <w:color w:val="000000"/>
                <w:sz w:val="20"/>
                <w:szCs w:val="20"/>
              </w:rPr>
              <w:t xml:space="preserve">Change in cash from </w:t>
            </w:r>
            <w:r>
              <w:rPr>
                <w:rFonts w:ascii="Times New Roman" w:eastAsia="宋体" w:hAnsi="Times New Roman"/>
                <w:color w:val="000000"/>
                <w:sz w:val="20"/>
                <w:szCs w:val="20"/>
              </w:rPr>
              <w:t>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E5" w14:textId="77777777" w:rsidR="00C1563E" w:rsidRDefault="000B648B">
            <w:pPr>
              <w:jc w:val="right"/>
              <w:textAlignment w:val="bottom"/>
            </w:pPr>
            <w:r>
              <w:rPr>
                <w:rFonts w:ascii="Times New Roman" w:eastAsia="宋体" w:hAnsi="Times New Roman"/>
                <w:color w:val="000000"/>
                <w:sz w:val="20"/>
                <w:szCs w:val="20"/>
              </w:rPr>
              <w:t>(62)</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E6"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E7"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E8" w14:textId="77777777" w:rsidR="00C1563E" w:rsidRDefault="000B648B">
            <w:pPr>
              <w:jc w:val="right"/>
              <w:textAlignment w:val="bottom"/>
            </w:pPr>
            <w:r>
              <w:rPr>
                <w:rFonts w:ascii="Times New Roman" w:eastAsia="宋体" w:hAnsi="Times New Roman"/>
                <w:color w:val="000000"/>
                <w:sz w:val="20"/>
                <w:szCs w:val="20"/>
              </w:rPr>
              <w:t>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E9"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EA" w14:textId="77777777" w:rsidR="00C1563E" w:rsidRDefault="00C1563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DD020EB" w14:textId="77777777" w:rsidR="00C1563E" w:rsidRDefault="000B648B">
            <w:pPr>
              <w:jc w:val="right"/>
              <w:textAlignment w:val="bottom"/>
            </w:pPr>
            <w:r>
              <w:rPr>
                <w:rFonts w:ascii="Times New Roman" w:eastAsia="宋体" w:hAnsi="Times New Roman"/>
                <w:color w:val="000000"/>
                <w:sz w:val="20"/>
                <w:szCs w:val="20"/>
              </w:rPr>
              <w:t>(14,086)</w:t>
            </w:r>
          </w:p>
        </w:tc>
        <w:tc>
          <w:tcPr>
            <w:tcW w:w="0" w:type="auto"/>
            <w:tcBorders>
              <w:top w:val="single" w:sz="8" w:space="0" w:color="000000"/>
            </w:tcBorders>
            <w:shd w:val="clear" w:color="auto" w:fill="CCEEFF"/>
            <w:tcMar>
              <w:top w:w="40" w:type="dxa"/>
              <w:left w:w="0" w:type="dxa"/>
              <w:bottom w:w="40" w:type="dxa"/>
              <w:right w:w="20" w:type="dxa"/>
            </w:tcMar>
            <w:vAlign w:val="bottom"/>
          </w:tcPr>
          <w:p w14:paraId="7DD020EC" w14:textId="77777777" w:rsidR="00C1563E" w:rsidRDefault="00C1563E">
            <w:pPr>
              <w:jc w:val="right"/>
              <w:rPr>
                <w:rFonts w:ascii="宋体"/>
              </w:rPr>
            </w:pPr>
          </w:p>
        </w:tc>
      </w:tr>
      <w:tr w:rsidR="00C1563E" w14:paraId="7DD020F7" w14:textId="77777777">
        <w:trPr>
          <w:jc w:val="center"/>
        </w:trPr>
        <w:tc>
          <w:tcPr>
            <w:tcW w:w="0" w:type="auto"/>
            <w:gridSpan w:val="3"/>
            <w:shd w:val="clear" w:color="auto" w:fill="FFFFFF"/>
            <w:tcMar>
              <w:top w:w="40" w:type="dxa"/>
              <w:left w:w="20" w:type="dxa"/>
              <w:bottom w:w="40" w:type="dxa"/>
              <w:right w:w="20" w:type="dxa"/>
            </w:tcMar>
            <w:vAlign w:val="bottom"/>
          </w:tcPr>
          <w:p w14:paraId="7DD020EE" w14:textId="77777777" w:rsidR="00C1563E" w:rsidRDefault="000B648B">
            <w:pPr>
              <w:textAlignment w:val="bottom"/>
            </w:pPr>
            <w:r>
              <w:rPr>
                <w:rFonts w:ascii="Times New Roman" w:eastAsia="宋体" w:hAnsi="Times New Roman"/>
                <w:color w:val="000000"/>
                <w:sz w:val="20"/>
                <w:szCs w:val="20"/>
              </w:rPr>
              <w:t>Chang</w:t>
            </w:r>
            <w:r>
              <w:rPr>
                <w:rFonts w:ascii="Times New Roman" w:eastAsia="宋体" w:hAnsi="Times New Roman"/>
                <w:color w:val="000000"/>
                <w:sz w:val="20"/>
                <w:szCs w:val="20"/>
              </w:rPr>
              <w:t>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20EF"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F0"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F1"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20F2"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F3"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0F4" w14:textId="77777777" w:rsidR="00C1563E" w:rsidRDefault="00C1563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DD020F5"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DD020F6" w14:textId="77777777" w:rsidR="00C1563E" w:rsidRDefault="00C1563E">
            <w:pPr>
              <w:jc w:val="right"/>
              <w:rPr>
                <w:rFonts w:ascii="宋体"/>
              </w:rPr>
            </w:pPr>
          </w:p>
        </w:tc>
      </w:tr>
      <w:tr w:rsidR="00C1563E" w14:paraId="7DD02101" w14:textId="77777777">
        <w:trPr>
          <w:jc w:val="center"/>
        </w:trPr>
        <w:tc>
          <w:tcPr>
            <w:tcW w:w="0" w:type="auto"/>
            <w:gridSpan w:val="3"/>
            <w:shd w:val="clear" w:color="auto" w:fill="CCEEFF"/>
            <w:tcMar>
              <w:top w:w="40" w:type="dxa"/>
              <w:left w:w="20" w:type="dxa"/>
              <w:bottom w:w="40" w:type="dxa"/>
              <w:right w:w="20" w:type="dxa"/>
            </w:tcMar>
            <w:vAlign w:val="bottom"/>
          </w:tcPr>
          <w:p w14:paraId="7DD020F8" w14:textId="77777777" w:rsidR="00C1563E" w:rsidRDefault="000B648B">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CCEEFF"/>
            <w:tcMar>
              <w:top w:w="40" w:type="dxa"/>
              <w:left w:w="20" w:type="dxa"/>
              <w:bottom w:w="40" w:type="dxa"/>
              <w:right w:w="0" w:type="dxa"/>
            </w:tcMar>
            <w:vAlign w:val="bottom"/>
          </w:tcPr>
          <w:p w14:paraId="7DD020F9"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20FA"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FB"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FC"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20FD" w14:textId="77777777" w:rsidR="00C1563E" w:rsidRDefault="00C1563E">
            <w:pPr>
              <w:jc w:val="right"/>
              <w:rPr>
                <w:rFonts w:ascii="宋体"/>
              </w:rPr>
            </w:pPr>
          </w:p>
        </w:tc>
        <w:tc>
          <w:tcPr>
            <w:tcW w:w="0" w:type="auto"/>
            <w:gridSpan w:val="3"/>
            <w:shd w:val="clear" w:color="auto" w:fill="CCEEFF"/>
            <w:tcMar>
              <w:top w:w="0" w:type="dxa"/>
              <w:left w:w="20" w:type="dxa"/>
              <w:bottom w:w="0" w:type="dxa"/>
              <w:right w:w="20" w:type="dxa"/>
            </w:tcMar>
          </w:tcPr>
          <w:p w14:paraId="7DD020FE" w14:textId="77777777" w:rsidR="00C1563E" w:rsidRDefault="00C1563E">
            <w:pPr>
              <w:rPr>
                <w:rFonts w:ascii="宋体"/>
              </w:rPr>
            </w:pPr>
          </w:p>
        </w:tc>
        <w:tc>
          <w:tcPr>
            <w:tcW w:w="0" w:type="auto"/>
            <w:gridSpan w:val="2"/>
            <w:shd w:val="clear" w:color="auto" w:fill="CCEEFF"/>
            <w:tcMar>
              <w:top w:w="40" w:type="dxa"/>
              <w:left w:w="20" w:type="dxa"/>
              <w:bottom w:w="40" w:type="dxa"/>
              <w:right w:w="0" w:type="dxa"/>
            </w:tcMar>
            <w:vAlign w:val="bottom"/>
          </w:tcPr>
          <w:p w14:paraId="7DD020FF" w14:textId="77777777" w:rsidR="00C1563E" w:rsidRDefault="000B648B">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DD02100" w14:textId="77777777" w:rsidR="00C1563E" w:rsidRDefault="00C1563E">
            <w:pPr>
              <w:jc w:val="right"/>
              <w:rPr>
                <w:rFonts w:ascii="宋体"/>
              </w:rPr>
            </w:pPr>
          </w:p>
        </w:tc>
      </w:tr>
      <w:tr w:rsidR="00C1563E" w14:paraId="7DD0210E" w14:textId="77777777">
        <w:trPr>
          <w:jc w:val="center"/>
        </w:trPr>
        <w:tc>
          <w:tcPr>
            <w:tcW w:w="0" w:type="auto"/>
            <w:gridSpan w:val="3"/>
            <w:shd w:val="clear" w:color="auto" w:fill="FFFFFF"/>
            <w:tcMar>
              <w:top w:w="40" w:type="dxa"/>
              <w:left w:w="20" w:type="dxa"/>
              <w:bottom w:w="40" w:type="dxa"/>
              <w:right w:w="20" w:type="dxa"/>
            </w:tcMar>
            <w:vAlign w:val="bottom"/>
          </w:tcPr>
          <w:p w14:paraId="7DD02102" w14:textId="77777777" w:rsidR="00C1563E" w:rsidRDefault="000B648B">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103"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104" w14:textId="77777777" w:rsidR="00C1563E" w:rsidRDefault="000B648B">
            <w:pPr>
              <w:jc w:val="right"/>
              <w:textAlignment w:val="bottom"/>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105"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106"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107"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108"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109" w14:textId="77777777" w:rsidR="00C1563E" w:rsidRDefault="00C1563E">
            <w:pPr>
              <w:jc w:val="right"/>
              <w:rPr>
                <w:rFonts w:ascii="宋体"/>
              </w:rPr>
            </w:pPr>
          </w:p>
        </w:tc>
        <w:tc>
          <w:tcPr>
            <w:tcW w:w="0" w:type="auto"/>
            <w:gridSpan w:val="3"/>
            <w:shd w:val="clear" w:color="auto" w:fill="FFFFFF"/>
            <w:tcMar>
              <w:top w:w="0" w:type="dxa"/>
              <w:left w:w="20" w:type="dxa"/>
              <w:bottom w:w="0" w:type="dxa"/>
              <w:right w:w="20" w:type="dxa"/>
            </w:tcMar>
          </w:tcPr>
          <w:p w14:paraId="7DD0210A" w14:textId="77777777" w:rsidR="00C1563E" w:rsidRDefault="00C1563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DD0210B" w14:textId="77777777" w:rsidR="00C1563E" w:rsidRDefault="000B648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DD0210C" w14:textId="77777777" w:rsidR="00C1563E" w:rsidRDefault="000B648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DD0210D" w14:textId="77777777" w:rsidR="00C1563E" w:rsidRDefault="00C1563E">
            <w:pPr>
              <w:jc w:val="right"/>
              <w:rPr>
                <w:rFonts w:ascii="宋体"/>
              </w:rPr>
            </w:pPr>
          </w:p>
        </w:tc>
      </w:tr>
    </w:tbl>
    <w:p w14:paraId="7DD0210F" w14:textId="77777777" w:rsidR="00C1563E" w:rsidRDefault="00C1563E"/>
    <w:p w14:paraId="7DD02110" w14:textId="77777777" w:rsidR="00C1563E" w:rsidRDefault="00C1563E">
      <w:pPr>
        <w:jc w:val="center"/>
      </w:pPr>
    </w:p>
    <w:p w14:paraId="7DD02111" w14:textId="77777777" w:rsidR="00C1563E" w:rsidRDefault="000B648B">
      <w:pPr>
        <w:jc w:val="center"/>
      </w:pPr>
      <w:r>
        <w:rPr>
          <w:rFonts w:ascii="Times New Roman" w:eastAsia="宋体" w:hAnsi="Times New Roman"/>
          <w:color w:val="000000"/>
          <w:sz w:val="20"/>
          <w:szCs w:val="20"/>
        </w:rPr>
        <w:t>166</w:t>
      </w:r>
    </w:p>
    <w:p w14:paraId="7DD02112" w14:textId="77777777" w:rsidR="00C1563E" w:rsidRDefault="00C1563E">
      <w:pPr>
        <w:jc w:val="center"/>
      </w:pPr>
    </w:p>
    <w:p w14:paraId="7DD02113" w14:textId="77777777" w:rsidR="00C1563E" w:rsidRDefault="000B648B">
      <w:r>
        <w:pict w14:anchorId="7DD02610">
          <v:rect id="_x0000_i1190" style="width:415.3pt;height:1.5pt" o:hralign="center" o:hrstd="t" o:hr="t" fillcolor="#a0a0a0" stroked="f"/>
        </w:pict>
      </w:r>
    </w:p>
    <w:p w14:paraId="7DD02114" w14:textId="77777777" w:rsidR="00C1563E" w:rsidRDefault="000B648B">
      <w:hyperlink r:id="rId349" w:anchor="i418e32e4a35149ffbf7d3a25d66881b8_10" w:history="1">
        <w:r>
          <w:rPr>
            <w:rStyle w:val="a5"/>
            <w:rFonts w:ascii="Times New Roman" w:eastAsia="宋体" w:hAnsi="Times New Roman"/>
            <w:sz w:val="20"/>
            <w:szCs w:val="20"/>
          </w:rPr>
          <w:t>Table of Contents</w:t>
        </w:r>
      </w:hyperlink>
    </w:p>
    <w:p w14:paraId="7DD02115" w14:textId="77777777" w:rsidR="00C1563E" w:rsidRDefault="000B648B">
      <w:r>
        <w:rPr>
          <w:rFonts w:ascii="Times New Roman" w:eastAsia="宋体" w:hAnsi="Times New Roman"/>
          <w:b/>
          <w:bCs/>
          <w:color w:val="000000"/>
          <w:sz w:val="20"/>
          <w:szCs w:val="20"/>
        </w:rPr>
        <w:t>NOTE 22 — REL</w:t>
      </w:r>
      <w:r>
        <w:rPr>
          <w:rFonts w:ascii="Times New Roman" w:eastAsia="宋体" w:hAnsi="Times New Roman"/>
          <w:b/>
          <w:bCs/>
          <w:color w:val="000000"/>
          <w:sz w:val="20"/>
          <w:szCs w:val="20"/>
        </w:rPr>
        <w:t xml:space="preserve">ATED PARTY TRANSACTIONS </w:t>
      </w:r>
    </w:p>
    <w:p w14:paraId="7DD02116" w14:textId="77777777" w:rsidR="00C1563E" w:rsidRDefault="00C1563E"/>
    <w:p w14:paraId="7DD02117" w14:textId="77777777" w:rsidR="00C1563E" w:rsidRDefault="000B648B">
      <w:r>
        <w:rPr>
          <w:rFonts w:ascii="Times New Roman" w:eastAsia="宋体" w:hAnsi="Times New Roman"/>
          <w:color w:val="000000"/>
          <w:sz w:val="20"/>
          <w:szCs w:val="20"/>
        </w:rPr>
        <w:t>Dell Technologies is a large global organization that engages in millions of purchase, sales, and other transactions during the fiscal year. The Company enters into purchase and sales transactions with other publicly-traded and pr</w:t>
      </w:r>
      <w:r>
        <w:rPr>
          <w:rFonts w:ascii="Times New Roman" w:eastAsia="宋体" w:hAnsi="Times New Roman"/>
          <w:color w:val="000000"/>
          <w:sz w:val="20"/>
          <w:szCs w:val="20"/>
        </w:rPr>
        <w:t>ivately-held companies, as well as not-for-profit organizations, that could be influenced by members of the Company’s board of directors or the Company’s executive officers. The Company enters into these arrangements in the ordinary course of its business.</w:t>
      </w:r>
      <w:r>
        <w:rPr>
          <w:rFonts w:ascii="Times New Roman" w:eastAsia="宋体" w:hAnsi="Times New Roman"/>
          <w:color w:val="000000"/>
          <w:sz w:val="20"/>
          <w:szCs w:val="20"/>
        </w:rPr>
        <w:t xml:space="preserve"> Transactions with related parties were immaterial for the fiscal years ended January 29, 2021, January 31, 2020, and February 1, 2019.</w:t>
      </w:r>
    </w:p>
    <w:p w14:paraId="7DD02118" w14:textId="77777777" w:rsidR="00C1563E" w:rsidRDefault="00C1563E"/>
    <w:p w14:paraId="7DD02119" w14:textId="77777777" w:rsidR="00C1563E" w:rsidRDefault="00C1563E"/>
    <w:p w14:paraId="7DD0211A" w14:textId="77777777" w:rsidR="00C1563E" w:rsidRDefault="000B648B">
      <w:r>
        <w:rPr>
          <w:rFonts w:ascii="Times New Roman" w:eastAsia="宋体" w:hAnsi="Times New Roman"/>
          <w:b/>
          <w:bCs/>
          <w:color w:val="000000"/>
          <w:sz w:val="20"/>
          <w:szCs w:val="20"/>
        </w:rPr>
        <w:t xml:space="preserve">NOTE 23 — SUBSEQUENT EVENTS </w:t>
      </w:r>
    </w:p>
    <w:p w14:paraId="7DD0211B" w14:textId="77777777" w:rsidR="00C1563E" w:rsidRDefault="00C1563E"/>
    <w:p w14:paraId="7DD0211C" w14:textId="77777777" w:rsidR="00C1563E" w:rsidRDefault="000B648B">
      <w:r>
        <w:rPr>
          <w:rFonts w:ascii="Times New Roman" w:eastAsia="宋体" w:hAnsi="Times New Roman"/>
          <w:i/>
          <w:iCs/>
          <w:color w:val="000000"/>
          <w:sz w:val="20"/>
          <w:szCs w:val="20"/>
        </w:rPr>
        <w:t xml:space="preserve">Debt Repayments </w:t>
      </w:r>
      <w:r>
        <w:rPr>
          <w:rFonts w:ascii="Times New Roman" w:eastAsia="宋体" w:hAnsi="Times New Roman"/>
          <w:color w:val="000000"/>
          <w:sz w:val="20"/>
          <w:szCs w:val="20"/>
        </w:rPr>
        <w:t xml:space="preserve">— Subsequent to January 29, 2021, the Company repaid </w:t>
      </w:r>
      <w:r>
        <w:rPr>
          <w:rFonts w:ascii="Times New Roman" w:eastAsia="宋体" w:hAnsi="Times New Roman"/>
          <w:color w:val="000000"/>
          <w:sz w:val="20"/>
          <w:szCs w:val="20"/>
        </w:rPr>
        <w:t>$400 million principal amount of the 4.625% Unsecured Notes due April 2021 and $600 million principal amount of the 5.875% Senior Notes due June 2021.</w:t>
      </w:r>
    </w:p>
    <w:p w14:paraId="7DD0211D" w14:textId="77777777" w:rsidR="00C1563E" w:rsidRDefault="00C1563E"/>
    <w:p w14:paraId="7DD0211E" w14:textId="77777777" w:rsidR="00C1563E" w:rsidRDefault="000B648B">
      <w:r>
        <w:rPr>
          <w:rFonts w:ascii="Times New Roman" w:eastAsia="宋体" w:hAnsi="Times New Roman"/>
          <w:i/>
          <w:iCs/>
          <w:color w:val="000000"/>
          <w:sz w:val="20"/>
          <w:szCs w:val="20"/>
        </w:rPr>
        <w:t>Senior Secured Credit Facilities</w:t>
      </w:r>
      <w:r>
        <w:rPr>
          <w:rFonts w:ascii="Times New Roman" w:eastAsia="宋体" w:hAnsi="Times New Roman"/>
          <w:color w:val="000000"/>
          <w:sz w:val="20"/>
          <w:szCs w:val="20"/>
        </w:rPr>
        <w:t xml:space="preserve"> — On February 18, 2021, the Company entered into an eighth refinancing </w:t>
      </w:r>
      <w:r>
        <w:rPr>
          <w:rFonts w:ascii="Times New Roman" w:eastAsia="宋体" w:hAnsi="Times New Roman"/>
          <w:color w:val="000000"/>
          <w:sz w:val="20"/>
          <w:szCs w:val="20"/>
        </w:rPr>
        <w:t>amendment to the credit agreement for the Senior Secured Credit Facilities to refinance the existing term B loans (the “Original Term B Loans”) with a new term loan B facility consisting of an aggregate principal amount of $3,143 million refinancing term B</w:t>
      </w:r>
      <w:r>
        <w:rPr>
          <w:rFonts w:ascii="Times New Roman" w:eastAsia="宋体" w:hAnsi="Times New Roman"/>
          <w:color w:val="000000"/>
          <w:sz w:val="20"/>
          <w:szCs w:val="20"/>
        </w:rPr>
        <w:t xml:space="preserve">-2 loans (the “Refinancing Term B-2 Loans”) maturing on September 19, 2025. Proceeds from the Refinancing Term B-2 Loans, together with other funds available to the borrowers, were used to repay in full the Original Term B Loans and all accrued and unpaid </w:t>
      </w:r>
      <w:r>
        <w:rPr>
          <w:rFonts w:ascii="Times New Roman" w:eastAsia="宋体" w:hAnsi="Times New Roman"/>
          <w:color w:val="000000"/>
          <w:sz w:val="20"/>
          <w:szCs w:val="20"/>
        </w:rPr>
        <w:t xml:space="preserve">fees in respect thereof. </w:t>
      </w:r>
    </w:p>
    <w:p w14:paraId="7DD0211F" w14:textId="77777777" w:rsidR="00C1563E" w:rsidRDefault="00C1563E"/>
    <w:p w14:paraId="7DD02120" w14:textId="77777777" w:rsidR="00C1563E" w:rsidRDefault="000B648B">
      <w:r>
        <w:rPr>
          <w:rFonts w:ascii="Times New Roman" w:eastAsia="宋体" w:hAnsi="Times New Roman"/>
          <w:color w:val="000000"/>
          <w:sz w:val="20"/>
          <w:szCs w:val="20"/>
        </w:rPr>
        <w:t>Except for a change in the interest rate, the Refinancing Term B-2 Loans have substantially the same terms as the Original Term B Loans under the sixth refinancing amendment to the Senior Secured Credit Agreement. Amortization pa</w:t>
      </w:r>
      <w:r>
        <w:rPr>
          <w:rFonts w:ascii="Times New Roman" w:eastAsia="宋体" w:hAnsi="Times New Roman"/>
          <w:color w:val="000000"/>
          <w:sz w:val="20"/>
          <w:szCs w:val="20"/>
        </w:rPr>
        <w:t>yments on the Refinancing Term B-2 Loans are equal to 0.25% of the aggregate principal amount of Refinancing Term B-2 Loans outstanding on the effective date of the eighth refinancing amendment, payable at the end of each fiscal quarter, commencing with th</w:t>
      </w:r>
      <w:r>
        <w:rPr>
          <w:rFonts w:ascii="Times New Roman" w:eastAsia="宋体" w:hAnsi="Times New Roman"/>
          <w:color w:val="000000"/>
          <w:sz w:val="20"/>
          <w:szCs w:val="20"/>
        </w:rPr>
        <w:t>e fiscal quarter ending April 30, 2021. The Refinancing Term B-2 Loans will bear interest at LIBOR plus an applicable margin of 1.75% or a base rate plus an applicable margin of 0.75%.</w:t>
      </w:r>
    </w:p>
    <w:p w14:paraId="7DD02121" w14:textId="77777777" w:rsidR="00C1563E" w:rsidRDefault="00C1563E"/>
    <w:p w14:paraId="7DD02122" w14:textId="77777777" w:rsidR="00C1563E" w:rsidRDefault="000B648B">
      <w:r>
        <w:rPr>
          <w:rFonts w:ascii="Times New Roman" w:eastAsia="宋体" w:hAnsi="Times New Roman"/>
          <w:color w:val="000000"/>
          <w:sz w:val="20"/>
          <w:szCs w:val="20"/>
        </w:rPr>
        <w:t>See Note 6 of the Notes to the Consolidated Financial Statements for m</w:t>
      </w:r>
      <w:r>
        <w:rPr>
          <w:rFonts w:ascii="Times New Roman" w:eastAsia="宋体" w:hAnsi="Times New Roman"/>
          <w:color w:val="000000"/>
          <w:sz w:val="20"/>
          <w:szCs w:val="20"/>
        </w:rPr>
        <w:t>ore information about the Company’s Senior Secured Credit Facilities.</w:t>
      </w:r>
    </w:p>
    <w:p w14:paraId="7DD02123" w14:textId="77777777" w:rsidR="00C1563E" w:rsidRDefault="00C1563E"/>
    <w:p w14:paraId="7DD02124" w14:textId="77777777" w:rsidR="00C1563E" w:rsidRDefault="00C1563E">
      <w:pPr>
        <w:jc w:val="center"/>
      </w:pPr>
    </w:p>
    <w:p w14:paraId="7DD02125" w14:textId="77777777" w:rsidR="00C1563E" w:rsidRDefault="000B648B">
      <w:pPr>
        <w:jc w:val="center"/>
      </w:pPr>
      <w:r>
        <w:rPr>
          <w:rFonts w:ascii="Times New Roman" w:eastAsia="宋体" w:hAnsi="Times New Roman"/>
          <w:color w:val="000000"/>
          <w:sz w:val="20"/>
          <w:szCs w:val="20"/>
        </w:rPr>
        <w:t>167</w:t>
      </w:r>
    </w:p>
    <w:p w14:paraId="7DD02126" w14:textId="77777777" w:rsidR="00C1563E" w:rsidRDefault="00C1563E">
      <w:pPr>
        <w:jc w:val="center"/>
      </w:pPr>
    </w:p>
    <w:p w14:paraId="7DD02127" w14:textId="77777777" w:rsidR="00C1563E" w:rsidRDefault="000B648B">
      <w:r>
        <w:pict w14:anchorId="7DD02611">
          <v:rect id="_x0000_i1191" style="width:415.3pt;height:1.5pt" o:hralign="center" o:hrstd="t" o:hr="t" fillcolor="#a0a0a0" stroked="f"/>
        </w:pict>
      </w:r>
    </w:p>
    <w:p w14:paraId="7DD02128" w14:textId="77777777" w:rsidR="00C1563E" w:rsidRDefault="000B648B">
      <w:hyperlink r:id="rId350" w:anchor="i418e32e4a35149ffbf7d3a25d66881b8_10" w:history="1">
        <w:r>
          <w:rPr>
            <w:rStyle w:val="a5"/>
            <w:rFonts w:ascii="Times New Roman" w:eastAsia="宋体" w:hAnsi="Times New Roman"/>
            <w:sz w:val="20"/>
            <w:szCs w:val="20"/>
          </w:rPr>
          <w:t>Table of Contents</w:t>
        </w:r>
      </w:hyperlink>
    </w:p>
    <w:p w14:paraId="7DD02129" w14:textId="77777777" w:rsidR="00C1563E" w:rsidRDefault="000B648B">
      <w:r>
        <w:rPr>
          <w:rFonts w:ascii="Times New Roman" w:eastAsia="宋体" w:hAnsi="Times New Roman"/>
          <w:b/>
          <w:bCs/>
          <w:color w:val="000000"/>
          <w:sz w:val="20"/>
          <w:szCs w:val="20"/>
        </w:rPr>
        <w:t>ITEM 9 — CHANGES IN AND DISAGREEMENTS WITH ACCOUNTANTS ON ACCOUNTING AND FINANCIAL DISCLOSURE</w:t>
      </w:r>
    </w:p>
    <w:p w14:paraId="7DD0212A" w14:textId="77777777" w:rsidR="00C1563E" w:rsidRDefault="00C1563E"/>
    <w:p w14:paraId="7DD0212B" w14:textId="77777777" w:rsidR="00C1563E" w:rsidRDefault="000B648B">
      <w:r>
        <w:rPr>
          <w:rFonts w:ascii="Times New Roman" w:eastAsia="宋体" w:hAnsi="Times New Roman"/>
          <w:color w:val="000000"/>
          <w:sz w:val="20"/>
          <w:szCs w:val="20"/>
        </w:rPr>
        <w:t>None.</w:t>
      </w:r>
    </w:p>
    <w:p w14:paraId="7DD0212C" w14:textId="77777777" w:rsidR="00C1563E" w:rsidRDefault="00C1563E"/>
    <w:p w14:paraId="7DD0212D" w14:textId="77777777" w:rsidR="00C1563E" w:rsidRDefault="000B648B">
      <w:r>
        <w:rPr>
          <w:rFonts w:ascii="Times New Roman" w:eastAsia="宋体" w:hAnsi="Times New Roman"/>
          <w:b/>
          <w:bCs/>
          <w:color w:val="000000"/>
          <w:sz w:val="20"/>
          <w:szCs w:val="20"/>
        </w:rPr>
        <w:t>ITEM 9A — CONTROLS AND PROCEDURES</w:t>
      </w:r>
    </w:p>
    <w:p w14:paraId="7DD0212E" w14:textId="77777777" w:rsidR="00C1563E" w:rsidRDefault="00C1563E"/>
    <w:p w14:paraId="7DD0212F" w14:textId="77777777" w:rsidR="00C1563E" w:rsidRDefault="000B648B">
      <w:r>
        <w:rPr>
          <w:rFonts w:ascii="Times New Roman" w:eastAsia="宋体" w:hAnsi="Times New Roman"/>
          <w:color w:val="000000"/>
          <w:sz w:val="20"/>
          <w:szCs w:val="20"/>
        </w:rPr>
        <w:t>This report includes the certifications of our Chief Executive Officer and Chief Financial Officer required by Rule 13a</w:t>
      </w:r>
      <w:r>
        <w:rPr>
          <w:rFonts w:ascii="Times New Roman" w:eastAsia="宋体" w:hAnsi="Times New Roman"/>
          <w:color w:val="000000"/>
          <w:sz w:val="20"/>
          <w:szCs w:val="20"/>
        </w:rPr>
        <w:t>-14 under the Securities Exchange Act of 1934 (the “Exchange Act”). See Exhibits 31.1 and 31.2 filed with this report. This Item 9A includes information concerning the controls and control evaluations referred to in those certifications.</w:t>
      </w:r>
    </w:p>
    <w:p w14:paraId="7DD02130" w14:textId="77777777" w:rsidR="00C1563E" w:rsidRDefault="00C1563E"/>
    <w:p w14:paraId="7DD02131" w14:textId="77777777" w:rsidR="00C1563E" w:rsidRDefault="000B648B">
      <w:r>
        <w:rPr>
          <w:rFonts w:ascii="Times New Roman" w:eastAsia="宋体" w:hAnsi="Times New Roman"/>
          <w:b/>
          <w:bCs/>
          <w:color w:val="000000"/>
          <w:sz w:val="20"/>
          <w:szCs w:val="20"/>
        </w:rPr>
        <w:t>Evaluation of Dis</w:t>
      </w:r>
      <w:r>
        <w:rPr>
          <w:rFonts w:ascii="Times New Roman" w:eastAsia="宋体" w:hAnsi="Times New Roman"/>
          <w:b/>
          <w:bCs/>
          <w:color w:val="000000"/>
          <w:sz w:val="20"/>
          <w:szCs w:val="20"/>
        </w:rPr>
        <w:t>closure Controls and Procedures</w:t>
      </w:r>
    </w:p>
    <w:p w14:paraId="7DD02132" w14:textId="77777777" w:rsidR="00C1563E" w:rsidRDefault="00C1563E"/>
    <w:p w14:paraId="7DD02133" w14:textId="77777777" w:rsidR="00C1563E" w:rsidRDefault="000B648B">
      <w:r>
        <w:rPr>
          <w:rFonts w:ascii="Times New Roman" w:eastAsia="宋体" w:hAnsi="Times New Roman"/>
          <w:color w:val="000000"/>
          <w:sz w:val="20"/>
          <w:szCs w:val="20"/>
        </w:rPr>
        <w:t>Disclosure controls and procedures (as defined in Rules 13a-15(e) and 15d-15(e) under the Exchange Act) are designed to provide reasonable assurance that information required to be disclosed in reports filed or submitted un</w:t>
      </w:r>
      <w:r>
        <w:rPr>
          <w:rFonts w:ascii="Times New Roman" w:eastAsia="宋体" w:hAnsi="Times New Roman"/>
          <w:color w:val="000000"/>
          <w:sz w:val="20"/>
          <w:szCs w:val="20"/>
        </w:rPr>
        <w:t>der the Exchange Act is recorded, processed, summarized, and reported within the time periods specified in SEC rules and forms and that such information is accumulated and communicated to management, including the Chief Executive Officer and the Chief Fina</w:t>
      </w:r>
      <w:r>
        <w:rPr>
          <w:rFonts w:ascii="Times New Roman" w:eastAsia="宋体" w:hAnsi="Times New Roman"/>
          <w:color w:val="000000"/>
          <w:sz w:val="20"/>
          <w:szCs w:val="20"/>
        </w:rPr>
        <w:t>ncial Officer, as appropriate to allow timely decisions regarding required disclosures.</w:t>
      </w:r>
    </w:p>
    <w:p w14:paraId="7DD02134" w14:textId="77777777" w:rsidR="00C1563E" w:rsidRDefault="00C1563E"/>
    <w:p w14:paraId="7DD02135" w14:textId="77777777" w:rsidR="00C1563E" w:rsidRDefault="000B648B">
      <w:r>
        <w:rPr>
          <w:rFonts w:ascii="Times New Roman" w:eastAsia="宋体" w:hAnsi="Times New Roman"/>
          <w:color w:val="000000"/>
          <w:sz w:val="20"/>
          <w:szCs w:val="20"/>
        </w:rPr>
        <w:t xml:space="preserve">In connection with the preparation of this report, our management, under the supervision and with the participation of our Chief Executive Officer and Chief Financial Officer, conducted an evaluation of the effectiveness of the design and operation of our </w:t>
      </w:r>
      <w:r>
        <w:rPr>
          <w:rFonts w:ascii="Times New Roman" w:eastAsia="宋体" w:hAnsi="Times New Roman"/>
          <w:color w:val="000000"/>
          <w:sz w:val="20"/>
          <w:szCs w:val="20"/>
        </w:rPr>
        <w:t>disclosure controls and procedures as of January 29, 2021. Based on that evaluation, our Chief Executive Officer and Chief Financial Officer have concluded that our disclosure controls and procedures were effective at the reasonable assurance level as of J</w:t>
      </w:r>
      <w:r>
        <w:rPr>
          <w:rFonts w:ascii="Times New Roman" w:eastAsia="宋体" w:hAnsi="Times New Roman"/>
          <w:color w:val="000000"/>
          <w:sz w:val="20"/>
          <w:szCs w:val="20"/>
        </w:rPr>
        <w:t xml:space="preserve">anuary 29, 2021. </w:t>
      </w:r>
    </w:p>
    <w:p w14:paraId="7DD02136" w14:textId="77777777" w:rsidR="00C1563E" w:rsidRDefault="00C1563E"/>
    <w:p w14:paraId="7DD02137" w14:textId="77777777" w:rsidR="00C1563E" w:rsidRDefault="000B648B">
      <w:r>
        <w:rPr>
          <w:rFonts w:ascii="Times New Roman" w:eastAsia="宋体" w:hAnsi="Times New Roman"/>
          <w:b/>
          <w:bCs/>
          <w:color w:val="000000"/>
          <w:sz w:val="20"/>
          <w:szCs w:val="20"/>
        </w:rPr>
        <w:t>Management’s Annual Report on Internal Control Over Financial Reporting</w:t>
      </w:r>
    </w:p>
    <w:p w14:paraId="7DD02138" w14:textId="77777777" w:rsidR="00C1563E" w:rsidRDefault="00C1563E"/>
    <w:p w14:paraId="7DD02139" w14:textId="77777777" w:rsidR="00C1563E" w:rsidRDefault="000B648B">
      <w:r>
        <w:rPr>
          <w:rFonts w:ascii="Times New Roman" w:eastAsia="宋体" w:hAnsi="Times New Roman"/>
          <w:color w:val="000000"/>
          <w:sz w:val="20"/>
          <w:szCs w:val="20"/>
        </w:rPr>
        <w:t xml:space="preserve">Management, under the supervision of the Chief Executive Officer and the Chief Financial Officer, is responsible for establishing and maintaining adequate internal </w:t>
      </w:r>
      <w:r>
        <w:rPr>
          <w:rFonts w:ascii="Times New Roman" w:eastAsia="宋体" w:hAnsi="Times New Roman"/>
          <w:color w:val="000000"/>
          <w:sz w:val="20"/>
          <w:szCs w:val="20"/>
        </w:rPr>
        <w:t>control over financial reporting. Internal control over financial reporting (as defined in Rules 13a-15(f) and 15d(f) under the Exchange Act) is a process designed to provide reasonable assurance regarding the reliability of financial reporting and the pre</w:t>
      </w:r>
      <w:r>
        <w:rPr>
          <w:rFonts w:ascii="Times New Roman" w:eastAsia="宋体" w:hAnsi="Times New Roman"/>
          <w:color w:val="000000"/>
          <w:sz w:val="20"/>
          <w:szCs w:val="20"/>
        </w:rPr>
        <w:t>paration of financial statements for external purposes in accordance with generally accepted accounting principles. Internal control over financial reporting includes those policies and procedures which (a) pertain to the maintenance of records that, in re</w:t>
      </w:r>
      <w:r>
        <w:rPr>
          <w:rFonts w:ascii="Times New Roman" w:eastAsia="宋体" w:hAnsi="Times New Roman"/>
          <w:color w:val="000000"/>
          <w:sz w:val="20"/>
          <w:szCs w:val="20"/>
        </w:rPr>
        <w:t>asonable detail, accurately and fairly reflect the transactions and dispositions of assets, (b) provide reasonable assurance that transactions are recorded as necessary to permit preparation of financial statements in accordance with generally accepted acc</w:t>
      </w:r>
      <w:r>
        <w:rPr>
          <w:rFonts w:ascii="Times New Roman" w:eastAsia="宋体" w:hAnsi="Times New Roman"/>
          <w:color w:val="000000"/>
          <w:sz w:val="20"/>
          <w:szCs w:val="20"/>
        </w:rPr>
        <w:t>ounting principles, (c) provide reasonable assurance that receipts and expenditures are being made only in accordance with appropriate authorization of management and the board of directors, and (d) provide reasonable assurance regarding prevention or time</w:t>
      </w:r>
      <w:r>
        <w:rPr>
          <w:rFonts w:ascii="Times New Roman" w:eastAsia="宋体" w:hAnsi="Times New Roman"/>
          <w:color w:val="000000"/>
          <w:sz w:val="20"/>
          <w:szCs w:val="20"/>
        </w:rPr>
        <w:t>ly detection of unauthorized acquisition, use, or disposition of assets that could have a material effect on the financial statements.</w:t>
      </w:r>
    </w:p>
    <w:p w14:paraId="7DD0213A" w14:textId="77777777" w:rsidR="00C1563E" w:rsidRDefault="00C1563E"/>
    <w:p w14:paraId="7DD0213B" w14:textId="77777777" w:rsidR="00C1563E" w:rsidRDefault="000B648B">
      <w:r>
        <w:rPr>
          <w:rFonts w:ascii="Times New Roman" w:eastAsia="宋体" w:hAnsi="Times New Roman"/>
          <w:color w:val="000000"/>
          <w:sz w:val="20"/>
          <w:szCs w:val="20"/>
        </w:rPr>
        <w:t>In connection with the preparation of this report, our management, under the supervision and with the participation of o</w:t>
      </w:r>
      <w:r>
        <w:rPr>
          <w:rFonts w:ascii="Times New Roman" w:eastAsia="宋体" w:hAnsi="Times New Roman"/>
          <w:color w:val="000000"/>
          <w:sz w:val="20"/>
          <w:szCs w:val="20"/>
        </w:rPr>
        <w:t>ur Chief Executive Officer and Chief Financial Officer, conducted an evaluation of the effectiveness of our internal control over financial reporting as of January 29, 2021, based on the criteria established in </w:t>
      </w:r>
      <w:r>
        <w:rPr>
          <w:rFonts w:ascii="Times New Roman" w:eastAsia="宋体" w:hAnsi="Times New Roman"/>
          <w:i/>
          <w:iCs/>
          <w:color w:val="000000"/>
          <w:sz w:val="20"/>
          <w:szCs w:val="20"/>
        </w:rPr>
        <w:t>Internal Control — Integrated Framework (2013</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issued by the Committee of Sponsoring Organizations of the Treadway Commission. As a result of that evaluation, management has concluded that our internal control over financial reporting was effective as of January 29, 2021. </w:t>
      </w:r>
    </w:p>
    <w:p w14:paraId="7DD0213C" w14:textId="77777777" w:rsidR="00C1563E" w:rsidRDefault="00C1563E"/>
    <w:p w14:paraId="7DD0213D" w14:textId="77777777" w:rsidR="00C1563E" w:rsidRDefault="000B648B">
      <w:r>
        <w:rPr>
          <w:rFonts w:ascii="Times New Roman" w:eastAsia="宋体" w:hAnsi="Times New Roman"/>
          <w:color w:val="000000"/>
          <w:sz w:val="20"/>
          <w:szCs w:val="20"/>
        </w:rPr>
        <w:t>The effectiveness of our i</w:t>
      </w:r>
      <w:r>
        <w:rPr>
          <w:rFonts w:ascii="Times New Roman" w:eastAsia="宋体" w:hAnsi="Times New Roman"/>
          <w:color w:val="000000"/>
          <w:sz w:val="20"/>
          <w:szCs w:val="20"/>
        </w:rPr>
        <w:t>nternal control over financial reporting as of January 29, 2021 has been audited by PricewaterhouseCoopers LLP, our independent registered public accounting firm, as stated in their report, which is included in “Item 8 — Financial Statements and Supplement</w:t>
      </w:r>
      <w:r>
        <w:rPr>
          <w:rFonts w:ascii="Times New Roman" w:eastAsia="宋体" w:hAnsi="Times New Roman"/>
          <w:color w:val="000000"/>
          <w:sz w:val="20"/>
          <w:szCs w:val="20"/>
        </w:rPr>
        <w:t>ary Data.”</w:t>
      </w:r>
    </w:p>
    <w:p w14:paraId="7DD0213E" w14:textId="77777777" w:rsidR="00C1563E" w:rsidRDefault="00C1563E"/>
    <w:p w14:paraId="7DD0213F" w14:textId="77777777" w:rsidR="00C1563E" w:rsidRDefault="00C1563E">
      <w:pPr>
        <w:jc w:val="center"/>
      </w:pPr>
    </w:p>
    <w:p w14:paraId="7DD02140" w14:textId="77777777" w:rsidR="00C1563E" w:rsidRDefault="000B648B">
      <w:pPr>
        <w:jc w:val="center"/>
      </w:pPr>
      <w:r>
        <w:rPr>
          <w:rFonts w:ascii="Times New Roman" w:eastAsia="宋体" w:hAnsi="Times New Roman"/>
          <w:color w:val="000000"/>
          <w:sz w:val="20"/>
          <w:szCs w:val="20"/>
        </w:rPr>
        <w:t>168</w:t>
      </w:r>
    </w:p>
    <w:p w14:paraId="7DD02141" w14:textId="77777777" w:rsidR="00C1563E" w:rsidRDefault="00C1563E">
      <w:pPr>
        <w:jc w:val="center"/>
      </w:pPr>
    </w:p>
    <w:p w14:paraId="7DD02142" w14:textId="77777777" w:rsidR="00C1563E" w:rsidRDefault="000B648B">
      <w:r>
        <w:pict w14:anchorId="7DD02612">
          <v:rect id="_x0000_i1192" style="width:415.3pt;height:1.5pt" o:hralign="center" o:hrstd="t" o:hr="t" fillcolor="#a0a0a0" stroked="f"/>
        </w:pict>
      </w:r>
    </w:p>
    <w:p w14:paraId="7DD02143" w14:textId="77777777" w:rsidR="00C1563E" w:rsidRDefault="000B648B">
      <w:hyperlink r:id="rId351" w:anchor="i418e32e4a35149ffbf7d3a25d66881b8_10" w:history="1">
        <w:r>
          <w:rPr>
            <w:rStyle w:val="a5"/>
            <w:rFonts w:ascii="Times New Roman" w:eastAsia="宋体" w:hAnsi="Times New Roman"/>
            <w:sz w:val="20"/>
            <w:szCs w:val="20"/>
          </w:rPr>
          <w:t>Table of Contents</w:t>
        </w:r>
      </w:hyperlink>
    </w:p>
    <w:p w14:paraId="7DD02144" w14:textId="77777777" w:rsidR="00C1563E" w:rsidRDefault="000B648B">
      <w:r>
        <w:rPr>
          <w:rFonts w:ascii="Times New Roman" w:eastAsia="宋体" w:hAnsi="Times New Roman"/>
          <w:b/>
          <w:bCs/>
          <w:color w:val="000000"/>
          <w:sz w:val="20"/>
          <w:szCs w:val="20"/>
        </w:rPr>
        <w:t>Changes in Internal Control Over Financial Reporting</w:t>
      </w:r>
    </w:p>
    <w:p w14:paraId="7DD02145" w14:textId="77777777" w:rsidR="00C1563E" w:rsidRDefault="00C1563E"/>
    <w:p w14:paraId="7DD02146" w14:textId="77777777" w:rsidR="00C1563E" w:rsidRDefault="000B648B">
      <w:r>
        <w:rPr>
          <w:rFonts w:ascii="Times New Roman" w:eastAsia="宋体" w:hAnsi="Times New Roman"/>
          <w:color w:val="000000"/>
          <w:sz w:val="20"/>
          <w:szCs w:val="20"/>
        </w:rPr>
        <w:t>There were</w:t>
      </w:r>
      <w:r>
        <w:rPr>
          <w:rFonts w:ascii="Times New Roman" w:eastAsia="宋体" w:hAnsi="Times New Roman"/>
          <w:color w:val="000000"/>
          <w:sz w:val="20"/>
          <w:szCs w:val="20"/>
        </w:rPr>
        <w:t xml:space="preserve"> no changes in our internal control over financial reporting during the fiscal quarter ended January 29, 2021 that have materially affected, or are reasonably likely to materially affect, our internal control over financial reporting. </w:t>
      </w:r>
    </w:p>
    <w:p w14:paraId="7DD02147" w14:textId="77777777" w:rsidR="00C1563E" w:rsidRDefault="00C1563E"/>
    <w:p w14:paraId="7DD02148" w14:textId="77777777" w:rsidR="00C1563E" w:rsidRDefault="000B648B">
      <w:r>
        <w:rPr>
          <w:rFonts w:ascii="Times New Roman" w:eastAsia="宋体" w:hAnsi="Times New Roman"/>
          <w:color w:val="000000"/>
          <w:sz w:val="20"/>
          <w:szCs w:val="20"/>
        </w:rPr>
        <w:t>We have not experie</w:t>
      </w:r>
      <w:r>
        <w:rPr>
          <w:rFonts w:ascii="Times New Roman" w:eastAsia="宋体" w:hAnsi="Times New Roman"/>
          <w:color w:val="000000"/>
          <w:sz w:val="20"/>
          <w:szCs w:val="20"/>
        </w:rPr>
        <w:t xml:space="preserve">nced any material impact to our internal control over financial reporting. Most of our employees are working remotely for their health and safety during the COVID-19 pandemic. We are continually monitoring and assessing the potential impact of COVID-19 on </w:t>
      </w:r>
      <w:r>
        <w:rPr>
          <w:rFonts w:ascii="Times New Roman" w:eastAsia="宋体" w:hAnsi="Times New Roman"/>
          <w:color w:val="000000"/>
          <w:sz w:val="20"/>
          <w:szCs w:val="20"/>
        </w:rPr>
        <w:t>our internal controls to minimize the impact on their design and operating effectiveness.</w:t>
      </w:r>
    </w:p>
    <w:p w14:paraId="7DD02149" w14:textId="77777777" w:rsidR="00C1563E" w:rsidRDefault="00C1563E"/>
    <w:p w14:paraId="7DD0214A" w14:textId="77777777" w:rsidR="00C1563E" w:rsidRDefault="000B648B">
      <w:r>
        <w:rPr>
          <w:rFonts w:ascii="Times New Roman" w:eastAsia="宋体" w:hAnsi="Times New Roman"/>
          <w:b/>
          <w:bCs/>
          <w:color w:val="000000"/>
          <w:sz w:val="20"/>
          <w:szCs w:val="20"/>
        </w:rPr>
        <w:t>Limitations on the Effectiveness of Controls</w:t>
      </w:r>
    </w:p>
    <w:p w14:paraId="7DD0214B" w14:textId="77777777" w:rsidR="00C1563E" w:rsidRDefault="00C1563E"/>
    <w:p w14:paraId="7DD0214C" w14:textId="77777777" w:rsidR="00C1563E" w:rsidRDefault="000B648B">
      <w:r>
        <w:rPr>
          <w:rFonts w:ascii="Times New Roman" w:eastAsia="宋体" w:hAnsi="Times New Roman"/>
          <w:color w:val="000000"/>
          <w:sz w:val="20"/>
          <w:szCs w:val="20"/>
        </w:rPr>
        <w:t>Our system of controls is designed to provide reasonable, not absolute, assurance regarding the reliability and integri</w:t>
      </w:r>
      <w:r>
        <w:rPr>
          <w:rFonts w:ascii="Times New Roman" w:eastAsia="宋体" w:hAnsi="Times New Roman"/>
          <w:color w:val="000000"/>
          <w:sz w:val="20"/>
          <w:szCs w:val="20"/>
        </w:rPr>
        <w:t>ty of accounting and financial reporting. Management does not expect that our disclosure controls and procedures or our internal control over financial reporting will prevent or detect all errors and all fraud. A control system, no matter how well designed</w:t>
      </w:r>
      <w:r>
        <w:rPr>
          <w:rFonts w:ascii="Times New Roman" w:eastAsia="宋体" w:hAnsi="Times New Roman"/>
          <w:color w:val="000000"/>
          <w:sz w:val="20"/>
          <w:szCs w:val="20"/>
        </w:rPr>
        <w:t xml:space="preserve"> and operated, can provide only reasonable, not absolute, assurance that the objectives of the control system will be met. These inherent limitations include the following:</w:t>
      </w:r>
    </w:p>
    <w:p w14:paraId="7DD0214D" w14:textId="77777777" w:rsidR="00C1563E" w:rsidRDefault="00C1563E"/>
    <w:p w14:paraId="7DD0214E" w14:textId="77777777" w:rsidR="00C1563E" w:rsidRDefault="000B648B">
      <w:pPr>
        <w:ind w:hanging="360"/>
      </w:pPr>
      <w:r>
        <w:rPr>
          <w:rFonts w:ascii="Times New Roman" w:eastAsia="宋体" w:hAnsi="Times New Roman"/>
          <w:color w:val="000000"/>
          <w:sz w:val="20"/>
          <w:szCs w:val="20"/>
        </w:rPr>
        <w:t xml:space="preserve">•Judgments in decision-making can be faulty, and control and process </w:t>
      </w:r>
      <w:r>
        <w:rPr>
          <w:rFonts w:ascii="Times New Roman" w:eastAsia="宋体" w:hAnsi="Times New Roman"/>
          <w:color w:val="000000"/>
          <w:sz w:val="20"/>
          <w:szCs w:val="20"/>
        </w:rPr>
        <w:t>breakdowns can occur because of simple errors or mistakes.</w:t>
      </w:r>
    </w:p>
    <w:p w14:paraId="7DD0214F" w14:textId="77777777" w:rsidR="00C1563E" w:rsidRDefault="00C1563E"/>
    <w:p w14:paraId="7DD02150" w14:textId="77777777" w:rsidR="00C1563E" w:rsidRDefault="000B648B">
      <w:pPr>
        <w:ind w:hanging="360"/>
      </w:pPr>
      <w:r>
        <w:rPr>
          <w:rFonts w:ascii="Times New Roman" w:eastAsia="宋体" w:hAnsi="Times New Roman"/>
          <w:color w:val="000000"/>
          <w:sz w:val="20"/>
          <w:szCs w:val="20"/>
        </w:rPr>
        <w:t>•Controls can be circumvented by individuals, acting alone or in collusion with each other, or by management override.</w:t>
      </w:r>
    </w:p>
    <w:p w14:paraId="7DD02151" w14:textId="77777777" w:rsidR="00C1563E" w:rsidRDefault="00C1563E"/>
    <w:p w14:paraId="7DD02152" w14:textId="77777777" w:rsidR="00C1563E" w:rsidRDefault="000B648B">
      <w:pPr>
        <w:ind w:hanging="360"/>
      </w:pPr>
      <w:r>
        <w:rPr>
          <w:rFonts w:ascii="Times New Roman" w:eastAsia="宋体" w:hAnsi="Times New Roman"/>
          <w:color w:val="000000"/>
          <w:sz w:val="20"/>
          <w:szCs w:val="20"/>
        </w:rPr>
        <w:t xml:space="preserve">•The design of any system of controls is based in part on certain </w:t>
      </w:r>
      <w:r>
        <w:rPr>
          <w:rFonts w:ascii="Times New Roman" w:eastAsia="宋体" w:hAnsi="Times New Roman"/>
          <w:color w:val="000000"/>
          <w:sz w:val="20"/>
          <w:szCs w:val="20"/>
        </w:rPr>
        <w:t>assumptions about the likelihood of future events, and there can be no assurance that any design will succeed in achieving its stated goals under all potential future conditions.</w:t>
      </w:r>
    </w:p>
    <w:p w14:paraId="7DD02153" w14:textId="77777777" w:rsidR="00C1563E" w:rsidRDefault="00C1563E"/>
    <w:p w14:paraId="7DD02154" w14:textId="77777777" w:rsidR="00C1563E" w:rsidRDefault="000B648B">
      <w:pPr>
        <w:ind w:hanging="360"/>
      </w:pPr>
      <w:r>
        <w:rPr>
          <w:rFonts w:ascii="Times New Roman" w:eastAsia="宋体" w:hAnsi="Times New Roman"/>
          <w:color w:val="000000"/>
          <w:sz w:val="20"/>
          <w:szCs w:val="20"/>
        </w:rPr>
        <w:t xml:space="preserve">•Over time, controls may become inadequate because of changes in conditions </w:t>
      </w:r>
      <w:r>
        <w:rPr>
          <w:rFonts w:ascii="Times New Roman" w:eastAsia="宋体" w:hAnsi="Times New Roman"/>
          <w:color w:val="000000"/>
          <w:sz w:val="20"/>
          <w:szCs w:val="20"/>
        </w:rPr>
        <w:t>or deterioration in the degree of compliance with associated policies or procedures.</w:t>
      </w:r>
    </w:p>
    <w:p w14:paraId="7DD02155" w14:textId="77777777" w:rsidR="00C1563E" w:rsidRDefault="00C1563E"/>
    <w:p w14:paraId="7DD02156" w14:textId="77777777" w:rsidR="00C1563E" w:rsidRDefault="000B648B">
      <w:pPr>
        <w:ind w:hanging="360"/>
      </w:pPr>
      <w:r>
        <w:rPr>
          <w:rFonts w:ascii="Times New Roman" w:eastAsia="宋体" w:hAnsi="Times New Roman"/>
          <w:color w:val="000000"/>
          <w:sz w:val="20"/>
          <w:szCs w:val="20"/>
        </w:rPr>
        <w:t>•The design of a control system must reflect the fact that resources are constrained, and the benefits of controls must be considered relative to their costs.</w:t>
      </w:r>
    </w:p>
    <w:p w14:paraId="7DD02157" w14:textId="77777777" w:rsidR="00C1563E" w:rsidRDefault="00C1563E"/>
    <w:p w14:paraId="7DD02158" w14:textId="77777777" w:rsidR="00C1563E" w:rsidRDefault="00C1563E">
      <w:pPr>
        <w:jc w:val="center"/>
      </w:pPr>
    </w:p>
    <w:p w14:paraId="7DD02159" w14:textId="77777777" w:rsidR="00C1563E" w:rsidRDefault="000B648B">
      <w:pPr>
        <w:jc w:val="center"/>
      </w:pPr>
      <w:r>
        <w:rPr>
          <w:rFonts w:ascii="Times New Roman" w:eastAsia="宋体" w:hAnsi="Times New Roman"/>
          <w:color w:val="000000"/>
          <w:sz w:val="20"/>
          <w:szCs w:val="20"/>
        </w:rPr>
        <w:t>169</w:t>
      </w:r>
    </w:p>
    <w:p w14:paraId="7DD0215A" w14:textId="77777777" w:rsidR="00C1563E" w:rsidRDefault="00C1563E">
      <w:pPr>
        <w:jc w:val="center"/>
      </w:pPr>
    </w:p>
    <w:p w14:paraId="7DD0215B" w14:textId="77777777" w:rsidR="00C1563E" w:rsidRDefault="000B648B">
      <w:r>
        <w:pict w14:anchorId="7DD02613">
          <v:rect id="_x0000_i1193" style="width:415.3pt;height:1.5pt" o:hralign="center" o:hrstd="t" o:hr="t" fillcolor="#a0a0a0" stroked="f"/>
        </w:pict>
      </w:r>
    </w:p>
    <w:p w14:paraId="7DD0215C" w14:textId="77777777" w:rsidR="00C1563E" w:rsidRDefault="000B648B">
      <w:hyperlink r:id="rId352" w:anchor="i418e32e4a35149ffbf7d3a25d66881b8_10" w:history="1">
        <w:r>
          <w:rPr>
            <w:rStyle w:val="a5"/>
            <w:rFonts w:ascii="Times New Roman" w:eastAsia="宋体" w:hAnsi="Times New Roman"/>
            <w:sz w:val="20"/>
            <w:szCs w:val="20"/>
          </w:rPr>
          <w:t>Table of Contents</w:t>
        </w:r>
      </w:hyperlink>
    </w:p>
    <w:p w14:paraId="7DD0215D" w14:textId="77777777" w:rsidR="00C1563E" w:rsidRDefault="000B648B">
      <w:r>
        <w:rPr>
          <w:rFonts w:ascii="Times New Roman" w:eastAsia="宋体" w:hAnsi="Times New Roman"/>
          <w:b/>
          <w:bCs/>
          <w:color w:val="000000"/>
          <w:sz w:val="20"/>
          <w:szCs w:val="20"/>
        </w:rPr>
        <w:t>ITEM 9B — OTHER INFORMATION</w:t>
      </w:r>
    </w:p>
    <w:p w14:paraId="7DD0215E" w14:textId="77777777" w:rsidR="00C1563E" w:rsidRDefault="00C1563E"/>
    <w:p w14:paraId="7DD0215F" w14:textId="77777777" w:rsidR="00C1563E" w:rsidRDefault="000B648B">
      <w:r>
        <w:rPr>
          <w:rFonts w:ascii="Times New Roman" w:eastAsia="宋体" w:hAnsi="Times New Roman"/>
          <w:color w:val="000000"/>
          <w:sz w:val="20"/>
          <w:szCs w:val="20"/>
        </w:rPr>
        <w:t>None.</w:t>
      </w:r>
    </w:p>
    <w:p w14:paraId="7DD02160" w14:textId="77777777" w:rsidR="00C1563E" w:rsidRDefault="00C1563E"/>
    <w:p w14:paraId="7DD02161" w14:textId="77777777" w:rsidR="00C1563E" w:rsidRDefault="000B648B">
      <w:pPr>
        <w:jc w:val="center"/>
      </w:pPr>
      <w:r>
        <w:rPr>
          <w:rFonts w:ascii="Times New Roman" w:eastAsia="宋体" w:hAnsi="Times New Roman"/>
          <w:b/>
          <w:bCs/>
          <w:color w:val="000000"/>
          <w:sz w:val="20"/>
          <w:szCs w:val="20"/>
        </w:rPr>
        <w:t>PART III</w:t>
      </w:r>
    </w:p>
    <w:p w14:paraId="7DD02162" w14:textId="77777777" w:rsidR="00C1563E" w:rsidRDefault="00C1563E">
      <w:pPr>
        <w:jc w:val="center"/>
      </w:pPr>
    </w:p>
    <w:p w14:paraId="7DD02163" w14:textId="77777777" w:rsidR="00C1563E" w:rsidRDefault="000B648B">
      <w:r>
        <w:rPr>
          <w:rFonts w:ascii="Times New Roman" w:eastAsia="宋体" w:hAnsi="Times New Roman"/>
          <w:b/>
          <w:bCs/>
          <w:color w:val="000000"/>
          <w:sz w:val="20"/>
          <w:szCs w:val="20"/>
        </w:rPr>
        <w:t>ITEM 10 — DIRECTORS, EXECUTIVE OFFICERS,</w:t>
      </w:r>
      <w:r>
        <w:rPr>
          <w:rFonts w:ascii="Times New Roman" w:eastAsia="宋体" w:hAnsi="Times New Roman"/>
          <w:b/>
          <w:bCs/>
          <w:color w:val="000000"/>
          <w:sz w:val="20"/>
          <w:szCs w:val="20"/>
        </w:rPr>
        <w:t xml:space="preserve"> AND CORPORATE GOVERNANCE</w:t>
      </w:r>
    </w:p>
    <w:p w14:paraId="7DD02164" w14:textId="77777777" w:rsidR="00C1563E" w:rsidRDefault="00C1563E"/>
    <w:p w14:paraId="7DD02165" w14:textId="77777777" w:rsidR="00C1563E" w:rsidRDefault="000B648B">
      <w:r>
        <w:rPr>
          <w:rFonts w:ascii="Times New Roman" w:eastAsia="宋体" w:hAnsi="Times New Roman"/>
          <w:color w:val="000000"/>
          <w:sz w:val="20"/>
          <w:szCs w:val="20"/>
        </w:rPr>
        <w:t>We have adopted a code of ethics applicable to our principal executive officer and our other senior financial officers. The code of ethics, which we refer to as our Code of Ethics for Senior Financial Officers, is available on th</w:t>
      </w:r>
      <w:r>
        <w:rPr>
          <w:rFonts w:ascii="Times New Roman" w:eastAsia="宋体" w:hAnsi="Times New Roman"/>
          <w:color w:val="000000"/>
          <w:sz w:val="20"/>
          <w:szCs w:val="20"/>
        </w:rPr>
        <w:t>e Investor Relations page of our website at www.delltechnologies.com. To the extent required by SEC rules, we intend to disclose any amendments to this code and any waiver of a provision of the code for the benefit of any senior financial officers on our w</w:t>
      </w:r>
      <w:r>
        <w:rPr>
          <w:rFonts w:ascii="Times New Roman" w:eastAsia="宋体" w:hAnsi="Times New Roman"/>
          <w:color w:val="000000"/>
          <w:sz w:val="20"/>
          <w:szCs w:val="20"/>
        </w:rPr>
        <w:t>ebsite within any period that may be required under SEC rules from time to time.</w:t>
      </w:r>
    </w:p>
    <w:p w14:paraId="7DD02166" w14:textId="77777777" w:rsidR="00C1563E" w:rsidRDefault="00C1563E"/>
    <w:p w14:paraId="7DD02167" w14:textId="77777777" w:rsidR="00C1563E" w:rsidRDefault="000B648B">
      <w:r>
        <w:rPr>
          <w:rFonts w:ascii="Times New Roman" w:eastAsia="宋体" w:hAnsi="Times New Roman"/>
          <w:color w:val="000000"/>
          <w:sz w:val="20"/>
          <w:szCs w:val="20"/>
        </w:rPr>
        <w:t>See “Part I — Item 1 — Business — Information about our Executive Officers” for more information about our executive officers, which is incorporated by reference in this Item</w:t>
      </w:r>
      <w:r>
        <w:rPr>
          <w:rFonts w:ascii="Times New Roman" w:eastAsia="宋体" w:hAnsi="Times New Roman"/>
          <w:color w:val="000000"/>
          <w:sz w:val="20"/>
          <w:szCs w:val="20"/>
        </w:rPr>
        <w:t xml:space="preserve"> 10. Other information required by this Item 10 is incorporated herein by reference to our definitive proxy statement for our 2021 annual meeting of stockholders, referred to as the “2021 proxy statement,” which we will file with the SEC on or before 120 d</w:t>
      </w:r>
      <w:r>
        <w:rPr>
          <w:rFonts w:ascii="Times New Roman" w:eastAsia="宋体" w:hAnsi="Times New Roman"/>
          <w:color w:val="000000"/>
          <w:sz w:val="20"/>
          <w:szCs w:val="20"/>
        </w:rPr>
        <w:t>ays after our 2021 fiscal year-end, and which will appear in the 2021 proxy statement under the captions “Proposal 1 — Election of Directors” and “Additional Information — Delinquent Section 16(a) Reports.”</w:t>
      </w:r>
    </w:p>
    <w:p w14:paraId="7DD02168" w14:textId="77777777" w:rsidR="00C1563E" w:rsidRDefault="00C1563E"/>
    <w:p w14:paraId="7DD02169" w14:textId="77777777" w:rsidR="00C1563E" w:rsidRDefault="000B648B">
      <w:r>
        <w:rPr>
          <w:rFonts w:ascii="Times New Roman" w:eastAsia="宋体" w:hAnsi="Times New Roman"/>
          <w:color w:val="000000"/>
          <w:sz w:val="20"/>
          <w:szCs w:val="20"/>
        </w:rPr>
        <w:t>The following information about the members of o</w:t>
      </w:r>
      <w:r>
        <w:rPr>
          <w:rFonts w:ascii="Times New Roman" w:eastAsia="宋体" w:hAnsi="Times New Roman"/>
          <w:color w:val="000000"/>
          <w:sz w:val="20"/>
          <w:szCs w:val="20"/>
        </w:rPr>
        <w:t>ur board of directors and the principal occupation or employment of each director is provided as of the date of this report.</w:t>
      </w:r>
    </w:p>
    <w:p w14:paraId="7DD0216A" w14:textId="77777777" w:rsidR="00C1563E" w:rsidRDefault="00C1563E"/>
    <w:tbl>
      <w:tblPr>
        <w:tblW w:w="4664" w:type="pct"/>
        <w:jc w:val="center"/>
        <w:tblCellMar>
          <w:top w:w="15" w:type="dxa"/>
          <w:left w:w="15" w:type="dxa"/>
          <w:bottom w:w="15" w:type="dxa"/>
          <w:right w:w="15" w:type="dxa"/>
        </w:tblCellMar>
        <w:tblLook w:val="04A0" w:firstRow="1" w:lastRow="0" w:firstColumn="1" w:lastColumn="0" w:noHBand="0" w:noVBand="1"/>
      </w:tblPr>
      <w:tblGrid>
        <w:gridCol w:w="64"/>
        <w:gridCol w:w="3788"/>
        <w:gridCol w:w="36"/>
        <w:gridCol w:w="64"/>
        <w:gridCol w:w="3788"/>
        <w:gridCol w:w="36"/>
      </w:tblGrid>
      <w:tr w:rsidR="00C1563E" w14:paraId="7DD02171" w14:textId="77777777">
        <w:trPr>
          <w:jc w:val="center"/>
        </w:trPr>
        <w:tc>
          <w:tcPr>
            <w:tcW w:w="50" w:type="pct"/>
            <w:shd w:val="clear" w:color="auto" w:fill="auto"/>
          </w:tcPr>
          <w:p w14:paraId="7DD0216B" w14:textId="77777777" w:rsidR="00C1563E" w:rsidRDefault="00C1563E">
            <w:pPr>
              <w:rPr>
                <w:rFonts w:ascii="宋体"/>
              </w:rPr>
            </w:pPr>
          </w:p>
        </w:tc>
        <w:tc>
          <w:tcPr>
            <w:tcW w:w="2445" w:type="pct"/>
            <w:shd w:val="clear" w:color="auto" w:fill="auto"/>
          </w:tcPr>
          <w:p w14:paraId="7DD0216C" w14:textId="77777777" w:rsidR="00C1563E" w:rsidRDefault="00C1563E">
            <w:pPr>
              <w:rPr>
                <w:rFonts w:ascii="宋体"/>
              </w:rPr>
            </w:pPr>
          </w:p>
        </w:tc>
        <w:tc>
          <w:tcPr>
            <w:tcW w:w="5" w:type="pct"/>
            <w:shd w:val="clear" w:color="auto" w:fill="auto"/>
          </w:tcPr>
          <w:p w14:paraId="7DD0216D" w14:textId="77777777" w:rsidR="00C1563E" w:rsidRDefault="00C1563E">
            <w:pPr>
              <w:rPr>
                <w:rFonts w:ascii="宋体"/>
              </w:rPr>
            </w:pPr>
          </w:p>
        </w:tc>
        <w:tc>
          <w:tcPr>
            <w:tcW w:w="50" w:type="pct"/>
            <w:shd w:val="clear" w:color="auto" w:fill="auto"/>
          </w:tcPr>
          <w:p w14:paraId="7DD0216E" w14:textId="77777777" w:rsidR="00C1563E" w:rsidRDefault="00C1563E">
            <w:pPr>
              <w:rPr>
                <w:rFonts w:ascii="宋体"/>
              </w:rPr>
            </w:pPr>
          </w:p>
        </w:tc>
        <w:tc>
          <w:tcPr>
            <w:tcW w:w="2445" w:type="pct"/>
            <w:shd w:val="clear" w:color="auto" w:fill="auto"/>
          </w:tcPr>
          <w:p w14:paraId="7DD0216F" w14:textId="77777777" w:rsidR="00C1563E" w:rsidRDefault="00C1563E">
            <w:pPr>
              <w:rPr>
                <w:rFonts w:ascii="宋体"/>
              </w:rPr>
            </w:pPr>
          </w:p>
        </w:tc>
        <w:tc>
          <w:tcPr>
            <w:tcW w:w="5" w:type="pct"/>
            <w:shd w:val="clear" w:color="auto" w:fill="auto"/>
          </w:tcPr>
          <w:p w14:paraId="7DD02170" w14:textId="77777777" w:rsidR="00C1563E" w:rsidRDefault="00C1563E">
            <w:pPr>
              <w:rPr>
                <w:rFonts w:ascii="宋体"/>
              </w:rPr>
            </w:pPr>
          </w:p>
        </w:tc>
      </w:tr>
      <w:tr w:rsidR="00C1563E" w14:paraId="7DD02177" w14:textId="77777777">
        <w:trPr>
          <w:jc w:val="center"/>
        </w:trPr>
        <w:tc>
          <w:tcPr>
            <w:tcW w:w="0" w:type="auto"/>
            <w:gridSpan w:val="3"/>
            <w:shd w:val="clear" w:color="auto" w:fill="auto"/>
            <w:tcMar>
              <w:top w:w="40" w:type="dxa"/>
              <w:left w:w="20" w:type="dxa"/>
              <w:bottom w:w="40" w:type="dxa"/>
              <w:right w:w="20" w:type="dxa"/>
            </w:tcMar>
          </w:tcPr>
          <w:p w14:paraId="7DD02172" w14:textId="77777777" w:rsidR="00C1563E" w:rsidRDefault="000B648B">
            <w:pPr>
              <w:jc w:val="center"/>
              <w:textAlignment w:val="top"/>
            </w:pPr>
            <w:r>
              <w:rPr>
                <w:rFonts w:ascii="Times New Roman" w:eastAsia="宋体" w:hAnsi="Times New Roman"/>
                <w:color w:val="000000"/>
                <w:sz w:val="20"/>
                <w:szCs w:val="20"/>
              </w:rPr>
              <w:t>Michael S. Dell</w:t>
            </w:r>
          </w:p>
          <w:p w14:paraId="7DD02173" w14:textId="77777777" w:rsidR="00C1563E" w:rsidRDefault="000B648B">
            <w:pPr>
              <w:jc w:val="center"/>
              <w:textAlignment w:val="top"/>
            </w:pPr>
            <w:r>
              <w:rPr>
                <w:rFonts w:ascii="Times New Roman" w:eastAsia="宋体" w:hAnsi="Times New Roman"/>
                <w:color w:val="000000"/>
                <w:sz w:val="20"/>
                <w:szCs w:val="20"/>
              </w:rPr>
              <w:t>Chairman and Chief Executive Officer</w:t>
            </w:r>
          </w:p>
          <w:p w14:paraId="7DD02174" w14:textId="77777777" w:rsidR="00C1563E" w:rsidRDefault="000B648B">
            <w:pPr>
              <w:jc w:val="center"/>
              <w:textAlignment w:val="top"/>
            </w:pPr>
            <w:r>
              <w:rPr>
                <w:rFonts w:ascii="Times New Roman" w:eastAsia="宋体" w:hAnsi="Times New Roman"/>
                <w:color w:val="000000"/>
                <w:sz w:val="20"/>
                <w:szCs w:val="20"/>
              </w:rPr>
              <w:t>Dell Technologies Inc.</w:t>
            </w:r>
          </w:p>
        </w:tc>
        <w:tc>
          <w:tcPr>
            <w:tcW w:w="0" w:type="auto"/>
            <w:gridSpan w:val="3"/>
            <w:shd w:val="clear" w:color="auto" w:fill="auto"/>
            <w:tcMar>
              <w:top w:w="40" w:type="dxa"/>
              <w:left w:w="20" w:type="dxa"/>
              <w:bottom w:w="40" w:type="dxa"/>
              <w:right w:w="20" w:type="dxa"/>
            </w:tcMar>
          </w:tcPr>
          <w:p w14:paraId="7DD02175" w14:textId="77777777" w:rsidR="00C1563E" w:rsidRDefault="000B648B">
            <w:pPr>
              <w:jc w:val="center"/>
              <w:textAlignment w:val="top"/>
            </w:pPr>
            <w:r>
              <w:rPr>
                <w:rFonts w:ascii="Times New Roman" w:eastAsia="宋体" w:hAnsi="Times New Roman"/>
                <w:color w:val="000000"/>
                <w:sz w:val="20"/>
                <w:szCs w:val="20"/>
              </w:rPr>
              <w:t>Lynn Vojvodich</w:t>
            </w:r>
          </w:p>
          <w:p w14:paraId="7DD02176" w14:textId="77777777" w:rsidR="00C1563E" w:rsidRDefault="000B648B">
            <w:pPr>
              <w:jc w:val="center"/>
              <w:textAlignment w:val="top"/>
            </w:pPr>
            <w:r>
              <w:rPr>
                <w:rFonts w:ascii="Times New Roman" w:eastAsia="宋体" w:hAnsi="Times New Roman"/>
                <w:color w:val="000000"/>
                <w:sz w:val="20"/>
                <w:szCs w:val="20"/>
              </w:rPr>
              <w:t>Public Company Director</w:t>
            </w:r>
          </w:p>
        </w:tc>
      </w:tr>
      <w:tr w:rsidR="00C1563E" w14:paraId="7DD0217A" w14:textId="77777777">
        <w:trPr>
          <w:trHeight w:val="300"/>
          <w:jc w:val="center"/>
        </w:trPr>
        <w:tc>
          <w:tcPr>
            <w:tcW w:w="0" w:type="auto"/>
            <w:gridSpan w:val="3"/>
            <w:shd w:val="clear" w:color="auto" w:fill="auto"/>
            <w:tcMar>
              <w:top w:w="0" w:type="dxa"/>
              <w:left w:w="20" w:type="dxa"/>
              <w:bottom w:w="0" w:type="dxa"/>
              <w:right w:w="20" w:type="dxa"/>
            </w:tcMar>
          </w:tcPr>
          <w:p w14:paraId="7DD0217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179" w14:textId="77777777" w:rsidR="00C1563E" w:rsidRDefault="00C1563E">
            <w:pPr>
              <w:rPr>
                <w:rFonts w:ascii="宋体"/>
              </w:rPr>
            </w:pPr>
          </w:p>
        </w:tc>
      </w:tr>
      <w:tr w:rsidR="00C1563E" w14:paraId="7DD02181" w14:textId="77777777">
        <w:trPr>
          <w:jc w:val="center"/>
        </w:trPr>
        <w:tc>
          <w:tcPr>
            <w:tcW w:w="0" w:type="auto"/>
            <w:gridSpan w:val="3"/>
            <w:shd w:val="clear" w:color="auto" w:fill="auto"/>
            <w:tcMar>
              <w:top w:w="40" w:type="dxa"/>
              <w:left w:w="20" w:type="dxa"/>
              <w:bottom w:w="40" w:type="dxa"/>
              <w:right w:w="20" w:type="dxa"/>
            </w:tcMar>
          </w:tcPr>
          <w:p w14:paraId="7DD0217B" w14:textId="77777777" w:rsidR="00C1563E" w:rsidRDefault="000B648B">
            <w:pPr>
              <w:jc w:val="center"/>
              <w:textAlignment w:val="top"/>
            </w:pPr>
            <w:r>
              <w:rPr>
                <w:rFonts w:ascii="Times New Roman" w:eastAsia="宋体" w:hAnsi="Times New Roman"/>
                <w:color w:val="000000"/>
                <w:sz w:val="20"/>
                <w:szCs w:val="20"/>
              </w:rPr>
              <w:t>David W. Dorman</w:t>
            </w:r>
          </w:p>
          <w:p w14:paraId="7DD0217C" w14:textId="77777777" w:rsidR="00C1563E" w:rsidRDefault="000B648B">
            <w:pPr>
              <w:jc w:val="center"/>
              <w:textAlignment w:val="top"/>
            </w:pPr>
            <w:r>
              <w:rPr>
                <w:rFonts w:ascii="Times New Roman" w:eastAsia="宋体" w:hAnsi="Times New Roman"/>
                <w:color w:val="000000"/>
                <w:sz w:val="20"/>
                <w:szCs w:val="20"/>
              </w:rPr>
              <w:t>Founding Partner</w:t>
            </w:r>
          </w:p>
          <w:p w14:paraId="7DD0217D" w14:textId="77777777" w:rsidR="00C1563E" w:rsidRDefault="000B648B">
            <w:pPr>
              <w:jc w:val="center"/>
              <w:textAlignment w:val="top"/>
            </w:pPr>
            <w:r>
              <w:rPr>
                <w:rFonts w:ascii="Times New Roman" w:eastAsia="宋体" w:hAnsi="Times New Roman"/>
                <w:color w:val="000000"/>
                <w:sz w:val="20"/>
                <w:szCs w:val="20"/>
              </w:rPr>
              <w:t>Centerview Capital Technology</w:t>
            </w:r>
          </w:p>
          <w:p w14:paraId="7DD0217E" w14:textId="77777777" w:rsidR="00C1563E" w:rsidRDefault="000B648B">
            <w:pPr>
              <w:jc w:val="center"/>
              <w:textAlignment w:val="top"/>
            </w:pPr>
            <w:r>
              <w:rPr>
                <w:rFonts w:ascii="Times New Roman" w:eastAsia="宋体" w:hAnsi="Times New Roman"/>
                <w:color w:val="000000"/>
                <w:sz w:val="20"/>
                <w:szCs w:val="20"/>
              </w:rPr>
              <w:t>(investments)</w:t>
            </w:r>
          </w:p>
        </w:tc>
        <w:tc>
          <w:tcPr>
            <w:tcW w:w="0" w:type="auto"/>
            <w:gridSpan w:val="3"/>
            <w:shd w:val="clear" w:color="auto" w:fill="auto"/>
            <w:tcMar>
              <w:top w:w="40" w:type="dxa"/>
              <w:left w:w="20" w:type="dxa"/>
              <w:bottom w:w="40" w:type="dxa"/>
              <w:right w:w="20" w:type="dxa"/>
            </w:tcMar>
          </w:tcPr>
          <w:p w14:paraId="7DD0217F" w14:textId="77777777" w:rsidR="00C1563E" w:rsidRDefault="000B648B">
            <w:pPr>
              <w:jc w:val="center"/>
              <w:textAlignment w:val="top"/>
            </w:pPr>
            <w:r>
              <w:rPr>
                <w:rFonts w:ascii="Times New Roman" w:eastAsia="宋体" w:hAnsi="Times New Roman"/>
                <w:color w:val="000000"/>
                <w:sz w:val="20"/>
                <w:szCs w:val="20"/>
              </w:rPr>
              <w:t>Ellen J. Kullman</w:t>
            </w:r>
          </w:p>
          <w:p w14:paraId="7DD02180" w14:textId="77777777" w:rsidR="00C1563E" w:rsidRDefault="000B648B">
            <w:pPr>
              <w:jc w:val="center"/>
              <w:textAlignment w:val="top"/>
            </w:pPr>
            <w:r>
              <w:rPr>
                <w:rFonts w:ascii="Times New Roman" w:eastAsia="宋体" w:hAnsi="Times New Roman"/>
                <w:color w:val="000000"/>
                <w:sz w:val="20"/>
                <w:szCs w:val="20"/>
              </w:rPr>
              <w:t>Public Company Director</w:t>
            </w:r>
          </w:p>
        </w:tc>
      </w:tr>
      <w:tr w:rsidR="00C1563E" w14:paraId="7DD02184" w14:textId="77777777">
        <w:trPr>
          <w:trHeight w:val="300"/>
          <w:jc w:val="center"/>
        </w:trPr>
        <w:tc>
          <w:tcPr>
            <w:tcW w:w="0" w:type="auto"/>
            <w:gridSpan w:val="3"/>
            <w:shd w:val="clear" w:color="auto" w:fill="auto"/>
            <w:tcMar>
              <w:top w:w="0" w:type="dxa"/>
              <w:left w:w="20" w:type="dxa"/>
              <w:bottom w:w="0" w:type="dxa"/>
              <w:right w:w="20" w:type="dxa"/>
            </w:tcMar>
          </w:tcPr>
          <w:p w14:paraId="7DD0218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183" w14:textId="77777777" w:rsidR="00C1563E" w:rsidRDefault="00C1563E">
            <w:pPr>
              <w:rPr>
                <w:rFonts w:ascii="宋体"/>
              </w:rPr>
            </w:pPr>
          </w:p>
        </w:tc>
      </w:tr>
      <w:tr w:rsidR="00C1563E" w14:paraId="7DD0218D" w14:textId="77777777">
        <w:trPr>
          <w:jc w:val="center"/>
        </w:trPr>
        <w:tc>
          <w:tcPr>
            <w:tcW w:w="0" w:type="auto"/>
            <w:gridSpan w:val="3"/>
            <w:shd w:val="clear" w:color="auto" w:fill="auto"/>
            <w:tcMar>
              <w:top w:w="40" w:type="dxa"/>
              <w:left w:w="20" w:type="dxa"/>
              <w:bottom w:w="40" w:type="dxa"/>
              <w:right w:w="20" w:type="dxa"/>
            </w:tcMar>
          </w:tcPr>
          <w:p w14:paraId="7DD02185" w14:textId="77777777" w:rsidR="00C1563E" w:rsidRDefault="000B648B">
            <w:pPr>
              <w:jc w:val="center"/>
              <w:textAlignment w:val="top"/>
            </w:pPr>
            <w:r>
              <w:rPr>
                <w:rFonts w:ascii="Times New Roman" w:eastAsia="宋体" w:hAnsi="Times New Roman"/>
                <w:color w:val="000000"/>
                <w:sz w:val="20"/>
                <w:szCs w:val="20"/>
              </w:rPr>
              <w:t>Egon Durban</w:t>
            </w:r>
          </w:p>
          <w:p w14:paraId="7DD02186" w14:textId="77777777" w:rsidR="00C1563E" w:rsidRDefault="000B648B">
            <w:pPr>
              <w:jc w:val="center"/>
              <w:textAlignment w:val="top"/>
            </w:pPr>
            <w:r>
              <w:rPr>
                <w:rFonts w:ascii="Times New Roman" w:eastAsia="宋体" w:hAnsi="Times New Roman"/>
                <w:color w:val="000000"/>
                <w:sz w:val="20"/>
                <w:szCs w:val="20"/>
              </w:rPr>
              <w:t>Co-CEO</w:t>
            </w:r>
          </w:p>
          <w:p w14:paraId="7DD02187" w14:textId="77777777" w:rsidR="00C1563E" w:rsidRDefault="000B648B">
            <w:pPr>
              <w:jc w:val="center"/>
              <w:textAlignment w:val="top"/>
            </w:pPr>
            <w:r>
              <w:rPr>
                <w:rFonts w:ascii="Times New Roman" w:eastAsia="宋体" w:hAnsi="Times New Roman"/>
                <w:color w:val="000000"/>
                <w:sz w:val="20"/>
                <w:szCs w:val="20"/>
              </w:rPr>
              <w:t>Silver Lake Partners</w:t>
            </w:r>
          </w:p>
          <w:p w14:paraId="7DD02188" w14:textId="77777777" w:rsidR="00C1563E" w:rsidRDefault="000B648B">
            <w:pPr>
              <w:jc w:val="center"/>
              <w:textAlignment w:val="top"/>
            </w:pPr>
            <w:r>
              <w:rPr>
                <w:rFonts w:ascii="Times New Roman" w:eastAsia="宋体" w:hAnsi="Times New Roman"/>
                <w:color w:val="000000"/>
                <w:sz w:val="20"/>
                <w:szCs w:val="20"/>
              </w:rPr>
              <w:t>(private equity)</w:t>
            </w:r>
          </w:p>
        </w:tc>
        <w:tc>
          <w:tcPr>
            <w:tcW w:w="0" w:type="auto"/>
            <w:gridSpan w:val="3"/>
            <w:shd w:val="clear" w:color="auto" w:fill="auto"/>
            <w:tcMar>
              <w:top w:w="40" w:type="dxa"/>
              <w:left w:w="20" w:type="dxa"/>
              <w:bottom w:w="40" w:type="dxa"/>
              <w:right w:w="20" w:type="dxa"/>
            </w:tcMar>
          </w:tcPr>
          <w:p w14:paraId="7DD02189" w14:textId="77777777" w:rsidR="00C1563E" w:rsidRDefault="000B648B">
            <w:pPr>
              <w:jc w:val="center"/>
              <w:textAlignment w:val="top"/>
            </w:pPr>
            <w:r>
              <w:rPr>
                <w:rFonts w:ascii="Times New Roman" w:eastAsia="宋体" w:hAnsi="Times New Roman"/>
                <w:color w:val="000000"/>
                <w:sz w:val="20"/>
                <w:szCs w:val="20"/>
              </w:rPr>
              <w:t>Simon Patterson</w:t>
            </w:r>
          </w:p>
          <w:p w14:paraId="7DD0218A" w14:textId="77777777" w:rsidR="00C1563E" w:rsidRDefault="000B648B">
            <w:pPr>
              <w:jc w:val="center"/>
              <w:textAlignment w:val="top"/>
            </w:pPr>
            <w:r>
              <w:rPr>
                <w:rFonts w:ascii="Times New Roman" w:eastAsia="宋体" w:hAnsi="Times New Roman"/>
                <w:color w:val="000000"/>
                <w:sz w:val="20"/>
                <w:szCs w:val="20"/>
              </w:rPr>
              <w:t>Managing Director</w:t>
            </w:r>
          </w:p>
          <w:p w14:paraId="7DD0218B" w14:textId="77777777" w:rsidR="00C1563E" w:rsidRDefault="000B648B">
            <w:pPr>
              <w:jc w:val="center"/>
              <w:textAlignment w:val="top"/>
            </w:pPr>
            <w:r>
              <w:rPr>
                <w:rFonts w:ascii="Times New Roman" w:eastAsia="宋体" w:hAnsi="Times New Roman"/>
                <w:color w:val="000000"/>
                <w:sz w:val="20"/>
                <w:szCs w:val="20"/>
              </w:rPr>
              <w:t>Silver Lake Partners</w:t>
            </w:r>
          </w:p>
          <w:p w14:paraId="7DD0218C" w14:textId="77777777" w:rsidR="00C1563E" w:rsidRDefault="000B648B">
            <w:pPr>
              <w:jc w:val="center"/>
              <w:textAlignment w:val="top"/>
            </w:pPr>
            <w:r>
              <w:rPr>
                <w:rFonts w:ascii="Times New Roman" w:eastAsia="宋体" w:hAnsi="Times New Roman"/>
                <w:color w:val="000000"/>
                <w:sz w:val="20"/>
                <w:szCs w:val="20"/>
              </w:rPr>
              <w:t xml:space="preserve">(private </w:t>
            </w:r>
            <w:r>
              <w:rPr>
                <w:rFonts w:ascii="Times New Roman" w:eastAsia="宋体" w:hAnsi="Times New Roman"/>
                <w:color w:val="000000"/>
                <w:sz w:val="20"/>
                <w:szCs w:val="20"/>
              </w:rPr>
              <w:t>equity)</w:t>
            </w:r>
          </w:p>
        </w:tc>
      </w:tr>
      <w:tr w:rsidR="00C1563E" w14:paraId="7DD02190" w14:textId="77777777">
        <w:trPr>
          <w:trHeight w:val="300"/>
          <w:jc w:val="center"/>
        </w:trPr>
        <w:tc>
          <w:tcPr>
            <w:tcW w:w="0" w:type="auto"/>
            <w:gridSpan w:val="3"/>
            <w:shd w:val="clear" w:color="auto" w:fill="auto"/>
            <w:tcMar>
              <w:top w:w="0" w:type="dxa"/>
              <w:left w:w="20" w:type="dxa"/>
              <w:bottom w:w="0" w:type="dxa"/>
              <w:right w:w="20" w:type="dxa"/>
            </w:tcMar>
          </w:tcPr>
          <w:p w14:paraId="7DD0218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18F" w14:textId="77777777" w:rsidR="00C1563E" w:rsidRDefault="00C1563E">
            <w:pPr>
              <w:rPr>
                <w:rFonts w:ascii="宋体"/>
              </w:rPr>
            </w:pPr>
          </w:p>
        </w:tc>
      </w:tr>
      <w:tr w:rsidR="00C1563E" w14:paraId="7DD02195" w14:textId="77777777">
        <w:trPr>
          <w:jc w:val="center"/>
        </w:trPr>
        <w:tc>
          <w:tcPr>
            <w:tcW w:w="0" w:type="auto"/>
            <w:gridSpan w:val="3"/>
            <w:shd w:val="clear" w:color="auto" w:fill="auto"/>
            <w:tcMar>
              <w:top w:w="40" w:type="dxa"/>
              <w:left w:w="20" w:type="dxa"/>
              <w:bottom w:w="40" w:type="dxa"/>
              <w:right w:w="20" w:type="dxa"/>
            </w:tcMar>
          </w:tcPr>
          <w:p w14:paraId="7DD02191" w14:textId="77777777" w:rsidR="00C1563E" w:rsidRDefault="000B648B">
            <w:pPr>
              <w:jc w:val="center"/>
              <w:textAlignment w:val="top"/>
            </w:pPr>
            <w:r>
              <w:rPr>
                <w:rFonts w:ascii="Times New Roman" w:eastAsia="宋体" w:hAnsi="Times New Roman"/>
                <w:color w:val="000000"/>
                <w:sz w:val="20"/>
                <w:szCs w:val="20"/>
              </w:rPr>
              <w:t>William D. Green</w:t>
            </w:r>
          </w:p>
          <w:p w14:paraId="7DD02192" w14:textId="77777777" w:rsidR="00C1563E" w:rsidRDefault="000B648B">
            <w:pPr>
              <w:jc w:val="center"/>
              <w:textAlignment w:val="top"/>
            </w:pPr>
            <w:r>
              <w:rPr>
                <w:rFonts w:ascii="Times New Roman" w:eastAsia="宋体" w:hAnsi="Times New Roman"/>
                <w:color w:val="000000"/>
                <w:sz w:val="20"/>
                <w:szCs w:val="20"/>
              </w:rPr>
              <w:t>Public Company Director</w:t>
            </w:r>
          </w:p>
          <w:p w14:paraId="7DD02193" w14:textId="77777777" w:rsidR="00C1563E" w:rsidRDefault="00C1563E">
            <w:pPr>
              <w:jc w:val="center"/>
              <w:textAlignment w:val="top"/>
            </w:pPr>
          </w:p>
        </w:tc>
        <w:tc>
          <w:tcPr>
            <w:tcW w:w="0" w:type="auto"/>
            <w:gridSpan w:val="3"/>
            <w:shd w:val="clear" w:color="auto" w:fill="auto"/>
            <w:tcMar>
              <w:top w:w="0" w:type="dxa"/>
              <w:left w:w="20" w:type="dxa"/>
              <w:bottom w:w="0" w:type="dxa"/>
              <w:right w:w="20" w:type="dxa"/>
            </w:tcMar>
          </w:tcPr>
          <w:p w14:paraId="7DD02194" w14:textId="77777777" w:rsidR="00C1563E" w:rsidRDefault="00C1563E">
            <w:pPr>
              <w:rPr>
                <w:rFonts w:ascii="宋体"/>
              </w:rPr>
            </w:pPr>
          </w:p>
        </w:tc>
      </w:tr>
    </w:tbl>
    <w:p w14:paraId="7DD02196" w14:textId="77777777" w:rsidR="00C1563E" w:rsidRDefault="00C1563E"/>
    <w:p w14:paraId="7DD02197" w14:textId="77777777" w:rsidR="00C1563E" w:rsidRDefault="00C1563E">
      <w:pPr>
        <w:jc w:val="center"/>
      </w:pPr>
    </w:p>
    <w:p w14:paraId="7DD02198" w14:textId="77777777" w:rsidR="00C1563E" w:rsidRDefault="000B648B">
      <w:pPr>
        <w:jc w:val="center"/>
      </w:pPr>
      <w:r>
        <w:rPr>
          <w:rFonts w:ascii="Times New Roman" w:eastAsia="宋体" w:hAnsi="Times New Roman"/>
          <w:color w:val="000000"/>
          <w:sz w:val="20"/>
          <w:szCs w:val="20"/>
        </w:rPr>
        <w:t>170</w:t>
      </w:r>
    </w:p>
    <w:p w14:paraId="7DD02199" w14:textId="77777777" w:rsidR="00C1563E" w:rsidRDefault="00C1563E">
      <w:pPr>
        <w:jc w:val="center"/>
      </w:pPr>
    </w:p>
    <w:p w14:paraId="7DD0219A" w14:textId="77777777" w:rsidR="00C1563E" w:rsidRDefault="000B648B">
      <w:r>
        <w:pict w14:anchorId="7DD02614">
          <v:rect id="_x0000_i1194" style="width:415.3pt;height:1.5pt" o:hralign="center" o:hrstd="t" o:hr="t" fillcolor="#a0a0a0" stroked="f"/>
        </w:pict>
      </w:r>
    </w:p>
    <w:p w14:paraId="7DD0219B" w14:textId="77777777" w:rsidR="00C1563E" w:rsidRDefault="000B648B">
      <w:hyperlink r:id="rId353" w:anchor="i418e32e4a35149ffbf7d3a25d66881b8_10" w:history="1">
        <w:r>
          <w:rPr>
            <w:rStyle w:val="a5"/>
            <w:rFonts w:ascii="Times New Roman" w:eastAsia="宋体" w:hAnsi="Times New Roman"/>
            <w:sz w:val="20"/>
            <w:szCs w:val="20"/>
          </w:rPr>
          <w:t>Table of Contents</w:t>
        </w:r>
      </w:hyperlink>
    </w:p>
    <w:p w14:paraId="7DD0219C" w14:textId="77777777" w:rsidR="00C1563E" w:rsidRDefault="000B648B">
      <w:r>
        <w:rPr>
          <w:rFonts w:ascii="Times New Roman" w:eastAsia="宋体" w:hAnsi="Times New Roman"/>
          <w:b/>
          <w:bCs/>
          <w:color w:val="000000"/>
          <w:sz w:val="20"/>
          <w:szCs w:val="20"/>
        </w:rPr>
        <w:t>ITEM 11 — EXECUTIVE COMPENSATION</w:t>
      </w:r>
    </w:p>
    <w:p w14:paraId="7DD0219D" w14:textId="77777777" w:rsidR="00C1563E" w:rsidRDefault="00C1563E"/>
    <w:p w14:paraId="7DD0219E" w14:textId="77777777" w:rsidR="00C1563E" w:rsidRDefault="000B648B">
      <w:r>
        <w:rPr>
          <w:rFonts w:ascii="Times New Roman" w:eastAsia="宋体" w:hAnsi="Times New Roman"/>
          <w:color w:val="000000"/>
          <w:sz w:val="20"/>
          <w:szCs w:val="20"/>
        </w:rPr>
        <w:t>Information required by this Item 11 is incorporat</w:t>
      </w:r>
      <w:r>
        <w:rPr>
          <w:rFonts w:ascii="Times New Roman" w:eastAsia="宋体" w:hAnsi="Times New Roman"/>
          <w:color w:val="000000"/>
          <w:sz w:val="20"/>
          <w:szCs w:val="20"/>
        </w:rPr>
        <w:t>ed herein by reference to the 2021 proxy statement, including the information in the 2021 proxy statement appearing under the captions “Proposal 1 — Election of Directors — Director Compensation” and “Compensation of Executive Officers.”</w:t>
      </w:r>
    </w:p>
    <w:p w14:paraId="7DD0219F" w14:textId="77777777" w:rsidR="00C1563E" w:rsidRDefault="00C1563E"/>
    <w:p w14:paraId="7DD021A0" w14:textId="77777777" w:rsidR="00C1563E" w:rsidRDefault="000B648B">
      <w:r>
        <w:rPr>
          <w:rFonts w:ascii="Times New Roman" w:eastAsia="宋体" w:hAnsi="Times New Roman"/>
          <w:b/>
          <w:bCs/>
          <w:color w:val="000000"/>
          <w:sz w:val="20"/>
          <w:szCs w:val="20"/>
        </w:rPr>
        <w:t>ITEM 12 — SECURIT</w:t>
      </w:r>
      <w:r>
        <w:rPr>
          <w:rFonts w:ascii="Times New Roman" w:eastAsia="宋体" w:hAnsi="Times New Roman"/>
          <w:b/>
          <w:bCs/>
          <w:color w:val="000000"/>
          <w:sz w:val="20"/>
          <w:szCs w:val="20"/>
        </w:rPr>
        <w:t>Y OWNERSHIP OF CERTAIN BENEFICIAL OWNERS AND MANAGEMENT AND RELATED STOCKHOLDER MATTERS</w:t>
      </w:r>
    </w:p>
    <w:p w14:paraId="7DD021A1" w14:textId="77777777" w:rsidR="00C1563E" w:rsidRDefault="00C1563E"/>
    <w:p w14:paraId="7DD021A2" w14:textId="77777777" w:rsidR="00C1563E" w:rsidRDefault="000B648B">
      <w:r>
        <w:rPr>
          <w:rFonts w:ascii="Times New Roman" w:eastAsia="宋体" w:hAnsi="Times New Roman"/>
          <w:color w:val="000000"/>
          <w:sz w:val="20"/>
          <w:szCs w:val="20"/>
        </w:rPr>
        <w:t>Information required by this Item 12 is incorporated herein by reference to the 2021 proxy statement, including the information in the 2021 proxy statement appearing u</w:t>
      </w:r>
      <w:r>
        <w:rPr>
          <w:rFonts w:ascii="Times New Roman" w:eastAsia="宋体" w:hAnsi="Times New Roman"/>
          <w:color w:val="000000"/>
          <w:sz w:val="20"/>
          <w:szCs w:val="20"/>
        </w:rPr>
        <w:t>nder the captions “Equity Compensation Plan Information” and “Security Ownership of Certain Beneficial Owners and Management.”</w:t>
      </w:r>
    </w:p>
    <w:p w14:paraId="7DD021A3" w14:textId="77777777" w:rsidR="00C1563E" w:rsidRDefault="00C1563E"/>
    <w:p w14:paraId="7DD021A4" w14:textId="77777777" w:rsidR="00C1563E" w:rsidRDefault="000B648B">
      <w:r>
        <w:rPr>
          <w:rFonts w:ascii="Times New Roman" w:eastAsia="宋体" w:hAnsi="Times New Roman"/>
          <w:b/>
          <w:bCs/>
          <w:color w:val="000000"/>
          <w:sz w:val="20"/>
          <w:szCs w:val="20"/>
        </w:rPr>
        <w:t>ITEM 13 — CERTAIN RELATIONSHIPS AND RELATED TRANSACTIONS, AND DIRECTOR INDEPENDENCE</w:t>
      </w:r>
    </w:p>
    <w:p w14:paraId="7DD021A5" w14:textId="77777777" w:rsidR="00C1563E" w:rsidRDefault="00C1563E"/>
    <w:p w14:paraId="7DD021A6" w14:textId="77777777" w:rsidR="00C1563E" w:rsidRDefault="000B648B">
      <w:r>
        <w:rPr>
          <w:rFonts w:ascii="Times New Roman" w:eastAsia="宋体" w:hAnsi="Times New Roman"/>
          <w:color w:val="000000"/>
          <w:sz w:val="20"/>
          <w:szCs w:val="20"/>
        </w:rPr>
        <w:t xml:space="preserve">Information required by this Item 13 is </w:t>
      </w:r>
      <w:r>
        <w:rPr>
          <w:rFonts w:ascii="Times New Roman" w:eastAsia="宋体" w:hAnsi="Times New Roman"/>
          <w:color w:val="000000"/>
          <w:sz w:val="20"/>
          <w:szCs w:val="20"/>
        </w:rPr>
        <w:t>incorporated herein by reference to the 2021 proxy statement, including the information in the 2021 proxy statement appearing under the captions “Proposal 1 — Elections of Directors” and “Additional Information — Certain Relationships and Related Transacti</w:t>
      </w:r>
      <w:r>
        <w:rPr>
          <w:rFonts w:ascii="Times New Roman" w:eastAsia="宋体" w:hAnsi="Times New Roman"/>
          <w:color w:val="000000"/>
          <w:sz w:val="20"/>
          <w:szCs w:val="20"/>
        </w:rPr>
        <w:t>ons.”</w:t>
      </w:r>
    </w:p>
    <w:p w14:paraId="7DD021A7" w14:textId="77777777" w:rsidR="00C1563E" w:rsidRDefault="00C1563E"/>
    <w:p w14:paraId="7DD021A8" w14:textId="77777777" w:rsidR="00C1563E" w:rsidRDefault="000B648B">
      <w:r>
        <w:rPr>
          <w:rFonts w:ascii="Times New Roman" w:eastAsia="宋体" w:hAnsi="Times New Roman"/>
          <w:b/>
          <w:bCs/>
          <w:color w:val="000000"/>
          <w:sz w:val="20"/>
          <w:szCs w:val="20"/>
        </w:rPr>
        <w:t>ITEM 14 — PRINCIPAL ACCOUNTING FEES AND SERVICES</w:t>
      </w:r>
    </w:p>
    <w:p w14:paraId="7DD021A9" w14:textId="77777777" w:rsidR="00C1563E" w:rsidRDefault="00C1563E"/>
    <w:p w14:paraId="7DD021AA" w14:textId="77777777" w:rsidR="00C1563E" w:rsidRDefault="000B648B">
      <w:r>
        <w:rPr>
          <w:rFonts w:ascii="Times New Roman" w:eastAsia="宋体" w:hAnsi="Times New Roman"/>
          <w:color w:val="000000"/>
          <w:sz w:val="20"/>
          <w:szCs w:val="20"/>
        </w:rPr>
        <w:t>Information required by this Item 14 is incorporated herein by reference to the 2021 proxy statement, including the information in the 2021 proxy statement appearing under the caption “Proposal 2 — R</w:t>
      </w:r>
      <w:r>
        <w:rPr>
          <w:rFonts w:ascii="Times New Roman" w:eastAsia="宋体" w:hAnsi="Times New Roman"/>
          <w:color w:val="000000"/>
          <w:sz w:val="20"/>
          <w:szCs w:val="20"/>
        </w:rPr>
        <w:t>atification of Appointment of Independent Registered Public Accounting Firm.”</w:t>
      </w:r>
    </w:p>
    <w:p w14:paraId="7DD021AB" w14:textId="77777777" w:rsidR="00C1563E" w:rsidRDefault="00C1563E"/>
    <w:p w14:paraId="7DD021AC" w14:textId="77777777" w:rsidR="00C1563E" w:rsidRDefault="00C1563E">
      <w:pPr>
        <w:jc w:val="center"/>
      </w:pPr>
    </w:p>
    <w:p w14:paraId="7DD021AD" w14:textId="77777777" w:rsidR="00C1563E" w:rsidRDefault="000B648B">
      <w:pPr>
        <w:jc w:val="center"/>
      </w:pPr>
      <w:r>
        <w:rPr>
          <w:rFonts w:ascii="Times New Roman" w:eastAsia="宋体" w:hAnsi="Times New Roman"/>
          <w:color w:val="000000"/>
          <w:sz w:val="20"/>
          <w:szCs w:val="20"/>
        </w:rPr>
        <w:t>171</w:t>
      </w:r>
    </w:p>
    <w:p w14:paraId="7DD021AE" w14:textId="77777777" w:rsidR="00C1563E" w:rsidRDefault="00C1563E">
      <w:pPr>
        <w:jc w:val="center"/>
      </w:pPr>
    </w:p>
    <w:p w14:paraId="7DD021AF" w14:textId="77777777" w:rsidR="00C1563E" w:rsidRDefault="000B648B">
      <w:r>
        <w:pict w14:anchorId="7DD02615">
          <v:rect id="_x0000_i1195" style="width:415.3pt;height:1.5pt" o:hralign="center" o:hrstd="t" o:hr="t" fillcolor="#a0a0a0" stroked="f"/>
        </w:pict>
      </w:r>
    </w:p>
    <w:p w14:paraId="7DD021B0" w14:textId="77777777" w:rsidR="00C1563E" w:rsidRDefault="000B648B">
      <w:hyperlink r:id="rId354" w:anchor="i418e32e4a35149ffbf7d3a25d66881b8_10" w:history="1">
        <w:r>
          <w:rPr>
            <w:rStyle w:val="a5"/>
            <w:rFonts w:ascii="Times New Roman" w:eastAsia="宋体" w:hAnsi="Times New Roman"/>
            <w:sz w:val="20"/>
            <w:szCs w:val="20"/>
          </w:rPr>
          <w:t>Table of Contents</w:t>
        </w:r>
      </w:hyperlink>
    </w:p>
    <w:p w14:paraId="7DD021B1" w14:textId="77777777" w:rsidR="00C1563E" w:rsidRDefault="000B648B">
      <w:pPr>
        <w:jc w:val="center"/>
      </w:pPr>
      <w:r>
        <w:rPr>
          <w:rFonts w:ascii="Times New Roman" w:eastAsia="宋体" w:hAnsi="Times New Roman"/>
          <w:b/>
          <w:bCs/>
          <w:color w:val="000000"/>
          <w:sz w:val="20"/>
          <w:szCs w:val="20"/>
        </w:rPr>
        <w:t>PART IV</w:t>
      </w:r>
    </w:p>
    <w:p w14:paraId="7DD021B2" w14:textId="77777777" w:rsidR="00C1563E" w:rsidRDefault="00C1563E">
      <w:pPr>
        <w:jc w:val="center"/>
      </w:pPr>
    </w:p>
    <w:p w14:paraId="7DD021B3" w14:textId="77777777" w:rsidR="00C1563E" w:rsidRDefault="000B648B">
      <w:r>
        <w:rPr>
          <w:rFonts w:ascii="Times New Roman" w:eastAsia="宋体" w:hAnsi="Times New Roman"/>
          <w:b/>
          <w:bCs/>
          <w:color w:val="000000"/>
          <w:sz w:val="20"/>
          <w:szCs w:val="20"/>
        </w:rPr>
        <w:t>ITEM 15 — EXHIBIT AND FINANCIAL STATEMENT SCHEDULES</w:t>
      </w:r>
    </w:p>
    <w:p w14:paraId="7DD021B4" w14:textId="77777777" w:rsidR="00C1563E" w:rsidRDefault="00C1563E"/>
    <w:p w14:paraId="7DD021B5" w14:textId="77777777" w:rsidR="00C1563E" w:rsidRDefault="000B648B">
      <w:r>
        <w:rPr>
          <w:rFonts w:ascii="Times New Roman" w:eastAsia="宋体" w:hAnsi="Times New Roman"/>
          <w:color w:val="000000"/>
          <w:sz w:val="20"/>
          <w:szCs w:val="20"/>
        </w:rPr>
        <w:t>The following documents are filed as a part of this Annual Report on Form 10-K:</w:t>
      </w:r>
    </w:p>
    <w:p w14:paraId="7DD021B6" w14:textId="77777777" w:rsidR="00C1563E" w:rsidRDefault="00C1563E"/>
    <w:p w14:paraId="7DD021B7" w14:textId="77777777" w:rsidR="00C1563E" w:rsidRDefault="000B648B">
      <w:pPr>
        <w:ind w:hanging="360"/>
      </w:pPr>
      <w:r>
        <w:rPr>
          <w:rFonts w:ascii="Times New Roman" w:eastAsia="宋体" w:hAnsi="Times New Roman"/>
          <w:color w:val="000000"/>
          <w:sz w:val="20"/>
          <w:szCs w:val="20"/>
        </w:rPr>
        <w:t>(1)</w:t>
      </w:r>
      <w:r>
        <w:rPr>
          <w:rFonts w:ascii="Times New Roman" w:eastAsia="宋体" w:hAnsi="Times New Roman"/>
          <w:i/>
          <w:iCs/>
          <w:color w:val="000000"/>
          <w:sz w:val="20"/>
          <w:szCs w:val="20"/>
        </w:rPr>
        <w:t>Financial Statements</w:t>
      </w:r>
      <w:r>
        <w:rPr>
          <w:rFonts w:ascii="Times New Roman" w:eastAsia="宋体" w:hAnsi="Times New Roman"/>
          <w:color w:val="000000"/>
          <w:sz w:val="20"/>
          <w:szCs w:val="20"/>
        </w:rPr>
        <w:t xml:space="preserve">: The following financial statements are filed as part of this report under </w:t>
      </w:r>
      <w:r>
        <w:rPr>
          <w:rFonts w:ascii="Times New Roman" w:eastAsia="宋体" w:hAnsi="Times New Roman"/>
          <w:color w:val="000000"/>
          <w:sz w:val="20"/>
          <w:szCs w:val="20"/>
        </w:rPr>
        <w:t>“Part II — Item 8 — Financial Statements and Supplementary Data”:</w:t>
      </w:r>
    </w:p>
    <w:p w14:paraId="7DD021B8" w14:textId="77777777" w:rsidR="00C1563E" w:rsidRDefault="00C1563E"/>
    <w:p w14:paraId="7DD021B9" w14:textId="77777777" w:rsidR="00C1563E" w:rsidRDefault="000B648B">
      <w:r>
        <w:rPr>
          <w:rFonts w:ascii="Times New Roman" w:eastAsia="宋体" w:hAnsi="Times New Roman"/>
          <w:color w:val="000000"/>
          <w:sz w:val="20"/>
          <w:szCs w:val="20"/>
        </w:rPr>
        <w:t>Consolidated Financial Statements:</w:t>
      </w:r>
    </w:p>
    <w:p w14:paraId="7DD021BA" w14:textId="77777777" w:rsidR="00C1563E" w:rsidRDefault="000B648B">
      <w:r>
        <w:rPr>
          <w:rFonts w:ascii="Times New Roman" w:eastAsia="宋体" w:hAnsi="Times New Roman"/>
          <w:color w:val="000000"/>
          <w:sz w:val="20"/>
          <w:szCs w:val="20"/>
        </w:rPr>
        <w:t>Report of Independent Registered Public Accounting Firm</w:t>
      </w:r>
    </w:p>
    <w:p w14:paraId="7DD021BB" w14:textId="77777777" w:rsidR="00C1563E" w:rsidRDefault="000B648B">
      <w:r>
        <w:rPr>
          <w:rFonts w:ascii="Times New Roman" w:eastAsia="宋体" w:hAnsi="Times New Roman"/>
          <w:color w:val="000000"/>
          <w:sz w:val="20"/>
          <w:szCs w:val="20"/>
        </w:rPr>
        <w:t xml:space="preserve">Consolidated Statements of Financial Position at January 29, 2021 and January 31, 2020 </w:t>
      </w:r>
    </w:p>
    <w:p w14:paraId="7DD021BC" w14:textId="77777777" w:rsidR="00C1563E" w:rsidRDefault="000B648B">
      <w:pPr>
        <w:ind w:hanging="360"/>
      </w:pPr>
      <w:r>
        <w:rPr>
          <w:rFonts w:ascii="Times New Roman" w:eastAsia="宋体" w:hAnsi="Times New Roman"/>
          <w:color w:val="000000"/>
          <w:sz w:val="20"/>
          <w:szCs w:val="20"/>
        </w:rPr>
        <w:t>Consolidat</w:t>
      </w:r>
      <w:r>
        <w:rPr>
          <w:rFonts w:ascii="Times New Roman" w:eastAsia="宋体" w:hAnsi="Times New Roman"/>
          <w:color w:val="000000"/>
          <w:sz w:val="20"/>
          <w:szCs w:val="20"/>
        </w:rPr>
        <w:t xml:space="preserve">ed Statements of Income (Loss) for the fiscal years ended January 29, 2021, January 31, 2020, and February 1, 2019 </w:t>
      </w:r>
    </w:p>
    <w:p w14:paraId="7DD021BD" w14:textId="77777777" w:rsidR="00C1563E" w:rsidRDefault="000B648B">
      <w:pPr>
        <w:ind w:hanging="360"/>
      </w:pPr>
      <w:r>
        <w:rPr>
          <w:rFonts w:ascii="Times New Roman" w:eastAsia="宋体" w:hAnsi="Times New Roman"/>
          <w:color w:val="000000"/>
          <w:sz w:val="20"/>
          <w:szCs w:val="20"/>
        </w:rPr>
        <w:t>Consolidated Statements of Comprehensive Income (Loss) for the fiscal years ended January 29, 2021, January 31, 2020, and February 1, 2019</w:t>
      </w:r>
    </w:p>
    <w:p w14:paraId="7DD021BE" w14:textId="77777777" w:rsidR="00C1563E" w:rsidRDefault="000B648B">
      <w:pPr>
        <w:ind w:hanging="360"/>
      </w:pPr>
      <w:r>
        <w:rPr>
          <w:rFonts w:ascii="Times New Roman" w:eastAsia="宋体" w:hAnsi="Times New Roman"/>
          <w:color w:val="000000"/>
          <w:sz w:val="20"/>
          <w:szCs w:val="20"/>
        </w:rPr>
        <w:t>C</w:t>
      </w:r>
      <w:r>
        <w:rPr>
          <w:rFonts w:ascii="Times New Roman" w:eastAsia="宋体" w:hAnsi="Times New Roman"/>
          <w:color w:val="000000"/>
          <w:sz w:val="20"/>
          <w:szCs w:val="20"/>
        </w:rPr>
        <w:t>onsolidated Statements of Cash Flows for the fiscal years ended January 29, 2021, January 31, 2020, and February 1, 2019</w:t>
      </w:r>
    </w:p>
    <w:p w14:paraId="7DD021BF" w14:textId="77777777" w:rsidR="00C1563E" w:rsidRDefault="000B648B">
      <w:pPr>
        <w:ind w:hanging="360"/>
      </w:pPr>
      <w:r>
        <w:rPr>
          <w:rFonts w:ascii="Times New Roman" w:eastAsia="宋体" w:hAnsi="Times New Roman"/>
          <w:color w:val="000000"/>
          <w:sz w:val="20"/>
          <w:szCs w:val="20"/>
        </w:rPr>
        <w:t>Consolidated Statements of Stockholders’ Equity (Deficit) for the fiscal years ended January 29, 2021, January 31, 2020, and February 1</w:t>
      </w:r>
      <w:r>
        <w:rPr>
          <w:rFonts w:ascii="Times New Roman" w:eastAsia="宋体" w:hAnsi="Times New Roman"/>
          <w:color w:val="000000"/>
          <w:sz w:val="20"/>
          <w:szCs w:val="20"/>
        </w:rPr>
        <w:t>, 2019</w:t>
      </w:r>
    </w:p>
    <w:p w14:paraId="7DD021C0" w14:textId="77777777" w:rsidR="00C1563E" w:rsidRDefault="000B648B">
      <w:pPr>
        <w:ind w:hanging="360"/>
      </w:pPr>
      <w:r>
        <w:rPr>
          <w:rFonts w:ascii="Times New Roman" w:eastAsia="宋体" w:hAnsi="Times New Roman"/>
          <w:color w:val="000000"/>
          <w:sz w:val="20"/>
          <w:szCs w:val="20"/>
        </w:rPr>
        <w:t>Notes to Consolidated Financial Statements</w:t>
      </w:r>
    </w:p>
    <w:p w14:paraId="7DD021C1" w14:textId="77777777" w:rsidR="00C1563E" w:rsidRDefault="00C1563E"/>
    <w:p w14:paraId="7DD021C2" w14:textId="77777777" w:rsidR="00C1563E" w:rsidRDefault="000B648B">
      <w:pPr>
        <w:ind w:hanging="360"/>
      </w:pPr>
      <w:r>
        <w:rPr>
          <w:rFonts w:ascii="Times New Roman" w:eastAsia="宋体" w:hAnsi="Times New Roman"/>
          <w:color w:val="000000"/>
          <w:sz w:val="20"/>
          <w:szCs w:val="20"/>
        </w:rPr>
        <w:t>(2)</w:t>
      </w:r>
      <w:r>
        <w:rPr>
          <w:rFonts w:ascii="Times New Roman" w:eastAsia="宋体" w:hAnsi="Times New Roman"/>
          <w:i/>
          <w:iCs/>
          <w:color w:val="000000"/>
          <w:sz w:val="20"/>
          <w:szCs w:val="20"/>
        </w:rPr>
        <w:t>Financial Statement Schedules</w:t>
      </w:r>
      <w:r>
        <w:rPr>
          <w:rFonts w:ascii="Times New Roman" w:eastAsia="宋体" w:hAnsi="Times New Roman"/>
          <w:color w:val="000000"/>
          <w:sz w:val="20"/>
          <w:szCs w:val="20"/>
        </w:rPr>
        <w:t>: The information required in the following financial statement schedules is included in Note 20 and Note 21 of the Notes to the Consolidated Financial Statements under “Par</w:t>
      </w:r>
      <w:r>
        <w:rPr>
          <w:rFonts w:ascii="Times New Roman" w:eastAsia="宋体" w:hAnsi="Times New Roman"/>
          <w:color w:val="000000"/>
          <w:sz w:val="20"/>
          <w:szCs w:val="20"/>
        </w:rPr>
        <w:t>t II — Item 8 — Financial Statements and Supplementary Data”:</w:t>
      </w:r>
    </w:p>
    <w:p w14:paraId="7DD021C3" w14:textId="77777777" w:rsidR="00C1563E" w:rsidRDefault="00C1563E"/>
    <w:p w14:paraId="7DD021C4" w14:textId="77777777" w:rsidR="00C1563E" w:rsidRDefault="000B648B">
      <w:r>
        <w:rPr>
          <w:rFonts w:ascii="Times New Roman" w:eastAsia="宋体" w:hAnsi="Times New Roman"/>
          <w:color w:val="000000"/>
          <w:sz w:val="20"/>
          <w:szCs w:val="20"/>
        </w:rPr>
        <w:t>Schedule I — Condensed Financial Information of Parent Company</w:t>
      </w:r>
    </w:p>
    <w:p w14:paraId="7DD021C5" w14:textId="77777777" w:rsidR="00C1563E" w:rsidRDefault="000B648B">
      <w:r>
        <w:rPr>
          <w:rFonts w:ascii="Times New Roman" w:eastAsia="宋体" w:hAnsi="Times New Roman"/>
          <w:color w:val="000000"/>
          <w:sz w:val="20"/>
          <w:szCs w:val="20"/>
        </w:rPr>
        <w:t>Schedule II — Valuation and Qualifying Accounts</w:t>
      </w:r>
    </w:p>
    <w:p w14:paraId="7DD021C6" w14:textId="77777777" w:rsidR="00C1563E" w:rsidRDefault="00C1563E"/>
    <w:p w14:paraId="7DD021C7" w14:textId="77777777" w:rsidR="00C1563E" w:rsidRDefault="000B648B">
      <w:r>
        <w:rPr>
          <w:rFonts w:ascii="Times New Roman" w:eastAsia="宋体" w:hAnsi="Times New Roman"/>
          <w:color w:val="000000"/>
          <w:sz w:val="20"/>
          <w:szCs w:val="20"/>
        </w:rPr>
        <w:t xml:space="preserve">All other schedules have been omitted because they are not applicable or the required information is otherwise included in the Consolidated Financial Statements or Notes thereto. </w:t>
      </w:r>
    </w:p>
    <w:p w14:paraId="7DD021C8" w14:textId="77777777" w:rsidR="00C1563E" w:rsidRDefault="00C1563E"/>
    <w:p w14:paraId="7DD021C9" w14:textId="77777777" w:rsidR="00C1563E" w:rsidRDefault="000B648B">
      <w:r>
        <w:rPr>
          <w:rFonts w:ascii="Times New Roman" w:eastAsia="宋体" w:hAnsi="Times New Roman"/>
          <w:i/>
          <w:iCs/>
          <w:color w:val="000000"/>
          <w:sz w:val="20"/>
          <w:szCs w:val="20"/>
        </w:rPr>
        <w:t>Exhibits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959"/>
        <w:gridCol w:w="36"/>
        <w:gridCol w:w="36"/>
        <w:gridCol w:w="36"/>
        <w:gridCol w:w="36"/>
        <w:gridCol w:w="55"/>
        <w:gridCol w:w="7084"/>
        <w:gridCol w:w="36"/>
      </w:tblGrid>
      <w:tr w:rsidR="00C1563E" w14:paraId="7DD021D3" w14:textId="77777777">
        <w:trPr>
          <w:jc w:val="center"/>
        </w:trPr>
        <w:tc>
          <w:tcPr>
            <w:tcW w:w="50" w:type="pct"/>
            <w:shd w:val="clear" w:color="auto" w:fill="auto"/>
          </w:tcPr>
          <w:p w14:paraId="7DD021CA" w14:textId="77777777" w:rsidR="00C1563E" w:rsidRDefault="00C1563E">
            <w:pPr>
              <w:rPr>
                <w:rFonts w:ascii="宋体"/>
              </w:rPr>
            </w:pPr>
          </w:p>
        </w:tc>
        <w:tc>
          <w:tcPr>
            <w:tcW w:w="595" w:type="pct"/>
            <w:shd w:val="clear" w:color="auto" w:fill="auto"/>
          </w:tcPr>
          <w:p w14:paraId="7DD021CB" w14:textId="77777777" w:rsidR="00C1563E" w:rsidRDefault="00C1563E">
            <w:pPr>
              <w:rPr>
                <w:rFonts w:ascii="宋体"/>
              </w:rPr>
            </w:pPr>
          </w:p>
        </w:tc>
        <w:tc>
          <w:tcPr>
            <w:tcW w:w="5" w:type="pct"/>
            <w:shd w:val="clear" w:color="auto" w:fill="auto"/>
          </w:tcPr>
          <w:p w14:paraId="7DD021CC" w14:textId="77777777" w:rsidR="00C1563E" w:rsidRDefault="00C1563E">
            <w:pPr>
              <w:rPr>
                <w:rFonts w:ascii="宋体"/>
              </w:rPr>
            </w:pPr>
          </w:p>
        </w:tc>
        <w:tc>
          <w:tcPr>
            <w:tcW w:w="5" w:type="pct"/>
            <w:shd w:val="clear" w:color="auto" w:fill="auto"/>
          </w:tcPr>
          <w:p w14:paraId="7DD021CD" w14:textId="77777777" w:rsidR="00C1563E" w:rsidRDefault="00C1563E">
            <w:pPr>
              <w:rPr>
                <w:rFonts w:ascii="宋体"/>
              </w:rPr>
            </w:pPr>
          </w:p>
        </w:tc>
        <w:tc>
          <w:tcPr>
            <w:tcW w:w="19" w:type="pct"/>
            <w:shd w:val="clear" w:color="auto" w:fill="auto"/>
          </w:tcPr>
          <w:p w14:paraId="7DD021CE" w14:textId="77777777" w:rsidR="00C1563E" w:rsidRDefault="00C1563E">
            <w:pPr>
              <w:rPr>
                <w:rFonts w:ascii="宋体"/>
              </w:rPr>
            </w:pPr>
          </w:p>
        </w:tc>
        <w:tc>
          <w:tcPr>
            <w:tcW w:w="5" w:type="pct"/>
            <w:shd w:val="clear" w:color="auto" w:fill="auto"/>
          </w:tcPr>
          <w:p w14:paraId="7DD021CF" w14:textId="77777777" w:rsidR="00C1563E" w:rsidRDefault="00C1563E">
            <w:pPr>
              <w:rPr>
                <w:rFonts w:ascii="宋体"/>
              </w:rPr>
            </w:pPr>
          </w:p>
        </w:tc>
        <w:tc>
          <w:tcPr>
            <w:tcW w:w="50" w:type="pct"/>
            <w:shd w:val="clear" w:color="auto" w:fill="auto"/>
          </w:tcPr>
          <w:p w14:paraId="7DD021D0" w14:textId="77777777" w:rsidR="00C1563E" w:rsidRDefault="00C1563E">
            <w:pPr>
              <w:rPr>
                <w:rFonts w:ascii="宋体"/>
              </w:rPr>
            </w:pPr>
          </w:p>
        </w:tc>
        <w:tc>
          <w:tcPr>
            <w:tcW w:w="4265" w:type="pct"/>
            <w:shd w:val="clear" w:color="auto" w:fill="auto"/>
          </w:tcPr>
          <w:p w14:paraId="7DD021D1" w14:textId="77777777" w:rsidR="00C1563E" w:rsidRDefault="00C1563E">
            <w:pPr>
              <w:rPr>
                <w:rFonts w:ascii="宋体"/>
              </w:rPr>
            </w:pPr>
          </w:p>
        </w:tc>
        <w:tc>
          <w:tcPr>
            <w:tcW w:w="5" w:type="pct"/>
            <w:shd w:val="clear" w:color="auto" w:fill="auto"/>
          </w:tcPr>
          <w:p w14:paraId="7DD021D2" w14:textId="77777777" w:rsidR="00C1563E" w:rsidRDefault="00C1563E">
            <w:pPr>
              <w:rPr>
                <w:rFonts w:ascii="宋体"/>
              </w:rPr>
            </w:pPr>
          </w:p>
        </w:tc>
      </w:tr>
      <w:tr w:rsidR="00C1563E" w14:paraId="7DD021D7" w14:textId="77777777">
        <w:trPr>
          <w:jc w:val="center"/>
        </w:trPr>
        <w:tc>
          <w:tcPr>
            <w:tcW w:w="0" w:type="auto"/>
            <w:gridSpan w:val="3"/>
            <w:shd w:val="clear" w:color="auto" w:fill="auto"/>
            <w:tcMar>
              <w:top w:w="40" w:type="dxa"/>
              <w:left w:w="20" w:type="dxa"/>
              <w:bottom w:w="40" w:type="dxa"/>
              <w:right w:w="20" w:type="dxa"/>
            </w:tcMar>
            <w:vAlign w:val="bottom"/>
          </w:tcPr>
          <w:p w14:paraId="7DD021D4" w14:textId="77777777" w:rsidR="00C1563E" w:rsidRDefault="000B648B">
            <w:pPr>
              <w:jc w:val="center"/>
              <w:textAlignment w:val="bottom"/>
            </w:pPr>
            <w:r>
              <w:rPr>
                <w:rFonts w:ascii="Times New Roman" w:eastAsia="宋体" w:hAnsi="Times New Roman"/>
                <w:b/>
                <w:bCs/>
                <w:color w:val="000000"/>
                <w:sz w:val="20"/>
                <w:szCs w:val="20"/>
              </w:rPr>
              <w:t>Exhibit</w:t>
            </w:r>
            <w:r>
              <w:rPr>
                <w:rFonts w:ascii="Times New Roman" w:eastAsia="宋体" w:hAnsi="Times New Roman"/>
                <w:b/>
                <w:bCs/>
                <w:color w:val="000000"/>
                <w:sz w:val="20"/>
                <w:szCs w:val="20"/>
              </w:rPr>
              <w:br/>
              <w:t>Number</w:t>
            </w:r>
          </w:p>
        </w:tc>
        <w:tc>
          <w:tcPr>
            <w:tcW w:w="0" w:type="auto"/>
            <w:gridSpan w:val="3"/>
            <w:shd w:val="clear" w:color="auto" w:fill="auto"/>
            <w:tcMar>
              <w:top w:w="0" w:type="dxa"/>
              <w:left w:w="20" w:type="dxa"/>
              <w:bottom w:w="0" w:type="dxa"/>
              <w:right w:w="20" w:type="dxa"/>
            </w:tcMar>
          </w:tcPr>
          <w:p w14:paraId="7DD021D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1D6" w14:textId="77777777" w:rsidR="00C1563E" w:rsidRDefault="000B648B">
            <w:pPr>
              <w:jc w:val="center"/>
              <w:textAlignment w:val="bottom"/>
            </w:pPr>
            <w:r>
              <w:rPr>
                <w:rFonts w:ascii="Times New Roman" w:eastAsia="宋体" w:hAnsi="Times New Roman"/>
                <w:b/>
                <w:bCs/>
                <w:color w:val="000000"/>
                <w:sz w:val="20"/>
                <w:szCs w:val="20"/>
              </w:rPr>
              <w:t>Description</w:t>
            </w:r>
          </w:p>
        </w:tc>
      </w:tr>
      <w:tr w:rsidR="00C1563E" w14:paraId="7DD021D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DD021D8" w14:textId="77777777" w:rsidR="00C1563E" w:rsidRDefault="000B648B">
            <w:pPr>
              <w:jc w:val="right"/>
              <w:textAlignment w:val="top"/>
            </w:pPr>
            <w:hyperlink r:id="rId355" w:history="1">
              <w:r>
                <w:rPr>
                  <w:rStyle w:val="a5"/>
                  <w:rFonts w:ascii="Times New Roman" w:eastAsia="宋体" w:hAnsi="Times New Roman"/>
                  <w:sz w:val="20"/>
                  <w:szCs w:val="20"/>
                </w:rPr>
                <w:t>3.1</w:t>
              </w:r>
            </w:hyperlink>
          </w:p>
        </w:tc>
        <w:tc>
          <w:tcPr>
            <w:tcW w:w="0" w:type="auto"/>
            <w:gridSpan w:val="3"/>
            <w:shd w:val="clear" w:color="auto" w:fill="auto"/>
            <w:tcMar>
              <w:top w:w="0" w:type="dxa"/>
              <w:left w:w="20" w:type="dxa"/>
              <w:bottom w:w="0" w:type="dxa"/>
              <w:right w:w="20" w:type="dxa"/>
            </w:tcMar>
          </w:tcPr>
          <w:p w14:paraId="7DD021D9"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DD021DA" w14:textId="77777777" w:rsidR="00C1563E" w:rsidRDefault="000B648B">
            <w:pPr>
              <w:textAlignment w:val="top"/>
            </w:pPr>
            <w:hyperlink r:id="rId356" w:history="1">
              <w:r>
                <w:rPr>
                  <w:rStyle w:val="a5"/>
                  <w:rFonts w:ascii="Times New Roman" w:eastAsia="宋体" w:hAnsi="Times New Roman"/>
                  <w:sz w:val="20"/>
                  <w:szCs w:val="20"/>
                </w:rPr>
                <w:t xml:space="preserve">Fifth Amended and Restated Certificate of Incorporation </w:t>
              </w:r>
              <w:r>
                <w:rPr>
                  <w:rStyle w:val="a5"/>
                  <w:rFonts w:ascii="Times New Roman" w:eastAsia="宋体" w:hAnsi="Times New Roman"/>
                  <w:sz w:val="20"/>
                  <w:szCs w:val="20"/>
                </w:rPr>
                <w:t>of Dell Technologies Inc. (incorporated by reference to Exhibit 3.1 to the Company’s Current Report on Form 8-K filed with the Commission on December 28, 2018) (Commission File No. 001-37867).</w:t>
              </w:r>
            </w:hyperlink>
          </w:p>
        </w:tc>
      </w:tr>
      <w:tr w:rsidR="00C1563E" w14:paraId="7DD021DF" w14:textId="77777777">
        <w:trPr>
          <w:jc w:val="center"/>
        </w:trPr>
        <w:tc>
          <w:tcPr>
            <w:tcW w:w="0" w:type="auto"/>
            <w:gridSpan w:val="3"/>
            <w:shd w:val="clear" w:color="auto" w:fill="auto"/>
            <w:tcMar>
              <w:top w:w="40" w:type="dxa"/>
              <w:left w:w="20" w:type="dxa"/>
              <w:bottom w:w="40" w:type="dxa"/>
              <w:right w:w="20" w:type="dxa"/>
            </w:tcMar>
          </w:tcPr>
          <w:p w14:paraId="7DD021DC" w14:textId="77777777" w:rsidR="00C1563E" w:rsidRDefault="000B648B">
            <w:pPr>
              <w:jc w:val="right"/>
              <w:textAlignment w:val="top"/>
            </w:pPr>
            <w:hyperlink r:id="rId357" w:history="1">
              <w:r>
                <w:rPr>
                  <w:rStyle w:val="a5"/>
                  <w:rFonts w:ascii="Times New Roman" w:eastAsia="宋体" w:hAnsi="Times New Roman"/>
                  <w:sz w:val="20"/>
                  <w:szCs w:val="20"/>
                </w:rPr>
                <w:t>3.2</w:t>
              </w:r>
            </w:hyperlink>
          </w:p>
        </w:tc>
        <w:tc>
          <w:tcPr>
            <w:tcW w:w="0" w:type="auto"/>
            <w:gridSpan w:val="3"/>
            <w:shd w:val="clear" w:color="auto" w:fill="auto"/>
            <w:tcMar>
              <w:top w:w="0" w:type="dxa"/>
              <w:left w:w="20" w:type="dxa"/>
              <w:bottom w:w="0" w:type="dxa"/>
              <w:right w:w="20" w:type="dxa"/>
            </w:tcMar>
          </w:tcPr>
          <w:p w14:paraId="7DD021D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1DE" w14:textId="77777777" w:rsidR="00C1563E" w:rsidRDefault="000B648B">
            <w:pPr>
              <w:textAlignment w:val="top"/>
            </w:pPr>
            <w:hyperlink r:id="rId358" w:history="1">
              <w:r>
                <w:rPr>
                  <w:rStyle w:val="a5"/>
                  <w:rFonts w:ascii="Times New Roman" w:eastAsia="宋体" w:hAnsi="Times New Roman"/>
                  <w:sz w:val="20"/>
                  <w:szCs w:val="20"/>
                </w:rPr>
                <w:t xml:space="preserve">Second Amended and Restated Bylaws of Dell Technologies </w:t>
              </w:r>
              <w:r>
                <w:rPr>
                  <w:rStyle w:val="a5"/>
                  <w:rFonts w:ascii="Times New Roman" w:eastAsia="宋体" w:hAnsi="Times New Roman"/>
                  <w:sz w:val="20"/>
                  <w:szCs w:val="20"/>
                </w:rPr>
                <w:t>Inc. (incorporated by reference to Exhibit 3.2 to the Company’s Current Report on Form 8-K filed with the Commission on December 28, 2018) (Commission File No. 001-37867).</w:t>
              </w:r>
            </w:hyperlink>
          </w:p>
        </w:tc>
      </w:tr>
      <w:tr w:rsidR="00C1563E" w14:paraId="7DD021E3" w14:textId="77777777">
        <w:trPr>
          <w:jc w:val="center"/>
        </w:trPr>
        <w:tc>
          <w:tcPr>
            <w:tcW w:w="0" w:type="auto"/>
            <w:gridSpan w:val="3"/>
            <w:shd w:val="clear" w:color="auto" w:fill="auto"/>
            <w:tcMar>
              <w:top w:w="40" w:type="dxa"/>
              <w:left w:w="20" w:type="dxa"/>
              <w:bottom w:w="40" w:type="dxa"/>
              <w:right w:w="20" w:type="dxa"/>
            </w:tcMar>
          </w:tcPr>
          <w:p w14:paraId="7DD021E0" w14:textId="77777777" w:rsidR="00C1563E" w:rsidRDefault="000B648B">
            <w:pPr>
              <w:jc w:val="right"/>
              <w:textAlignment w:val="top"/>
            </w:pPr>
            <w:hyperlink r:id="rId359" w:history="1">
              <w:r>
                <w:rPr>
                  <w:rStyle w:val="a5"/>
                  <w:rFonts w:ascii="Times New Roman" w:eastAsia="宋体" w:hAnsi="Times New Roman"/>
                  <w:sz w:val="20"/>
                  <w:szCs w:val="20"/>
                </w:rPr>
                <w:t>4.1</w:t>
              </w:r>
            </w:hyperlink>
          </w:p>
        </w:tc>
        <w:tc>
          <w:tcPr>
            <w:tcW w:w="0" w:type="auto"/>
            <w:gridSpan w:val="3"/>
            <w:shd w:val="clear" w:color="auto" w:fill="auto"/>
            <w:tcMar>
              <w:top w:w="0" w:type="dxa"/>
              <w:left w:w="20" w:type="dxa"/>
              <w:bottom w:w="0" w:type="dxa"/>
              <w:right w:w="20" w:type="dxa"/>
            </w:tcMar>
          </w:tcPr>
          <w:p w14:paraId="7DD021E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1E2" w14:textId="77777777" w:rsidR="00C1563E" w:rsidRDefault="000B648B">
            <w:pPr>
              <w:textAlignment w:val="top"/>
            </w:pPr>
            <w:hyperlink r:id="rId360" w:history="1">
              <w:r>
                <w:rPr>
                  <w:rStyle w:val="a5"/>
                  <w:rFonts w:ascii="Times New Roman" w:eastAsia="宋体" w:hAnsi="Times New Roman"/>
                  <w:sz w:val="20"/>
                  <w:szCs w:val="20"/>
                </w:rPr>
                <w:t>Indenture, dated as of April 27, 1998, between Dell Computer Corporation and Cha</w:t>
              </w:r>
              <w:r>
                <w:rPr>
                  <w:rStyle w:val="a5"/>
                  <w:rFonts w:ascii="Times New Roman" w:eastAsia="宋体" w:hAnsi="Times New Roman"/>
                  <w:sz w:val="20"/>
                  <w:szCs w:val="20"/>
                </w:rPr>
                <w:t>se Bank of Texas, National Association, as trustee (the “1998 Indenture”) (incorporated by reference to Exhibit 99.2 to Dell Inc.’s Current Report on Form 8-K filed with the Commission on April 28, 1998) (Commission File No. 0-17017).</w:t>
              </w:r>
            </w:hyperlink>
          </w:p>
        </w:tc>
      </w:tr>
      <w:tr w:rsidR="00C1563E" w14:paraId="7DD021E7" w14:textId="77777777">
        <w:trPr>
          <w:jc w:val="center"/>
        </w:trPr>
        <w:tc>
          <w:tcPr>
            <w:tcW w:w="0" w:type="auto"/>
            <w:gridSpan w:val="3"/>
            <w:shd w:val="clear" w:color="auto" w:fill="auto"/>
            <w:tcMar>
              <w:top w:w="40" w:type="dxa"/>
              <w:left w:w="20" w:type="dxa"/>
              <w:bottom w:w="40" w:type="dxa"/>
              <w:right w:w="20" w:type="dxa"/>
            </w:tcMar>
          </w:tcPr>
          <w:p w14:paraId="7DD021E4" w14:textId="77777777" w:rsidR="00C1563E" w:rsidRDefault="000B648B">
            <w:pPr>
              <w:jc w:val="right"/>
              <w:textAlignment w:val="top"/>
            </w:pPr>
            <w:hyperlink r:id="rId361" w:history="1">
              <w:r>
                <w:rPr>
                  <w:rStyle w:val="a5"/>
                  <w:rFonts w:ascii="Times New Roman" w:eastAsia="宋体" w:hAnsi="Times New Roman"/>
                  <w:sz w:val="20"/>
                  <w:szCs w:val="20"/>
                </w:rPr>
                <w:t>4.2</w:t>
              </w:r>
            </w:hyperlink>
          </w:p>
        </w:tc>
        <w:tc>
          <w:tcPr>
            <w:tcW w:w="0" w:type="auto"/>
            <w:gridSpan w:val="3"/>
            <w:shd w:val="clear" w:color="auto" w:fill="auto"/>
            <w:tcMar>
              <w:top w:w="0" w:type="dxa"/>
              <w:left w:w="20" w:type="dxa"/>
              <w:bottom w:w="0" w:type="dxa"/>
              <w:right w:w="20" w:type="dxa"/>
            </w:tcMar>
          </w:tcPr>
          <w:p w14:paraId="7DD021E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1E6" w14:textId="77777777" w:rsidR="00C1563E" w:rsidRDefault="000B648B">
            <w:pPr>
              <w:textAlignment w:val="top"/>
            </w:pPr>
            <w:hyperlink r:id="rId362" w:history="1">
              <w:r>
                <w:rPr>
                  <w:rStyle w:val="a5"/>
                  <w:rFonts w:ascii="Times New Roman" w:eastAsia="宋体" w:hAnsi="Times New Roman"/>
                  <w:sz w:val="20"/>
                  <w:szCs w:val="20"/>
                </w:rPr>
                <w:t xml:space="preserve">Indenture, dated as of April 17, 2008, between Dell Inc. and The Bank of </w:t>
              </w:r>
              <w:r>
                <w:rPr>
                  <w:rStyle w:val="a5"/>
                  <w:rFonts w:ascii="Times New Roman" w:eastAsia="宋体" w:hAnsi="Times New Roman"/>
                  <w:sz w:val="20"/>
                  <w:szCs w:val="20"/>
                </w:rPr>
                <w:t>New York Mellon Trust Company, N.A. (formerly The Bank of New York Trust Company, N.A.), as trustee (including the form of notes) (incorporated by reference to Exhibit 4.1 to Dell Inc.’s Current Report on Form 8-K filed with the Commission on April 17, 200</w:t>
              </w:r>
              <w:r>
                <w:rPr>
                  <w:rStyle w:val="a5"/>
                  <w:rFonts w:ascii="Times New Roman" w:eastAsia="宋体" w:hAnsi="Times New Roman"/>
                  <w:sz w:val="20"/>
                  <w:szCs w:val="20"/>
                </w:rPr>
                <w:t>8) (Commission File No. 0-17017).</w:t>
              </w:r>
            </w:hyperlink>
          </w:p>
        </w:tc>
      </w:tr>
      <w:tr w:rsidR="00C1563E" w14:paraId="7DD021EB" w14:textId="77777777">
        <w:trPr>
          <w:jc w:val="center"/>
        </w:trPr>
        <w:tc>
          <w:tcPr>
            <w:tcW w:w="0" w:type="auto"/>
            <w:gridSpan w:val="3"/>
            <w:shd w:val="clear" w:color="auto" w:fill="auto"/>
            <w:tcMar>
              <w:top w:w="40" w:type="dxa"/>
              <w:left w:w="20" w:type="dxa"/>
              <w:bottom w:w="40" w:type="dxa"/>
              <w:right w:w="20" w:type="dxa"/>
            </w:tcMar>
          </w:tcPr>
          <w:p w14:paraId="7DD021E8" w14:textId="77777777" w:rsidR="00C1563E" w:rsidRDefault="000B648B">
            <w:pPr>
              <w:jc w:val="right"/>
              <w:textAlignment w:val="top"/>
            </w:pPr>
            <w:hyperlink r:id="rId363" w:anchor="i418e32e4a35149ffbf7d3a25d66881b8_1" w:history="1">
              <w:r>
                <w:rPr>
                  <w:rStyle w:val="a5"/>
                  <w:rFonts w:ascii="Times New Roman" w:eastAsia="宋体" w:hAnsi="Times New Roman"/>
                  <w:sz w:val="20"/>
                  <w:szCs w:val="20"/>
                </w:rPr>
                <w:t>4.3</w:t>
              </w:r>
            </w:hyperlink>
          </w:p>
        </w:tc>
        <w:tc>
          <w:tcPr>
            <w:tcW w:w="0" w:type="auto"/>
            <w:gridSpan w:val="3"/>
            <w:shd w:val="clear" w:color="auto" w:fill="auto"/>
            <w:tcMar>
              <w:top w:w="0" w:type="dxa"/>
              <w:left w:w="20" w:type="dxa"/>
              <w:bottom w:w="0" w:type="dxa"/>
              <w:right w:w="20" w:type="dxa"/>
            </w:tcMar>
          </w:tcPr>
          <w:p w14:paraId="7DD021E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1EA" w14:textId="77777777" w:rsidR="00C1563E" w:rsidRDefault="000B648B">
            <w:pPr>
              <w:textAlignment w:val="top"/>
            </w:pPr>
            <w:hyperlink r:id="rId364" w:history="1">
              <w:r>
                <w:rPr>
                  <w:rStyle w:val="a5"/>
                  <w:rFonts w:ascii="Times New Roman" w:eastAsia="宋体" w:hAnsi="Times New Roman"/>
                  <w:sz w:val="20"/>
                  <w:szCs w:val="20"/>
                </w:rPr>
                <w:t>Indenture, dated as of April 6, 2009, between Dell Inc. and The Bank of New York Mellon Trust Company, N.A., as trustee (incorporated by reference to Exhibit 4.1 to Dell Inc.’s Current Report on Form 8-K filed with the Commissio</w:t>
              </w:r>
              <w:r>
                <w:rPr>
                  <w:rStyle w:val="a5"/>
                  <w:rFonts w:ascii="Times New Roman" w:eastAsia="宋体" w:hAnsi="Times New Roman"/>
                  <w:sz w:val="20"/>
                  <w:szCs w:val="20"/>
                </w:rPr>
                <w:t>n on April 6, 2009) (Commission File No. 0-17017).</w:t>
              </w:r>
            </w:hyperlink>
          </w:p>
        </w:tc>
      </w:tr>
      <w:tr w:rsidR="00C1563E" w14:paraId="7DD021EF" w14:textId="77777777">
        <w:trPr>
          <w:jc w:val="center"/>
        </w:trPr>
        <w:tc>
          <w:tcPr>
            <w:tcW w:w="0" w:type="auto"/>
            <w:gridSpan w:val="3"/>
            <w:shd w:val="clear" w:color="auto" w:fill="auto"/>
            <w:tcMar>
              <w:top w:w="40" w:type="dxa"/>
              <w:left w:w="20" w:type="dxa"/>
              <w:bottom w:w="40" w:type="dxa"/>
              <w:right w:w="20" w:type="dxa"/>
            </w:tcMar>
          </w:tcPr>
          <w:p w14:paraId="7DD021EC" w14:textId="77777777" w:rsidR="00C1563E" w:rsidRDefault="000B648B">
            <w:pPr>
              <w:jc w:val="right"/>
              <w:textAlignment w:val="top"/>
            </w:pPr>
            <w:hyperlink r:id="rId365" w:history="1">
              <w:r>
                <w:rPr>
                  <w:rStyle w:val="a5"/>
                  <w:rFonts w:ascii="Times New Roman" w:eastAsia="宋体" w:hAnsi="Times New Roman"/>
                  <w:sz w:val="20"/>
                  <w:szCs w:val="20"/>
                </w:rPr>
                <w:t>4.4</w:t>
              </w:r>
            </w:hyperlink>
          </w:p>
        </w:tc>
        <w:tc>
          <w:tcPr>
            <w:tcW w:w="0" w:type="auto"/>
            <w:gridSpan w:val="3"/>
            <w:shd w:val="clear" w:color="auto" w:fill="auto"/>
            <w:tcMar>
              <w:top w:w="0" w:type="dxa"/>
              <w:left w:w="20" w:type="dxa"/>
              <w:bottom w:w="0" w:type="dxa"/>
              <w:right w:w="20" w:type="dxa"/>
            </w:tcMar>
          </w:tcPr>
          <w:p w14:paraId="7DD021E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1EE" w14:textId="77777777" w:rsidR="00C1563E" w:rsidRDefault="000B648B">
            <w:pPr>
              <w:textAlignment w:val="top"/>
            </w:pPr>
            <w:hyperlink r:id="rId366" w:history="1">
              <w:r>
                <w:rPr>
                  <w:rStyle w:val="a5"/>
                  <w:rFonts w:ascii="Times New Roman" w:eastAsia="宋体" w:hAnsi="Times New Roman"/>
                  <w:sz w:val="20"/>
                  <w:szCs w:val="20"/>
                </w:rPr>
                <w:t>Third Supplemental Indenture, dated September 10, 2010, between Dell Inc. and The Bank of New York Mellon Trust Company, N.A., as trustee (incorporated by refere</w:t>
              </w:r>
              <w:r>
                <w:rPr>
                  <w:rStyle w:val="a5"/>
                  <w:rFonts w:ascii="Times New Roman" w:eastAsia="宋体" w:hAnsi="Times New Roman"/>
                  <w:sz w:val="20"/>
                  <w:szCs w:val="20"/>
                </w:rPr>
                <w:t>nce to Exhibit 4.1 to Dell Inc.’s Current Report on Form 8-K filed with the Commission on September 10, 2010) (Commission File No. 0-17017).</w:t>
              </w:r>
            </w:hyperlink>
          </w:p>
        </w:tc>
      </w:tr>
    </w:tbl>
    <w:p w14:paraId="7DD021F0" w14:textId="77777777" w:rsidR="00C1563E" w:rsidRDefault="00C1563E">
      <w:pPr>
        <w:jc w:val="center"/>
      </w:pPr>
    </w:p>
    <w:p w14:paraId="7DD021F1" w14:textId="77777777" w:rsidR="00C1563E" w:rsidRDefault="000B648B">
      <w:pPr>
        <w:jc w:val="center"/>
      </w:pPr>
      <w:r>
        <w:rPr>
          <w:rFonts w:ascii="Times New Roman" w:eastAsia="宋体" w:hAnsi="Times New Roman"/>
          <w:color w:val="000000"/>
          <w:sz w:val="20"/>
          <w:szCs w:val="20"/>
        </w:rPr>
        <w:t>172</w:t>
      </w:r>
    </w:p>
    <w:p w14:paraId="7DD021F2" w14:textId="77777777" w:rsidR="00C1563E" w:rsidRDefault="00C1563E">
      <w:pPr>
        <w:jc w:val="center"/>
      </w:pPr>
    </w:p>
    <w:p w14:paraId="7DD021F3" w14:textId="77777777" w:rsidR="00C1563E" w:rsidRDefault="000B648B">
      <w:r>
        <w:pict w14:anchorId="7DD02616">
          <v:rect id="_x0000_i1196" style="width:415.3pt;height:1.5pt" o:hralign="center" o:hrstd="t" o:hr="t" fillcolor="#a0a0a0" stroked="f"/>
        </w:pict>
      </w:r>
    </w:p>
    <w:p w14:paraId="7DD021F4" w14:textId="77777777" w:rsidR="00C1563E" w:rsidRDefault="000B648B">
      <w:hyperlink r:id="rId367"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5"/>
        <w:gridCol w:w="7084"/>
        <w:gridCol w:w="36"/>
      </w:tblGrid>
      <w:tr w:rsidR="00C1563E" w14:paraId="7DD021FE" w14:textId="77777777">
        <w:trPr>
          <w:jc w:val="center"/>
        </w:trPr>
        <w:tc>
          <w:tcPr>
            <w:tcW w:w="50" w:type="pct"/>
            <w:shd w:val="clear" w:color="auto" w:fill="auto"/>
          </w:tcPr>
          <w:p w14:paraId="7DD021F5" w14:textId="77777777" w:rsidR="00C1563E" w:rsidRDefault="00C1563E">
            <w:pPr>
              <w:rPr>
                <w:rFonts w:ascii="宋体"/>
              </w:rPr>
            </w:pPr>
          </w:p>
        </w:tc>
        <w:tc>
          <w:tcPr>
            <w:tcW w:w="595" w:type="pct"/>
            <w:shd w:val="clear" w:color="auto" w:fill="auto"/>
          </w:tcPr>
          <w:p w14:paraId="7DD021F6" w14:textId="77777777" w:rsidR="00C1563E" w:rsidRDefault="00C1563E">
            <w:pPr>
              <w:rPr>
                <w:rFonts w:ascii="宋体"/>
              </w:rPr>
            </w:pPr>
          </w:p>
        </w:tc>
        <w:tc>
          <w:tcPr>
            <w:tcW w:w="5" w:type="pct"/>
            <w:shd w:val="clear" w:color="auto" w:fill="auto"/>
          </w:tcPr>
          <w:p w14:paraId="7DD021F7" w14:textId="77777777" w:rsidR="00C1563E" w:rsidRDefault="00C1563E">
            <w:pPr>
              <w:rPr>
                <w:rFonts w:ascii="宋体"/>
              </w:rPr>
            </w:pPr>
          </w:p>
        </w:tc>
        <w:tc>
          <w:tcPr>
            <w:tcW w:w="5" w:type="pct"/>
            <w:shd w:val="clear" w:color="auto" w:fill="auto"/>
          </w:tcPr>
          <w:p w14:paraId="7DD021F8" w14:textId="77777777" w:rsidR="00C1563E" w:rsidRDefault="00C1563E">
            <w:pPr>
              <w:rPr>
                <w:rFonts w:ascii="宋体"/>
              </w:rPr>
            </w:pPr>
          </w:p>
        </w:tc>
        <w:tc>
          <w:tcPr>
            <w:tcW w:w="19" w:type="pct"/>
            <w:shd w:val="clear" w:color="auto" w:fill="auto"/>
          </w:tcPr>
          <w:p w14:paraId="7DD021F9" w14:textId="77777777" w:rsidR="00C1563E" w:rsidRDefault="00C1563E">
            <w:pPr>
              <w:rPr>
                <w:rFonts w:ascii="宋体"/>
              </w:rPr>
            </w:pPr>
          </w:p>
        </w:tc>
        <w:tc>
          <w:tcPr>
            <w:tcW w:w="5" w:type="pct"/>
            <w:shd w:val="clear" w:color="auto" w:fill="auto"/>
          </w:tcPr>
          <w:p w14:paraId="7DD021FA" w14:textId="77777777" w:rsidR="00C1563E" w:rsidRDefault="00C1563E">
            <w:pPr>
              <w:rPr>
                <w:rFonts w:ascii="宋体"/>
              </w:rPr>
            </w:pPr>
          </w:p>
        </w:tc>
        <w:tc>
          <w:tcPr>
            <w:tcW w:w="50" w:type="pct"/>
            <w:shd w:val="clear" w:color="auto" w:fill="auto"/>
          </w:tcPr>
          <w:p w14:paraId="7DD021FB" w14:textId="77777777" w:rsidR="00C1563E" w:rsidRDefault="00C1563E">
            <w:pPr>
              <w:rPr>
                <w:rFonts w:ascii="宋体"/>
              </w:rPr>
            </w:pPr>
          </w:p>
        </w:tc>
        <w:tc>
          <w:tcPr>
            <w:tcW w:w="4265" w:type="pct"/>
            <w:shd w:val="clear" w:color="auto" w:fill="auto"/>
          </w:tcPr>
          <w:p w14:paraId="7DD021FC" w14:textId="77777777" w:rsidR="00C1563E" w:rsidRDefault="00C1563E">
            <w:pPr>
              <w:rPr>
                <w:rFonts w:ascii="宋体"/>
              </w:rPr>
            </w:pPr>
          </w:p>
        </w:tc>
        <w:tc>
          <w:tcPr>
            <w:tcW w:w="5" w:type="pct"/>
            <w:shd w:val="clear" w:color="auto" w:fill="auto"/>
          </w:tcPr>
          <w:p w14:paraId="7DD021FD" w14:textId="77777777" w:rsidR="00C1563E" w:rsidRDefault="00C1563E">
            <w:pPr>
              <w:rPr>
                <w:rFonts w:ascii="宋体"/>
              </w:rPr>
            </w:pPr>
          </w:p>
        </w:tc>
      </w:tr>
      <w:tr w:rsidR="00C1563E" w14:paraId="7DD02202" w14:textId="77777777">
        <w:trPr>
          <w:jc w:val="center"/>
        </w:trPr>
        <w:tc>
          <w:tcPr>
            <w:tcW w:w="0" w:type="auto"/>
            <w:gridSpan w:val="3"/>
            <w:shd w:val="clear" w:color="auto" w:fill="auto"/>
            <w:tcMar>
              <w:top w:w="40" w:type="dxa"/>
              <w:left w:w="20" w:type="dxa"/>
              <w:bottom w:w="40" w:type="dxa"/>
              <w:right w:w="20" w:type="dxa"/>
            </w:tcMar>
          </w:tcPr>
          <w:p w14:paraId="7DD021FF" w14:textId="77777777" w:rsidR="00C1563E" w:rsidRDefault="000B648B">
            <w:pPr>
              <w:jc w:val="right"/>
              <w:textAlignment w:val="top"/>
            </w:pPr>
            <w:hyperlink r:id="rId368" w:history="1">
              <w:r>
                <w:rPr>
                  <w:rStyle w:val="a5"/>
                  <w:rFonts w:ascii="Times New Roman" w:eastAsia="宋体" w:hAnsi="Times New Roman"/>
                  <w:sz w:val="20"/>
                  <w:szCs w:val="20"/>
                </w:rPr>
                <w:t>4.5</w:t>
              </w:r>
            </w:hyperlink>
          </w:p>
        </w:tc>
        <w:tc>
          <w:tcPr>
            <w:tcW w:w="0" w:type="auto"/>
            <w:gridSpan w:val="3"/>
            <w:shd w:val="clear" w:color="auto" w:fill="auto"/>
            <w:tcMar>
              <w:top w:w="0" w:type="dxa"/>
              <w:left w:w="20" w:type="dxa"/>
              <w:bottom w:w="0" w:type="dxa"/>
              <w:right w:w="20" w:type="dxa"/>
            </w:tcMar>
          </w:tcPr>
          <w:p w14:paraId="7DD0220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01" w14:textId="77777777" w:rsidR="00C1563E" w:rsidRDefault="000B648B">
            <w:pPr>
              <w:textAlignment w:val="top"/>
            </w:pPr>
            <w:hyperlink r:id="rId369" w:history="1">
              <w:r>
                <w:rPr>
                  <w:rStyle w:val="a5"/>
                  <w:rFonts w:ascii="Times New Roman" w:eastAsia="宋体" w:hAnsi="Times New Roman"/>
                  <w:sz w:val="20"/>
                  <w:szCs w:val="20"/>
                </w:rPr>
                <w:t>Fourth Supplemental Indenture, dated March 31, 2011, betwe</w:t>
              </w:r>
              <w:r>
                <w:rPr>
                  <w:rStyle w:val="a5"/>
                  <w:rFonts w:ascii="Times New Roman" w:eastAsia="宋体" w:hAnsi="Times New Roman"/>
                  <w:sz w:val="20"/>
                  <w:szCs w:val="20"/>
                </w:rPr>
                <w:t>en Dell Inc. and The Bank of New York Mellon Trust Company, N.A., as trustee (incorporated by reference to Exhibit 4.1 to Dell Inc.’s Current Report on Form 8-K filed with the Commission on March 31, 2011) (Commission File No. 0-17017).</w:t>
              </w:r>
            </w:hyperlink>
          </w:p>
        </w:tc>
      </w:tr>
      <w:tr w:rsidR="00C1563E" w14:paraId="7DD02206" w14:textId="77777777">
        <w:trPr>
          <w:jc w:val="center"/>
        </w:trPr>
        <w:tc>
          <w:tcPr>
            <w:tcW w:w="0" w:type="auto"/>
            <w:gridSpan w:val="3"/>
            <w:shd w:val="clear" w:color="auto" w:fill="auto"/>
            <w:tcMar>
              <w:top w:w="40" w:type="dxa"/>
              <w:left w:w="20" w:type="dxa"/>
              <w:bottom w:w="40" w:type="dxa"/>
              <w:right w:w="20" w:type="dxa"/>
            </w:tcMar>
          </w:tcPr>
          <w:p w14:paraId="7DD02203" w14:textId="77777777" w:rsidR="00C1563E" w:rsidRDefault="000B648B">
            <w:pPr>
              <w:jc w:val="right"/>
              <w:textAlignment w:val="top"/>
            </w:pPr>
            <w:hyperlink r:id="rId370" w:history="1">
              <w:r>
                <w:rPr>
                  <w:rStyle w:val="a5"/>
                  <w:rFonts w:ascii="Times New Roman" w:eastAsia="宋体" w:hAnsi="Times New Roman"/>
                  <w:sz w:val="20"/>
                  <w:szCs w:val="20"/>
                </w:rPr>
                <w:t>4.6</w:t>
              </w:r>
            </w:hyperlink>
          </w:p>
        </w:tc>
        <w:tc>
          <w:tcPr>
            <w:tcW w:w="0" w:type="auto"/>
            <w:gridSpan w:val="3"/>
            <w:shd w:val="clear" w:color="auto" w:fill="auto"/>
            <w:tcMar>
              <w:top w:w="0" w:type="dxa"/>
              <w:left w:w="20" w:type="dxa"/>
              <w:bottom w:w="0" w:type="dxa"/>
              <w:right w:w="20" w:type="dxa"/>
            </w:tcMar>
          </w:tcPr>
          <w:p w14:paraId="7DD0220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05" w14:textId="77777777" w:rsidR="00C1563E" w:rsidRDefault="000B648B">
            <w:pPr>
              <w:textAlignment w:val="top"/>
            </w:pPr>
            <w:hyperlink r:id="rId371" w:history="1">
              <w:r>
                <w:rPr>
                  <w:rStyle w:val="a5"/>
                  <w:rFonts w:ascii="Times New Roman" w:eastAsia="宋体" w:hAnsi="Times New Roman"/>
                  <w:sz w:val="20"/>
                  <w:szCs w:val="20"/>
                </w:rPr>
                <w:t>Indenture, dated as of June 6, 2013, by and between EMC Co</w:t>
              </w:r>
              <w:r>
                <w:rPr>
                  <w:rStyle w:val="a5"/>
                  <w:rFonts w:ascii="Times New Roman" w:eastAsia="宋体" w:hAnsi="Times New Roman"/>
                  <w:sz w:val="20"/>
                  <w:szCs w:val="20"/>
                </w:rPr>
                <w:t>rporation and Wells Fargo Bank, National Association, as trustee (incorporated by reference to Exhibit 4.1 to EMC Corporation’s Current Report on Form 8-K filed with the Commission on June 6, 2013) (Commission File No. 001-9853).</w:t>
              </w:r>
            </w:hyperlink>
          </w:p>
        </w:tc>
      </w:tr>
      <w:tr w:rsidR="00C1563E" w14:paraId="7DD0220A" w14:textId="77777777">
        <w:trPr>
          <w:jc w:val="center"/>
        </w:trPr>
        <w:tc>
          <w:tcPr>
            <w:tcW w:w="0" w:type="auto"/>
            <w:gridSpan w:val="3"/>
            <w:shd w:val="clear" w:color="auto" w:fill="auto"/>
            <w:tcMar>
              <w:top w:w="40" w:type="dxa"/>
              <w:left w:w="20" w:type="dxa"/>
              <w:bottom w:w="40" w:type="dxa"/>
              <w:right w:w="20" w:type="dxa"/>
            </w:tcMar>
          </w:tcPr>
          <w:p w14:paraId="7DD02207" w14:textId="77777777" w:rsidR="00C1563E" w:rsidRDefault="000B648B">
            <w:pPr>
              <w:jc w:val="right"/>
              <w:textAlignment w:val="top"/>
            </w:pPr>
            <w:hyperlink r:id="rId372" w:history="1">
              <w:r>
                <w:rPr>
                  <w:rStyle w:val="a5"/>
                  <w:rFonts w:ascii="Times New Roman" w:eastAsia="宋体" w:hAnsi="Times New Roman"/>
                  <w:sz w:val="20"/>
                  <w:szCs w:val="20"/>
                </w:rPr>
                <w:t>4.7</w:t>
              </w:r>
            </w:hyperlink>
          </w:p>
        </w:tc>
        <w:tc>
          <w:tcPr>
            <w:tcW w:w="0" w:type="auto"/>
            <w:gridSpan w:val="3"/>
            <w:shd w:val="clear" w:color="auto" w:fill="auto"/>
            <w:tcMar>
              <w:top w:w="0" w:type="dxa"/>
              <w:left w:w="20" w:type="dxa"/>
              <w:bottom w:w="0" w:type="dxa"/>
              <w:right w:w="20" w:type="dxa"/>
            </w:tcMar>
          </w:tcPr>
          <w:p w14:paraId="7DD0220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09" w14:textId="77777777" w:rsidR="00C1563E" w:rsidRDefault="000B648B">
            <w:pPr>
              <w:textAlignment w:val="top"/>
            </w:pPr>
            <w:hyperlink r:id="rId373" w:history="1">
              <w:r>
                <w:rPr>
                  <w:rStyle w:val="a5"/>
                  <w:rFonts w:ascii="Times New Roman" w:eastAsia="宋体" w:hAnsi="Times New Roman"/>
                  <w:sz w:val="20"/>
                  <w:szCs w:val="20"/>
                </w:rPr>
                <w:t xml:space="preserve">Base Indenture, dated as of June 1, 2016, among Diamond 1 Finance Corporation </w:t>
              </w:r>
              <w:r>
                <w:rPr>
                  <w:rStyle w:val="a5"/>
                  <w:rFonts w:ascii="Times New Roman" w:eastAsia="宋体" w:hAnsi="Times New Roman"/>
                  <w:sz w:val="20"/>
                  <w:szCs w:val="20"/>
                </w:rPr>
                <w:t>and Diamond 2 Finance Corporation, as issuers, and The Bank of New York Mellon Trust Company, N.A., as trustee and collateral agent (incorporated by reference to Exhibit 4.14 to Amendment No. 6 to the Company’s 2016 Form S-4 filed with the Commission on Ju</w:t>
              </w:r>
              <w:r>
                <w:rPr>
                  <w:rStyle w:val="a5"/>
                  <w:rFonts w:ascii="Times New Roman" w:eastAsia="宋体" w:hAnsi="Times New Roman"/>
                  <w:sz w:val="20"/>
                  <w:szCs w:val="20"/>
                </w:rPr>
                <w:t>ne 3, 2016) (Registration No. 333-208524).</w:t>
              </w:r>
            </w:hyperlink>
          </w:p>
        </w:tc>
      </w:tr>
      <w:tr w:rsidR="00C1563E" w14:paraId="7DD0220E" w14:textId="77777777">
        <w:trPr>
          <w:jc w:val="center"/>
        </w:trPr>
        <w:tc>
          <w:tcPr>
            <w:tcW w:w="0" w:type="auto"/>
            <w:gridSpan w:val="3"/>
            <w:shd w:val="clear" w:color="auto" w:fill="auto"/>
            <w:tcMar>
              <w:top w:w="40" w:type="dxa"/>
              <w:left w:w="20" w:type="dxa"/>
              <w:bottom w:w="40" w:type="dxa"/>
              <w:right w:w="20" w:type="dxa"/>
            </w:tcMar>
          </w:tcPr>
          <w:p w14:paraId="7DD0220B" w14:textId="77777777" w:rsidR="00C1563E" w:rsidRDefault="000B648B">
            <w:pPr>
              <w:jc w:val="right"/>
              <w:textAlignment w:val="top"/>
            </w:pPr>
            <w:hyperlink r:id="rId374" w:history="1">
              <w:r>
                <w:rPr>
                  <w:rStyle w:val="a5"/>
                  <w:rFonts w:ascii="Times New Roman" w:eastAsia="宋体" w:hAnsi="Times New Roman"/>
                  <w:sz w:val="20"/>
                  <w:szCs w:val="20"/>
                </w:rPr>
                <w:t>4.8</w:t>
              </w:r>
            </w:hyperlink>
          </w:p>
        </w:tc>
        <w:tc>
          <w:tcPr>
            <w:tcW w:w="0" w:type="auto"/>
            <w:gridSpan w:val="3"/>
            <w:shd w:val="clear" w:color="auto" w:fill="auto"/>
            <w:tcMar>
              <w:top w:w="0" w:type="dxa"/>
              <w:left w:w="20" w:type="dxa"/>
              <w:bottom w:w="0" w:type="dxa"/>
              <w:right w:w="20" w:type="dxa"/>
            </w:tcMar>
          </w:tcPr>
          <w:p w14:paraId="7DD0220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0D" w14:textId="77777777" w:rsidR="00C1563E" w:rsidRDefault="000B648B">
            <w:pPr>
              <w:textAlignment w:val="top"/>
            </w:pPr>
            <w:hyperlink r:id="rId375" w:history="1">
              <w:r>
                <w:rPr>
                  <w:rStyle w:val="a5"/>
                  <w:rFonts w:ascii="Times New Roman" w:eastAsia="宋体" w:hAnsi="Times New Roman"/>
                  <w:sz w:val="20"/>
                  <w:szCs w:val="20"/>
                </w:rPr>
                <w:t xml:space="preserve">2021 Notes Supplemental Indenture No. 1, dated June 1, 2016, among Diamond 1 Finance Corporation, Diamond 2 Finance Corporation and The Bank of New York Mellon </w:t>
              </w:r>
              <w:r>
                <w:rPr>
                  <w:rStyle w:val="a5"/>
                  <w:rFonts w:ascii="Times New Roman" w:eastAsia="宋体" w:hAnsi="Times New Roman"/>
                  <w:sz w:val="20"/>
                  <w:szCs w:val="20"/>
                </w:rPr>
                <w:t>Trust Company, N.A., as trustee and collateral agent (incorporated by reference to Exhibit 4.17 to Amendment No. 6 to the Company’s 2016 Form S-4 filed with the Commission on June 3, 2016) (Registration No. 333-208524).</w:t>
              </w:r>
            </w:hyperlink>
          </w:p>
        </w:tc>
      </w:tr>
      <w:tr w:rsidR="00C1563E" w14:paraId="7DD02212" w14:textId="77777777">
        <w:trPr>
          <w:jc w:val="center"/>
        </w:trPr>
        <w:tc>
          <w:tcPr>
            <w:tcW w:w="0" w:type="auto"/>
            <w:gridSpan w:val="3"/>
            <w:shd w:val="clear" w:color="auto" w:fill="auto"/>
            <w:tcMar>
              <w:top w:w="40" w:type="dxa"/>
              <w:left w:w="20" w:type="dxa"/>
              <w:bottom w:w="40" w:type="dxa"/>
              <w:right w:w="20" w:type="dxa"/>
            </w:tcMar>
          </w:tcPr>
          <w:p w14:paraId="7DD0220F" w14:textId="77777777" w:rsidR="00C1563E" w:rsidRDefault="000B648B">
            <w:pPr>
              <w:jc w:val="right"/>
              <w:textAlignment w:val="top"/>
            </w:pPr>
            <w:hyperlink r:id="rId376" w:history="1">
              <w:r>
                <w:rPr>
                  <w:rStyle w:val="a5"/>
                  <w:rFonts w:ascii="Times New Roman" w:eastAsia="宋体" w:hAnsi="Times New Roman"/>
                  <w:sz w:val="20"/>
                  <w:szCs w:val="20"/>
                </w:rPr>
                <w:t>4.9</w:t>
              </w:r>
            </w:hyperlink>
          </w:p>
        </w:tc>
        <w:tc>
          <w:tcPr>
            <w:tcW w:w="0" w:type="auto"/>
            <w:gridSpan w:val="3"/>
            <w:shd w:val="clear" w:color="auto" w:fill="auto"/>
            <w:tcMar>
              <w:top w:w="0" w:type="dxa"/>
              <w:left w:w="20" w:type="dxa"/>
              <w:bottom w:w="0" w:type="dxa"/>
              <w:right w:w="20" w:type="dxa"/>
            </w:tcMar>
          </w:tcPr>
          <w:p w14:paraId="7DD0221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11" w14:textId="77777777" w:rsidR="00C1563E" w:rsidRDefault="000B648B">
            <w:pPr>
              <w:textAlignment w:val="top"/>
            </w:pPr>
            <w:hyperlink r:id="rId377" w:history="1">
              <w:r>
                <w:rPr>
                  <w:rStyle w:val="a5"/>
                  <w:rFonts w:ascii="Times New Roman" w:eastAsia="宋体" w:hAnsi="Times New Roman"/>
                  <w:sz w:val="20"/>
                  <w:szCs w:val="20"/>
                </w:rPr>
                <w:t xml:space="preserve">2023 Notes Supplemental Indenture No. 1, dated June 1, 2016, among Diamond 1 Finance Corporation, Diamond 2 Finance Corporation and The Bank of New York Mellon </w:t>
              </w:r>
              <w:r>
                <w:rPr>
                  <w:rStyle w:val="a5"/>
                  <w:rFonts w:ascii="Times New Roman" w:eastAsia="宋体" w:hAnsi="Times New Roman"/>
                  <w:sz w:val="20"/>
                  <w:szCs w:val="20"/>
                </w:rPr>
                <w:t>Trust Company, N.A., as trustee and collateral agent (incorporated by reference to Exhibit 4.19 to Amendment No. 6 to the Company’s 2016 Form S-4 filed with the Commission on June 3, 2016) (Registration No. 333-208524).</w:t>
              </w:r>
            </w:hyperlink>
          </w:p>
        </w:tc>
      </w:tr>
      <w:tr w:rsidR="00C1563E" w14:paraId="7DD02216" w14:textId="77777777">
        <w:trPr>
          <w:jc w:val="center"/>
        </w:trPr>
        <w:tc>
          <w:tcPr>
            <w:tcW w:w="0" w:type="auto"/>
            <w:gridSpan w:val="3"/>
            <w:shd w:val="clear" w:color="auto" w:fill="auto"/>
            <w:tcMar>
              <w:top w:w="40" w:type="dxa"/>
              <w:left w:w="20" w:type="dxa"/>
              <w:bottom w:w="40" w:type="dxa"/>
              <w:right w:w="20" w:type="dxa"/>
            </w:tcMar>
          </w:tcPr>
          <w:p w14:paraId="7DD02213" w14:textId="77777777" w:rsidR="00C1563E" w:rsidRDefault="000B648B">
            <w:pPr>
              <w:jc w:val="right"/>
              <w:textAlignment w:val="top"/>
            </w:pPr>
            <w:hyperlink r:id="rId378" w:history="1">
              <w:r>
                <w:rPr>
                  <w:rStyle w:val="a5"/>
                  <w:rFonts w:ascii="Times New Roman" w:eastAsia="宋体" w:hAnsi="Times New Roman"/>
                  <w:sz w:val="20"/>
                  <w:szCs w:val="20"/>
                </w:rPr>
                <w:t>4.10</w:t>
              </w:r>
            </w:hyperlink>
          </w:p>
        </w:tc>
        <w:tc>
          <w:tcPr>
            <w:tcW w:w="0" w:type="auto"/>
            <w:gridSpan w:val="3"/>
            <w:shd w:val="clear" w:color="auto" w:fill="auto"/>
            <w:tcMar>
              <w:top w:w="0" w:type="dxa"/>
              <w:left w:w="20" w:type="dxa"/>
              <w:bottom w:w="0" w:type="dxa"/>
              <w:right w:w="20" w:type="dxa"/>
            </w:tcMar>
          </w:tcPr>
          <w:p w14:paraId="7DD0221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15" w14:textId="77777777" w:rsidR="00C1563E" w:rsidRDefault="000B648B">
            <w:pPr>
              <w:textAlignment w:val="top"/>
            </w:pPr>
            <w:hyperlink r:id="rId379" w:history="1">
              <w:r>
                <w:rPr>
                  <w:rStyle w:val="a5"/>
                  <w:rFonts w:ascii="Times New Roman" w:eastAsia="宋体" w:hAnsi="Times New Roman"/>
                  <w:sz w:val="20"/>
                  <w:szCs w:val="20"/>
                </w:rPr>
                <w:t>2026 Notes Supplemental Indenture No. 1, dated June 1, 2016, among Diamond 1 Finance Co</w:t>
              </w:r>
              <w:r>
                <w:rPr>
                  <w:rStyle w:val="a5"/>
                  <w:rFonts w:ascii="Times New Roman" w:eastAsia="宋体" w:hAnsi="Times New Roman"/>
                  <w:sz w:val="20"/>
                  <w:szCs w:val="20"/>
                </w:rPr>
                <w:t xml:space="preserve">rporation, Diamond 2 Finance Corporation and The Bank of New York Mellon Trust Company, N.A., as trustee and collateral agent (incorporated by reference to Exhibit 4.21 to Amendment No. 6 to the Company’s 2016 Form S-4 filed with the Commission on June 3, </w:t>
              </w:r>
              <w:r>
                <w:rPr>
                  <w:rStyle w:val="a5"/>
                  <w:rFonts w:ascii="Times New Roman" w:eastAsia="宋体" w:hAnsi="Times New Roman"/>
                  <w:sz w:val="20"/>
                  <w:szCs w:val="20"/>
                </w:rPr>
                <w:t>2016) (Registration No. 333-208524).</w:t>
              </w:r>
            </w:hyperlink>
          </w:p>
        </w:tc>
      </w:tr>
      <w:tr w:rsidR="00C1563E" w14:paraId="7DD0221A" w14:textId="77777777">
        <w:trPr>
          <w:jc w:val="center"/>
        </w:trPr>
        <w:tc>
          <w:tcPr>
            <w:tcW w:w="0" w:type="auto"/>
            <w:gridSpan w:val="3"/>
            <w:shd w:val="clear" w:color="auto" w:fill="auto"/>
            <w:tcMar>
              <w:top w:w="40" w:type="dxa"/>
              <w:left w:w="20" w:type="dxa"/>
              <w:bottom w:w="40" w:type="dxa"/>
              <w:right w:w="20" w:type="dxa"/>
            </w:tcMar>
          </w:tcPr>
          <w:p w14:paraId="7DD02217" w14:textId="77777777" w:rsidR="00C1563E" w:rsidRDefault="000B648B">
            <w:pPr>
              <w:jc w:val="right"/>
              <w:textAlignment w:val="top"/>
            </w:pPr>
            <w:hyperlink r:id="rId380" w:history="1">
              <w:r>
                <w:rPr>
                  <w:rStyle w:val="a5"/>
                  <w:rFonts w:ascii="Times New Roman" w:eastAsia="宋体" w:hAnsi="Times New Roman"/>
                  <w:sz w:val="20"/>
                  <w:szCs w:val="20"/>
                </w:rPr>
                <w:t>4.11</w:t>
              </w:r>
            </w:hyperlink>
          </w:p>
        </w:tc>
        <w:tc>
          <w:tcPr>
            <w:tcW w:w="0" w:type="auto"/>
            <w:gridSpan w:val="3"/>
            <w:shd w:val="clear" w:color="auto" w:fill="auto"/>
            <w:tcMar>
              <w:top w:w="0" w:type="dxa"/>
              <w:left w:w="20" w:type="dxa"/>
              <w:bottom w:w="0" w:type="dxa"/>
              <w:right w:w="20" w:type="dxa"/>
            </w:tcMar>
          </w:tcPr>
          <w:p w14:paraId="7DD0221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19" w14:textId="77777777" w:rsidR="00C1563E" w:rsidRDefault="000B648B">
            <w:pPr>
              <w:textAlignment w:val="top"/>
            </w:pPr>
            <w:hyperlink r:id="rId381" w:history="1">
              <w:r>
                <w:rPr>
                  <w:rStyle w:val="a5"/>
                  <w:rFonts w:ascii="Times New Roman" w:eastAsia="宋体" w:hAnsi="Times New Roman"/>
                  <w:sz w:val="20"/>
                  <w:szCs w:val="20"/>
                </w:rPr>
                <w:t>2036 Notes Sup</w:t>
              </w:r>
              <w:r>
                <w:rPr>
                  <w:rStyle w:val="a5"/>
                  <w:rFonts w:ascii="Times New Roman" w:eastAsia="宋体" w:hAnsi="Times New Roman"/>
                  <w:sz w:val="20"/>
                  <w:szCs w:val="20"/>
                </w:rPr>
                <w:t>plemental Indenture No. 1, dated June 1, 2016, among Diamond 1 Finance Corporation, Diamond 2 Finance Corporation and The Bank of New York Mellon Trust Company, N.A., as trustee and collateral agent (incorporated by reference to Exhibit 4.23 to Amendment N</w:t>
              </w:r>
              <w:r>
                <w:rPr>
                  <w:rStyle w:val="a5"/>
                  <w:rFonts w:ascii="Times New Roman" w:eastAsia="宋体" w:hAnsi="Times New Roman"/>
                  <w:sz w:val="20"/>
                  <w:szCs w:val="20"/>
                </w:rPr>
                <w:t>o. 6 to the Company’s 2016 Form S-4 filed with the Commission on June 3, 2016) (Registration No. 333-208524).</w:t>
              </w:r>
            </w:hyperlink>
          </w:p>
        </w:tc>
      </w:tr>
      <w:tr w:rsidR="00C1563E" w14:paraId="7DD0221E" w14:textId="77777777">
        <w:trPr>
          <w:jc w:val="center"/>
        </w:trPr>
        <w:tc>
          <w:tcPr>
            <w:tcW w:w="0" w:type="auto"/>
            <w:gridSpan w:val="3"/>
            <w:shd w:val="clear" w:color="auto" w:fill="auto"/>
            <w:tcMar>
              <w:top w:w="40" w:type="dxa"/>
              <w:left w:w="20" w:type="dxa"/>
              <w:bottom w:w="40" w:type="dxa"/>
              <w:right w:w="20" w:type="dxa"/>
            </w:tcMar>
          </w:tcPr>
          <w:p w14:paraId="7DD0221B" w14:textId="77777777" w:rsidR="00C1563E" w:rsidRDefault="000B648B">
            <w:pPr>
              <w:jc w:val="right"/>
              <w:textAlignment w:val="top"/>
            </w:pPr>
            <w:hyperlink r:id="rId382" w:history="1">
              <w:r>
                <w:rPr>
                  <w:rStyle w:val="a5"/>
                  <w:rFonts w:ascii="Times New Roman" w:eastAsia="宋体" w:hAnsi="Times New Roman"/>
                  <w:sz w:val="20"/>
                  <w:szCs w:val="20"/>
                </w:rPr>
                <w:t>4.12</w:t>
              </w:r>
            </w:hyperlink>
          </w:p>
        </w:tc>
        <w:tc>
          <w:tcPr>
            <w:tcW w:w="0" w:type="auto"/>
            <w:gridSpan w:val="3"/>
            <w:shd w:val="clear" w:color="auto" w:fill="auto"/>
            <w:tcMar>
              <w:top w:w="0" w:type="dxa"/>
              <w:left w:w="20" w:type="dxa"/>
              <w:bottom w:w="0" w:type="dxa"/>
              <w:right w:w="20" w:type="dxa"/>
            </w:tcMar>
          </w:tcPr>
          <w:p w14:paraId="7DD0221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1D" w14:textId="77777777" w:rsidR="00C1563E" w:rsidRDefault="000B648B">
            <w:pPr>
              <w:textAlignment w:val="top"/>
            </w:pPr>
            <w:hyperlink r:id="rId383" w:history="1">
              <w:r>
                <w:rPr>
                  <w:rStyle w:val="a5"/>
                  <w:rFonts w:ascii="Times New Roman" w:eastAsia="宋体" w:hAnsi="Times New Roman"/>
                  <w:sz w:val="20"/>
                  <w:szCs w:val="20"/>
                </w:rPr>
                <w:t>2046 Notes Supplemental Indenture No. 1, dated June 1, 2016, among Diamond 1 Finance Corporation, Diamond 2 Finance Corporation and The Bank of New York Mellon Trust Company, N.A., as trustee and c</w:t>
              </w:r>
              <w:r>
                <w:rPr>
                  <w:rStyle w:val="a5"/>
                  <w:rFonts w:ascii="Times New Roman" w:eastAsia="宋体" w:hAnsi="Times New Roman"/>
                  <w:sz w:val="20"/>
                  <w:szCs w:val="20"/>
                </w:rPr>
                <w:t>ollateral agent (incorporated by reference to Exhibit 4.25 to Amendment No. 6 to the Company’s 2016 Form S-4 filed with the Commission on June 3, 2016) (Registration No. 333-208524).</w:t>
              </w:r>
            </w:hyperlink>
          </w:p>
        </w:tc>
      </w:tr>
      <w:tr w:rsidR="00C1563E" w14:paraId="7DD02222" w14:textId="77777777">
        <w:trPr>
          <w:jc w:val="center"/>
        </w:trPr>
        <w:tc>
          <w:tcPr>
            <w:tcW w:w="0" w:type="auto"/>
            <w:gridSpan w:val="3"/>
            <w:shd w:val="clear" w:color="auto" w:fill="auto"/>
            <w:tcMar>
              <w:top w:w="40" w:type="dxa"/>
              <w:left w:w="20" w:type="dxa"/>
              <w:bottom w:w="40" w:type="dxa"/>
              <w:right w:w="20" w:type="dxa"/>
            </w:tcMar>
          </w:tcPr>
          <w:p w14:paraId="7DD0221F" w14:textId="77777777" w:rsidR="00C1563E" w:rsidRDefault="000B648B">
            <w:pPr>
              <w:jc w:val="right"/>
              <w:textAlignment w:val="top"/>
            </w:pPr>
            <w:hyperlink r:id="rId384" w:history="1">
              <w:r>
                <w:rPr>
                  <w:rStyle w:val="a5"/>
                  <w:rFonts w:ascii="Times New Roman" w:eastAsia="宋体" w:hAnsi="Times New Roman"/>
                  <w:sz w:val="20"/>
                  <w:szCs w:val="20"/>
                </w:rPr>
                <w:t>4.13</w:t>
              </w:r>
            </w:hyperlink>
          </w:p>
        </w:tc>
        <w:tc>
          <w:tcPr>
            <w:tcW w:w="0" w:type="auto"/>
            <w:gridSpan w:val="3"/>
            <w:shd w:val="clear" w:color="auto" w:fill="auto"/>
            <w:tcMar>
              <w:top w:w="0" w:type="dxa"/>
              <w:left w:w="20" w:type="dxa"/>
              <w:bottom w:w="0" w:type="dxa"/>
              <w:right w:w="20" w:type="dxa"/>
            </w:tcMar>
          </w:tcPr>
          <w:p w14:paraId="7DD0222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21" w14:textId="77777777" w:rsidR="00C1563E" w:rsidRDefault="000B648B">
            <w:pPr>
              <w:textAlignment w:val="top"/>
            </w:pPr>
            <w:hyperlink r:id="rId385" w:history="1">
              <w:r>
                <w:rPr>
                  <w:rStyle w:val="a5"/>
                  <w:rFonts w:ascii="Times New Roman" w:eastAsia="宋体" w:hAnsi="Times New Roman"/>
                  <w:sz w:val="20"/>
                  <w:szCs w:val="20"/>
                </w:rPr>
                <w:t>Base Indenture, dated as of June 22, 2016, among Diamon</w:t>
              </w:r>
              <w:r>
                <w:rPr>
                  <w:rStyle w:val="a5"/>
                  <w:rFonts w:ascii="Times New Roman" w:eastAsia="宋体" w:hAnsi="Times New Roman"/>
                  <w:sz w:val="20"/>
                  <w:szCs w:val="20"/>
                </w:rPr>
                <w:t>d 1 Finance Corporation and Diamond 2 Finance Corporation, as issuers, and The Bank of New York Mellon Trust Company, N.A., as trustee (incorporated by reference to Exhibit 4.1 to the Company’s Current Report on Form 8-K filed with the Commission on June 2</w:t>
              </w:r>
              <w:r>
                <w:rPr>
                  <w:rStyle w:val="a5"/>
                  <w:rFonts w:ascii="Times New Roman" w:eastAsia="宋体" w:hAnsi="Times New Roman"/>
                  <w:sz w:val="20"/>
                  <w:szCs w:val="20"/>
                </w:rPr>
                <w:t>2, 2016) (Commission File No. 333-208524).</w:t>
              </w:r>
            </w:hyperlink>
          </w:p>
        </w:tc>
      </w:tr>
      <w:tr w:rsidR="00C1563E" w14:paraId="7DD02226" w14:textId="77777777">
        <w:trPr>
          <w:jc w:val="center"/>
        </w:trPr>
        <w:tc>
          <w:tcPr>
            <w:tcW w:w="0" w:type="auto"/>
            <w:gridSpan w:val="3"/>
            <w:shd w:val="clear" w:color="auto" w:fill="auto"/>
            <w:tcMar>
              <w:top w:w="40" w:type="dxa"/>
              <w:left w:w="20" w:type="dxa"/>
              <w:bottom w:w="40" w:type="dxa"/>
              <w:right w:w="20" w:type="dxa"/>
            </w:tcMar>
          </w:tcPr>
          <w:p w14:paraId="7DD02223" w14:textId="77777777" w:rsidR="00C1563E" w:rsidRDefault="000B648B">
            <w:pPr>
              <w:jc w:val="right"/>
              <w:textAlignment w:val="top"/>
            </w:pPr>
            <w:hyperlink r:id="rId386" w:history="1">
              <w:r>
                <w:rPr>
                  <w:rStyle w:val="a5"/>
                  <w:rFonts w:ascii="Times New Roman" w:eastAsia="宋体" w:hAnsi="Times New Roman"/>
                  <w:sz w:val="20"/>
                  <w:szCs w:val="20"/>
                </w:rPr>
                <w:t>4.14</w:t>
              </w:r>
            </w:hyperlink>
          </w:p>
        </w:tc>
        <w:tc>
          <w:tcPr>
            <w:tcW w:w="0" w:type="auto"/>
            <w:gridSpan w:val="3"/>
            <w:shd w:val="clear" w:color="auto" w:fill="auto"/>
            <w:tcMar>
              <w:top w:w="0" w:type="dxa"/>
              <w:left w:w="20" w:type="dxa"/>
              <w:bottom w:w="0" w:type="dxa"/>
              <w:right w:w="20" w:type="dxa"/>
            </w:tcMar>
          </w:tcPr>
          <w:p w14:paraId="7DD0222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25" w14:textId="77777777" w:rsidR="00C1563E" w:rsidRDefault="000B648B">
            <w:pPr>
              <w:textAlignment w:val="top"/>
            </w:pPr>
            <w:hyperlink r:id="rId387" w:history="1">
              <w:r>
                <w:rPr>
                  <w:rStyle w:val="a5"/>
                  <w:rFonts w:ascii="Times New Roman" w:eastAsia="宋体" w:hAnsi="Times New Roman"/>
                  <w:sz w:val="20"/>
                  <w:szCs w:val="20"/>
                </w:rPr>
                <w:t>2021 Not</w:t>
              </w:r>
              <w:r>
                <w:rPr>
                  <w:rStyle w:val="a5"/>
                  <w:rFonts w:ascii="Times New Roman" w:eastAsia="宋体" w:hAnsi="Times New Roman"/>
                  <w:sz w:val="20"/>
                  <w:szCs w:val="20"/>
                </w:rPr>
                <w:t>es Supplemental Indenture No. 1, dated June 22, 2016, among Diamond 1 Finance Corporation, Diamond 2 Finance Corporation and The Bank of New York Mellon Trust Company, N.A., as trustee (incorporated by reference to Exhibit 4.2 to the Company’s Current Repo</w:t>
              </w:r>
              <w:r>
                <w:rPr>
                  <w:rStyle w:val="a5"/>
                  <w:rFonts w:ascii="Times New Roman" w:eastAsia="宋体" w:hAnsi="Times New Roman"/>
                  <w:sz w:val="20"/>
                  <w:szCs w:val="20"/>
                </w:rPr>
                <w:t>rt on Form 8-K filed with the Commission on June 22, 2016) (Commission File No. 333-208524).</w:t>
              </w:r>
            </w:hyperlink>
          </w:p>
        </w:tc>
      </w:tr>
      <w:tr w:rsidR="00C1563E" w14:paraId="7DD0222A" w14:textId="77777777">
        <w:trPr>
          <w:jc w:val="center"/>
        </w:trPr>
        <w:tc>
          <w:tcPr>
            <w:tcW w:w="0" w:type="auto"/>
            <w:gridSpan w:val="3"/>
            <w:shd w:val="clear" w:color="auto" w:fill="auto"/>
            <w:tcMar>
              <w:top w:w="40" w:type="dxa"/>
              <w:left w:w="20" w:type="dxa"/>
              <w:bottom w:w="40" w:type="dxa"/>
              <w:right w:w="20" w:type="dxa"/>
            </w:tcMar>
          </w:tcPr>
          <w:p w14:paraId="7DD02227" w14:textId="77777777" w:rsidR="00C1563E" w:rsidRDefault="000B648B">
            <w:pPr>
              <w:jc w:val="right"/>
              <w:textAlignment w:val="top"/>
            </w:pPr>
            <w:hyperlink r:id="rId388" w:history="1">
              <w:r>
                <w:rPr>
                  <w:rStyle w:val="a5"/>
                  <w:rFonts w:ascii="Times New Roman" w:eastAsia="宋体" w:hAnsi="Times New Roman"/>
                  <w:sz w:val="20"/>
                  <w:szCs w:val="20"/>
                </w:rPr>
                <w:t>4.15</w:t>
              </w:r>
            </w:hyperlink>
          </w:p>
        </w:tc>
        <w:tc>
          <w:tcPr>
            <w:tcW w:w="0" w:type="auto"/>
            <w:gridSpan w:val="3"/>
            <w:shd w:val="clear" w:color="auto" w:fill="auto"/>
            <w:tcMar>
              <w:top w:w="0" w:type="dxa"/>
              <w:left w:w="20" w:type="dxa"/>
              <w:bottom w:w="0" w:type="dxa"/>
              <w:right w:w="20" w:type="dxa"/>
            </w:tcMar>
          </w:tcPr>
          <w:p w14:paraId="7DD0222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29" w14:textId="77777777" w:rsidR="00C1563E" w:rsidRDefault="000B648B">
            <w:pPr>
              <w:textAlignment w:val="top"/>
            </w:pPr>
            <w:hyperlink r:id="rId389" w:history="1">
              <w:r>
                <w:rPr>
                  <w:rStyle w:val="a5"/>
                  <w:rFonts w:ascii="Times New Roman" w:eastAsia="宋体" w:hAnsi="Times New Roman"/>
                  <w:sz w:val="20"/>
                  <w:szCs w:val="20"/>
                </w:rPr>
                <w:t>2024 Notes Supplemental Indenture No. 1, dated June 22, 2016, among Diamond 1 Finance Corporation, Diamond 2 Finance Corporation and The Bank of New York Mellon Trust Company, N.A., as trustee (incorporated by refe</w:t>
              </w:r>
              <w:r>
                <w:rPr>
                  <w:rStyle w:val="a5"/>
                  <w:rFonts w:ascii="Times New Roman" w:eastAsia="宋体" w:hAnsi="Times New Roman"/>
                  <w:sz w:val="20"/>
                  <w:szCs w:val="20"/>
                </w:rPr>
                <w:t>rence to Exhibit 4.3 to the Company’s Current Report on Form 8-K filed with the Commission on June 22, 2016) (Commission File No. 333-208524).</w:t>
              </w:r>
            </w:hyperlink>
          </w:p>
        </w:tc>
      </w:tr>
      <w:tr w:rsidR="00C1563E" w14:paraId="7DD0222E" w14:textId="77777777">
        <w:trPr>
          <w:jc w:val="center"/>
        </w:trPr>
        <w:tc>
          <w:tcPr>
            <w:tcW w:w="0" w:type="auto"/>
            <w:gridSpan w:val="3"/>
            <w:shd w:val="clear" w:color="auto" w:fill="auto"/>
            <w:tcMar>
              <w:top w:w="40" w:type="dxa"/>
              <w:left w:w="20" w:type="dxa"/>
              <w:bottom w:w="40" w:type="dxa"/>
              <w:right w:w="20" w:type="dxa"/>
            </w:tcMar>
          </w:tcPr>
          <w:p w14:paraId="7DD0222B" w14:textId="77777777" w:rsidR="00C1563E" w:rsidRDefault="000B648B">
            <w:pPr>
              <w:jc w:val="right"/>
              <w:textAlignment w:val="top"/>
            </w:pPr>
            <w:hyperlink r:id="rId390" w:history="1">
              <w:r>
                <w:rPr>
                  <w:rStyle w:val="a5"/>
                  <w:rFonts w:ascii="Times New Roman" w:eastAsia="宋体" w:hAnsi="Times New Roman"/>
                  <w:sz w:val="20"/>
                  <w:szCs w:val="20"/>
                </w:rPr>
                <w:t>4.16</w:t>
              </w:r>
            </w:hyperlink>
          </w:p>
        </w:tc>
        <w:tc>
          <w:tcPr>
            <w:tcW w:w="0" w:type="auto"/>
            <w:gridSpan w:val="3"/>
            <w:shd w:val="clear" w:color="auto" w:fill="auto"/>
            <w:tcMar>
              <w:top w:w="0" w:type="dxa"/>
              <w:left w:w="20" w:type="dxa"/>
              <w:bottom w:w="0" w:type="dxa"/>
              <w:right w:w="20" w:type="dxa"/>
            </w:tcMar>
          </w:tcPr>
          <w:p w14:paraId="7DD0222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2D" w14:textId="77777777" w:rsidR="00C1563E" w:rsidRDefault="000B648B">
            <w:pPr>
              <w:textAlignment w:val="top"/>
            </w:pPr>
            <w:hyperlink r:id="rId391" w:history="1">
              <w:r>
                <w:rPr>
                  <w:rStyle w:val="a5"/>
                  <w:rFonts w:ascii="Times New Roman" w:eastAsia="宋体" w:hAnsi="Times New Roman"/>
                  <w:sz w:val="20"/>
                  <w:szCs w:val="20"/>
                </w:rPr>
                <w:t xml:space="preserve">First Supplemental Indenture, dated as of September 6, 2016, by and among Diamond 1 Finance Corporation, Diamond 2 Finance Corporation and The Bank of New York </w:t>
              </w:r>
              <w:r>
                <w:rPr>
                  <w:rStyle w:val="a5"/>
                  <w:rFonts w:ascii="Times New Roman" w:eastAsia="宋体" w:hAnsi="Times New Roman"/>
                  <w:sz w:val="20"/>
                  <w:szCs w:val="20"/>
                </w:rPr>
                <w:t>Mellon Trust Company, N.A., as trustee and collateral agent (incorporated by reference to Exhibit 4.1 to the Company’s Current Report on Form 8-K filed with the Commission on September 9, 2016) (Commission File No. 001-37867).</w:t>
              </w:r>
            </w:hyperlink>
          </w:p>
        </w:tc>
      </w:tr>
      <w:tr w:rsidR="00C1563E" w14:paraId="7DD02232" w14:textId="77777777">
        <w:trPr>
          <w:jc w:val="center"/>
        </w:trPr>
        <w:tc>
          <w:tcPr>
            <w:tcW w:w="0" w:type="auto"/>
            <w:gridSpan w:val="3"/>
            <w:shd w:val="clear" w:color="auto" w:fill="auto"/>
            <w:tcMar>
              <w:top w:w="40" w:type="dxa"/>
              <w:left w:w="20" w:type="dxa"/>
              <w:bottom w:w="40" w:type="dxa"/>
              <w:right w:w="20" w:type="dxa"/>
            </w:tcMar>
          </w:tcPr>
          <w:p w14:paraId="7DD0222F" w14:textId="77777777" w:rsidR="00C1563E" w:rsidRDefault="000B648B">
            <w:pPr>
              <w:jc w:val="right"/>
              <w:textAlignment w:val="top"/>
            </w:pPr>
            <w:hyperlink r:id="rId392" w:history="1">
              <w:r>
                <w:rPr>
                  <w:rStyle w:val="a5"/>
                  <w:rFonts w:ascii="Times New Roman" w:eastAsia="宋体" w:hAnsi="Times New Roman"/>
                  <w:sz w:val="20"/>
                  <w:szCs w:val="20"/>
                </w:rPr>
                <w:t>4.17</w:t>
              </w:r>
            </w:hyperlink>
          </w:p>
        </w:tc>
        <w:tc>
          <w:tcPr>
            <w:tcW w:w="0" w:type="auto"/>
            <w:gridSpan w:val="3"/>
            <w:shd w:val="clear" w:color="auto" w:fill="auto"/>
            <w:tcMar>
              <w:top w:w="0" w:type="dxa"/>
              <w:left w:w="20" w:type="dxa"/>
              <w:bottom w:w="0" w:type="dxa"/>
              <w:right w:w="20" w:type="dxa"/>
            </w:tcMar>
          </w:tcPr>
          <w:p w14:paraId="7DD0223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31" w14:textId="77777777" w:rsidR="00C1563E" w:rsidRDefault="000B648B">
            <w:pPr>
              <w:textAlignment w:val="top"/>
            </w:pPr>
            <w:hyperlink r:id="rId393" w:history="1">
              <w:r>
                <w:rPr>
                  <w:rStyle w:val="a5"/>
                  <w:rFonts w:ascii="Times New Roman" w:eastAsia="宋体" w:hAnsi="Times New Roman"/>
                  <w:sz w:val="20"/>
                  <w:szCs w:val="20"/>
                </w:rPr>
                <w:t>2019 Notes Supplemental Indenture No. 2, 2021 Notes Supplemental Indenture No. 2</w:t>
              </w:r>
              <w:r>
                <w:rPr>
                  <w:rStyle w:val="a5"/>
                  <w:rFonts w:ascii="Times New Roman" w:eastAsia="宋体" w:hAnsi="Times New Roman"/>
                  <w:sz w:val="20"/>
                  <w:szCs w:val="20"/>
                </w:rPr>
                <w:t>, 2023 Notes Supplemental Indenture No. 2, 2026 Notes Supplemental Indenture No. 2, 2036 Notes Supplemental Indenture No. 2 and 2046 Notes Supplemental Indenture No. 2, dated as of September 7, 2016, by and among Dell International L.L.C., EMC Corporation,</w:t>
              </w:r>
              <w:r>
                <w:rPr>
                  <w:rStyle w:val="a5"/>
                  <w:rFonts w:ascii="Times New Roman" w:eastAsia="宋体" w:hAnsi="Times New Roman"/>
                  <w:sz w:val="20"/>
                  <w:szCs w:val="20"/>
                </w:rPr>
                <w:t xml:space="preserve"> New Dell International LLC and The Bank of New York Mellon Trust Company, N.A., as trustee and collateral agent (incorporated by reference to Exhibit 4.2 to the Company’s Current Report on Form 8-K filed with the Commission on September 9, 2016) (Commissi</w:t>
              </w:r>
              <w:r>
                <w:rPr>
                  <w:rStyle w:val="a5"/>
                  <w:rFonts w:ascii="Times New Roman" w:eastAsia="宋体" w:hAnsi="Times New Roman"/>
                  <w:sz w:val="20"/>
                  <w:szCs w:val="20"/>
                </w:rPr>
                <w:t>on File No. 001-37867).</w:t>
              </w:r>
            </w:hyperlink>
          </w:p>
        </w:tc>
      </w:tr>
    </w:tbl>
    <w:p w14:paraId="7DD02233" w14:textId="77777777" w:rsidR="00C1563E" w:rsidRDefault="00C1563E">
      <w:pPr>
        <w:jc w:val="center"/>
      </w:pPr>
    </w:p>
    <w:p w14:paraId="7DD02234" w14:textId="77777777" w:rsidR="00C1563E" w:rsidRDefault="000B648B">
      <w:pPr>
        <w:jc w:val="center"/>
      </w:pPr>
      <w:r>
        <w:rPr>
          <w:rFonts w:ascii="Times New Roman" w:eastAsia="宋体" w:hAnsi="Times New Roman"/>
          <w:color w:val="000000"/>
          <w:sz w:val="20"/>
          <w:szCs w:val="20"/>
        </w:rPr>
        <w:t>173</w:t>
      </w:r>
    </w:p>
    <w:p w14:paraId="7DD02235" w14:textId="77777777" w:rsidR="00C1563E" w:rsidRDefault="00C1563E">
      <w:pPr>
        <w:jc w:val="center"/>
      </w:pPr>
    </w:p>
    <w:p w14:paraId="7DD02236" w14:textId="77777777" w:rsidR="00C1563E" w:rsidRDefault="000B648B">
      <w:r>
        <w:pict w14:anchorId="7DD02617">
          <v:rect id="_x0000_i1197" style="width:415.3pt;height:1.5pt" o:hralign="center" o:hrstd="t" o:hr="t" fillcolor="#a0a0a0" stroked="f"/>
        </w:pict>
      </w:r>
    </w:p>
    <w:p w14:paraId="7DD02237" w14:textId="77777777" w:rsidR="00C1563E" w:rsidRDefault="000B648B">
      <w:hyperlink r:id="rId394"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4"/>
        <w:gridCol w:w="37"/>
      </w:tblGrid>
      <w:tr w:rsidR="00C1563E" w14:paraId="7DD02241" w14:textId="77777777">
        <w:trPr>
          <w:jc w:val="center"/>
        </w:trPr>
        <w:tc>
          <w:tcPr>
            <w:tcW w:w="50" w:type="pct"/>
            <w:shd w:val="clear" w:color="auto" w:fill="auto"/>
          </w:tcPr>
          <w:p w14:paraId="7DD02238" w14:textId="77777777" w:rsidR="00C1563E" w:rsidRDefault="00C1563E">
            <w:pPr>
              <w:rPr>
                <w:rFonts w:ascii="宋体"/>
              </w:rPr>
            </w:pPr>
          </w:p>
        </w:tc>
        <w:tc>
          <w:tcPr>
            <w:tcW w:w="595" w:type="pct"/>
            <w:shd w:val="clear" w:color="auto" w:fill="auto"/>
          </w:tcPr>
          <w:p w14:paraId="7DD02239" w14:textId="77777777" w:rsidR="00C1563E" w:rsidRDefault="00C1563E">
            <w:pPr>
              <w:rPr>
                <w:rFonts w:ascii="宋体"/>
              </w:rPr>
            </w:pPr>
          </w:p>
        </w:tc>
        <w:tc>
          <w:tcPr>
            <w:tcW w:w="5" w:type="pct"/>
            <w:shd w:val="clear" w:color="auto" w:fill="auto"/>
          </w:tcPr>
          <w:p w14:paraId="7DD0223A" w14:textId="77777777" w:rsidR="00C1563E" w:rsidRDefault="00C1563E">
            <w:pPr>
              <w:rPr>
                <w:rFonts w:ascii="宋体"/>
              </w:rPr>
            </w:pPr>
          </w:p>
        </w:tc>
        <w:tc>
          <w:tcPr>
            <w:tcW w:w="5" w:type="pct"/>
            <w:shd w:val="clear" w:color="auto" w:fill="auto"/>
          </w:tcPr>
          <w:p w14:paraId="7DD0223B" w14:textId="77777777" w:rsidR="00C1563E" w:rsidRDefault="00C1563E">
            <w:pPr>
              <w:rPr>
                <w:rFonts w:ascii="宋体"/>
              </w:rPr>
            </w:pPr>
          </w:p>
        </w:tc>
        <w:tc>
          <w:tcPr>
            <w:tcW w:w="19" w:type="pct"/>
            <w:shd w:val="clear" w:color="auto" w:fill="auto"/>
          </w:tcPr>
          <w:p w14:paraId="7DD0223C" w14:textId="77777777" w:rsidR="00C1563E" w:rsidRDefault="00C1563E">
            <w:pPr>
              <w:rPr>
                <w:rFonts w:ascii="宋体"/>
              </w:rPr>
            </w:pPr>
          </w:p>
        </w:tc>
        <w:tc>
          <w:tcPr>
            <w:tcW w:w="5" w:type="pct"/>
            <w:shd w:val="clear" w:color="auto" w:fill="auto"/>
          </w:tcPr>
          <w:p w14:paraId="7DD0223D" w14:textId="77777777" w:rsidR="00C1563E" w:rsidRDefault="00C1563E">
            <w:pPr>
              <w:rPr>
                <w:rFonts w:ascii="宋体"/>
              </w:rPr>
            </w:pPr>
          </w:p>
        </w:tc>
        <w:tc>
          <w:tcPr>
            <w:tcW w:w="50" w:type="pct"/>
            <w:shd w:val="clear" w:color="auto" w:fill="auto"/>
          </w:tcPr>
          <w:p w14:paraId="7DD0223E" w14:textId="77777777" w:rsidR="00C1563E" w:rsidRDefault="00C1563E">
            <w:pPr>
              <w:rPr>
                <w:rFonts w:ascii="宋体"/>
              </w:rPr>
            </w:pPr>
          </w:p>
        </w:tc>
        <w:tc>
          <w:tcPr>
            <w:tcW w:w="4265" w:type="pct"/>
            <w:shd w:val="clear" w:color="auto" w:fill="auto"/>
          </w:tcPr>
          <w:p w14:paraId="7DD0223F" w14:textId="77777777" w:rsidR="00C1563E" w:rsidRDefault="00C1563E">
            <w:pPr>
              <w:rPr>
                <w:rFonts w:ascii="宋体"/>
              </w:rPr>
            </w:pPr>
          </w:p>
        </w:tc>
        <w:tc>
          <w:tcPr>
            <w:tcW w:w="5" w:type="pct"/>
            <w:shd w:val="clear" w:color="auto" w:fill="auto"/>
          </w:tcPr>
          <w:p w14:paraId="7DD02240" w14:textId="77777777" w:rsidR="00C1563E" w:rsidRDefault="00C1563E">
            <w:pPr>
              <w:rPr>
                <w:rFonts w:ascii="宋体"/>
              </w:rPr>
            </w:pPr>
          </w:p>
        </w:tc>
      </w:tr>
      <w:tr w:rsidR="00C1563E" w14:paraId="7DD02245" w14:textId="77777777">
        <w:trPr>
          <w:jc w:val="center"/>
        </w:trPr>
        <w:tc>
          <w:tcPr>
            <w:tcW w:w="0" w:type="auto"/>
            <w:gridSpan w:val="3"/>
            <w:shd w:val="clear" w:color="auto" w:fill="auto"/>
            <w:tcMar>
              <w:top w:w="40" w:type="dxa"/>
              <w:left w:w="20" w:type="dxa"/>
              <w:bottom w:w="40" w:type="dxa"/>
              <w:right w:w="20" w:type="dxa"/>
            </w:tcMar>
          </w:tcPr>
          <w:p w14:paraId="7DD02242" w14:textId="77777777" w:rsidR="00C1563E" w:rsidRDefault="000B648B">
            <w:pPr>
              <w:jc w:val="right"/>
              <w:textAlignment w:val="top"/>
            </w:pPr>
            <w:hyperlink r:id="rId395" w:history="1">
              <w:r>
                <w:rPr>
                  <w:rStyle w:val="a5"/>
                  <w:rFonts w:ascii="Times New Roman" w:eastAsia="宋体" w:hAnsi="Times New Roman"/>
                  <w:sz w:val="20"/>
                  <w:szCs w:val="20"/>
                </w:rPr>
                <w:t>4.18</w:t>
              </w:r>
            </w:hyperlink>
          </w:p>
        </w:tc>
        <w:tc>
          <w:tcPr>
            <w:tcW w:w="0" w:type="auto"/>
            <w:gridSpan w:val="3"/>
            <w:shd w:val="clear" w:color="auto" w:fill="auto"/>
            <w:tcMar>
              <w:top w:w="0" w:type="dxa"/>
              <w:left w:w="20" w:type="dxa"/>
              <w:bottom w:w="0" w:type="dxa"/>
              <w:right w:w="20" w:type="dxa"/>
            </w:tcMar>
          </w:tcPr>
          <w:p w14:paraId="7DD0224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44" w14:textId="77777777" w:rsidR="00C1563E" w:rsidRDefault="000B648B">
            <w:pPr>
              <w:textAlignment w:val="top"/>
            </w:pPr>
            <w:hyperlink r:id="rId396" w:history="1">
              <w:r>
                <w:rPr>
                  <w:rStyle w:val="a5"/>
                  <w:rFonts w:ascii="Times New Roman" w:eastAsia="宋体" w:hAnsi="Times New Roman"/>
                  <w:sz w:val="20"/>
                  <w:szCs w:val="20"/>
                </w:rPr>
                <w:t>2019 Notes Supplemental Indenture No. 3, 2021 Notes Supplemental Indenture No. 3, 2023 Notes Supplemental Indenture No. 3, 2026 Notes Supplemental Indenture No.</w:t>
              </w:r>
              <w:r>
                <w:rPr>
                  <w:rStyle w:val="a5"/>
                  <w:rFonts w:ascii="Times New Roman" w:eastAsia="宋体" w:hAnsi="Times New Roman"/>
                  <w:sz w:val="20"/>
                  <w:szCs w:val="20"/>
                </w:rPr>
                <w:t xml:space="preserve"> 3, 2036 Notes Supplemental Indenture No. 3 and 2046 Notes Supplemental Indenture No. 3, dated as of September 7, 2016, by and among Dell International L.L.C., EMC Corporation, Dell Technologies Inc., Denali Intermediate Inc., Dell Inc., the other guaranto</w:t>
              </w:r>
              <w:r>
                <w:rPr>
                  <w:rStyle w:val="a5"/>
                  <w:rFonts w:ascii="Times New Roman" w:eastAsia="宋体" w:hAnsi="Times New Roman"/>
                  <w:sz w:val="20"/>
                  <w:szCs w:val="20"/>
                </w:rPr>
                <w:t>rs named therein and The Bank of New York Mellon Trust Company, N.A., as trustee and collateral agent (incorporated by reference to Exhibit 4.3 to the Company’s Current Report on Form 8-K filed with the Commission on September 9, 2016) (Commission File No.</w:t>
              </w:r>
              <w:r>
                <w:rPr>
                  <w:rStyle w:val="a5"/>
                  <w:rFonts w:ascii="Times New Roman" w:eastAsia="宋体" w:hAnsi="Times New Roman"/>
                  <w:sz w:val="20"/>
                  <w:szCs w:val="20"/>
                </w:rPr>
                <w:t xml:space="preserve"> 001-37867).</w:t>
              </w:r>
            </w:hyperlink>
          </w:p>
        </w:tc>
      </w:tr>
      <w:tr w:rsidR="00C1563E" w14:paraId="7DD02249" w14:textId="77777777">
        <w:trPr>
          <w:jc w:val="center"/>
        </w:trPr>
        <w:tc>
          <w:tcPr>
            <w:tcW w:w="0" w:type="auto"/>
            <w:gridSpan w:val="3"/>
            <w:shd w:val="clear" w:color="auto" w:fill="auto"/>
            <w:tcMar>
              <w:top w:w="40" w:type="dxa"/>
              <w:left w:w="20" w:type="dxa"/>
              <w:bottom w:w="40" w:type="dxa"/>
              <w:right w:w="20" w:type="dxa"/>
            </w:tcMar>
          </w:tcPr>
          <w:p w14:paraId="7DD02246" w14:textId="77777777" w:rsidR="00C1563E" w:rsidRDefault="000B648B">
            <w:pPr>
              <w:jc w:val="right"/>
              <w:textAlignment w:val="top"/>
            </w:pPr>
            <w:hyperlink r:id="rId397" w:history="1">
              <w:r>
                <w:rPr>
                  <w:rStyle w:val="a5"/>
                  <w:rFonts w:ascii="Times New Roman" w:eastAsia="宋体" w:hAnsi="Times New Roman"/>
                  <w:sz w:val="20"/>
                  <w:szCs w:val="20"/>
                </w:rPr>
                <w:t>4.19</w:t>
              </w:r>
            </w:hyperlink>
          </w:p>
        </w:tc>
        <w:tc>
          <w:tcPr>
            <w:tcW w:w="0" w:type="auto"/>
            <w:gridSpan w:val="3"/>
            <w:shd w:val="clear" w:color="auto" w:fill="auto"/>
            <w:tcMar>
              <w:top w:w="0" w:type="dxa"/>
              <w:left w:w="20" w:type="dxa"/>
              <w:bottom w:w="0" w:type="dxa"/>
              <w:right w:w="20" w:type="dxa"/>
            </w:tcMar>
          </w:tcPr>
          <w:p w14:paraId="7DD0224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48" w14:textId="77777777" w:rsidR="00C1563E" w:rsidRDefault="000B648B">
            <w:pPr>
              <w:textAlignment w:val="top"/>
            </w:pPr>
            <w:hyperlink r:id="rId398" w:history="1">
              <w:r>
                <w:rPr>
                  <w:rStyle w:val="a5"/>
                  <w:rFonts w:ascii="Times New Roman" w:eastAsia="宋体" w:hAnsi="Times New Roman"/>
                  <w:sz w:val="20"/>
                  <w:szCs w:val="20"/>
                </w:rPr>
                <w:t>Registration Rights Agreement, dated a</w:t>
              </w:r>
              <w:r>
                <w:rPr>
                  <w:rStyle w:val="a5"/>
                  <w:rFonts w:ascii="Times New Roman" w:eastAsia="宋体" w:hAnsi="Times New Roman"/>
                  <w:sz w:val="20"/>
                  <w:szCs w:val="20"/>
                </w:rPr>
                <w:t>s of June 1, 2016, among Diamond 1 Finance Corporation, Diamond 2 Finance Corporation and J.P. Morgan Securities LLC, Credit Suisse Securities (USA) LLC, Merrill Lynch, Pierce, Fenner &amp; Smith Incorporated, Barclays Capital Inc., Citigroup Global Markets In</w:t>
              </w:r>
              <w:r>
                <w:rPr>
                  <w:rStyle w:val="a5"/>
                  <w:rFonts w:ascii="Times New Roman" w:eastAsia="宋体" w:hAnsi="Times New Roman"/>
                  <w:sz w:val="20"/>
                  <w:szCs w:val="20"/>
                </w:rPr>
                <w:t>c., Goldman, Sachs &amp; Co., Deutsche Bank Securities Inc. and RBC Capital Markets, LLC, as the representatives of the several initial purchasers (incorporated by reference to Exhibit 4.4 to the Company’s Current Report on Form 8-K filed with the Commission o</w:t>
              </w:r>
              <w:r>
                <w:rPr>
                  <w:rStyle w:val="a5"/>
                  <w:rFonts w:ascii="Times New Roman" w:eastAsia="宋体" w:hAnsi="Times New Roman"/>
                  <w:sz w:val="20"/>
                  <w:szCs w:val="20"/>
                </w:rPr>
                <w:t>n September 9, 2016) (Commission File No. 001-37867).</w:t>
              </w:r>
            </w:hyperlink>
          </w:p>
        </w:tc>
      </w:tr>
      <w:tr w:rsidR="00C1563E" w14:paraId="7DD0224D" w14:textId="77777777">
        <w:trPr>
          <w:jc w:val="center"/>
        </w:trPr>
        <w:tc>
          <w:tcPr>
            <w:tcW w:w="0" w:type="auto"/>
            <w:gridSpan w:val="3"/>
            <w:shd w:val="clear" w:color="auto" w:fill="auto"/>
            <w:tcMar>
              <w:top w:w="40" w:type="dxa"/>
              <w:left w:w="20" w:type="dxa"/>
              <w:bottom w:w="40" w:type="dxa"/>
              <w:right w:w="20" w:type="dxa"/>
            </w:tcMar>
          </w:tcPr>
          <w:p w14:paraId="7DD0224A" w14:textId="77777777" w:rsidR="00C1563E" w:rsidRDefault="000B648B">
            <w:pPr>
              <w:jc w:val="right"/>
              <w:textAlignment w:val="top"/>
            </w:pPr>
            <w:hyperlink r:id="rId399" w:history="1">
              <w:r>
                <w:rPr>
                  <w:rStyle w:val="a5"/>
                  <w:rFonts w:ascii="Times New Roman" w:eastAsia="宋体" w:hAnsi="Times New Roman"/>
                  <w:sz w:val="20"/>
                  <w:szCs w:val="20"/>
                </w:rPr>
                <w:t>4.20</w:t>
              </w:r>
            </w:hyperlink>
          </w:p>
        </w:tc>
        <w:tc>
          <w:tcPr>
            <w:tcW w:w="0" w:type="auto"/>
            <w:gridSpan w:val="3"/>
            <w:shd w:val="clear" w:color="auto" w:fill="auto"/>
            <w:tcMar>
              <w:top w:w="0" w:type="dxa"/>
              <w:left w:w="20" w:type="dxa"/>
              <w:bottom w:w="0" w:type="dxa"/>
              <w:right w:w="20" w:type="dxa"/>
            </w:tcMar>
          </w:tcPr>
          <w:p w14:paraId="7DD0224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4C" w14:textId="77777777" w:rsidR="00C1563E" w:rsidRDefault="000B648B">
            <w:pPr>
              <w:textAlignment w:val="top"/>
            </w:pPr>
            <w:hyperlink r:id="rId400" w:history="1">
              <w:r>
                <w:rPr>
                  <w:rStyle w:val="a5"/>
                  <w:rFonts w:ascii="Times New Roman" w:eastAsia="宋体" w:hAnsi="Times New Roman"/>
                  <w:sz w:val="20"/>
                  <w:szCs w:val="20"/>
                </w:rPr>
                <w:t>Joinder Agreement to Registration Rights Agreement, dated as of September 7, 2016, among Dell International L.L.C., EMC Corporation, Dell Technologies Inc., Denali Intermediate Inc., Dell Inc., the other guarantors named therein and J.P. Morgan Securiti</w:t>
              </w:r>
              <w:r>
                <w:rPr>
                  <w:rStyle w:val="a5"/>
                  <w:rFonts w:ascii="Times New Roman" w:eastAsia="宋体" w:hAnsi="Times New Roman"/>
                  <w:sz w:val="20"/>
                  <w:szCs w:val="20"/>
                </w:rPr>
                <w:t>es LLC, Credit Suisse Securities (USA) LLC, Merrill Lynch, Pierce, Fenner &amp; Smith Incorporated, Barclays Capital Inc., Citigroup Global Markets Inc., Goldman, Sachs &amp; Co., Deutsche Bank Securities Inc. and RBC Capital Markets, LLC, as the representatives o</w:t>
              </w:r>
              <w:r>
                <w:rPr>
                  <w:rStyle w:val="a5"/>
                  <w:rFonts w:ascii="Times New Roman" w:eastAsia="宋体" w:hAnsi="Times New Roman"/>
                  <w:sz w:val="20"/>
                  <w:szCs w:val="20"/>
                </w:rPr>
                <w:t>f the several initial purchasers (incorporated by reference to Exhibit 4.5 to the Company’s Current Report on Form 8-K filed with the Commission on September 9, 2016) (Commission File No. 001-37867).</w:t>
              </w:r>
            </w:hyperlink>
          </w:p>
        </w:tc>
      </w:tr>
      <w:tr w:rsidR="00C1563E" w14:paraId="7DD02251" w14:textId="77777777">
        <w:trPr>
          <w:jc w:val="center"/>
        </w:trPr>
        <w:tc>
          <w:tcPr>
            <w:tcW w:w="0" w:type="auto"/>
            <w:gridSpan w:val="3"/>
            <w:shd w:val="clear" w:color="auto" w:fill="auto"/>
            <w:tcMar>
              <w:top w:w="40" w:type="dxa"/>
              <w:left w:w="20" w:type="dxa"/>
              <w:bottom w:w="40" w:type="dxa"/>
              <w:right w:w="20" w:type="dxa"/>
            </w:tcMar>
          </w:tcPr>
          <w:p w14:paraId="7DD0224E" w14:textId="77777777" w:rsidR="00C1563E" w:rsidRDefault="000B648B">
            <w:pPr>
              <w:jc w:val="right"/>
              <w:textAlignment w:val="top"/>
            </w:pPr>
            <w:hyperlink r:id="rId401" w:history="1">
              <w:r>
                <w:rPr>
                  <w:rStyle w:val="a5"/>
                  <w:rFonts w:ascii="Times New Roman" w:eastAsia="宋体" w:hAnsi="Times New Roman"/>
                  <w:sz w:val="20"/>
                  <w:szCs w:val="20"/>
                </w:rPr>
                <w:t>4.21</w:t>
              </w:r>
            </w:hyperlink>
          </w:p>
        </w:tc>
        <w:tc>
          <w:tcPr>
            <w:tcW w:w="0" w:type="auto"/>
            <w:gridSpan w:val="3"/>
            <w:shd w:val="clear" w:color="auto" w:fill="auto"/>
            <w:tcMar>
              <w:top w:w="0" w:type="dxa"/>
              <w:left w:w="20" w:type="dxa"/>
              <w:bottom w:w="0" w:type="dxa"/>
              <w:right w:w="20" w:type="dxa"/>
            </w:tcMar>
          </w:tcPr>
          <w:p w14:paraId="7DD0224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50" w14:textId="77777777" w:rsidR="00C1563E" w:rsidRDefault="000B648B">
            <w:pPr>
              <w:textAlignment w:val="top"/>
            </w:pPr>
            <w:hyperlink r:id="rId402" w:history="1">
              <w:r>
                <w:rPr>
                  <w:rStyle w:val="a5"/>
                  <w:rFonts w:ascii="Times New Roman" w:eastAsia="宋体" w:hAnsi="Times New Roman"/>
                  <w:sz w:val="20"/>
                  <w:szCs w:val="20"/>
                </w:rPr>
                <w:t>First Supplemental Indenture, dated as of September 6, 2016, by and among Diamond 1 Finance Corporation, Di</w:t>
              </w:r>
              <w:r>
                <w:rPr>
                  <w:rStyle w:val="a5"/>
                  <w:rFonts w:ascii="Times New Roman" w:eastAsia="宋体" w:hAnsi="Times New Roman"/>
                  <w:sz w:val="20"/>
                  <w:szCs w:val="20"/>
                </w:rPr>
                <w:t>amond 2 Finance Corporation and The Bank of New York Mellon Trust Company, N.A., as trustee (incorporated by reference to Exhibit 4.6 to the Company’s Current Report on Form 8-K filed with the Commission on September 9, 2016) (Commission File No. 001-37867</w:t>
              </w:r>
              <w:r>
                <w:rPr>
                  <w:rStyle w:val="a5"/>
                  <w:rFonts w:ascii="Times New Roman" w:eastAsia="宋体" w:hAnsi="Times New Roman"/>
                  <w:sz w:val="20"/>
                  <w:szCs w:val="20"/>
                </w:rPr>
                <w:t>).</w:t>
              </w:r>
            </w:hyperlink>
          </w:p>
        </w:tc>
      </w:tr>
      <w:tr w:rsidR="00C1563E" w14:paraId="7DD02255" w14:textId="77777777">
        <w:trPr>
          <w:jc w:val="center"/>
        </w:trPr>
        <w:tc>
          <w:tcPr>
            <w:tcW w:w="0" w:type="auto"/>
            <w:gridSpan w:val="3"/>
            <w:shd w:val="clear" w:color="auto" w:fill="auto"/>
            <w:tcMar>
              <w:top w:w="40" w:type="dxa"/>
              <w:left w:w="20" w:type="dxa"/>
              <w:bottom w:w="40" w:type="dxa"/>
              <w:right w:w="20" w:type="dxa"/>
            </w:tcMar>
          </w:tcPr>
          <w:p w14:paraId="7DD02252" w14:textId="77777777" w:rsidR="00C1563E" w:rsidRDefault="000B648B">
            <w:pPr>
              <w:jc w:val="right"/>
              <w:textAlignment w:val="top"/>
            </w:pPr>
            <w:hyperlink r:id="rId403" w:history="1">
              <w:r>
                <w:rPr>
                  <w:rStyle w:val="a5"/>
                  <w:rFonts w:ascii="Times New Roman" w:eastAsia="宋体" w:hAnsi="Times New Roman"/>
                  <w:sz w:val="20"/>
                  <w:szCs w:val="20"/>
                </w:rPr>
                <w:t>4.22</w:t>
              </w:r>
            </w:hyperlink>
          </w:p>
        </w:tc>
        <w:tc>
          <w:tcPr>
            <w:tcW w:w="0" w:type="auto"/>
            <w:gridSpan w:val="3"/>
            <w:shd w:val="clear" w:color="auto" w:fill="auto"/>
            <w:tcMar>
              <w:top w:w="0" w:type="dxa"/>
              <w:left w:w="20" w:type="dxa"/>
              <w:bottom w:w="0" w:type="dxa"/>
              <w:right w:w="20" w:type="dxa"/>
            </w:tcMar>
          </w:tcPr>
          <w:p w14:paraId="7DD0225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54" w14:textId="77777777" w:rsidR="00C1563E" w:rsidRDefault="000B648B">
            <w:pPr>
              <w:textAlignment w:val="top"/>
            </w:pPr>
            <w:hyperlink r:id="rId404" w:history="1">
              <w:r>
                <w:rPr>
                  <w:rStyle w:val="a5"/>
                  <w:rFonts w:ascii="Times New Roman" w:eastAsia="宋体" w:hAnsi="Times New Roman"/>
                  <w:sz w:val="20"/>
                  <w:szCs w:val="20"/>
                </w:rPr>
                <w:t xml:space="preserve">2021 Notes Supplemental Indenture No. 2, dated as of September 7, 2016, by and among Dell International L.L.C., EMC Corporation, New Dell International LLC and </w:t>
              </w:r>
              <w:r>
                <w:rPr>
                  <w:rStyle w:val="a5"/>
                  <w:rFonts w:ascii="Times New Roman" w:eastAsia="宋体" w:hAnsi="Times New Roman"/>
                  <w:sz w:val="20"/>
                  <w:szCs w:val="20"/>
                </w:rPr>
                <w:t>The Bank of New York Mellon Trust Company, N.A., as trustee (incorporated by reference to Exhibit 4.7 to the Company’s Current Report on Form 8-K filed with the Commission on September 9, 2016) (Commission File No. 001-37867).</w:t>
              </w:r>
            </w:hyperlink>
          </w:p>
        </w:tc>
      </w:tr>
      <w:tr w:rsidR="00C1563E" w14:paraId="7DD02259" w14:textId="77777777">
        <w:trPr>
          <w:jc w:val="center"/>
        </w:trPr>
        <w:tc>
          <w:tcPr>
            <w:tcW w:w="0" w:type="auto"/>
            <w:gridSpan w:val="3"/>
            <w:shd w:val="clear" w:color="auto" w:fill="auto"/>
            <w:tcMar>
              <w:top w:w="40" w:type="dxa"/>
              <w:left w:w="20" w:type="dxa"/>
              <w:bottom w:w="40" w:type="dxa"/>
              <w:right w:w="20" w:type="dxa"/>
            </w:tcMar>
          </w:tcPr>
          <w:p w14:paraId="7DD02256" w14:textId="77777777" w:rsidR="00C1563E" w:rsidRDefault="000B648B">
            <w:pPr>
              <w:jc w:val="right"/>
              <w:textAlignment w:val="top"/>
            </w:pPr>
            <w:hyperlink r:id="rId405" w:history="1">
              <w:r>
                <w:rPr>
                  <w:rStyle w:val="a5"/>
                  <w:rFonts w:ascii="Times New Roman" w:eastAsia="宋体" w:hAnsi="Times New Roman"/>
                  <w:sz w:val="20"/>
                  <w:szCs w:val="20"/>
                </w:rPr>
                <w:t>4.23</w:t>
              </w:r>
            </w:hyperlink>
          </w:p>
        </w:tc>
        <w:tc>
          <w:tcPr>
            <w:tcW w:w="0" w:type="auto"/>
            <w:gridSpan w:val="3"/>
            <w:shd w:val="clear" w:color="auto" w:fill="auto"/>
            <w:tcMar>
              <w:top w:w="0" w:type="dxa"/>
              <w:left w:w="20" w:type="dxa"/>
              <w:bottom w:w="0" w:type="dxa"/>
              <w:right w:w="20" w:type="dxa"/>
            </w:tcMar>
          </w:tcPr>
          <w:p w14:paraId="7DD0225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58" w14:textId="77777777" w:rsidR="00C1563E" w:rsidRDefault="000B648B">
            <w:pPr>
              <w:textAlignment w:val="top"/>
            </w:pPr>
            <w:hyperlink r:id="rId406" w:history="1">
              <w:r>
                <w:rPr>
                  <w:rStyle w:val="a5"/>
                  <w:rFonts w:ascii="Times New Roman" w:eastAsia="宋体" w:hAnsi="Times New Roman"/>
                  <w:sz w:val="20"/>
                  <w:szCs w:val="20"/>
                </w:rPr>
                <w:t>2021 Notes Supplemental Indenture No. 3, dated as of September 7, 2016, by and a</w:t>
              </w:r>
              <w:r>
                <w:rPr>
                  <w:rStyle w:val="a5"/>
                  <w:rFonts w:ascii="Times New Roman" w:eastAsia="宋体" w:hAnsi="Times New Roman"/>
                  <w:sz w:val="20"/>
                  <w:szCs w:val="20"/>
                </w:rPr>
                <w:t>mong Dell International L.L.C., EMC Corporation, Dell Technologies Inc., Denali Intermediate Inc., Dell Inc., the other guarantors named therein and The Bank of New York Mellon Trust Company, N.A., as trustee (incorporated by reference to Exhibit 4.8 to th</w:t>
              </w:r>
              <w:r>
                <w:rPr>
                  <w:rStyle w:val="a5"/>
                  <w:rFonts w:ascii="Times New Roman" w:eastAsia="宋体" w:hAnsi="Times New Roman"/>
                  <w:sz w:val="20"/>
                  <w:szCs w:val="20"/>
                </w:rPr>
                <w:t>e Company’s Current Report on Form 8-K filed with the Commission on September 9, 2016) (Commission File No. 001-37867).</w:t>
              </w:r>
            </w:hyperlink>
          </w:p>
        </w:tc>
      </w:tr>
      <w:tr w:rsidR="00C1563E" w14:paraId="7DD0225D" w14:textId="77777777">
        <w:trPr>
          <w:jc w:val="center"/>
        </w:trPr>
        <w:tc>
          <w:tcPr>
            <w:tcW w:w="0" w:type="auto"/>
            <w:gridSpan w:val="3"/>
            <w:shd w:val="clear" w:color="auto" w:fill="auto"/>
            <w:tcMar>
              <w:top w:w="40" w:type="dxa"/>
              <w:left w:w="20" w:type="dxa"/>
              <w:bottom w:w="40" w:type="dxa"/>
              <w:right w:w="20" w:type="dxa"/>
            </w:tcMar>
          </w:tcPr>
          <w:p w14:paraId="7DD0225A" w14:textId="77777777" w:rsidR="00C1563E" w:rsidRDefault="000B648B">
            <w:pPr>
              <w:jc w:val="right"/>
              <w:textAlignment w:val="top"/>
            </w:pPr>
            <w:hyperlink r:id="rId407" w:history="1">
              <w:r>
                <w:rPr>
                  <w:rStyle w:val="a5"/>
                  <w:rFonts w:ascii="Times New Roman" w:eastAsia="宋体" w:hAnsi="Times New Roman"/>
                  <w:sz w:val="20"/>
                  <w:szCs w:val="20"/>
                </w:rPr>
                <w:t>4.24</w:t>
              </w:r>
            </w:hyperlink>
          </w:p>
        </w:tc>
        <w:tc>
          <w:tcPr>
            <w:tcW w:w="0" w:type="auto"/>
            <w:gridSpan w:val="3"/>
            <w:shd w:val="clear" w:color="auto" w:fill="auto"/>
            <w:tcMar>
              <w:top w:w="0" w:type="dxa"/>
              <w:left w:w="20" w:type="dxa"/>
              <w:bottom w:w="0" w:type="dxa"/>
              <w:right w:w="20" w:type="dxa"/>
            </w:tcMar>
          </w:tcPr>
          <w:p w14:paraId="7DD0225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5C" w14:textId="77777777" w:rsidR="00C1563E" w:rsidRDefault="000B648B">
            <w:pPr>
              <w:textAlignment w:val="top"/>
            </w:pPr>
            <w:hyperlink r:id="rId408" w:history="1">
              <w:r>
                <w:rPr>
                  <w:rStyle w:val="a5"/>
                  <w:rFonts w:ascii="Times New Roman" w:eastAsia="宋体" w:hAnsi="Times New Roman"/>
                  <w:sz w:val="20"/>
                  <w:szCs w:val="20"/>
                </w:rPr>
                <w:t>2024 Notes Supplemental Indenture No. 2, dated as of September 7, 2016, by and among Dell International L.L.C., EMC Corporation, New Dell International LLC and The Bank of New York Mellon</w:t>
              </w:r>
              <w:r>
                <w:rPr>
                  <w:rStyle w:val="a5"/>
                  <w:rFonts w:ascii="Times New Roman" w:eastAsia="宋体" w:hAnsi="Times New Roman"/>
                  <w:sz w:val="20"/>
                  <w:szCs w:val="20"/>
                </w:rPr>
                <w:t xml:space="preserve"> Trust Company, N.A., as trustee (incorporated by reference to Exhibit 4.9 to the Company’s Current Report on Form 8-K filed with the Commission on September 9, 2016) (Commission File No. 001-37867).</w:t>
              </w:r>
            </w:hyperlink>
          </w:p>
        </w:tc>
      </w:tr>
      <w:tr w:rsidR="00C1563E" w14:paraId="7DD02261" w14:textId="77777777">
        <w:trPr>
          <w:jc w:val="center"/>
        </w:trPr>
        <w:tc>
          <w:tcPr>
            <w:tcW w:w="0" w:type="auto"/>
            <w:gridSpan w:val="3"/>
            <w:shd w:val="clear" w:color="auto" w:fill="auto"/>
            <w:tcMar>
              <w:top w:w="40" w:type="dxa"/>
              <w:left w:w="20" w:type="dxa"/>
              <w:bottom w:w="40" w:type="dxa"/>
              <w:right w:w="20" w:type="dxa"/>
            </w:tcMar>
          </w:tcPr>
          <w:p w14:paraId="7DD0225E" w14:textId="77777777" w:rsidR="00C1563E" w:rsidRDefault="000B648B">
            <w:pPr>
              <w:jc w:val="right"/>
              <w:textAlignment w:val="top"/>
            </w:pPr>
            <w:hyperlink r:id="rId409" w:history="1">
              <w:r>
                <w:rPr>
                  <w:rStyle w:val="a5"/>
                  <w:rFonts w:ascii="Times New Roman" w:eastAsia="宋体" w:hAnsi="Times New Roman"/>
                  <w:sz w:val="20"/>
                  <w:szCs w:val="20"/>
                </w:rPr>
                <w:t>4.25</w:t>
              </w:r>
            </w:hyperlink>
          </w:p>
        </w:tc>
        <w:tc>
          <w:tcPr>
            <w:tcW w:w="0" w:type="auto"/>
            <w:gridSpan w:val="3"/>
            <w:shd w:val="clear" w:color="auto" w:fill="auto"/>
            <w:tcMar>
              <w:top w:w="0" w:type="dxa"/>
              <w:left w:w="20" w:type="dxa"/>
              <w:bottom w:w="0" w:type="dxa"/>
              <w:right w:w="20" w:type="dxa"/>
            </w:tcMar>
          </w:tcPr>
          <w:p w14:paraId="7DD0225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60" w14:textId="77777777" w:rsidR="00C1563E" w:rsidRDefault="000B648B">
            <w:pPr>
              <w:textAlignment w:val="top"/>
            </w:pPr>
            <w:hyperlink r:id="rId410" w:history="1">
              <w:r>
                <w:rPr>
                  <w:rStyle w:val="a5"/>
                  <w:rFonts w:ascii="Times New Roman" w:eastAsia="宋体" w:hAnsi="Times New Roman"/>
                  <w:sz w:val="20"/>
                  <w:szCs w:val="20"/>
                </w:rPr>
                <w:t xml:space="preserve">2024 Notes Supplemental Indenture No 3. dated as of September 7, 2016, by and among Dell </w:t>
              </w:r>
              <w:r>
                <w:rPr>
                  <w:rStyle w:val="a5"/>
                  <w:rFonts w:ascii="Times New Roman" w:eastAsia="宋体" w:hAnsi="Times New Roman"/>
                  <w:sz w:val="20"/>
                  <w:szCs w:val="20"/>
                </w:rPr>
                <w:t>International L.L.C., EMC Corporation, Dell Technologies Inc., Denali Intermediate Inc., Dell Inc., the other guarantors named therein and The Bank of New York Mellon Trust Company, N.A., as trustee (incorporated by reference to Exhibit 4.10 to the Company</w:t>
              </w:r>
              <w:r>
                <w:rPr>
                  <w:rStyle w:val="a5"/>
                  <w:rFonts w:ascii="Times New Roman" w:eastAsia="宋体" w:hAnsi="Times New Roman"/>
                  <w:sz w:val="20"/>
                  <w:szCs w:val="20"/>
                </w:rPr>
                <w:t>’s Current Report on Form 8-K filed with the Commission on September 9, 2016) (Commission File No. 001-37867).</w:t>
              </w:r>
            </w:hyperlink>
          </w:p>
        </w:tc>
      </w:tr>
      <w:tr w:rsidR="00C1563E" w14:paraId="7DD02265" w14:textId="77777777">
        <w:trPr>
          <w:jc w:val="center"/>
        </w:trPr>
        <w:tc>
          <w:tcPr>
            <w:tcW w:w="0" w:type="auto"/>
            <w:gridSpan w:val="3"/>
            <w:shd w:val="clear" w:color="auto" w:fill="auto"/>
            <w:tcMar>
              <w:top w:w="40" w:type="dxa"/>
              <w:left w:w="20" w:type="dxa"/>
              <w:bottom w:w="40" w:type="dxa"/>
              <w:right w:w="20" w:type="dxa"/>
            </w:tcMar>
          </w:tcPr>
          <w:p w14:paraId="7DD02262" w14:textId="77777777" w:rsidR="00C1563E" w:rsidRDefault="000B648B">
            <w:pPr>
              <w:jc w:val="right"/>
              <w:textAlignment w:val="top"/>
            </w:pPr>
            <w:hyperlink r:id="rId411" w:history="1">
              <w:r>
                <w:rPr>
                  <w:rStyle w:val="a5"/>
                  <w:rFonts w:ascii="Times New Roman" w:eastAsia="宋体" w:hAnsi="Times New Roman"/>
                  <w:sz w:val="20"/>
                  <w:szCs w:val="20"/>
                </w:rPr>
                <w:t xml:space="preserve">4.26 </w:t>
              </w:r>
            </w:hyperlink>
          </w:p>
        </w:tc>
        <w:tc>
          <w:tcPr>
            <w:tcW w:w="0" w:type="auto"/>
            <w:gridSpan w:val="3"/>
            <w:shd w:val="clear" w:color="auto" w:fill="auto"/>
            <w:tcMar>
              <w:top w:w="0" w:type="dxa"/>
              <w:left w:w="20" w:type="dxa"/>
              <w:bottom w:w="0" w:type="dxa"/>
              <w:right w:w="20" w:type="dxa"/>
            </w:tcMar>
          </w:tcPr>
          <w:p w14:paraId="7DD0226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64" w14:textId="77777777" w:rsidR="00C1563E" w:rsidRDefault="000B648B">
            <w:pPr>
              <w:textAlignment w:val="top"/>
            </w:pPr>
            <w:hyperlink r:id="rId412" w:history="1">
              <w:r>
                <w:rPr>
                  <w:rStyle w:val="a5"/>
                  <w:rFonts w:ascii="Times New Roman" w:eastAsia="宋体" w:hAnsi="Times New Roman"/>
                  <w:sz w:val="20"/>
                  <w:szCs w:val="20"/>
                </w:rPr>
                <w:t>Security Agreement, dated as of September 7, 2016, among Dell International L.L.C., EMC Corporation, Denali Intermediate Inc., Dell Inc., the other grantors party thereto and The Bank o</w:t>
              </w:r>
              <w:r>
                <w:rPr>
                  <w:rStyle w:val="a5"/>
                  <w:rFonts w:ascii="Times New Roman" w:eastAsia="宋体" w:hAnsi="Times New Roman"/>
                  <w:sz w:val="20"/>
                  <w:szCs w:val="20"/>
                </w:rPr>
                <w:t>f New York Mellon Trust Company, N.A., as notes collateral agent (incorporated by reference to Exhibit 4.11 to the Company’s Quarterly Report on Form 10-Q for the quarterly period ended October 28, 2016) (Commission File No. 001-37867).</w:t>
              </w:r>
            </w:hyperlink>
          </w:p>
        </w:tc>
      </w:tr>
      <w:tr w:rsidR="00C1563E" w14:paraId="7DD02269" w14:textId="77777777">
        <w:trPr>
          <w:jc w:val="center"/>
        </w:trPr>
        <w:tc>
          <w:tcPr>
            <w:tcW w:w="0" w:type="auto"/>
            <w:gridSpan w:val="3"/>
            <w:shd w:val="clear" w:color="auto" w:fill="auto"/>
            <w:tcMar>
              <w:top w:w="40" w:type="dxa"/>
              <w:left w:w="20" w:type="dxa"/>
              <w:bottom w:w="40" w:type="dxa"/>
              <w:right w:w="20" w:type="dxa"/>
            </w:tcMar>
          </w:tcPr>
          <w:p w14:paraId="7DD02266" w14:textId="77777777" w:rsidR="00C1563E" w:rsidRDefault="000B648B">
            <w:pPr>
              <w:jc w:val="right"/>
              <w:textAlignment w:val="top"/>
            </w:pPr>
            <w:hyperlink r:id="rId413" w:history="1">
              <w:r>
                <w:rPr>
                  <w:rStyle w:val="a5"/>
                  <w:rFonts w:ascii="Times New Roman" w:eastAsia="宋体" w:hAnsi="Times New Roman"/>
                  <w:sz w:val="20"/>
                  <w:szCs w:val="20"/>
                </w:rPr>
                <w:t>4.27</w:t>
              </w:r>
            </w:hyperlink>
          </w:p>
        </w:tc>
        <w:tc>
          <w:tcPr>
            <w:tcW w:w="0" w:type="auto"/>
            <w:gridSpan w:val="3"/>
            <w:shd w:val="clear" w:color="auto" w:fill="auto"/>
            <w:tcMar>
              <w:top w:w="0" w:type="dxa"/>
              <w:left w:w="20" w:type="dxa"/>
              <w:bottom w:w="0" w:type="dxa"/>
              <w:right w:w="20" w:type="dxa"/>
            </w:tcMar>
          </w:tcPr>
          <w:p w14:paraId="7DD0226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68" w14:textId="77777777" w:rsidR="00C1563E" w:rsidRDefault="000B648B">
            <w:pPr>
              <w:textAlignment w:val="top"/>
            </w:pPr>
            <w:hyperlink r:id="rId414" w:history="1">
              <w:r>
                <w:rPr>
                  <w:rStyle w:val="a5"/>
                  <w:rFonts w:ascii="Times New Roman" w:eastAsia="宋体" w:hAnsi="Times New Roman"/>
                  <w:sz w:val="20"/>
                  <w:szCs w:val="20"/>
                </w:rPr>
                <w:t>2021 Notes Supplemental Indenture No. 4, dated as of May 23,</w:t>
              </w:r>
              <w:r>
                <w:rPr>
                  <w:rStyle w:val="a5"/>
                  <w:rFonts w:ascii="Times New Roman" w:eastAsia="宋体" w:hAnsi="Times New Roman"/>
                  <w:sz w:val="20"/>
                  <w:szCs w:val="20"/>
                </w:rPr>
                <w:t xml:space="preserve"> 2017, by and among Dell International L.L.C., EMC Corporation, Dell Global Holdings XIII L.L.C., QTZ L.L.C. and The Bank of New York Mellon Trust Company, N.A., as Trustee (incorporated by reference to Exhibit 4.30 to the Company’s Annual Report on Form 1</w:t>
              </w:r>
              <w:r>
                <w:rPr>
                  <w:rStyle w:val="a5"/>
                  <w:rFonts w:ascii="Times New Roman" w:eastAsia="宋体" w:hAnsi="Times New Roman"/>
                  <w:sz w:val="20"/>
                  <w:szCs w:val="20"/>
                </w:rPr>
                <w:t>0-K for the fiscal year ended February 1, 2019) (Commission File No. 001-37867).</w:t>
              </w:r>
            </w:hyperlink>
          </w:p>
        </w:tc>
      </w:tr>
      <w:tr w:rsidR="00C1563E" w14:paraId="7DD0226D" w14:textId="77777777">
        <w:trPr>
          <w:jc w:val="center"/>
        </w:trPr>
        <w:tc>
          <w:tcPr>
            <w:tcW w:w="0" w:type="auto"/>
            <w:gridSpan w:val="3"/>
            <w:shd w:val="clear" w:color="auto" w:fill="auto"/>
            <w:tcMar>
              <w:top w:w="40" w:type="dxa"/>
              <w:left w:w="20" w:type="dxa"/>
              <w:bottom w:w="40" w:type="dxa"/>
              <w:right w:w="20" w:type="dxa"/>
            </w:tcMar>
          </w:tcPr>
          <w:p w14:paraId="7DD0226A" w14:textId="77777777" w:rsidR="00C1563E" w:rsidRDefault="000B648B">
            <w:pPr>
              <w:jc w:val="right"/>
              <w:textAlignment w:val="top"/>
            </w:pPr>
            <w:hyperlink r:id="rId415" w:history="1">
              <w:r>
                <w:rPr>
                  <w:rStyle w:val="a5"/>
                  <w:rFonts w:ascii="Times New Roman" w:eastAsia="宋体" w:hAnsi="Times New Roman"/>
                  <w:sz w:val="20"/>
                  <w:szCs w:val="20"/>
                </w:rPr>
                <w:t>4.28</w:t>
              </w:r>
            </w:hyperlink>
          </w:p>
        </w:tc>
        <w:tc>
          <w:tcPr>
            <w:tcW w:w="0" w:type="auto"/>
            <w:gridSpan w:val="3"/>
            <w:shd w:val="clear" w:color="auto" w:fill="auto"/>
            <w:tcMar>
              <w:top w:w="0" w:type="dxa"/>
              <w:left w:w="20" w:type="dxa"/>
              <w:bottom w:w="0" w:type="dxa"/>
              <w:right w:w="20" w:type="dxa"/>
            </w:tcMar>
          </w:tcPr>
          <w:p w14:paraId="7DD0226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6C" w14:textId="77777777" w:rsidR="00C1563E" w:rsidRDefault="000B648B">
            <w:pPr>
              <w:textAlignment w:val="top"/>
            </w:pPr>
            <w:hyperlink r:id="rId416" w:history="1">
              <w:r>
                <w:rPr>
                  <w:rStyle w:val="a5"/>
                  <w:rFonts w:ascii="Times New Roman" w:eastAsia="宋体" w:hAnsi="Times New Roman"/>
                  <w:sz w:val="20"/>
                  <w:szCs w:val="20"/>
                </w:rPr>
                <w:t xml:space="preserve">2024 Notes Supplemental Indenture No. 4, dated as of May 23, 2017, by and among Dell International L.L.C., EMC Corporation, Dell Global Holdings XIII L.L.C., QTZ L.L.C. and The Bank of New York Mellon Trust Company, </w:t>
              </w:r>
              <w:r>
                <w:rPr>
                  <w:rStyle w:val="a5"/>
                  <w:rFonts w:ascii="Times New Roman" w:eastAsia="宋体" w:hAnsi="Times New Roman"/>
                  <w:sz w:val="20"/>
                  <w:szCs w:val="20"/>
                </w:rPr>
                <w:t>N.A., as Trustee (incorporated by reference to Exhibit 4.31 to the Company’s Annual Report on Form 10-K for the fiscal year ended February 1, 2019) (Commission File No. 001-37867).</w:t>
              </w:r>
            </w:hyperlink>
          </w:p>
        </w:tc>
      </w:tr>
    </w:tbl>
    <w:p w14:paraId="7DD0226E" w14:textId="77777777" w:rsidR="00C1563E" w:rsidRDefault="00C1563E">
      <w:pPr>
        <w:jc w:val="center"/>
      </w:pPr>
    </w:p>
    <w:p w14:paraId="7DD0226F" w14:textId="77777777" w:rsidR="00C1563E" w:rsidRDefault="000B648B">
      <w:pPr>
        <w:jc w:val="center"/>
      </w:pPr>
      <w:r>
        <w:rPr>
          <w:rFonts w:ascii="Times New Roman" w:eastAsia="宋体" w:hAnsi="Times New Roman"/>
          <w:color w:val="000000"/>
          <w:sz w:val="20"/>
          <w:szCs w:val="20"/>
        </w:rPr>
        <w:t>174</w:t>
      </w:r>
    </w:p>
    <w:p w14:paraId="7DD02270" w14:textId="77777777" w:rsidR="00C1563E" w:rsidRDefault="00C1563E">
      <w:pPr>
        <w:jc w:val="center"/>
      </w:pPr>
    </w:p>
    <w:p w14:paraId="7DD02271" w14:textId="77777777" w:rsidR="00C1563E" w:rsidRDefault="000B648B">
      <w:r>
        <w:pict w14:anchorId="7DD02618">
          <v:rect id="_x0000_i1198" style="width:415.3pt;height:1.5pt" o:hralign="center" o:hrstd="t" o:hr="t" fillcolor="#a0a0a0" stroked="f"/>
        </w:pict>
      </w:r>
    </w:p>
    <w:p w14:paraId="7DD02272" w14:textId="77777777" w:rsidR="00C1563E" w:rsidRDefault="000B648B">
      <w:hyperlink r:id="rId417"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4"/>
        <w:gridCol w:w="37"/>
      </w:tblGrid>
      <w:tr w:rsidR="00C1563E" w14:paraId="7DD0227C" w14:textId="77777777">
        <w:trPr>
          <w:jc w:val="center"/>
        </w:trPr>
        <w:tc>
          <w:tcPr>
            <w:tcW w:w="50" w:type="pct"/>
            <w:shd w:val="clear" w:color="auto" w:fill="auto"/>
          </w:tcPr>
          <w:p w14:paraId="7DD02273" w14:textId="77777777" w:rsidR="00C1563E" w:rsidRDefault="00C1563E">
            <w:pPr>
              <w:rPr>
                <w:rFonts w:ascii="宋体"/>
              </w:rPr>
            </w:pPr>
          </w:p>
        </w:tc>
        <w:tc>
          <w:tcPr>
            <w:tcW w:w="595" w:type="pct"/>
            <w:shd w:val="clear" w:color="auto" w:fill="auto"/>
          </w:tcPr>
          <w:p w14:paraId="7DD02274" w14:textId="77777777" w:rsidR="00C1563E" w:rsidRDefault="00C1563E">
            <w:pPr>
              <w:rPr>
                <w:rFonts w:ascii="宋体"/>
              </w:rPr>
            </w:pPr>
          </w:p>
        </w:tc>
        <w:tc>
          <w:tcPr>
            <w:tcW w:w="5" w:type="pct"/>
            <w:shd w:val="clear" w:color="auto" w:fill="auto"/>
          </w:tcPr>
          <w:p w14:paraId="7DD02275" w14:textId="77777777" w:rsidR="00C1563E" w:rsidRDefault="00C1563E">
            <w:pPr>
              <w:rPr>
                <w:rFonts w:ascii="宋体"/>
              </w:rPr>
            </w:pPr>
          </w:p>
        </w:tc>
        <w:tc>
          <w:tcPr>
            <w:tcW w:w="5" w:type="pct"/>
            <w:shd w:val="clear" w:color="auto" w:fill="auto"/>
          </w:tcPr>
          <w:p w14:paraId="7DD02276" w14:textId="77777777" w:rsidR="00C1563E" w:rsidRDefault="00C1563E">
            <w:pPr>
              <w:rPr>
                <w:rFonts w:ascii="宋体"/>
              </w:rPr>
            </w:pPr>
          </w:p>
        </w:tc>
        <w:tc>
          <w:tcPr>
            <w:tcW w:w="19" w:type="pct"/>
            <w:shd w:val="clear" w:color="auto" w:fill="auto"/>
          </w:tcPr>
          <w:p w14:paraId="7DD02277" w14:textId="77777777" w:rsidR="00C1563E" w:rsidRDefault="00C1563E">
            <w:pPr>
              <w:rPr>
                <w:rFonts w:ascii="宋体"/>
              </w:rPr>
            </w:pPr>
          </w:p>
        </w:tc>
        <w:tc>
          <w:tcPr>
            <w:tcW w:w="5" w:type="pct"/>
            <w:shd w:val="clear" w:color="auto" w:fill="auto"/>
          </w:tcPr>
          <w:p w14:paraId="7DD02278" w14:textId="77777777" w:rsidR="00C1563E" w:rsidRDefault="00C1563E">
            <w:pPr>
              <w:rPr>
                <w:rFonts w:ascii="宋体"/>
              </w:rPr>
            </w:pPr>
          </w:p>
        </w:tc>
        <w:tc>
          <w:tcPr>
            <w:tcW w:w="50" w:type="pct"/>
            <w:shd w:val="clear" w:color="auto" w:fill="auto"/>
          </w:tcPr>
          <w:p w14:paraId="7DD02279" w14:textId="77777777" w:rsidR="00C1563E" w:rsidRDefault="00C1563E">
            <w:pPr>
              <w:rPr>
                <w:rFonts w:ascii="宋体"/>
              </w:rPr>
            </w:pPr>
          </w:p>
        </w:tc>
        <w:tc>
          <w:tcPr>
            <w:tcW w:w="4265" w:type="pct"/>
            <w:shd w:val="clear" w:color="auto" w:fill="auto"/>
          </w:tcPr>
          <w:p w14:paraId="7DD0227A" w14:textId="77777777" w:rsidR="00C1563E" w:rsidRDefault="00C1563E">
            <w:pPr>
              <w:rPr>
                <w:rFonts w:ascii="宋体"/>
              </w:rPr>
            </w:pPr>
          </w:p>
        </w:tc>
        <w:tc>
          <w:tcPr>
            <w:tcW w:w="5" w:type="pct"/>
            <w:shd w:val="clear" w:color="auto" w:fill="auto"/>
          </w:tcPr>
          <w:p w14:paraId="7DD0227B" w14:textId="77777777" w:rsidR="00C1563E" w:rsidRDefault="00C1563E">
            <w:pPr>
              <w:rPr>
                <w:rFonts w:ascii="宋体"/>
              </w:rPr>
            </w:pPr>
          </w:p>
        </w:tc>
      </w:tr>
      <w:tr w:rsidR="00C1563E" w14:paraId="7DD02280" w14:textId="77777777">
        <w:trPr>
          <w:jc w:val="center"/>
        </w:trPr>
        <w:tc>
          <w:tcPr>
            <w:tcW w:w="0" w:type="auto"/>
            <w:gridSpan w:val="3"/>
            <w:shd w:val="clear" w:color="auto" w:fill="auto"/>
            <w:tcMar>
              <w:top w:w="40" w:type="dxa"/>
              <w:left w:w="20" w:type="dxa"/>
              <w:bottom w:w="40" w:type="dxa"/>
              <w:right w:w="20" w:type="dxa"/>
            </w:tcMar>
          </w:tcPr>
          <w:p w14:paraId="7DD0227D" w14:textId="77777777" w:rsidR="00C1563E" w:rsidRDefault="000B648B">
            <w:pPr>
              <w:jc w:val="right"/>
              <w:textAlignment w:val="top"/>
            </w:pPr>
            <w:hyperlink r:id="rId418" w:history="1">
              <w:r>
                <w:rPr>
                  <w:rStyle w:val="a5"/>
                  <w:rFonts w:ascii="Times New Roman" w:eastAsia="宋体" w:hAnsi="Times New Roman"/>
                  <w:sz w:val="20"/>
                  <w:szCs w:val="20"/>
                </w:rPr>
                <w:t>4.29</w:t>
              </w:r>
            </w:hyperlink>
          </w:p>
        </w:tc>
        <w:tc>
          <w:tcPr>
            <w:tcW w:w="0" w:type="auto"/>
            <w:gridSpan w:val="3"/>
            <w:shd w:val="clear" w:color="auto" w:fill="auto"/>
            <w:tcMar>
              <w:top w:w="0" w:type="dxa"/>
              <w:left w:w="20" w:type="dxa"/>
              <w:bottom w:w="0" w:type="dxa"/>
              <w:right w:w="20" w:type="dxa"/>
            </w:tcMar>
          </w:tcPr>
          <w:p w14:paraId="7DD0227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7F" w14:textId="77777777" w:rsidR="00C1563E" w:rsidRDefault="000B648B">
            <w:pPr>
              <w:textAlignment w:val="top"/>
            </w:pPr>
            <w:hyperlink r:id="rId419" w:history="1">
              <w:r>
                <w:rPr>
                  <w:rStyle w:val="a5"/>
                  <w:rFonts w:ascii="Times New Roman" w:eastAsia="宋体" w:hAnsi="Times New Roman"/>
                  <w:sz w:val="20"/>
                  <w:szCs w:val="20"/>
                </w:rPr>
                <w:t>2019 Notes Supplemental Indenture No. 4, 2021</w:t>
              </w:r>
              <w:r>
                <w:rPr>
                  <w:rStyle w:val="a5"/>
                  <w:rFonts w:ascii="Times New Roman" w:eastAsia="宋体" w:hAnsi="Times New Roman"/>
                  <w:sz w:val="20"/>
                  <w:szCs w:val="20"/>
                </w:rPr>
                <w:t xml:space="preserve"> Notes Supplemental Indenture No. 4, 2023 Notes Supplemental Indenture No. 4, 2026 Notes Supplemental Indenture No. 4, 2036 Notes Supplemental Indenture No. 4 and 2046 Notes Supplemental Indenture No. 4, dated as of May 23, 2017, by and among Dell Internat</w:t>
              </w:r>
              <w:r>
                <w:rPr>
                  <w:rStyle w:val="a5"/>
                  <w:rFonts w:ascii="Times New Roman" w:eastAsia="宋体" w:hAnsi="Times New Roman"/>
                  <w:sz w:val="20"/>
                  <w:szCs w:val="20"/>
                </w:rPr>
                <w:t xml:space="preserve">ional L.L.C., EMC Corporation, Dell Global Holdings XIII L.L.C., QTZ L.L.C. and The Bank of New York Mellon Trust Company, N.A., as Trustee and Collateral Agent (incorporated by reference to Exhibit 4.32 to the Company’s Annual Report on Form 10-K for the </w:t>
              </w:r>
              <w:r>
                <w:rPr>
                  <w:rStyle w:val="a5"/>
                  <w:rFonts w:ascii="Times New Roman" w:eastAsia="宋体" w:hAnsi="Times New Roman"/>
                  <w:sz w:val="20"/>
                  <w:szCs w:val="20"/>
                </w:rPr>
                <w:t>fiscal year ended February 1, 2019) (Commission File No. 001-37867).</w:t>
              </w:r>
            </w:hyperlink>
          </w:p>
        </w:tc>
      </w:tr>
      <w:tr w:rsidR="00C1563E" w14:paraId="7DD02284" w14:textId="77777777">
        <w:trPr>
          <w:jc w:val="center"/>
        </w:trPr>
        <w:tc>
          <w:tcPr>
            <w:tcW w:w="0" w:type="auto"/>
            <w:gridSpan w:val="3"/>
            <w:shd w:val="clear" w:color="auto" w:fill="auto"/>
            <w:tcMar>
              <w:top w:w="40" w:type="dxa"/>
              <w:left w:w="20" w:type="dxa"/>
              <w:bottom w:w="40" w:type="dxa"/>
              <w:right w:w="20" w:type="dxa"/>
            </w:tcMar>
          </w:tcPr>
          <w:p w14:paraId="7DD02281" w14:textId="77777777" w:rsidR="00C1563E" w:rsidRDefault="000B648B">
            <w:pPr>
              <w:jc w:val="right"/>
              <w:textAlignment w:val="top"/>
            </w:pPr>
            <w:hyperlink r:id="rId420" w:history="1">
              <w:r>
                <w:rPr>
                  <w:rStyle w:val="a5"/>
                  <w:rFonts w:ascii="Times New Roman" w:eastAsia="宋体" w:hAnsi="Times New Roman"/>
                  <w:sz w:val="20"/>
                  <w:szCs w:val="20"/>
                </w:rPr>
                <w:t>4.30</w:t>
              </w:r>
            </w:hyperlink>
          </w:p>
        </w:tc>
        <w:tc>
          <w:tcPr>
            <w:tcW w:w="0" w:type="auto"/>
            <w:gridSpan w:val="3"/>
            <w:shd w:val="clear" w:color="auto" w:fill="auto"/>
            <w:tcMar>
              <w:top w:w="0" w:type="dxa"/>
              <w:left w:w="20" w:type="dxa"/>
              <w:bottom w:w="0" w:type="dxa"/>
              <w:right w:w="20" w:type="dxa"/>
            </w:tcMar>
          </w:tcPr>
          <w:p w14:paraId="7DD0228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83" w14:textId="77777777" w:rsidR="00C1563E" w:rsidRDefault="000B648B">
            <w:pPr>
              <w:textAlignment w:val="top"/>
            </w:pPr>
            <w:hyperlink r:id="rId421" w:history="1">
              <w:r>
                <w:rPr>
                  <w:rStyle w:val="a5"/>
                  <w:rFonts w:ascii="Times New Roman" w:eastAsia="宋体" w:hAnsi="Times New Roman"/>
                  <w:sz w:val="20"/>
                  <w:szCs w:val="20"/>
                </w:rPr>
                <w:t>Joinder Agreement to Registration Rights Agr</w:t>
              </w:r>
              <w:r>
                <w:rPr>
                  <w:rStyle w:val="a5"/>
                  <w:rFonts w:ascii="Times New Roman" w:eastAsia="宋体" w:hAnsi="Times New Roman"/>
                  <w:sz w:val="20"/>
                  <w:szCs w:val="20"/>
                </w:rPr>
                <w:t>eement, dated as of May 23, 2017, by Dell Global Holdings XIII L.L.C. and QTZ L.L.C. (incorporated by reference to Exhibit 4.33 to the Company’s Annual Report on Form 10-K for the fiscal year ended February 1, 2019) (Commission File No. 001-37867).</w:t>
              </w:r>
            </w:hyperlink>
          </w:p>
        </w:tc>
      </w:tr>
      <w:tr w:rsidR="00C1563E" w14:paraId="7DD02289" w14:textId="77777777">
        <w:trPr>
          <w:jc w:val="center"/>
        </w:trPr>
        <w:tc>
          <w:tcPr>
            <w:tcW w:w="0" w:type="auto"/>
            <w:gridSpan w:val="3"/>
            <w:shd w:val="clear" w:color="auto" w:fill="auto"/>
            <w:tcMar>
              <w:top w:w="40" w:type="dxa"/>
              <w:left w:w="20" w:type="dxa"/>
              <w:bottom w:w="40" w:type="dxa"/>
              <w:right w:w="20" w:type="dxa"/>
            </w:tcMar>
          </w:tcPr>
          <w:p w14:paraId="7DD02285" w14:textId="77777777" w:rsidR="00C1563E" w:rsidRDefault="000B648B">
            <w:pPr>
              <w:jc w:val="right"/>
              <w:textAlignment w:val="top"/>
            </w:pPr>
            <w:hyperlink r:id="rId422" w:history="1">
              <w:r>
                <w:rPr>
                  <w:rStyle w:val="a5"/>
                  <w:rFonts w:ascii="Times New Roman" w:eastAsia="宋体" w:hAnsi="Times New Roman"/>
                  <w:sz w:val="20"/>
                  <w:szCs w:val="20"/>
                </w:rPr>
                <w:t>4.31</w:t>
              </w:r>
            </w:hyperlink>
          </w:p>
        </w:tc>
        <w:tc>
          <w:tcPr>
            <w:tcW w:w="0" w:type="auto"/>
            <w:gridSpan w:val="3"/>
            <w:shd w:val="clear" w:color="auto" w:fill="auto"/>
            <w:tcMar>
              <w:top w:w="0" w:type="dxa"/>
              <w:left w:w="20" w:type="dxa"/>
              <w:bottom w:w="0" w:type="dxa"/>
              <w:right w:w="20" w:type="dxa"/>
            </w:tcMar>
          </w:tcPr>
          <w:p w14:paraId="7DD0228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87" w14:textId="77777777" w:rsidR="00C1563E" w:rsidRDefault="000B648B">
            <w:pPr>
              <w:textAlignment w:val="top"/>
            </w:pPr>
            <w:hyperlink r:id="rId423" w:history="1">
              <w:r>
                <w:rPr>
                  <w:rStyle w:val="a5"/>
                  <w:rFonts w:ascii="Times New Roman" w:eastAsia="宋体" w:hAnsi="Times New Roman"/>
                  <w:sz w:val="20"/>
                  <w:szCs w:val="20"/>
                </w:rPr>
                <w:t>Base Indenture, dated as of March 20, 2019, among Dell I</w:t>
              </w:r>
              <w:r>
                <w:rPr>
                  <w:rStyle w:val="a5"/>
                  <w:rFonts w:ascii="Times New Roman" w:eastAsia="宋体" w:hAnsi="Times New Roman"/>
                  <w:sz w:val="20"/>
                  <w:szCs w:val="20"/>
                </w:rPr>
                <w:t>nternational L.L.C, EMC Corporation, the guarantors party thereto and The Bank of New York Mellon Trust Company, N.A., as Trustee and Notes Collateral Agent (incorporated by reference to Exhibit 4.1 to the Company’s Current Report on Form 8-K filed with th</w:t>
              </w:r>
              <w:r>
                <w:rPr>
                  <w:rStyle w:val="a5"/>
                  <w:rFonts w:ascii="Times New Roman" w:eastAsia="宋体" w:hAnsi="Times New Roman"/>
                  <w:sz w:val="20"/>
                  <w:szCs w:val="20"/>
                </w:rPr>
                <w:t>e Commission on March 21, 2019) (Commission File No. 001-37867).</w:t>
              </w:r>
            </w:hyperlink>
          </w:p>
          <w:p w14:paraId="7DD02288" w14:textId="77777777" w:rsidR="00C1563E" w:rsidRDefault="00C1563E">
            <w:pPr>
              <w:textAlignment w:val="top"/>
            </w:pPr>
          </w:p>
        </w:tc>
      </w:tr>
      <w:tr w:rsidR="00C1563E" w14:paraId="7DD0228E" w14:textId="77777777">
        <w:trPr>
          <w:jc w:val="center"/>
        </w:trPr>
        <w:tc>
          <w:tcPr>
            <w:tcW w:w="0" w:type="auto"/>
            <w:gridSpan w:val="3"/>
            <w:shd w:val="clear" w:color="auto" w:fill="auto"/>
            <w:tcMar>
              <w:top w:w="40" w:type="dxa"/>
              <w:left w:w="20" w:type="dxa"/>
              <w:bottom w:w="40" w:type="dxa"/>
              <w:right w:w="20" w:type="dxa"/>
            </w:tcMar>
          </w:tcPr>
          <w:p w14:paraId="7DD0228A" w14:textId="77777777" w:rsidR="00C1563E" w:rsidRDefault="000B648B">
            <w:pPr>
              <w:jc w:val="right"/>
              <w:textAlignment w:val="top"/>
            </w:pPr>
            <w:hyperlink r:id="rId424" w:history="1">
              <w:r>
                <w:rPr>
                  <w:rStyle w:val="a5"/>
                  <w:rFonts w:ascii="Times New Roman" w:eastAsia="宋体" w:hAnsi="Times New Roman"/>
                  <w:sz w:val="20"/>
                  <w:szCs w:val="20"/>
                </w:rPr>
                <w:t>4.32</w:t>
              </w:r>
            </w:hyperlink>
          </w:p>
        </w:tc>
        <w:tc>
          <w:tcPr>
            <w:tcW w:w="0" w:type="auto"/>
            <w:gridSpan w:val="3"/>
            <w:shd w:val="clear" w:color="auto" w:fill="auto"/>
            <w:tcMar>
              <w:top w:w="0" w:type="dxa"/>
              <w:left w:w="20" w:type="dxa"/>
              <w:bottom w:w="0" w:type="dxa"/>
              <w:right w:w="20" w:type="dxa"/>
            </w:tcMar>
          </w:tcPr>
          <w:p w14:paraId="7DD0228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8C" w14:textId="77777777" w:rsidR="00C1563E" w:rsidRDefault="000B648B">
            <w:pPr>
              <w:textAlignment w:val="top"/>
            </w:pPr>
            <w:hyperlink r:id="rId425" w:history="1">
              <w:r>
                <w:rPr>
                  <w:rStyle w:val="a5"/>
                  <w:rFonts w:ascii="Times New Roman" w:eastAsia="宋体" w:hAnsi="Times New Roman"/>
                  <w:sz w:val="20"/>
                  <w:szCs w:val="20"/>
                </w:rPr>
                <w:t>2024 Notes Supplemental Indenture No. 1, dated as of March 20, 2019, among Dell International L.L.C, EMC Corporation, the guarantors party thereto and The Bank of New York Mellon Trust Company, N.A., as Trustee and Notes Collateral Agent (</w:t>
              </w:r>
              <w:r>
                <w:rPr>
                  <w:rStyle w:val="a5"/>
                  <w:rFonts w:ascii="Times New Roman" w:eastAsia="宋体" w:hAnsi="Times New Roman"/>
                  <w:sz w:val="20"/>
                  <w:szCs w:val="20"/>
                </w:rPr>
                <w:t>incorporated by reference to Exhibit 4.2 to the Company’s Current Report on Form 8-K filed with the Commission on March 21, 2019) (Commission File No. 001-37867).</w:t>
              </w:r>
            </w:hyperlink>
          </w:p>
          <w:p w14:paraId="7DD0228D" w14:textId="77777777" w:rsidR="00C1563E" w:rsidRDefault="00C1563E">
            <w:pPr>
              <w:textAlignment w:val="top"/>
            </w:pPr>
          </w:p>
        </w:tc>
      </w:tr>
      <w:tr w:rsidR="00C1563E" w14:paraId="7DD02293" w14:textId="77777777">
        <w:trPr>
          <w:jc w:val="center"/>
        </w:trPr>
        <w:tc>
          <w:tcPr>
            <w:tcW w:w="0" w:type="auto"/>
            <w:gridSpan w:val="3"/>
            <w:shd w:val="clear" w:color="auto" w:fill="auto"/>
            <w:tcMar>
              <w:top w:w="40" w:type="dxa"/>
              <w:left w:w="20" w:type="dxa"/>
              <w:bottom w:w="40" w:type="dxa"/>
              <w:right w:w="20" w:type="dxa"/>
            </w:tcMar>
          </w:tcPr>
          <w:p w14:paraId="7DD0228F" w14:textId="77777777" w:rsidR="00C1563E" w:rsidRDefault="000B648B">
            <w:pPr>
              <w:jc w:val="right"/>
              <w:textAlignment w:val="top"/>
            </w:pPr>
            <w:hyperlink r:id="rId426" w:history="1">
              <w:r>
                <w:rPr>
                  <w:rStyle w:val="a5"/>
                  <w:rFonts w:ascii="Times New Roman" w:eastAsia="宋体" w:hAnsi="Times New Roman"/>
                  <w:sz w:val="20"/>
                  <w:szCs w:val="20"/>
                </w:rPr>
                <w:t>4.33</w:t>
              </w:r>
            </w:hyperlink>
          </w:p>
        </w:tc>
        <w:tc>
          <w:tcPr>
            <w:tcW w:w="0" w:type="auto"/>
            <w:gridSpan w:val="3"/>
            <w:shd w:val="clear" w:color="auto" w:fill="auto"/>
            <w:tcMar>
              <w:top w:w="0" w:type="dxa"/>
              <w:left w:w="20" w:type="dxa"/>
              <w:bottom w:w="0" w:type="dxa"/>
              <w:right w:w="20" w:type="dxa"/>
            </w:tcMar>
          </w:tcPr>
          <w:p w14:paraId="7DD0229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91" w14:textId="77777777" w:rsidR="00C1563E" w:rsidRDefault="000B648B">
            <w:pPr>
              <w:textAlignment w:val="top"/>
            </w:pPr>
            <w:hyperlink r:id="rId427" w:history="1">
              <w:r>
                <w:rPr>
                  <w:rStyle w:val="a5"/>
                  <w:rFonts w:ascii="Times New Roman" w:eastAsia="宋体" w:hAnsi="Times New Roman"/>
                  <w:sz w:val="20"/>
                  <w:szCs w:val="20"/>
                </w:rPr>
                <w:t xml:space="preserve">2026 Notes Supplemental Indenture No. 1, dated as of </w:t>
              </w:r>
              <w:r>
                <w:rPr>
                  <w:rStyle w:val="a5"/>
                  <w:rFonts w:ascii="Times New Roman" w:eastAsia="宋体" w:hAnsi="Times New Roman"/>
                  <w:sz w:val="20"/>
                  <w:szCs w:val="20"/>
                </w:rPr>
                <w:t>March 20, 2019, among Dell International L.L.C, EMC Corporation, the guarantors party thereto and The Bank of New York Mellon Trust Company, N.A., as Trustee and Notes Collateral Agent (incorporated by reference to Exhibit 4.3 to the Company’s Current Repo</w:t>
              </w:r>
              <w:r>
                <w:rPr>
                  <w:rStyle w:val="a5"/>
                  <w:rFonts w:ascii="Times New Roman" w:eastAsia="宋体" w:hAnsi="Times New Roman"/>
                  <w:sz w:val="20"/>
                  <w:szCs w:val="20"/>
                </w:rPr>
                <w:t>rt on Form 8-K filed with the Commission on March 21, 2019) (Commission File No. 001-37867).</w:t>
              </w:r>
            </w:hyperlink>
          </w:p>
          <w:p w14:paraId="7DD02292" w14:textId="77777777" w:rsidR="00C1563E" w:rsidRDefault="00C1563E">
            <w:pPr>
              <w:textAlignment w:val="top"/>
            </w:pPr>
          </w:p>
        </w:tc>
      </w:tr>
      <w:tr w:rsidR="00C1563E" w14:paraId="7DD02298" w14:textId="77777777">
        <w:trPr>
          <w:jc w:val="center"/>
        </w:trPr>
        <w:tc>
          <w:tcPr>
            <w:tcW w:w="0" w:type="auto"/>
            <w:gridSpan w:val="3"/>
            <w:shd w:val="clear" w:color="auto" w:fill="auto"/>
            <w:tcMar>
              <w:top w:w="40" w:type="dxa"/>
              <w:left w:w="20" w:type="dxa"/>
              <w:bottom w:w="40" w:type="dxa"/>
              <w:right w:w="20" w:type="dxa"/>
            </w:tcMar>
          </w:tcPr>
          <w:p w14:paraId="7DD02294" w14:textId="77777777" w:rsidR="00C1563E" w:rsidRDefault="000B648B">
            <w:pPr>
              <w:jc w:val="right"/>
              <w:textAlignment w:val="top"/>
            </w:pPr>
            <w:hyperlink r:id="rId428" w:history="1">
              <w:r>
                <w:rPr>
                  <w:rStyle w:val="a5"/>
                  <w:rFonts w:ascii="Times New Roman" w:eastAsia="宋体" w:hAnsi="Times New Roman"/>
                  <w:sz w:val="20"/>
                  <w:szCs w:val="20"/>
                </w:rPr>
                <w:t>4.34</w:t>
              </w:r>
            </w:hyperlink>
            <w:r>
              <w:rPr>
                <w:rFonts w:ascii="Times New Roman" w:eastAsia="宋体" w:hAnsi="Times New Roman"/>
                <w:color w:val="000000"/>
                <w:sz w:val="20"/>
                <w:szCs w:val="20"/>
              </w:rPr>
              <w:t xml:space="preserve"> </w:t>
            </w:r>
          </w:p>
        </w:tc>
        <w:tc>
          <w:tcPr>
            <w:tcW w:w="0" w:type="auto"/>
            <w:gridSpan w:val="3"/>
            <w:shd w:val="clear" w:color="auto" w:fill="auto"/>
            <w:tcMar>
              <w:top w:w="0" w:type="dxa"/>
              <w:left w:w="20" w:type="dxa"/>
              <w:bottom w:w="0" w:type="dxa"/>
              <w:right w:w="20" w:type="dxa"/>
            </w:tcMar>
          </w:tcPr>
          <w:p w14:paraId="7DD0229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96" w14:textId="77777777" w:rsidR="00C1563E" w:rsidRDefault="000B648B">
            <w:pPr>
              <w:textAlignment w:val="top"/>
            </w:pPr>
            <w:hyperlink r:id="rId429" w:history="1">
              <w:r>
                <w:rPr>
                  <w:rStyle w:val="a5"/>
                  <w:rFonts w:ascii="Times New Roman" w:eastAsia="宋体" w:hAnsi="Times New Roman"/>
                  <w:sz w:val="20"/>
                  <w:szCs w:val="20"/>
                </w:rPr>
                <w:t xml:space="preserve">2029 Notes Supplemental Indenture No. 1, dated as of March 20, 2019, among Dell International L.L.C, EMC Corporation, the guarantors party thereto and The Bank of New York Mellon Trust Company, N.A., as </w:t>
              </w:r>
              <w:r>
                <w:rPr>
                  <w:rStyle w:val="a5"/>
                  <w:rFonts w:ascii="Times New Roman" w:eastAsia="宋体" w:hAnsi="Times New Roman"/>
                  <w:sz w:val="20"/>
                  <w:szCs w:val="20"/>
                </w:rPr>
                <w:t>Trustee and Notes Collateral Agent (incorporated by reference to Exhibit 4.4 to the Company’s Current Report on Form 8-K filed with the Commission on March 21, 2019) (Commission File No. 001-37867).</w:t>
              </w:r>
            </w:hyperlink>
          </w:p>
          <w:p w14:paraId="7DD02297" w14:textId="77777777" w:rsidR="00C1563E" w:rsidRDefault="00C1563E">
            <w:pPr>
              <w:textAlignment w:val="top"/>
            </w:pPr>
          </w:p>
        </w:tc>
      </w:tr>
      <w:tr w:rsidR="00C1563E" w14:paraId="7DD0229C" w14:textId="77777777">
        <w:trPr>
          <w:jc w:val="center"/>
        </w:trPr>
        <w:tc>
          <w:tcPr>
            <w:tcW w:w="0" w:type="auto"/>
            <w:gridSpan w:val="3"/>
            <w:shd w:val="clear" w:color="auto" w:fill="auto"/>
            <w:tcMar>
              <w:top w:w="40" w:type="dxa"/>
              <w:left w:w="20" w:type="dxa"/>
              <w:bottom w:w="40" w:type="dxa"/>
              <w:right w:w="20" w:type="dxa"/>
            </w:tcMar>
          </w:tcPr>
          <w:p w14:paraId="7DD02299" w14:textId="77777777" w:rsidR="00C1563E" w:rsidRDefault="000B648B">
            <w:pPr>
              <w:jc w:val="right"/>
              <w:textAlignment w:val="top"/>
            </w:pPr>
            <w:hyperlink r:id="rId430" w:history="1">
              <w:r>
                <w:rPr>
                  <w:rStyle w:val="a5"/>
                  <w:rFonts w:ascii="Times New Roman" w:eastAsia="宋体" w:hAnsi="Times New Roman"/>
                  <w:sz w:val="20"/>
                  <w:szCs w:val="20"/>
                </w:rPr>
                <w:t>4.35</w:t>
              </w:r>
            </w:hyperlink>
          </w:p>
        </w:tc>
        <w:tc>
          <w:tcPr>
            <w:tcW w:w="0" w:type="auto"/>
            <w:gridSpan w:val="3"/>
            <w:shd w:val="clear" w:color="auto" w:fill="auto"/>
            <w:tcMar>
              <w:top w:w="0" w:type="dxa"/>
              <w:left w:w="20" w:type="dxa"/>
              <w:bottom w:w="0" w:type="dxa"/>
              <w:right w:w="20" w:type="dxa"/>
            </w:tcMar>
          </w:tcPr>
          <w:p w14:paraId="7DD0229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9B" w14:textId="77777777" w:rsidR="00C1563E" w:rsidRDefault="000B648B">
            <w:pPr>
              <w:textAlignment w:val="top"/>
            </w:pPr>
            <w:hyperlink r:id="rId431" w:history="1">
              <w:r>
                <w:rPr>
                  <w:rStyle w:val="a5"/>
                  <w:rFonts w:ascii="Times New Roman" w:eastAsia="宋体" w:hAnsi="Times New Roman"/>
                  <w:sz w:val="20"/>
                  <w:szCs w:val="20"/>
                </w:rPr>
                <w:t>Registration Rights Agreement, dated as of March 20, 2019, among Dell International L.L.C, EMC Corporatio</w:t>
              </w:r>
              <w:r>
                <w:rPr>
                  <w:rStyle w:val="a5"/>
                  <w:rFonts w:ascii="Times New Roman" w:eastAsia="宋体" w:hAnsi="Times New Roman"/>
                  <w:sz w:val="20"/>
                  <w:szCs w:val="20"/>
                </w:rPr>
                <w:t>n, the guarantors party thereto and Merrill Lynch, Pierce, Fenner &amp; Smith Incorporated, Barclays Capital Inc., Citigroup Global Markets, Credit Suisse Securities (USA) LLC, Goldman, Sachs &amp; Co. and J.P. Morgan Securities LLC, as the representatives for the</w:t>
              </w:r>
              <w:r>
                <w:rPr>
                  <w:rStyle w:val="a5"/>
                  <w:rFonts w:ascii="Times New Roman" w:eastAsia="宋体" w:hAnsi="Times New Roman"/>
                  <w:sz w:val="20"/>
                  <w:szCs w:val="20"/>
                </w:rPr>
                <w:t xml:space="preserve"> initial purchasers (incorporated by reference to Exhibit 4.5 to the Company’s Current Report on Form 8-K filed with the Commission on March 21, 2019) (Commission File No. 001-37867).</w:t>
              </w:r>
            </w:hyperlink>
          </w:p>
        </w:tc>
      </w:tr>
      <w:tr w:rsidR="00C1563E" w14:paraId="7DD022A1" w14:textId="77777777">
        <w:trPr>
          <w:jc w:val="center"/>
        </w:trPr>
        <w:tc>
          <w:tcPr>
            <w:tcW w:w="0" w:type="auto"/>
            <w:gridSpan w:val="3"/>
            <w:shd w:val="clear" w:color="auto" w:fill="auto"/>
            <w:tcMar>
              <w:top w:w="40" w:type="dxa"/>
              <w:left w:w="20" w:type="dxa"/>
              <w:bottom w:w="40" w:type="dxa"/>
              <w:right w:w="20" w:type="dxa"/>
            </w:tcMar>
          </w:tcPr>
          <w:p w14:paraId="7DD0229D" w14:textId="77777777" w:rsidR="00C1563E" w:rsidRDefault="000B648B">
            <w:pPr>
              <w:jc w:val="right"/>
              <w:textAlignment w:val="top"/>
            </w:pPr>
            <w:hyperlink r:id="rId432" w:history="1">
              <w:r>
                <w:rPr>
                  <w:rStyle w:val="a5"/>
                  <w:rFonts w:ascii="Times New Roman" w:eastAsia="宋体" w:hAnsi="Times New Roman"/>
                  <w:sz w:val="20"/>
                  <w:szCs w:val="20"/>
                </w:rPr>
                <w:t>4.36</w:t>
              </w:r>
            </w:hyperlink>
          </w:p>
        </w:tc>
        <w:tc>
          <w:tcPr>
            <w:tcW w:w="0" w:type="auto"/>
            <w:gridSpan w:val="3"/>
            <w:shd w:val="clear" w:color="auto" w:fill="auto"/>
            <w:tcMar>
              <w:top w:w="0" w:type="dxa"/>
              <w:left w:w="20" w:type="dxa"/>
              <w:bottom w:w="0" w:type="dxa"/>
              <w:right w:w="20" w:type="dxa"/>
            </w:tcMar>
          </w:tcPr>
          <w:p w14:paraId="7DD0229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9F" w14:textId="77777777" w:rsidR="00C1563E" w:rsidRDefault="000B648B">
            <w:pPr>
              <w:textAlignment w:val="top"/>
            </w:pPr>
            <w:hyperlink r:id="rId433" w:history="1">
              <w:r>
                <w:rPr>
                  <w:rStyle w:val="a5"/>
                  <w:rFonts w:ascii="Times New Roman" w:eastAsia="宋体" w:hAnsi="Times New Roman"/>
                  <w:sz w:val="20"/>
                  <w:szCs w:val="20"/>
                </w:rPr>
                <w:t>2024 Notes Supplemental Indenture No. 5, dated as o</w:t>
              </w:r>
              <w:r>
                <w:rPr>
                  <w:rStyle w:val="a5"/>
                  <w:rFonts w:ascii="Times New Roman" w:eastAsia="宋体" w:hAnsi="Times New Roman"/>
                  <w:sz w:val="20"/>
                  <w:szCs w:val="20"/>
                </w:rPr>
                <w:t>f March 20, 2019, among Dell International L.L.C, EMC Corporation, the guarantors party thereto and The Bank of New York Mellon Trust Company, N.A., as Trustee (incorporated by reference to Exhibit 4.10 to the Company’s Current Report on Form 8-K filed wit</w:t>
              </w:r>
              <w:r>
                <w:rPr>
                  <w:rStyle w:val="a5"/>
                  <w:rFonts w:ascii="Times New Roman" w:eastAsia="宋体" w:hAnsi="Times New Roman"/>
                  <w:sz w:val="20"/>
                  <w:szCs w:val="20"/>
                </w:rPr>
                <w:t xml:space="preserve">h the Commission on March 21, 2019) (Commission File No. 001-37867). </w:t>
              </w:r>
            </w:hyperlink>
          </w:p>
          <w:p w14:paraId="7DD022A0" w14:textId="77777777" w:rsidR="00C1563E" w:rsidRDefault="00C1563E">
            <w:pPr>
              <w:textAlignment w:val="top"/>
            </w:pPr>
          </w:p>
        </w:tc>
      </w:tr>
      <w:tr w:rsidR="00C1563E" w14:paraId="7DD022A6" w14:textId="77777777">
        <w:trPr>
          <w:jc w:val="center"/>
        </w:trPr>
        <w:tc>
          <w:tcPr>
            <w:tcW w:w="0" w:type="auto"/>
            <w:gridSpan w:val="3"/>
            <w:shd w:val="clear" w:color="auto" w:fill="auto"/>
            <w:tcMar>
              <w:top w:w="40" w:type="dxa"/>
              <w:left w:w="20" w:type="dxa"/>
              <w:bottom w:w="40" w:type="dxa"/>
              <w:right w:w="20" w:type="dxa"/>
            </w:tcMar>
          </w:tcPr>
          <w:p w14:paraId="7DD022A2" w14:textId="77777777" w:rsidR="00C1563E" w:rsidRDefault="000B648B">
            <w:pPr>
              <w:jc w:val="right"/>
              <w:textAlignment w:val="top"/>
            </w:pPr>
            <w:hyperlink r:id="rId434" w:history="1">
              <w:r>
                <w:rPr>
                  <w:rStyle w:val="a5"/>
                  <w:rFonts w:ascii="Times New Roman" w:eastAsia="宋体" w:hAnsi="Times New Roman"/>
                  <w:sz w:val="20"/>
                  <w:szCs w:val="20"/>
                </w:rPr>
                <w:t>4.37</w:t>
              </w:r>
            </w:hyperlink>
          </w:p>
        </w:tc>
        <w:tc>
          <w:tcPr>
            <w:tcW w:w="0" w:type="auto"/>
            <w:gridSpan w:val="3"/>
            <w:shd w:val="clear" w:color="auto" w:fill="auto"/>
            <w:tcMar>
              <w:top w:w="0" w:type="dxa"/>
              <w:left w:w="20" w:type="dxa"/>
              <w:bottom w:w="0" w:type="dxa"/>
              <w:right w:w="20" w:type="dxa"/>
            </w:tcMar>
          </w:tcPr>
          <w:p w14:paraId="7DD022A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A4" w14:textId="77777777" w:rsidR="00C1563E" w:rsidRDefault="000B648B">
            <w:pPr>
              <w:textAlignment w:val="top"/>
            </w:pPr>
            <w:hyperlink r:id="rId435" w:history="1">
              <w:r>
                <w:rPr>
                  <w:rStyle w:val="a5"/>
                  <w:rFonts w:ascii="Times New Roman" w:eastAsia="宋体" w:hAnsi="Times New Roman"/>
                  <w:sz w:val="20"/>
                  <w:szCs w:val="20"/>
                </w:rPr>
                <w:t>Supplemental Indenture No. 5, dated as of March 20, 2019, among Dell International L.L.C, EMC Corporation, the guarantors party thereto and The Bank of New York Mellon Trust Company, N.A., as Trustee and Notes Collateral Agent (inco</w:t>
              </w:r>
              <w:r>
                <w:rPr>
                  <w:rStyle w:val="a5"/>
                  <w:rFonts w:ascii="Times New Roman" w:eastAsia="宋体" w:hAnsi="Times New Roman"/>
                  <w:sz w:val="20"/>
                  <w:szCs w:val="20"/>
                </w:rPr>
                <w:t>rporated by reference to Exhibit 4.11 to the Company’s Current Report on Form 8-K filed with the Commission on March 21, 2019) (Commission File No. 001-37867).</w:t>
              </w:r>
            </w:hyperlink>
          </w:p>
          <w:p w14:paraId="7DD022A5" w14:textId="77777777" w:rsidR="00C1563E" w:rsidRDefault="00C1563E">
            <w:pPr>
              <w:textAlignment w:val="top"/>
            </w:pPr>
          </w:p>
        </w:tc>
      </w:tr>
      <w:tr w:rsidR="00C1563E" w14:paraId="7DD022AA" w14:textId="77777777">
        <w:trPr>
          <w:jc w:val="center"/>
        </w:trPr>
        <w:tc>
          <w:tcPr>
            <w:tcW w:w="0" w:type="auto"/>
            <w:gridSpan w:val="3"/>
            <w:shd w:val="clear" w:color="auto" w:fill="auto"/>
            <w:tcMar>
              <w:top w:w="40" w:type="dxa"/>
              <w:left w:w="20" w:type="dxa"/>
              <w:bottom w:w="40" w:type="dxa"/>
              <w:right w:w="20" w:type="dxa"/>
            </w:tcMar>
          </w:tcPr>
          <w:p w14:paraId="7DD022A7" w14:textId="77777777" w:rsidR="00C1563E" w:rsidRDefault="000B648B">
            <w:pPr>
              <w:jc w:val="right"/>
              <w:textAlignment w:val="top"/>
            </w:pPr>
            <w:hyperlink r:id="rId436" w:history="1">
              <w:r>
                <w:rPr>
                  <w:rStyle w:val="a5"/>
                  <w:rFonts w:ascii="Times New Roman" w:eastAsia="宋体" w:hAnsi="Times New Roman"/>
                  <w:sz w:val="20"/>
                  <w:szCs w:val="20"/>
                </w:rPr>
                <w:t>4.38</w:t>
              </w:r>
            </w:hyperlink>
          </w:p>
        </w:tc>
        <w:tc>
          <w:tcPr>
            <w:tcW w:w="0" w:type="auto"/>
            <w:gridSpan w:val="3"/>
            <w:shd w:val="clear" w:color="auto" w:fill="auto"/>
            <w:tcMar>
              <w:top w:w="0" w:type="dxa"/>
              <w:left w:w="20" w:type="dxa"/>
              <w:bottom w:w="0" w:type="dxa"/>
              <w:right w:w="20" w:type="dxa"/>
            </w:tcMar>
          </w:tcPr>
          <w:p w14:paraId="7DD022A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A9" w14:textId="77777777" w:rsidR="00C1563E" w:rsidRDefault="000B648B">
            <w:pPr>
              <w:textAlignment w:val="top"/>
            </w:pPr>
            <w:hyperlink r:id="rId437" w:history="1">
              <w:r>
                <w:rPr>
                  <w:rStyle w:val="a5"/>
                  <w:rFonts w:ascii="Times New Roman" w:eastAsia="宋体" w:hAnsi="Times New Roman"/>
                  <w:sz w:val="20"/>
                  <w:szCs w:val="20"/>
                </w:rPr>
                <w:t>Joinder Agreement to the Registration Rights Agreement, dated March 20, 2019 (incorporated by reference to Exhibit 4.12 to the Company’s Curre</w:t>
              </w:r>
              <w:r>
                <w:rPr>
                  <w:rStyle w:val="a5"/>
                  <w:rFonts w:ascii="Times New Roman" w:eastAsia="宋体" w:hAnsi="Times New Roman"/>
                  <w:sz w:val="20"/>
                  <w:szCs w:val="20"/>
                </w:rPr>
                <w:t>nt Report on Form 8-K filed with the Commission on March 21, 2019) (Commission File No. 001-37867).</w:t>
              </w:r>
            </w:hyperlink>
          </w:p>
        </w:tc>
      </w:tr>
      <w:tr w:rsidR="00C1563E" w14:paraId="7DD022AE" w14:textId="77777777">
        <w:trPr>
          <w:jc w:val="center"/>
        </w:trPr>
        <w:tc>
          <w:tcPr>
            <w:tcW w:w="0" w:type="auto"/>
            <w:gridSpan w:val="3"/>
            <w:shd w:val="clear" w:color="auto" w:fill="auto"/>
            <w:tcMar>
              <w:top w:w="40" w:type="dxa"/>
              <w:left w:w="20" w:type="dxa"/>
              <w:bottom w:w="40" w:type="dxa"/>
              <w:right w:w="20" w:type="dxa"/>
            </w:tcMar>
          </w:tcPr>
          <w:p w14:paraId="7DD022AB" w14:textId="77777777" w:rsidR="00C1563E" w:rsidRDefault="000B648B">
            <w:pPr>
              <w:jc w:val="right"/>
              <w:textAlignment w:val="top"/>
            </w:pPr>
            <w:hyperlink r:id="rId438" w:history="1">
              <w:r>
                <w:rPr>
                  <w:rStyle w:val="a5"/>
                  <w:rFonts w:ascii="Times New Roman" w:eastAsia="宋体" w:hAnsi="Times New Roman"/>
                  <w:sz w:val="20"/>
                  <w:szCs w:val="20"/>
                </w:rPr>
                <w:t>4.39</w:t>
              </w:r>
            </w:hyperlink>
          </w:p>
        </w:tc>
        <w:tc>
          <w:tcPr>
            <w:tcW w:w="0" w:type="auto"/>
            <w:gridSpan w:val="3"/>
            <w:shd w:val="clear" w:color="auto" w:fill="auto"/>
            <w:tcMar>
              <w:top w:w="0" w:type="dxa"/>
              <w:left w:w="20" w:type="dxa"/>
              <w:bottom w:w="0" w:type="dxa"/>
              <w:right w:w="20" w:type="dxa"/>
            </w:tcMar>
          </w:tcPr>
          <w:p w14:paraId="7DD022A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AD" w14:textId="77777777" w:rsidR="00C1563E" w:rsidRDefault="000B648B">
            <w:pPr>
              <w:textAlignment w:val="top"/>
            </w:pPr>
            <w:hyperlink r:id="rId439" w:history="1">
              <w:r>
                <w:rPr>
                  <w:rStyle w:val="a5"/>
                  <w:rFonts w:ascii="Times New Roman" w:eastAsia="宋体" w:hAnsi="Times New Roman"/>
                  <w:sz w:val="20"/>
                  <w:szCs w:val="20"/>
                </w:rPr>
                <w:t>Second Amended and Restated Registration Rights Agr</w:t>
              </w:r>
              <w:r>
                <w:rPr>
                  <w:rStyle w:val="a5"/>
                  <w:rFonts w:ascii="Times New Roman" w:eastAsia="宋体" w:hAnsi="Times New Roman"/>
                  <w:sz w:val="20"/>
                  <w:szCs w:val="20"/>
                </w:rPr>
                <w:t>eement, dated as of December 25, 2018, by and among the Company, Michael S. Dell, Susan Lieberman Dell Separate Property Trust, MSDC Denali Investors, L.P., MSDC Denali EIV, LLC, Silver Lake Partners III, L.P., Silver Lake Technology Investors III, L.P., S</w:t>
              </w:r>
              <w:r>
                <w:rPr>
                  <w:rStyle w:val="a5"/>
                  <w:rFonts w:ascii="Times New Roman" w:eastAsia="宋体" w:hAnsi="Times New Roman"/>
                  <w:sz w:val="20"/>
                  <w:szCs w:val="20"/>
                </w:rPr>
                <w:t>ilver Lake Partners IV, L.P., Silver Lake Technology Investors IV, L.P., SLP Denali Co-Invest, L.P., Venezio Investments Pte. Ltd. and the Management Stockholders party thereto (incorporated by reference to Exhibit 10.4 to the Company’s Current Report on F</w:t>
              </w:r>
              <w:r>
                <w:rPr>
                  <w:rStyle w:val="a5"/>
                  <w:rFonts w:ascii="Times New Roman" w:eastAsia="宋体" w:hAnsi="Times New Roman"/>
                  <w:sz w:val="20"/>
                  <w:szCs w:val="20"/>
                </w:rPr>
                <w:t>orm 8-K filed with the Commission on December 28, 2018) (Commission File No. 001-37867).</w:t>
              </w:r>
            </w:hyperlink>
          </w:p>
        </w:tc>
      </w:tr>
      <w:tr w:rsidR="00C1563E" w14:paraId="7DD022B2" w14:textId="77777777">
        <w:trPr>
          <w:jc w:val="center"/>
        </w:trPr>
        <w:tc>
          <w:tcPr>
            <w:tcW w:w="0" w:type="auto"/>
            <w:gridSpan w:val="3"/>
            <w:shd w:val="clear" w:color="auto" w:fill="auto"/>
            <w:tcMar>
              <w:top w:w="40" w:type="dxa"/>
              <w:left w:w="20" w:type="dxa"/>
              <w:bottom w:w="40" w:type="dxa"/>
              <w:right w:w="20" w:type="dxa"/>
            </w:tcMar>
          </w:tcPr>
          <w:p w14:paraId="7DD022AF" w14:textId="77777777" w:rsidR="00C1563E" w:rsidRDefault="000B648B">
            <w:pPr>
              <w:jc w:val="right"/>
              <w:textAlignment w:val="top"/>
            </w:pPr>
            <w:hyperlink r:id="rId440" w:history="1">
              <w:r>
                <w:rPr>
                  <w:rStyle w:val="a5"/>
                  <w:rFonts w:ascii="Times New Roman" w:eastAsia="宋体" w:hAnsi="Times New Roman"/>
                  <w:sz w:val="20"/>
                  <w:szCs w:val="20"/>
                </w:rPr>
                <w:t>4.40</w:t>
              </w:r>
            </w:hyperlink>
          </w:p>
        </w:tc>
        <w:tc>
          <w:tcPr>
            <w:tcW w:w="0" w:type="auto"/>
            <w:gridSpan w:val="3"/>
            <w:shd w:val="clear" w:color="auto" w:fill="auto"/>
            <w:tcMar>
              <w:top w:w="0" w:type="dxa"/>
              <w:left w:w="20" w:type="dxa"/>
              <w:bottom w:w="0" w:type="dxa"/>
              <w:right w:w="20" w:type="dxa"/>
            </w:tcMar>
          </w:tcPr>
          <w:p w14:paraId="7DD022B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B1" w14:textId="77777777" w:rsidR="00C1563E" w:rsidRDefault="000B648B">
            <w:pPr>
              <w:textAlignment w:val="top"/>
            </w:pPr>
            <w:hyperlink r:id="rId441" w:history="1">
              <w:r>
                <w:rPr>
                  <w:rStyle w:val="a5"/>
                  <w:rFonts w:ascii="Times New Roman" w:eastAsia="宋体" w:hAnsi="Times New Roman"/>
                  <w:sz w:val="20"/>
                  <w:szCs w:val="20"/>
                </w:rPr>
                <w:t>Amendment No. 1 to Second Amended and Restated Registration Rights Agreement, dated as of May 27, 2019, among Dell Technologies Inc., Michael S. Dell, Susan Lieberman Dell Separate Property Trust, MSDC Denali Inv</w:t>
              </w:r>
              <w:r>
                <w:rPr>
                  <w:rStyle w:val="a5"/>
                  <w:rFonts w:ascii="Times New Roman" w:eastAsia="宋体" w:hAnsi="Times New Roman"/>
                  <w:sz w:val="20"/>
                  <w:szCs w:val="20"/>
                </w:rPr>
                <w:t>estors, L.P., MSDC Denali EIV, LLC, SL SPV-2, L.P., Silver Lake Partners IV, L.P., Silver Lake Technology Investors IV, L.P., Silver Lake Partners V DE (AIV), L.P., Silver Lake Technology Investors V, L.P., SLP Denali Co-Invest, L.P. and Venezio Investment</w:t>
              </w:r>
              <w:r>
                <w:rPr>
                  <w:rStyle w:val="a5"/>
                  <w:rFonts w:ascii="Times New Roman" w:eastAsia="宋体" w:hAnsi="Times New Roman"/>
                  <w:sz w:val="20"/>
                  <w:szCs w:val="20"/>
                </w:rPr>
                <w:t>s Pte. Ltd.</w:t>
              </w:r>
            </w:hyperlink>
            <w:hyperlink r:id="rId442" w:history="1">
              <w:r>
                <w:rPr>
                  <w:rStyle w:val="a5"/>
                  <w:rFonts w:ascii="Times New Roman" w:eastAsia="宋体" w:hAnsi="Times New Roman"/>
                  <w:sz w:val="20"/>
                  <w:szCs w:val="20"/>
                </w:rPr>
                <w:t xml:space="preserve"> (incorporated by reference to Exhibit 4.40 to the Company’s Annual Report on Form 10-K for the fiscal year ended January 31, 2020) (Commission</w:t>
              </w:r>
              <w:r>
                <w:rPr>
                  <w:rStyle w:val="a5"/>
                  <w:rFonts w:ascii="Times New Roman" w:eastAsia="宋体" w:hAnsi="Times New Roman"/>
                  <w:sz w:val="20"/>
                  <w:szCs w:val="20"/>
                </w:rPr>
                <w:t xml:space="preserve"> File No. 001-37867).</w:t>
              </w:r>
            </w:hyperlink>
          </w:p>
        </w:tc>
      </w:tr>
      <w:tr w:rsidR="00C1563E" w14:paraId="7DD022B6" w14:textId="77777777">
        <w:trPr>
          <w:jc w:val="center"/>
        </w:trPr>
        <w:tc>
          <w:tcPr>
            <w:tcW w:w="0" w:type="auto"/>
            <w:gridSpan w:val="3"/>
            <w:shd w:val="clear" w:color="auto" w:fill="auto"/>
            <w:tcMar>
              <w:top w:w="40" w:type="dxa"/>
              <w:left w:w="20" w:type="dxa"/>
              <w:bottom w:w="40" w:type="dxa"/>
              <w:right w:w="20" w:type="dxa"/>
            </w:tcMar>
          </w:tcPr>
          <w:p w14:paraId="7DD022B3" w14:textId="77777777" w:rsidR="00C1563E" w:rsidRDefault="000B648B">
            <w:pPr>
              <w:jc w:val="right"/>
              <w:textAlignment w:val="top"/>
            </w:pPr>
            <w:hyperlink r:id="rId443" w:history="1">
              <w:r>
                <w:rPr>
                  <w:rStyle w:val="a5"/>
                  <w:rFonts w:ascii="Times New Roman" w:eastAsia="宋体" w:hAnsi="Times New Roman"/>
                  <w:sz w:val="20"/>
                  <w:szCs w:val="20"/>
                </w:rPr>
                <w:t>4.41</w:t>
              </w:r>
            </w:hyperlink>
          </w:p>
        </w:tc>
        <w:tc>
          <w:tcPr>
            <w:tcW w:w="0" w:type="auto"/>
            <w:gridSpan w:val="3"/>
            <w:shd w:val="clear" w:color="auto" w:fill="auto"/>
            <w:tcMar>
              <w:top w:w="0" w:type="dxa"/>
              <w:left w:w="20" w:type="dxa"/>
              <w:bottom w:w="0" w:type="dxa"/>
              <w:right w:w="20" w:type="dxa"/>
            </w:tcMar>
          </w:tcPr>
          <w:p w14:paraId="7DD022B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B5" w14:textId="77777777" w:rsidR="00C1563E" w:rsidRDefault="000B648B">
            <w:pPr>
              <w:textAlignment w:val="top"/>
            </w:pPr>
            <w:hyperlink r:id="rId444" w:history="1">
              <w:r>
                <w:rPr>
                  <w:rStyle w:val="a5"/>
                  <w:rFonts w:ascii="Times New Roman" w:eastAsia="宋体" w:hAnsi="Times New Roman"/>
                  <w:sz w:val="20"/>
                  <w:szCs w:val="20"/>
                </w:rPr>
                <w:t>Description of Common S</w:t>
              </w:r>
              <w:r>
                <w:rPr>
                  <w:rStyle w:val="a5"/>
                  <w:rFonts w:ascii="Times New Roman" w:eastAsia="宋体" w:hAnsi="Times New Roman"/>
                  <w:sz w:val="20"/>
                  <w:szCs w:val="20"/>
                </w:rPr>
                <w:t>tock</w:t>
              </w:r>
            </w:hyperlink>
            <w:hyperlink r:id="rId445" w:history="1">
              <w:r>
                <w:rPr>
                  <w:rStyle w:val="a5"/>
                  <w:rFonts w:ascii="Times New Roman" w:eastAsia="宋体" w:hAnsi="Times New Roman"/>
                  <w:sz w:val="20"/>
                  <w:szCs w:val="20"/>
                </w:rPr>
                <w:t xml:space="preserve"> (incorporated by reference to Exhibit 4.41 to the Company’s Annual Report on Form 10-K for the fiscal year ended January 31, 2020) (Commission File N</w:t>
              </w:r>
              <w:r>
                <w:rPr>
                  <w:rStyle w:val="a5"/>
                  <w:rFonts w:ascii="Times New Roman" w:eastAsia="宋体" w:hAnsi="Times New Roman"/>
                  <w:sz w:val="20"/>
                  <w:szCs w:val="20"/>
                </w:rPr>
                <w:t>o. 001-37867).</w:t>
              </w:r>
            </w:hyperlink>
          </w:p>
        </w:tc>
      </w:tr>
    </w:tbl>
    <w:p w14:paraId="7DD022B7" w14:textId="77777777" w:rsidR="00C1563E" w:rsidRDefault="00C1563E">
      <w:pPr>
        <w:jc w:val="center"/>
      </w:pPr>
    </w:p>
    <w:p w14:paraId="7DD022B8" w14:textId="77777777" w:rsidR="00C1563E" w:rsidRDefault="000B648B">
      <w:pPr>
        <w:jc w:val="center"/>
      </w:pPr>
      <w:r>
        <w:rPr>
          <w:rFonts w:ascii="Times New Roman" w:eastAsia="宋体" w:hAnsi="Times New Roman"/>
          <w:color w:val="000000"/>
          <w:sz w:val="20"/>
          <w:szCs w:val="20"/>
        </w:rPr>
        <w:t>175</w:t>
      </w:r>
    </w:p>
    <w:p w14:paraId="7DD022B9" w14:textId="77777777" w:rsidR="00C1563E" w:rsidRDefault="00C1563E">
      <w:pPr>
        <w:jc w:val="center"/>
      </w:pPr>
    </w:p>
    <w:p w14:paraId="7DD022BA" w14:textId="77777777" w:rsidR="00C1563E" w:rsidRDefault="000B648B">
      <w:r>
        <w:pict w14:anchorId="7DD02619">
          <v:rect id="_x0000_i1199" style="width:415.3pt;height:1.5pt" o:hralign="center" o:hrstd="t" o:hr="t" fillcolor="#a0a0a0" stroked="f"/>
        </w:pict>
      </w:r>
    </w:p>
    <w:p w14:paraId="7DD022BB" w14:textId="77777777" w:rsidR="00C1563E" w:rsidRDefault="000B648B">
      <w:hyperlink r:id="rId446"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4"/>
        <w:gridCol w:w="37"/>
      </w:tblGrid>
      <w:tr w:rsidR="00C1563E" w14:paraId="7DD022C5" w14:textId="77777777">
        <w:trPr>
          <w:jc w:val="center"/>
        </w:trPr>
        <w:tc>
          <w:tcPr>
            <w:tcW w:w="50" w:type="pct"/>
            <w:shd w:val="clear" w:color="auto" w:fill="auto"/>
          </w:tcPr>
          <w:p w14:paraId="7DD022BC" w14:textId="77777777" w:rsidR="00C1563E" w:rsidRDefault="00C1563E">
            <w:pPr>
              <w:rPr>
                <w:rFonts w:ascii="宋体"/>
              </w:rPr>
            </w:pPr>
          </w:p>
        </w:tc>
        <w:tc>
          <w:tcPr>
            <w:tcW w:w="595" w:type="pct"/>
            <w:shd w:val="clear" w:color="auto" w:fill="auto"/>
          </w:tcPr>
          <w:p w14:paraId="7DD022BD" w14:textId="77777777" w:rsidR="00C1563E" w:rsidRDefault="00C1563E">
            <w:pPr>
              <w:rPr>
                <w:rFonts w:ascii="宋体"/>
              </w:rPr>
            </w:pPr>
          </w:p>
        </w:tc>
        <w:tc>
          <w:tcPr>
            <w:tcW w:w="5" w:type="pct"/>
            <w:shd w:val="clear" w:color="auto" w:fill="auto"/>
          </w:tcPr>
          <w:p w14:paraId="7DD022BE" w14:textId="77777777" w:rsidR="00C1563E" w:rsidRDefault="00C1563E">
            <w:pPr>
              <w:rPr>
                <w:rFonts w:ascii="宋体"/>
              </w:rPr>
            </w:pPr>
          </w:p>
        </w:tc>
        <w:tc>
          <w:tcPr>
            <w:tcW w:w="5" w:type="pct"/>
            <w:shd w:val="clear" w:color="auto" w:fill="auto"/>
          </w:tcPr>
          <w:p w14:paraId="7DD022BF" w14:textId="77777777" w:rsidR="00C1563E" w:rsidRDefault="00C1563E">
            <w:pPr>
              <w:rPr>
                <w:rFonts w:ascii="宋体"/>
              </w:rPr>
            </w:pPr>
          </w:p>
        </w:tc>
        <w:tc>
          <w:tcPr>
            <w:tcW w:w="19" w:type="pct"/>
            <w:shd w:val="clear" w:color="auto" w:fill="auto"/>
          </w:tcPr>
          <w:p w14:paraId="7DD022C0" w14:textId="77777777" w:rsidR="00C1563E" w:rsidRDefault="00C1563E">
            <w:pPr>
              <w:rPr>
                <w:rFonts w:ascii="宋体"/>
              </w:rPr>
            </w:pPr>
          </w:p>
        </w:tc>
        <w:tc>
          <w:tcPr>
            <w:tcW w:w="5" w:type="pct"/>
            <w:shd w:val="clear" w:color="auto" w:fill="auto"/>
          </w:tcPr>
          <w:p w14:paraId="7DD022C1" w14:textId="77777777" w:rsidR="00C1563E" w:rsidRDefault="00C1563E">
            <w:pPr>
              <w:rPr>
                <w:rFonts w:ascii="宋体"/>
              </w:rPr>
            </w:pPr>
          </w:p>
        </w:tc>
        <w:tc>
          <w:tcPr>
            <w:tcW w:w="50" w:type="pct"/>
            <w:shd w:val="clear" w:color="auto" w:fill="auto"/>
          </w:tcPr>
          <w:p w14:paraId="7DD022C2" w14:textId="77777777" w:rsidR="00C1563E" w:rsidRDefault="00C1563E">
            <w:pPr>
              <w:rPr>
                <w:rFonts w:ascii="宋体"/>
              </w:rPr>
            </w:pPr>
          </w:p>
        </w:tc>
        <w:tc>
          <w:tcPr>
            <w:tcW w:w="4265" w:type="pct"/>
            <w:shd w:val="clear" w:color="auto" w:fill="auto"/>
          </w:tcPr>
          <w:p w14:paraId="7DD022C3" w14:textId="77777777" w:rsidR="00C1563E" w:rsidRDefault="00C1563E">
            <w:pPr>
              <w:rPr>
                <w:rFonts w:ascii="宋体"/>
              </w:rPr>
            </w:pPr>
          </w:p>
        </w:tc>
        <w:tc>
          <w:tcPr>
            <w:tcW w:w="5" w:type="pct"/>
            <w:shd w:val="clear" w:color="auto" w:fill="auto"/>
          </w:tcPr>
          <w:p w14:paraId="7DD022C4" w14:textId="77777777" w:rsidR="00C1563E" w:rsidRDefault="00C1563E">
            <w:pPr>
              <w:rPr>
                <w:rFonts w:ascii="宋体"/>
              </w:rPr>
            </w:pPr>
          </w:p>
        </w:tc>
      </w:tr>
      <w:tr w:rsidR="00C1563E" w14:paraId="7DD022C9" w14:textId="77777777">
        <w:trPr>
          <w:jc w:val="center"/>
        </w:trPr>
        <w:tc>
          <w:tcPr>
            <w:tcW w:w="0" w:type="auto"/>
            <w:gridSpan w:val="3"/>
            <w:shd w:val="clear" w:color="auto" w:fill="auto"/>
            <w:tcMar>
              <w:top w:w="40" w:type="dxa"/>
              <w:left w:w="20" w:type="dxa"/>
              <w:bottom w:w="40" w:type="dxa"/>
              <w:right w:w="20" w:type="dxa"/>
            </w:tcMar>
          </w:tcPr>
          <w:p w14:paraId="7DD022C6" w14:textId="77777777" w:rsidR="00C1563E" w:rsidRDefault="000B648B">
            <w:pPr>
              <w:jc w:val="right"/>
              <w:textAlignment w:val="top"/>
            </w:pPr>
            <w:hyperlink r:id="rId447" w:history="1">
              <w:r>
                <w:rPr>
                  <w:rStyle w:val="a5"/>
                  <w:rFonts w:ascii="Times New Roman" w:eastAsia="宋体" w:hAnsi="Times New Roman"/>
                  <w:sz w:val="20"/>
                  <w:szCs w:val="20"/>
                </w:rPr>
                <w:t>4.42</w:t>
              </w:r>
            </w:hyperlink>
          </w:p>
        </w:tc>
        <w:tc>
          <w:tcPr>
            <w:tcW w:w="0" w:type="auto"/>
            <w:gridSpan w:val="3"/>
            <w:shd w:val="clear" w:color="auto" w:fill="auto"/>
            <w:tcMar>
              <w:top w:w="0" w:type="dxa"/>
              <w:left w:w="20" w:type="dxa"/>
              <w:bottom w:w="0" w:type="dxa"/>
              <w:right w:w="20" w:type="dxa"/>
            </w:tcMar>
          </w:tcPr>
          <w:p w14:paraId="7DD022C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C8" w14:textId="77777777" w:rsidR="00C1563E" w:rsidRDefault="000B648B">
            <w:pPr>
              <w:textAlignment w:val="top"/>
            </w:pPr>
            <w:hyperlink r:id="rId448" w:history="1">
              <w:r>
                <w:rPr>
                  <w:rStyle w:val="a5"/>
                  <w:rFonts w:ascii="Times New Roman" w:eastAsia="宋体" w:hAnsi="Times New Roman"/>
                  <w:sz w:val="20"/>
                  <w:szCs w:val="20"/>
                </w:rPr>
                <w:t>Base Indenture, dated as of April 9, 2020, among Dell</w:t>
              </w:r>
              <w:r>
                <w:rPr>
                  <w:rStyle w:val="a5"/>
                  <w:rFonts w:ascii="Times New Roman" w:eastAsia="宋体" w:hAnsi="Times New Roman"/>
                  <w:sz w:val="20"/>
                  <w:szCs w:val="20"/>
                </w:rPr>
                <w:t xml:space="preserve"> International L.L.C., EMC Corporation, the guarantors party thereto and The Bank of New York Mellon Trust Company, N.A., as Trustee and Notes Collateral Agent </w:t>
              </w:r>
            </w:hyperlink>
            <w:hyperlink r:id="rId449" w:history="1">
              <w:r>
                <w:rPr>
                  <w:rStyle w:val="a5"/>
                  <w:rFonts w:ascii="Times New Roman" w:eastAsia="宋体" w:hAnsi="Times New Roman"/>
                  <w:sz w:val="20"/>
                  <w:szCs w:val="20"/>
                </w:rPr>
                <w:t xml:space="preserve">(incorporated by reference to Exhibit 4.1 to the Company’s </w:t>
              </w:r>
            </w:hyperlink>
            <w:hyperlink r:id="rId450" w:history="1">
              <w:r>
                <w:rPr>
                  <w:rStyle w:val="a5"/>
                  <w:rFonts w:ascii="Times New Roman" w:eastAsia="宋体" w:hAnsi="Times New Roman"/>
                  <w:sz w:val="20"/>
                  <w:szCs w:val="20"/>
                </w:rPr>
                <w:t>Current</w:t>
              </w:r>
            </w:hyperlink>
            <w:hyperlink r:id="rId451" w:history="1">
              <w:r>
                <w:rPr>
                  <w:rStyle w:val="a5"/>
                  <w:rFonts w:ascii="Times New Roman" w:eastAsia="宋体" w:hAnsi="Times New Roman"/>
                  <w:sz w:val="20"/>
                  <w:szCs w:val="20"/>
                </w:rPr>
                <w:t xml:space="preserve"> Report on Form </w:t>
              </w:r>
            </w:hyperlink>
            <w:hyperlink r:id="rId452" w:history="1">
              <w:r>
                <w:rPr>
                  <w:rStyle w:val="a5"/>
                  <w:rFonts w:ascii="Times New Roman" w:eastAsia="宋体" w:hAnsi="Times New Roman"/>
                  <w:sz w:val="20"/>
                  <w:szCs w:val="20"/>
                </w:rPr>
                <w:t>8-K filed with the Co</w:t>
              </w:r>
            </w:hyperlink>
            <w:hyperlink r:id="rId453" w:history="1">
              <w:r>
                <w:rPr>
                  <w:rStyle w:val="a5"/>
                  <w:rFonts w:ascii="Times New Roman" w:eastAsia="宋体" w:hAnsi="Times New Roman"/>
                  <w:sz w:val="20"/>
                  <w:szCs w:val="20"/>
                </w:rPr>
                <w:t>mmiss</w:t>
              </w:r>
              <w:r>
                <w:rPr>
                  <w:rStyle w:val="a5"/>
                  <w:rFonts w:ascii="Times New Roman" w:eastAsia="宋体" w:hAnsi="Times New Roman"/>
                  <w:sz w:val="20"/>
                  <w:szCs w:val="20"/>
                </w:rPr>
                <w:t>ion on April 9, 2020</w:t>
              </w:r>
            </w:hyperlink>
            <w:hyperlink r:id="rId454" w:history="1">
              <w:r>
                <w:rPr>
                  <w:rStyle w:val="a5"/>
                  <w:rFonts w:ascii="Times New Roman" w:eastAsia="宋体" w:hAnsi="Times New Roman"/>
                  <w:sz w:val="20"/>
                  <w:szCs w:val="20"/>
                </w:rPr>
                <w:t>) (Commission File No. 001-37867).</w:t>
              </w:r>
            </w:hyperlink>
          </w:p>
        </w:tc>
      </w:tr>
      <w:tr w:rsidR="00C1563E" w14:paraId="7DD022CD" w14:textId="77777777">
        <w:trPr>
          <w:jc w:val="center"/>
        </w:trPr>
        <w:tc>
          <w:tcPr>
            <w:tcW w:w="0" w:type="auto"/>
            <w:gridSpan w:val="3"/>
            <w:shd w:val="clear" w:color="auto" w:fill="auto"/>
            <w:tcMar>
              <w:top w:w="40" w:type="dxa"/>
              <w:left w:w="20" w:type="dxa"/>
              <w:bottom w:w="40" w:type="dxa"/>
              <w:right w:w="20" w:type="dxa"/>
            </w:tcMar>
          </w:tcPr>
          <w:p w14:paraId="7DD022CA" w14:textId="77777777" w:rsidR="00C1563E" w:rsidRDefault="000B648B">
            <w:pPr>
              <w:jc w:val="right"/>
              <w:textAlignment w:val="top"/>
            </w:pPr>
            <w:hyperlink r:id="rId455" w:history="1">
              <w:r>
                <w:rPr>
                  <w:rStyle w:val="a5"/>
                  <w:rFonts w:ascii="Times New Roman" w:eastAsia="宋体" w:hAnsi="Times New Roman"/>
                  <w:sz w:val="20"/>
                  <w:szCs w:val="20"/>
                </w:rPr>
                <w:t>4.43</w:t>
              </w:r>
            </w:hyperlink>
          </w:p>
        </w:tc>
        <w:tc>
          <w:tcPr>
            <w:tcW w:w="0" w:type="auto"/>
            <w:gridSpan w:val="3"/>
            <w:shd w:val="clear" w:color="auto" w:fill="auto"/>
            <w:tcMar>
              <w:top w:w="0" w:type="dxa"/>
              <w:left w:w="20" w:type="dxa"/>
              <w:bottom w:w="0" w:type="dxa"/>
              <w:right w:w="20" w:type="dxa"/>
            </w:tcMar>
          </w:tcPr>
          <w:p w14:paraId="7DD022C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CC" w14:textId="77777777" w:rsidR="00C1563E" w:rsidRDefault="000B648B">
            <w:pPr>
              <w:textAlignment w:val="top"/>
            </w:pPr>
            <w:hyperlink r:id="rId456" w:history="1">
              <w:r>
                <w:rPr>
                  <w:rStyle w:val="a5"/>
                  <w:rFonts w:ascii="Times New Roman" w:eastAsia="宋体" w:hAnsi="Times New Roman"/>
                  <w:sz w:val="20"/>
                  <w:szCs w:val="20"/>
                </w:rPr>
                <w:t xml:space="preserve">2025 Notes Supplemental Indenture No. 1, dated as of </w:t>
              </w:r>
              <w:r>
                <w:rPr>
                  <w:rStyle w:val="a5"/>
                  <w:rFonts w:ascii="Times New Roman" w:eastAsia="宋体" w:hAnsi="Times New Roman"/>
                  <w:sz w:val="20"/>
                  <w:szCs w:val="20"/>
                </w:rPr>
                <w:t xml:space="preserve">April 9, 2020, among Dell International L.L.C., EMC Corporation, the guarantors party thereto and The Bank of New York Mellon Trust Company, N.A., as Trustee and Notes Collateral Agent </w:t>
              </w:r>
            </w:hyperlink>
            <w:hyperlink r:id="rId457" w:history="1">
              <w:r>
                <w:rPr>
                  <w:rStyle w:val="a5"/>
                  <w:rFonts w:ascii="Times New Roman" w:eastAsia="宋体" w:hAnsi="Times New Roman"/>
                  <w:sz w:val="20"/>
                  <w:szCs w:val="20"/>
                </w:rPr>
                <w:t xml:space="preserve">(incorporated by reference to Exhibit 4.2 to the Company’s </w:t>
              </w:r>
            </w:hyperlink>
            <w:hyperlink r:id="rId458" w:history="1">
              <w:r>
                <w:rPr>
                  <w:rStyle w:val="a5"/>
                  <w:rFonts w:ascii="Times New Roman" w:eastAsia="宋体" w:hAnsi="Times New Roman"/>
                  <w:sz w:val="20"/>
                  <w:szCs w:val="20"/>
                </w:rPr>
                <w:t>Current</w:t>
              </w:r>
            </w:hyperlink>
            <w:hyperlink r:id="rId459" w:history="1">
              <w:r>
                <w:rPr>
                  <w:rStyle w:val="a5"/>
                  <w:rFonts w:ascii="Times New Roman" w:eastAsia="宋体" w:hAnsi="Times New Roman"/>
                  <w:sz w:val="20"/>
                  <w:szCs w:val="20"/>
                </w:rPr>
                <w:t xml:space="preserve"> Report on Form </w:t>
              </w:r>
            </w:hyperlink>
            <w:hyperlink r:id="rId460" w:history="1">
              <w:r>
                <w:rPr>
                  <w:rStyle w:val="a5"/>
                  <w:rFonts w:ascii="Times New Roman" w:eastAsia="宋体" w:hAnsi="Times New Roman"/>
                  <w:sz w:val="20"/>
                  <w:szCs w:val="20"/>
                </w:rPr>
                <w:t>8-K filed with the Commission on April 9, 2020</w:t>
              </w:r>
            </w:hyperlink>
            <w:hyperlink r:id="rId461" w:history="1">
              <w:r>
                <w:rPr>
                  <w:rStyle w:val="a5"/>
                  <w:rFonts w:ascii="Times New Roman" w:eastAsia="宋体" w:hAnsi="Times New Roman"/>
                  <w:sz w:val="20"/>
                  <w:szCs w:val="20"/>
                </w:rPr>
                <w:t>) (Commission File No. 001-37867).</w:t>
              </w:r>
            </w:hyperlink>
          </w:p>
        </w:tc>
      </w:tr>
      <w:tr w:rsidR="00C1563E" w14:paraId="7DD022D1" w14:textId="77777777">
        <w:trPr>
          <w:jc w:val="center"/>
        </w:trPr>
        <w:tc>
          <w:tcPr>
            <w:tcW w:w="0" w:type="auto"/>
            <w:gridSpan w:val="3"/>
            <w:shd w:val="clear" w:color="auto" w:fill="auto"/>
            <w:tcMar>
              <w:top w:w="40" w:type="dxa"/>
              <w:left w:w="20" w:type="dxa"/>
              <w:bottom w:w="40" w:type="dxa"/>
              <w:right w:w="20" w:type="dxa"/>
            </w:tcMar>
          </w:tcPr>
          <w:p w14:paraId="7DD022CE" w14:textId="77777777" w:rsidR="00C1563E" w:rsidRDefault="000B648B">
            <w:pPr>
              <w:jc w:val="right"/>
              <w:textAlignment w:val="top"/>
            </w:pPr>
            <w:hyperlink r:id="rId462" w:history="1">
              <w:r>
                <w:rPr>
                  <w:rStyle w:val="a5"/>
                  <w:rFonts w:ascii="Times New Roman" w:eastAsia="宋体" w:hAnsi="Times New Roman"/>
                  <w:sz w:val="20"/>
                  <w:szCs w:val="20"/>
                </w:rPr>
                <w:t>4.44</w:t>
              </w:r>
            </w:hyperlink>
          </w:p>
        </w:tc>
        <w:tc>
          <w:tcPr>
            <w:tcW w:w="0" w:type="auto"/>
            <w:gridSpan w:val="3"/>
            <w:shd w:val="clear" w:color="auto" w:fill="auto"/>
            <w:tcMar>
              <w:top w:w="0" w:type="dxa"/>
              <w:left w:w="20" w:type="dxa"/>
              <w:bottom w:w="0" w:type="dxa"/>
              <w:right w:w="20" w:type="dxa"/>
            </w:tcMar>
          </w:tcPr>
          <w:p w14:paraId="7DD022C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D0" w14:textId="77777777" w:rsidR="00C1563E" w:rsidRDefault="000B648B">
            <w:pPr>
              <w:textAlignment w:val="top"/>
            </w:pPr>
            <w:hyperlink r:id="rId463" w:history="1">
              <w:r>
                <w:rPr>
                  <w:rStyle w:val="a5"/>
                  <w:rFonts w:ascii="Times New Roman" w:eastAsia="宋体" w:hAnsi="Times New Roman"/>
                  <w:sz w:val="20"/>
                  <w:szCs w:val="20"/>
                </w:rPr>
                <w:t>2027 Notes Supplemental Indenture No. 1, dated as of April 9, 2020, among Dell International L.L.C., EMC Corporation, the guarantors party thereto and The Bank</w:t>
              </w:r>
              <w:r>
                <w:rPr>
                  <w:rStyle w:val="a5"/>
                  <w:rFonts w:ascii="Times New Roman" w:eastAsia="宋体" w:hAnsi="Times New Roman"/>
                  <w:sz w:val="20"/>
                  <w:szCs w:val="20"/>
                </w:rPr>
                <w:t xml:space="preserve"> of New York Mellon Trust Company, N.A., as Trustee and Notes Collateral Agent </w:t>
              </w:r>
            </w:hyperlink>
            <w:hyperlink r:id="rId464" w:history="1">
              <w:r>
                <w:rPr>
                  <w:rStyle w:val="a5"/>
                  <w:rFonts w:ascii="Times New Roman" w:eastAsia="宋体" w:hAnsi="Times New Roman"/>
                  <w:sz w:val="20"/>
                  <w:szCs w:val="20"/>
                </w:rPr>
                <w:t xml:space="preserve">(incorporated by reference to Exhibit 4.3 to the Company’s </w:t>
              </w:r>
            </w:hyperlink>
            <w:hyperlink r:id="rId465" w:history="1">
              <w:r>
                <w:rPr>
                  <w:rStyle w:val="a5"/>
                  <w:rFonts w:ascii="Times New Roman" w:eastAsia="宋体" w:hAnsi="Times New Roman"/>
                  <w:sz w:val="20"/>
                  <w:szCs w:val="20"/>
                </w:rPr>
                <w:t>Current</w:t>
              </w:r>
            </w:hyperlink>
            <w:hyperlink r:id="rId466" w:history="1">
              <w:r>
                <w:rPr>
                  <w:rStyle w:val="a5"/>
                  <w:rFonts w:ascii="Times New Roman" w:eastAsia="宋体" w:hAnsi="Times New Roman"/>
                  <w:sz w:val="20"/>
                  <w:szCs w:val="20"/>
                </w:rPr>
                <w:t xml:space="preserve"> Report on Form </w:t>
              </w:r>
            </w:hyperlink>
            <w:hyperlink r:id="rId467" w:history="1">
              <w:r>
                <w:rPr>
                  <w:rStyle w:val="a5"/>
                  <w:rFonts w:ascii="Times New Roman" w:eastAsia="宋体" w:hAnsi="Times New Roman"/>
                  <w:sz w:val="20"/>
                  <w:szCs w:val="20"/>
                </w:rPr>
                <w:t>8-K filed with the Commission on April 9, 2020</w:t>
              </w:r>
            </w:hyperlink>
            <w:hyperlink r:id="rId468" w:history="1">
              <w:r>
                <w:rPr>
                  <w:rStyle w:val="a5"/>
                  <w:rFonts w:ascii="Times New Roman" w:eastAsia="宋体" w:hAnsi="Times New Roman"/>
                  <w:sz w:val="20"/>
                  <w:szCs w:val="20"/>
                </w:rPr>
                <w:t>) (Commission File No. 001-37867).</w:t>
              </w:r>
            </w:hyperlink>
          </w:p>
        </w:tc>
      </w:tr>
      <w:tr w:rsidR="00C1563E" w14:paraId="7DD022D5" w14:textId="77777777">
        <w:trPr>
          <w:jc w:val="center"/>
        </w:trPr>
        <w:tc>
          <w:tcPr>
            <w:tcW w:w="0" w:type="auto"/>
            <w:gridSpan w:val="3"/>
            <w:shd w:val="clear" w:color="auto" w:fill="auto"/>
            <w:tcMar>
              <w:top w:w="40" w:type="dxa"/>
              <w:left w:w="20" w:type="dxa"/>
              <w:bottom w:w="40" w:type="dxa"/>
              <w:right w:w="20" w:type="dxa"/>
            </w:tcMar>
          </w:tcPr>
          <w:p w14:paraId="7DD022D2" w14:textId="77777777" w:rsidR="00C1563E" w:rsidRDefault="000B648B">
            <w:pPr>
              <w:jc w:val="right"/>
              <w:textAlignment w:val="top"/>
            </w:pPr>
            <w:hyperlink r:id="rId469" w:history="1">
              <w:r>
                <w:rPr>
                  <w:rStyle w:val="a5"/>
                  <w:rFonts w:ascii="Times New Roman" w:eastAsia="宋体" w:hAnsi="Times New Roman"/>
                  <w:sz w:val="20"/>
                  <w:szCs w:val="20"/>
                </w:rPr>
                <w:t>4.45</w:t>
              </w:r>
            </w:hyperlink>
          </w:p>
        </w:tc>
        <w:tc>
          <w:tcPr>
            <w:tcW w:w="0" w:type="auto"/>
            <w:gridSpan w:val="3"/>
            <w:shd w:val="clear" w:color="auto" w:fill="auto"/>
            <w:tcMar>
              <w:top w:w="0" w:type="dxa"/>
              <w:left w:w="20" w:type="dxa"/>
              <w:bottom w:w="0" w:type="dxa"/>
              <w:right w:w="20" w:type="dxa"/>
            </w:tcMar>
          </w:tcPr>
          <w:p w14:paraId="7DD022D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D4" w14:textId="77777777" w:rsidR="00C1563E" w:rsidRDefault="000B648B">
            <w:pPr>
              <w:textAlignment w:val="top"/>
            </w:pPr>
            <w:hyperlink r:id="rId470" w:history="1">
              <w:r>
                <w:rPr>
                  <w:rStyle w:val="a5"/>
                  <w:rFonts w:ascii="Times New Roman" w:eastAsia="宋体" w:hAnsi="Times New Roman"/>
                  <w:sz w:val="20"/>
                  <w:szCs w:val="20"/>
                </w:rPr>
                <w:t>2030 Notes Supplemental Indenture No. 1, dated as of April 9, 2020, among D</w:t>
              </w:r>
              <w:r>
                <w:rPr>
                  <w:rStyle w:val="a5"/>
                  <w:rFonts w:ascii="Times New Roman" w:eastAsia="宋体" w:hAnsi="Times New Roman"/>
                  <w:sz w:val="20"/>
                  <w:szCs w:val="20"/>
                </w:rPr>
                <w:t xml:space="preserve">ell International L.L.C., EMC Corporation, the guarantors party thereto and The Bank of New York Mellon Trust Company, N.A., as Trustee and Notes Collateral Agent </w:t>
              </w:r>
            </w:hyperlink>
            <w:hyperlink r:id="rId471" w:history="1">
              <w:r>
                <w:rPr>
                  <w:rStyle w:val="a5"/>
                  <w:rFonts w:ascii="Times New Roman" w:eastAsia="宋体" w:hAnsi="Times New Roman"/>
                  <w:sz w:val="20"/>
                  <w:szCs w:val="20"/>
                </w:rPr>
                <w:t xml:space="preserve">(incorporated by reference to Exhibit 4.4 to the Company’s </w:t>
              </w:r>
            </w:hyperlink>
            <w:hyperlink r:id="rId472" w:history="1">
              <w:r>
                <w:rPr>
                  <w:rStyle w:val="a5"/>
                  <w:rFonts w:ascii="Times New Roman" w:eastAsia="宋体" w:hAnsi="Times New Roman"/>
                  <w:sz w:val="20"/>
                  <w:szCs w:val="20"/>
                </w:rPr>
                <w:t>Current</w:t>
              </w:r>
            </w:hyperlink>
            <w:hyperlink r:id="rId473" w:history="1">
              <w:r>
                <w:rPr>
                  <w:rStyle w:val="a5"/>
                  <w:rFonts w:ascii="Times New Roman" w:eastAsia="宋体" w:hAnsi="Times New Roman"/>
                  <w:sz w:val="20"/>
                  <w:szCs w:val="20"/>
                </w:rPr>
                <w:t xml:space="preserve"> Report on Form </w:t>
              </w:r>
            </w:hyperlink>
            <w:hyperlink r:id="rId474" w:history="1">
              <w:r>
                <w:rPr>
                  <w:rStyle w:val="a5"/>
                  <w:rFonts w:ascii="Times New Roman" w:eastAsia="宋体" w:hAnsi="Times New Roman"/>
                  <w:sz w:val="20"/>
                  <w:szCs w:val="20"/>
                </w:rPr>
                <w:t>8-K filed with the Commission on April 9, 2020</w:t>
              </w:r>
            </w:hyperlink>
            <w:hyperlink r:id="rId475" w:history="1">
              <w:r>
                <w:rPr>
                  <w:rStyle w:val="a5"/>
                  <w:rFonts w:ascii="Times New Roman" w:eastAsia="宋体" w:hAnsi="Times New Roman"/>
                  <w:sz w:val="20"/>
                  <w:szCs w:val="20"/>
                </w:rPr>
                <w:t>) (Commission File No. 001-37867).</w:t>
              </w:r>
            </w:hyperlink>
          </w:p>
        </w:tc>
      </w:tr>
      <w:tr w:rsidR="00C1563E" w14:paraId="7DD022D9" w14:textId="77777777">
        <w:trPr>
          <w:jc w:val="center"/>
        </w:trPr>
        <w:tc>
          <w:tcPr>
            <w:tcW w:w="0" w:type="auto"/>
            <w:gridSpan w:val="3"/>
            <w:shd w:val="clear" w:color="auto" w:fill="auto"/>
            <w:tcMar>
              <w:top w:w="40" w:type="dxa"/>
              <w:left w:w="20" w:type="dxa"/>
              <w:bottom w:w="40" w:type="dxa"/>
              <w:right w:w="20" w:type="dxa"/>
            </w:tcMar>
          </w:tcPr>
          <w:p w14:paraId="7DD022D6" w14:textId="77777777" w:rsidR="00C1563E" w:rsidRDefault="000B648B">
            <w:pPr>
              <w:jc w:val="right"/>
              <w:textAlignment w:val="top"/>
            </w:pPr>
            <w:hyperlink r:id="rId476" w:history="1">
              <w:r>
                <w:rPr>
                  <w:rStyle w:val="a5"/>
                  <w:rFonts w:ascii="Times New Roman" w:eastAsia="宋体" w:hAnsi="Times New Roman"/>
                  <w:sz w:val="20"/>
                  <w:szCs w:val="20"/>
                </w:rPr>
                <w:t>4.46</w:t>
              </w:r>
            </w:hyperlink>
          </w:p>
        </w:tc>
        <w:tc>
          <w:tcPr>
            <w:tcW w:w="0" w:type="auto"/>
            <w:gridSpan w:val="3"/>
            <w:shd w:val="clear" w:color="auto" w:fill="auto"/>
            <w:tcMar>
              <w:top w:w="0" w:type="dxa"/>
              <w:left w:w="20" w:type="dxa"/>
              <w:bottom w:w="0" w:type="dxa"/>
              <w:right w:w="20" w:type="dxa"/>
            </w:tcMar>
          </w:tcPr>
          <w:p w14:paraId="7DD022D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D8" w14:textId="77777777" w:rsidR="00C1563E" w:rsidRDefault="000B648B">
            <w:pPr>
              <w:textAlignment w:val="top"/>
            </w:pPr>
            <w:hyperlink r:id="rId477" w:history="1">
              <w:r>
                <w:rPr>
                  <w:rStyle w:val="a5"/>
                  <w:rFonts w:ascii="Times New Roman" w:eastAsia="宋体" w:hAnsi="Times New Roman"/>
                  <w:sz w:val="20"/>
                  <w:szCs w:val="20"/>
                </w:rPr>
                <w:t>Registration Rights Agreement, dated as of April 9, 2020, among Dell International L.L.C., EMC Corporation, the guarantors party thereto and BofA Securities</w:t>
              </w:r>
              <w:r>
                <w:rPr>
                  <w:rStyle w:val="a5"/>
                  <w:rFonts w:ascii="Times New Roman" w:eastAsia="宋体" w:hAnsi="Times New Roman"/>
                  <w:sz w:val="20"/>
                  <w:szCs w:val="20"/>
                </w:rPr>
                <w:t xml:space="preserve">, Inc., Barclays Capital Inc., Citigroup Global Markets Inc., Credit Suisse Securities (USA) LLC, Goldman, Sachs &amp; Co. and J.P. Morgan Securities LLC, as the representatives for the initial purchasers. </w:t>
              </w:r>
            </w:hyperlink>
            <w:hyperlink r:id="rId478" w:history="1">
              <w:r>
                <w:rPr>
                  <w:rStyle w:val="a5"/>
                  <w:rFonts w:ascii="Times New Roman" w:eastAsia="宋体" w:hAnsi="Times New Roman"/>
                  <w:sz w:val="20"/>
                  <w:szCs w:val="20"/>
                </w:rPr>
                <w:t>(incorporated by reference to Exhibit 4.5 to the Company’s Quarterly Report on Form 10-Q for the quarterly period ended May 1, 2020) (Commission File No. 001-37867).</w:t>
              </w:r>
            </w:hyperlink>
          </w:p>
        </w:tc>
      </w:tr>
      <w:tr w:rsidR="00C1563E" w14:paraId="7DD022DD" w14:textId="77777777">
        <w:trPr>
          <w:jc w:val="center"/>
        </w:trPr>
        <w:tc>
          <w:tcPr>
            <w:tcW w:w="0" w:type="auto"/>
            <w:gridSpan w:val="3"/>
            <w:shd w:val="clear" w:color="auto" w:fill="auto"/>
            <w:tcMar>
              <w:top w:w="40" w:type="dxa"/>
              <w:left w:w="20" w:type="dxa"/>
              <w:bottom w:w="40" w:type="dxa"/>
              <w:right w:w="20" w:type="dxa"/>
            </w:tcMar>
          </w:tcPr>
          <w:p w14:paraId="7DD022DA" w14:textId="77777777" w:rsidR="00C1563E" w:rsidRDefault="000B648B">
            <w:pPr>
              <w:jc w:val="right"/>
              <w:textAlignment w:val="top"/>
            </w:pPr>
            <w:hyperlink r:id="rId479" w:history="1">
              <w:r>
                <w:rPr>
                  <w:rStyle w:val="a5"/>
                  <w:rFonts w:ascii="Times New Roman" w:eastAsia="宋体" w:hAnsi="Times New Roman"/>
                  <w:sz w:val="20"/>
                  <w:szCs w:val="20"/>
                </w:rPr>
                <w:t>4.47</w:t>
              </w:r>
            </w:hyperlink>
          </w:p>
        </w:tc>
        <w:tc>
          <w:tcPr>
            <w:tcW w:w="0" w:type="auto"/>
            <w:gridSpan w:val="3"/>
            <w:shd w:val="clear" w:color="auto" w:fill="auto"/>
            <w:tcMar>
              <w:top w:w="0" w:type="dxa"/>
              <w:left w:w="20" w:type="dxa"/>
              <w:bottom w:w="0" w:type="dxa"/>
              <w:right w:w="20" w:type="dxa"/>
            </w:tcMar>
          </w:tcPr>
          <w:p w14:paraId="7DD022D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DC" w14:textId="77777777" w:rsidR="00C1563E" w:rsidRDefault="000B648B">
            <w:pPr>
              <w:textAlignment w:val="top"/>
            </w:pPr>
            <w:hyperlink r:id="rId480" w:history="1">
              <w:r>
                <w:rPr>
                  <w:rStyle w:val="a5"/>
                  <w:rFonts w:ascii="Times New Roman" w:eastAsia="宋体" w:hAnsi="Times New Roman"/>
                  <w:sz w:val="20"/>
                  <w:szCs w:val="20"/>
                </w:rPr>
                <w:t>Form of Global Note for 5.850% Senior Notes due 2025 (included in Exhibit 4.43).</w:t>
              </w:r>
            </w:hyperlink>
          </w:p>
        </w:tc>
      </w:tr>
      <w:tr w:rsidR="00C1563E" w14:paraId="7DD022E1" w14:textId="77777777">
        <w:trPr>
          <w:jc w:val="center"/>
        </w:trPr>
        <w:tc>
          <w:tcPr>
            <w:tcW w:w="0" w:type="auto"/>
            <w:gridSpan w:val="3"/>
            <w:shd w:val="clear" w:color="auto" w:fill="auto"/>
            <w:tcMar>
              <w:top w:w="40" w:type="dxa"/>
              <w:left w:w="20" w:type="dxa"/>
              <w:bottom w:w="40" w:type="dxa"/>
              <w:right w:w="20" w:type="dxa"/>
            </w:tcMar>
          </w:tcPr>
          <w:p w14:paraId="7DD022DE" w14:textId="77777777" w:rsidR="00C1563E" w:rsidRDefault="000B648B">
            <w:pPr>
              <w:jc w:val="right"/>
              <w:textAlignment w:val="top"/>
            </w:pPr>
            <w:hyperlink r:id="rId481" w:history="1">
              <w:r>
                <w:rPr>
                  <w:rStyle w:val="a5"/>
                  <w:rFonts w:ascii="Times New Roman" w:eastAsia="宋体" w:hAnsi="Times New Roman"/>
                  <w:sz w:val="20"/>
                  <w:szCs w:val="20"/>
                </w:rPr>
                <w:t>4.48</w:t>
              </w:r>
            </w:hyperlink>
          </w:p>
        </w:tc>
        <w:tc>
          <w:tcPr>
            <w:tcW w:w="0" w:type="auto"/>
            <w:gridSpan w:val="3"/>
            <w:shd w:val="clear" w:color="auto" w:fill="auto"/>
            <w:tcMar>
              <w:top w:w="0" w:type="dxa"/>
              <w:left w:w="20" w:type="dxa"/>
              <w:bottom w:w="0" w:type="dxa"/>
              <w:right w:w="20" w:type="dxa"/>
            </w:tcMar>
          </w:tcPr>
          <w:p w14:paraId="7DD022D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E0" w14:textId="77777777" w:rsidR="00C1563E" w:rsidRDefault="000B648B">
            <w:pPr>
              <w:textAlignment w:val="top"/>
            </w:pPr>
            <w:hyperlink r:id="rId482" w:history="1">
              <w:r>
                <w:rPr>
                  <w:rStyle w:val="a5"/>
                  <w:rFonts w:ascii="Times New Roman" w:eastAsia="宋体" w:hAnsi="Times New Roman"/>
                  <w:sz w:val="20"/>
                  <w:szCs w:val="20"/>
                </w:rPr>
                <w:t>Form of Global Note for 6.100% Senior Notes due 2027 (included in Exhibit 4.44).</w:t>
              </w:r>
            </w:hyperlink>
          </w:p>
        </w:tc>
      </w:tr>
      <w:tr w:rsidR="00C1563E" w14:paraId="7DD022E5" w14:textId="77777777">
        <w:trPr>
          <w:jc w:val="center"/>
        </w:trPr>
        <w:tc>
          <w:tcPr>
            <w:tcW w:w="0" w:type="auto"/>
            <w:gridSpan w:val="3"/>
            <w:shd w:val="clear" w:color="auto" w:fill="auto"/>
            <w:tcMar>
              <w:top w:w="40" w:type="dxa"/>
              <w:left w:w="20" w:type="dxa"/>
              <w:bottom w:w="40" w:type="dxa"/>
              <w:right w:w="20" w:type="dxa"/>
            </w:tcMar>
          </w:tcPr>
          <w:p w14:paraId="7DD022E2" w14:textId="77777777" w:rsidR="00C1563E" w:rsidRDefault="000B648B">
            <w:pPr>
              <w:jc w:val="right"/>
              <w:textAlignment w:val="top"/>
            </w:pPr>
            <w:hyperlink r:id="rId483" w:history="1">
              <w:r>
                <w:rPr>
                  <w:rStyle w:val="a5"/>
                  <w:rFonts w:ascii="Times New Roman" w:eastAsia="宋体" w:hAnsi="Times New Roman"/>
                  <w:sz w:val="20"/>
                  <w:szCs w:val="20"/>
                </w:rPr>
                <w:t>4.49</w:t>
              </w:r>
            </w:hyperlink>
          </w:p>
        </w:tc>
        <w:tc>
          <w:tcPr>
            <w:tcW w:w="0" w:type="auto"/>
            <w:gridSpan w:val="3"/>
            <w:shd w:val="clear" w:color="auto" w:fill="auto"/>
            <w:tcMar>
              <w:top w:w="0" w:type="dxa"/>
              <w:left w:w="20" w:type="dxa"/>
              <w:bottom w:w="0" w:type="dxa"/>
              <w:right w:w="20" w:type="dxa"/>
            </w:tcMar>
          </w:tcPr>
          <w:p w14:paraId="7DD022E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E4" w14:textId="77777777" w:rsidR="00C1563E" w:rsidRDefault="000B648B">
            <w:pPr>
              <w:textAlignment w:val="top"/>
            </w:pPr>
            <w:hyperlink r:id="rId484" w:history="1">
              <w:r>
                <w:rPr>
                  <w:rStyle w:val="a5"/>
                  <w:rFonts w:ascii="Times New Roman" w:eastAsia="宋体" w:hAnsi="Times New Roman"/>
                  <w:sz w:val="20"/>
                  <w:szCs w:val="20"/>
                </w:rPr>
                <w:t>Form of Global Note for 6.200% Senior Notes due 2030 (included in Exhibit 4.45).</w:t>
              </w:r>
            </w:hyperlink>
          </w:p>
        </w:tc>
      </w:tr>
      <w:tr w:rsidR="00C1563E" w14:paraId="7DD022E9" w14:textId="77777777">
        <w:trPr>
          <w:jc w:val="center"/>
        </w:trPr>
        <w:tc>
          <w:tcPr>
            <w:tcW w:w="0" w:type="auto"/>
            <w:gridSpan w:val="3"/>
            <w:shd w:val="clear" w:color="auto" w:fill="auto"/>
            <w:tcMar>
              <w:top w:w="40" w:type="dxa"/>
              <w:left w:w="20" w:type="dxa"/>
              <w:bottom w:w="40" w:type="dxa"/>
              <w:right w:w="20" w:type="dxa"/>
            </w:tcMar>
          </w:tcPr>
          <w:p w14:paraId="7DD022E6" w14:textId="77777777" w:rsidR="00C1563E" w:rsidRDefault="000B648B">
            <w:pPr>
              <w:jc w:val="right"/>
              <w:textAlignment w:val="top"/>
            </w:pPr>
            <w:hyperlink r:id="rId485" w:history="1">
              <w:r>
                <w:rPr>
                  <w:rStyle w:val="a5"/>
                  <w:rFonts w:ascii="Times New Roman" w:eastAsia="宋体" w:hAnsi="Times New Roman"/>
                  <w:sz w:val="20"/>
                  <w:szCs w:val="20"/>
                </w:rPr>
                <w:t>4.50</w:t>
              </w:r>
            </w:hyperlink>
          </w:p>
        </w:tc>
        <w:tc>
          <w:tcPr>
            <w:tcW w:w="0" w:type="auto"/>
            <w:gridSpan w:val="3"/>
            <w:shd w:val="clear" w:color="auto" w:fill="auto"/>
            <w:tcMar>
              <w:top w:w="0" w:type="dxa"/>
              <w:left w:w="20" w:type="dxa"/>
              <w:bottom w:w="0" w:type="dxa"/>
              <w:right w:w="20" w:type="dxa"/>
            </w:tcMar>
          </w:tcPr>
          <w:p w14:paraId="7DD022E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E8" w14:textId="77777777" w:rsidR="00C1563E" w:rsidRDefault="000B648B">
            <w:pPr>
              <w:textAlignment w:val="top"/>
            </w:pPr>
            <w:hyperlink r:id="rId486" w:history="1">
              <w:r>
                <w:rPr>
                  <w:rStyle w:val="a5"/>
                  <w:rFonts w:ascii="Times New Roman" w:eastAsia="宋体" w:hAnsi="Times New Roman"/>
                  <w:sz w:val="20"/>
                  <w:szCs w:val="20"/>
                  <w:shd w:val="clear" w:color="auto" w:fill="FFFFFF"/>
                </w:rPr>
                <w:t>Amendment No. 2 to the Second Amended and Resta</w:t>
              </w:r>
              <w:r>
                <w:rPr>
                  <w:rStyle w:val="a5"/>
                  <w:rFonts w:ascii="Times New Roman" w:eastAsia="宋体" w:hAnsi="Times New Roman"/>
                  <w:sz w:val="20"/>
                  <w:szCs w:val="20"/>
                  <w:shd w:val="clear" w:color="auto" w:fill="FFFFFF"/>
                </w:rPr>
                <w:t>ted Registration Rights Agreement, dated as of April 15, 2020, among Dell Technologies Inc., Michael S. Dell and Susan Lieberman Dell Separate Property Trust, SL SPV-2 L.P., Silver Lake Partners IV, L.P., Silver Lake Technology Investors IV, L.P., Silver L</w:t>
              </w:r>
              <w:r>
                <w:rPr>
                  <w:rStyle w:val="a5"/>
                  <w:rFonts w:ascii="Times New Roman" w:eastAsia="宋体" w:hAnsi="Times New Roman"/>
                  <w:sz w:val="20"/>
                  <w:szCs w:val="20"/>
                  <w:shd w:val="clear" w:color="auto" w:fill="FFFFFF"/>
                </w:rPr>
                <w:t xml:space="preserve">ake Partners V DE (AIV), L.P., Silver Lake Technology Investors V, L.P. and Venezio Investments Pte. Ltd. </w:t>
              </w:r>
            </w:hyperlink>
            <w:hyperlink r:id="rId487" w:history="1">
              <w:r>
                <w:rPr>
                  <w:rStyle w:val="a5"/>
                  <w:rFonts w:ascii="Times New Roman" w:eastAsia="宋体" w:hAnsi="Times New Roman"/>
                  <w:sz w:val="20"/>
                  <w:szCs w:val="20"/>
                </w:rPr>
                <w:t>(incorporated by reference to Exhibit 4.9 to th</w:t>
              </w:r>
              <w:r>
                <w:rPr>
                  <w:rStyle w:val="a5"/>
                  <w:rFonts w:ascii="Times New Roman" w:eastAsia="宋体" w:hAnsi="Times New Roman"/>
                  <w:sz w:val="20"/>
                  <w:szCs w:val="20"/>
                </w:rPr>
                <w:t>e Company’s Quarterly Report on Form 10-Q for the quarterly period ended May 1, 2020) (Commission File No. 001-37867).</w:t>
              </w:r>
            </w:hyperlink>
          </w:p>
        </w:tc>
      </w:tr>
      <w:tr w:rsidR="00C1563E" w14:paraId="7DD022ED" w14:textId="77777777">
        <w:trPr>
          <w:jc w:val="center"/>
        </w:trPr>
        <w:tc>
          <w:tcPr>
            <w:tcW w:w="0" w:type="auto"/>
            <w:gridSpan w:val="3"/>
            <w:shd w:val="clear" w:color="auto" w:fill="auto"/>
            <w:tcMar>
              <w:top w:w="40" w:type="dxa"/>
              <w:left w:w="20" w:type="dxa"/>
              <w:bottom w:w="40" w:type="dxa"/>
              <w:right w:w="20" w:type="dxa"/>
            </w:tcMar>
          </w:tcPr>
          <w:p w14:paraId="7DD022EA" w14:textId="77777777" w:rsidR="00C1563E" w:rsidRDefault="000B648B">
            <w:pPr>
              <w:jc w:val="right"/>
              <w:textAlignment w:val="top"/>
            </w:pPr>
            <w:hyperlink r:id="rId488" w:history="1">
              <w:r>
                <w:rPr>
                  <w:rStyle w:val="a5"/>
                  <w:rFonts w:ascii="Times New Roman" w:eastAsia="宋体" w:hAnsi="Times New Roman"/>
                  <w:sz w:val="20"/>
                  <w:szCs w:val="20"/>
                </w:rPr>
                <w:t>4.51</w:t>
              </w:r>
            </w:hyperlink>
          </w:p>
        </w:tc>
        <w:tc>
          <w:tcPr>
            <w:tcW w:w="0" w:type="auto"/>
            <w:gridSpan w:val="3"/>
            <w:shd w:val="clear" w:color="auto" w:fill="auto"/>
            <w:tcMar>
              <w:top w:w="0" w:type="dxa"/>
              <w:left w:w="20" w:type="dxa"/>
              <w:bottom w:w="0" w:type="dxa"/>
              <w:right w:w="20" w:type="dxa"/>
            </w:tcMar>
          </w:tcPr>
          <w:p w14:paraId="7DD022E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EC" w14:textId="77777777" w:rsidR="00C1563E" w:rsidRDefault="000B648B">
            <w:pPr>
              <w:textAlignment w:val="top"/>
            </w:pPr>
            <w:hyperlink r:id="rId489" w:history="1">
              <w:r>
                <w:rPr>
                  <w:rStyle w:val="a5"/>
                  <w:rFonts w:ascii="Times New Roman" w:eastAsia="宋体" w:hAnsi="Times New Roman"/>
                  <w:sz w:val="20"/>
                  <w:szCs w:val="20"/>
                  <w:shd w:val="clear" w:color="auto" w:fill="FFFFFF"/>
                </w:rPr>
                <w:t xml:space="preserve">Amendment No. 3 to the Second Amended and Restated Registration Rights Agreement, dated as of September 15, 2020, among Dell Technologies Inc., Michael S. Dell and Susan Lieberman </w:t>
              </w:r>
              <w:r>
                <w:rPr>
                  <w:rStyle w:val="a5"/>
                  <w:rFonts w:ascii="Times New Roman" w:eastAsia="宋体" w:hAnsi="Times New Roman"/>
                  <w:sz w:val="20"/>
                  <w:szCs w:val="20"/>
                  <w:shd w:val="clear" w:color="auto" w:fill="FFFFFF"/>
                </w:rPr>
                <w:t xml:space="preserve">Dell Separate Property Trust, SL SPV-2 L.P., Silver Lake Partners IV, L.P., Silver Lake Technology Investors IV, L.P., Silver Lake Partners V DE (AIV), L.P., Silver Lake Technology Investors V, L.P. and Venezio Investments Pte. Ltd. </w:t>
              </w:r>
            </w:hyperlink>
            <w:hyperlink r:id="rId490" w:history="1">
              <w:r>
                <w:rPr>
                  <w:rStyle w:val="a5"/>
                  <w:rFonts w:ascii="Times New Roman" w:eastAsia="宋体" w:hAnsi="Times New Roman"/>
                  <w:sz w:val="20"/>
                  <w:szCs w:val="20"/>
                </w:rPr>
                <w:t>(incorporated by reference to Exhibit 4.1 to the Company’s Quarterly Report on Form 10-Q for the quarterly period ended October 30, 2020) (Commission File No. 001-37867).</w:t>
              </w:r>
            </w:hyperlink>
          </w:p>
        </w:tc>
      </w:tr>
      <w:tr w:rsidR="00C1563E" w14:paraId="7DD022F1" w14:textId="77777777">
        <w:trPr>
          <w:jc w:val="center"/>
        </w:trPr>
        <w:tc>
          <w:tcPr>
            <w:tcW w:w="0" w:type="auto"/>
            <w:gridSpan w:val="3"/>
            <w:shd w:val="clear" w:color="auto" w:fill="auto"/>
            <w:tcMar>
              <w:top w:w="40" w:type="dxa"/>
              <w:left w:w="20" w:type="dxa"/>
              <w:bottom w:w="40" w:type="dxa"/>
              <w:right w:w="20" w:type="dxa"/>
            </w:tcMar>
          </w:tcPr>
          <w:p w14:paraId="7DD022EE" w14:textId="77777777" w:rsidR="00C1563E" w:rsidRDefault="000B648B">
            <w:pPr>
              <w:jc w:val="right"/>
              <w:textAlignment w:val="top"/>
            </w:pPr>
            <w:hyperlink r:id="rId491" w:history="1">
              <w:r>
                <w:rPr>
                  <w:rStyle w:val="a5"/>
                  <w:rFonts w:ascii="Times New Roman" w:eastAsia="宋体" w:hAnsi="Times New Roman"/>
                  <w:sz w:val="20"/>
                  <w:szCs w:val="20"/>
                </w:rPr>
                <w:t>4.52†</w:t>
              </w:r>
            </w:hyperlink>
          </w:p>
        </w:tc>
        <w:tc>
          <w:tcPr>
            <w:tcW w:w="0" w:type="auto"/>
            <w:gridSpan w:val="3"/>
            <w:shd w:val="clear" w:color="auto" w:fill="auto"/>
            <w:tcMar>
              <w:top w:w="0" w:type="dxa"/>
              <w:left w:w="20" w:type="dxa"/>
              <w:bottom w:w="0" w:type="dxa"/>
              <w:right w:w="20" w:type="dxa"/>
            </w:tcMar>
          </w:tcPr>
          <w:p w14:paraId="7DD022E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F0" w14:textId="77777777" w:rsidR="00C1563E" w:rsidRDefault="000B648B">
            <w:pPr>
              <w:textAlignment w:val="top"/>
            </w:pPr>
            <w:hyperlink r:id="rId492" w:history="1">
              <w:r>
                <w:rPr>
                  <w:rStyle w:val="a5"/>
                  <w:rFonts w:ascii="Times New Roman" w:eastAsia="宋体" w:hAnsi="Times New Roman"/>
                  <w:sz w:val="20"/>
                  <w:szCs w:val="20"/>
                </w:rPr>
                <w:t>Consent to the Extension of Registration R</w:t>
              </w:r>
              <w:r>
                <w:rPr>
                  <w:rStyle w:val="a5"/>
                  <w:rFonts w:ascii="Times New Roman" w:eastAsia="宋体" w:hAnsi="Times New Roman"/>
                  <w:sz w:val="20"/>
                  <w:szCs w:val="20"/>
                </w:rPr>
                <w:t>ights Under the Second Amended and Restated Registration Rights Agreement, dated December 17, 2020, among Dell Technologies Inc. and SL SPV-2 L.P., Silver Lake Partners IV, L.P., Silver Lake Technology Investors IV, L.P., Silver Lake Partners V DE (AIV), L</w:t>
              </w:r>
              <w:r>
                <w:rPr>
                  <w:rStyle w:val="a5"/>
                  <w:rFonts w:ascii="Times New Roman" w:eastAsia="宋体" w:hAnsi="Times New Roman"/>
                  <w:sz w:val="20"/>
                  <w:szCs w:val="20"/>
                </w:rPr>
                <w:t>.P., Silver Lake Technology Investors V, L.P.</w:t>
              </w:r>
            </w:hyperlink>
          </w:p>
        </w:tc>
      </w:tr>
      <w:tr w:rsidR="00C1563E" w14:paraId="7DD022F5" w14:textId="77777777">
        <w:trPr>
          <w:jc w:val="center"/>
        </w:trPr>
        <w:tc>
          <w:tcPr>
            <w:tcW w:w="0" w:type="auto"/>
            <w:gridSpan w:val="3"/>
            <w:shd w:val="clear" w:color="auto" w:fill="auto"/>
            <w:tcMar>
              <w:top w:w="40" w:type="dxa"/>
              <w:left w:w="20" w:type="dxa"/>
              <w:bottom w:w="40" w:type="dxa"/>
              <w:right w:w="20" w:type="dxa"/>
            </w:tcMar>
          </w:tcPr>
          <w:p w14:paraId="7DD022F2" w14:textId="77777777" w:rsidR="00C1563E" w:rsidRDefault="000B648B">
            <w:pPr>
              <w:jc w:val="right"/>
              <w:textAlignment w:val="top"/>
            </w:pPr>
            <w:hyperlink r:id="rId493" w:history="1">
              <w:r>
                <w:rPr>
                  <w:rStyle w:val="a5"/>
                  <w:rFonts w:ascii="Times New Roman" w:eastAsia="宋体" w:hAnsi="Times New Roman"/>
                  <w:sz w:val="20"/>
                  <w:szCs w:val="20"/>
                </w:rPr>
                <w:t>10.1*</w:t>
              </w:r>
            </w:hyperlink>
          </w:p>
        </w:tc>
        <w:tc>
          <w:tcPr>
            <w:tcW w:w="0" w:type="auto"/>
            <w:gridSpan w:val="3"/>
            <w:shd w:val="clear" w:color="auto" w:fill="auto"/>
            <w:tcMar>
              <w:top w:w="0" w:type="dxa"/>
              <w:left w:w="20" w:type="dxa"/>
              <w:bottom w:w="0" w:type="dxa"/>
              <w:right w:w="20" w:type="dxa"/>
            </w:tcMar>
          </w:tcPr>
          <w:p w14:paraId="7DD022F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F4" w14:textId="77777777" w:rsidR="00C1563E" w:rsidRDefault="000B648B">
            <w:pPr>
              <w:textAlignment w:val="top"/>
            </w:pPr>
            <w:hyperlink r:id="rId494" w:history="1">
              <w:r>
                <w:rPr>
                  <w:rStyle w:val="a5"/>
                  <w:rFonts w:ascii="Times New Roman" w:eastAsia="宋体" w:hAnsi="Times New Roman"/>
                  <w:sz w:val="20"/>
                  <w:szCs w:val="20"/>
                </w:rPr>
                <w:t>Dell Technologies Inc. 2012 Long-Term Incentive Plan (formerly known as Dell Inc. 2012 Long-Term Incentive Plan) as amended and restated as of October 6, 2</w:t>
              </w:r>
              <w:r>
                <w:rPr>
                  <w:rStyle w:val="a5"/>
                  <w:rFonts w:ascii="Times New Roman" w:eastAsia="宋体" w:hAnsi="Times New Roman"/>
                  <w:sz w:val="20"/>
                  <w:szCs w:val="20"/>
                </w:rPr>
                <w:t>017 (incorporated by reference to Exhibit 10.4 to the Company’s Quarterly Report on Form 10-Q for the quarterly period ended November 3, 2017) (Commission File No. 001-37867).</w:t>
              </w:r>
            </w:hyperlink>
          </w:p>
        </w:tc>
      </w:tr>
      <w:tr w:rsidR="00C1563E" w14:paraId="7DD022F9" w14:textId="77777777">
        <w:trPr>
          <w:jc w:val="center"/>
        </w:trPr>
        <w:tc>
          <w:tcPr>
            <w:tcW w:w="0" w:type="auto"/>
            <w:gridSpan w:val="3"/>
            <w:shd w:val="clear" w:color="auto" w:fill="auto"/>
            <w:tcMar>
              <w:top w:w="40" w:type="dxa"/>
              <w:left w:w="20" w:type="dxa"/>
              <w:bottom w:w="40" w:type="dxa"/>
              <w:right w:w="20" w:type="dxa"/>
            </w:tcMar>
          </w:tcPr>
          <w:p w14:paraId="7DD022F6" w14:textId="77777777" w:rsidR="00C1563E" w:rsidRDefault="000B648B">
            <w:pPr>
              <w:jc w:val="right"/>
              <w:textAlignment w:val="top"/>
            </w:pPr>
            <w:hyperlink r:id="rId495" w:history="1">
              <w:r>
                <w:rPr>
                  <w:rStyle w:val="a5"/>
                  <w:rFonts w:ascii="Times New Roman" w:eastAsia="宋体" w:hAnsi="Times New Roman"/>
                  <w:sz w:val="20"/>
                  <w:szCs w:val="20"/>
                </w:rPr>
                <w:t>10.2*</w:t>
              </w:r>
            </w:hyperlink>
          </w:p>
        </w:tc>
        <w:tc>
          <w:tcPr>
            <w:tcW w:w="0" w:type="auto"/>
            <w:gridSpan w:val="3"/>
            <w:shd w:val="clear" w:color="auto" w:fill="auto"/>
            <w:tcMar>
              <w:top w:w="0" w:type="dxa"/>
              <w:left w:w="20" w:type="dxa"/>
              <w:bottom w:w="0" w:type="dxa"/>
              <w:right w:w="20" w:type="dxa"/>
            </w:tcMar>
          </w:tcPr>
          <w:p w14:paraId="7DD022F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F8" w14:textId="77777777" w:rsidR="00C1563E" w:rsidRDefault="000B648B">
            <w:pPr>
              <w:textAlignment w:val="top"/>
            </w:pPr>
            <w:hyperlink r:id="rId496" w:history="1">
              <w:r>
                <w:rPr>
                  <w:rStyle w:val="a5"/>
                  <w:rFonts w:ascii="Times New Roman" w:eastAsia="宋体" w:hAnsi="Times New Roman"/>
                  <w:sz w:val="20"/>
                  <w:szCs w:val="20"/>
                </w:rPr>
                <w:t>Form of Dell Inc. Long-Term Cash Incentive and Retention Award for Fiscal 2016 awards under the Dell Technologies Inc. 2012 Long</w:t>
              </w:r>
              <w:r>
                <w:rPr>
                  <w:rStyle w:val="a5"/>
                  <w:rFonts w:ascii="Times New Roman" w:eastAsia="宋体" w:hAnsi="Times New Roman"/>
                  <w:sz w:val="20"/>
                  <w:szCs w:val="20"/>
                </w:rPr>
                <w:t>-Term Incentive Plan (incorporated by reference to Exhibit 10.13 to Amendment No. 3 to the Company’s 2016 Form S-4 filed with the Commission on April 11, 2016) (Registration No. 333-208524).</w:t>
              </w:r>
            </w:hyperlink>
          </w:p>
        </w:tc>
      </w:tr>
      <w:tr w:rsidR="00C1563E" w14:paraId="7DD022FD" w14:textId="77777777">
        <w:trPr>
          <w:jc w:val="center"/>
        </w:trPr>
        <w:tc>
          <w:tcPr>
            <w:tcW w:w="0" w:type="auto"/>
            <w:gridSpan w:val="3"/>
            <w:shd w:val="clear" w:color="auto" w:fill="auto"/>
            <w:tcMar>
              <w:top w:w="40" w:type="dxa"/>
              <w:left w:w="20" w:type="dxa"/>
              <w:bottom w:w="40" w:type="dxa"/>
              <w:right w:w="20" w:type="dxa"/>
            </w:tcMar>
          </w:tcPr>
          <w:p w14:paraId="7DD022FA" w14:textId="77777777" w:rsidR="00C1563E" w:rsidRDefault="000B648B">
            <w:pPr>
              <w:jc w:val="right"/>
              <w:textAlignment w:val="top"/>
            </w:pPr>
            <w:hyperlink r:id="rId497" w:history="1">
              <w:r>
                <w:rPr>
                  <w:rStyle w:val="a5"/>
                  <w:rFonts w:ascii="Times New Roman" w:eastAsia="宋体" w:hAnsi="Times New Roman"/>
                  <w:sz w:val="20"/>
                  <w:szCs w:val="20"/>
                </w:rPr>
                <w:t>10.3*</w:t>
              </w:r>
            </w:hyperlink>
          </w:p>
        </w:tc>
        <w:tc>
          <w:tcPr>
            <w:tcW w:w="0" w:type="auto"/>
            <w:gridSpan w:val="3"/>
            <w:shd w:val="clear" w:color="auto" w:fill="auto"/>
            <w:tcMar>
              <w:top w:w="0" w:type="dxa"/>
              <w:left w:w="20" w:type="dxa"/>
              <w:bottom w:w="0" w:type="dxa"/>
              <w:right w:w="20" w:type="dxa"/>
            </w:tcMar>
          </w:tcPr>
          <w:p w14:paraId="7DD022F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2FC" w14:textId="77777777" w:rsidR="00C1563E" w:rsidRDefault="000B648B">
            <w:pPr>
              <w:textAlignment w:val="top"/>
            </w:pPr>
            <w:hyperlink r:id="rId498" w:history="1">
              <w:r>
                <w:rPr>
                  <w:rStyle w:val="a5"/>
                  <w:rFonts w:ascii="Times New Roman" w:eastAsia="宋体" w:hAnsi="Times New Roman"/>
                  <w:sz w:val="20"/>
                  <w:szCs w:val="20"/>
                </w:rPr>
                <w:t>Form of Dell Inc. Long-Term Cash Incentive and Retention Award Agreement, under the Dell Technologies Inc</w:t>
              </w:r>
              <w:r>
                <w:rPr>
                  <w:rStyle w:val="a5"/>
                  <w:rFonts w:ascii="Times New Roman" w:eastAsia="宋体" w:hAnsi="Times New Roman"/>
                  <w:sz w:val="20"/>
                  <w:szCs w:val="20"/>
                </w:rPr>
                <w:t>. 2012 Long-Term Incentive Plan, between Dell Inc. and each of Jeremy Burton, Howard D. Elias and David I. Goulden (incorporated by reference to Exhibit 10.3 to the Company’s Annual Report on Form 10-K for the fiscal year ended February 3, 2017) (Commissio</w:t>
              </w:r>
              <w:r>
                <w:rPr>
                  <w:rStyle w:val="a5"/>
                  <w:rFonts w:ascii="Times New Roman" w:eastAsia="宋体" w:hAnsi="Times New Roman"/>
                  <w:sz w:val="20"/>
                  <w:szCs w:val="20"/>
                </w:rPr>
                <w:t>n File No. 001-37867).</w:t>
              </w:r>
            </w:hyperlink>
          </w:p>
        </w:tc>
      </w:tr>
      <w:tr w:rsidR="00C1563E" w14:paraId="7DD02301" w14:textId="77777777">
        <w:trPr>
          <w:jc w:val="center"/>
        </w:trPr>
        <w:tc>
          <w:tcPr>
            <w:tcW w:w="0" w:type="auto"/>
            <w:gridSpan w:val="3"/>
            <w:shd w:val="clear" w:color="auto" w:fill="auto"/>
            <w:tcMar>
              <w:top w:w="40" w:type="dxa"/>
              <w:left w:w="20" w:type="dxa"/>
              <w:bottom w:w="40" w:type="dxa"/>
              <w:right w:w="20" w:type="dxa"/>
            </w:tcMar>
          </w:tcPr>
          <w:p w14:paraId="7DD022FE" w14:textId="77777777" w:rsidR="00C1563E" w:rsidRDefault="000B648B">
            <w:pPr>
              <w:jc w:val="right"/>
              <w:textAlignment w:val="top"/>
            </w:pPr>
            <w:hyperlink r:id="rId499" w:history="1">
              <w:r>
                <w:rPr>
                  <w:rStyle w:val="a5"/>
                  <w:rFonts w:ascii="Times New Roman" w:eastAsia="宋体" w:hAnsi="Times New Roman"/>
                  <w:sz w:val="20"/>
                  <w:szCs w:val="20"/>
                </w:rPr>
                <w:t>10.4*</w:t>
              </w:r>
            </w:hyperlink>
          </w:p>
        </w:tc>
        <w:tc>
          <w:tcPr>
            <w:tcW w:w="0" w:type="auto"/>
            <w:gridSpan w:val="3"/>
            <w:shd w:val="clear" w:color="auto" w:fill="auto"/>
            <w:tcMar>
              <w:top w:w="0" w:type="dxa"/>
              <w:left w:w="20" w:type="dxa"/>
              <w:bottom w:w="0" w:type="dxa"/>
              <w:right w:w="20" w:type="dxa"/>
            </w:tcMar>
          </w:tcPr>
          <w:p w14:paraId="7DD022F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00" w14:textId="77777777" w:rsidR="00C1563E" w:rsidRDefault="000B648B">
            <w:pPr>
              <w:textAlignment w:val="top"/>
            </w:pPr>
            <w:hyperlink r:id="rId500" w:history="1">
              <w:r>
                <w:rPr>
                  <w:rStyle w:val="a5"/>
                  <w:rFonts w:ascii="Times New Roman" w:eastAsia="宋体" w:hAnsi="Times New Roman"/>
                  <w:sz w:val="20"/>
                  <w:szCs w:val="20"/>
                </w:rPr>
                <w:t>Form of Dell Inc.</w:t>
              </w:r>
              <w:r>
                <w:rPr>
                  <w:rStyle w:val="a5"/>
                  <w:rFonts w:ascii="Times New Roman" w:eastAsia="宋体" w:hAnsi="Times New Roman"/>
                  <w:sz w:val="20"/>
                  <w:szCs w:val="20"/>
                </w:rPr>
                <w:t xml:space="preserve"> Deferred Cash Replacement Agreement under the Dell Technologies Inc. 2012 Long-Term Incentive Plan (incorporated by reference to Exhibit 10.4 to the Company’s Annual Report on Form 10-K for the fiscal year ended February 3, 2017) (Commission File No. 001-</w:t>
              </w:r>
              <w:r>
                <w:rPr>
                  <w:rStyle w:val="a5"/>
                  <w:rFonts w:ascii="Times New Roman" w:eastAsia="宋体" w:hAnsi="Times New Roman"/>
                  <w:sz w:val="20"/>
                  <w:szCs w:val="20"/>
                </w:rPr>
                <w:t>37867).</w:t>
              </w:r>
            </w:hyperlink>
          </w:p>
        </w:tc>
      </w:tr>
      <w:tr w:rsidR="00C1563E" w14:paraId="7DD02305" w14:textId="77777777">
        <w:trPr>
          <w:jc w:val="center"/>
        </w:trPr>
        <w:tc>
          <w:tcPr>
            <w:tcW w:w="0" w:type="auto"/>
            <w:gridSpan w:val="3"/>
            <w:shd w:val="clear" w:color="auto" w:fill="auto"/>
            <w:tcMar>
              <w:top w:w="40" w:type="dxa"/>
              <w:left w:w="20" w:type="dxa"/>
              <w:bottom w:w="40" w:type="dxa"/>
              <w:right w:w="20" w:type="dxa"/>
            </w:tcMar>
          </w:tcPr>
          <w:p w14:paraId="7DD02302" w14:textId="77777777" w:rsidR="00C1563E" w:rsidRDefault="000B648B">
            <w:pPr>
              <w:jc w:val="right"/>
              <w:textAlignment w:val="top"/>
            </w:pPr>
            <w:hyperlink r:id="rId501" w:history="1">
              <w:r>
                <w:rPr>
                  <w:rStyle w:val="a5"/>
                  <w:rFonts w:ascii="Times New Roman" w:eastAsia="宋体" w:hAnsi="Times New Roman"/>
                  <w:sz w:val="20"/>
                  <w:szCs w:val="20"/>
                </w:rPr>
                <w:t>10.5*</w:t>
              </w:r>
            </w:hyperlink>
          </w:p>
        </w:tc>
        <w:tc>
          <w:tcPr>
            <w:tcW w:w="0" w:type="auto"/>
            <w:gridSpan w:val="3"/>
            <w:shd w:val="clear" w:color="auto" w:fill="auto"/>
            <w:tcMar>
              <w:top w:w="0" w:type="dxa"/>
              <w:left w:w="20" w:type="dxa"/>
              <w:bottom w:w="0" w:type="dxa"/>
              <w:right w:w="20" w:type="dxa"/>
            </w:tcMar>
          </w:tcPr>
          <w:p w14:paraId="7DD0230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04" w14:textId="77777777" w:rsidR="00C1563E" w:rsidRDefault="000B648B">
            <w:pPr>
              <w:textAlignment w:val="top"/>
            </w:pPr>
            <w:hyperlink r:id="rId502" w:history="1">
              <w:r>
                <w:rPr>
                  <w:rStyle w:val="a5"/>
                  <w:rFonts w:ascii="Times New Roman" w:eastAsia="宋体" w:hAnsi="Times New Roman"/>
                  <w:sz w:val="20"/>
                  <w:szCs w:val="20"/>
                </w:rPr>
                <w:t>Dell Inc. Annual Bonus Plan (incorporated by reference to Exhibit 10.1 to the Company’s Quarterly Report on Form 10-Q for the quarterly period ended May 1,</w:t>
              </w:r>
              <w:r>
                <w:rPr>
                  <w:rStyle w:val="a5"/>
                  <w:rFonts w:ascii="Times New Roman" w:eastAsia="宋体" w:hAnsi="Times New Roman"/>
                  <w:sz w:val="20"/>
                  <w:szCs w:val="20"/>
                </w:rPr>
                <w:t xml:space="preserve"> 2020) (Commission File No. 001-37867).</w:t>
              </w:r>
            </w:hyperlink>
          </w:p>
        </w:tc>
      </w:tr>
    </w:tbl>
    <w:p w14:paraId="7DD02306" w14:textId="77777777" w:rsidR="00C1563E" w:rsidRDefault="00C1563E">
      <w:pPr>
        <w:jc w:val="center"/>
      </w:pPr>
    </w:p>
    <w:p w14:paraId="7DD02307" w14:textId="77777777" w:rsidR="00C1563E" w:rsidRDefault="000B648B">
      <w:pPr>
        <w:jc w:val="center"/>
      </w:pPr>
      <w:r>
        <w:rPr>
          <w:rFonts w:ascii="Times New Roman" w:eastAsia="宋体" w:hAnsi="Times New Roman"/>
          <w:color w:val="000000"/>
          <w:sz w:val="20"/>
          <w:szCs w:val="20"/>
        </w:rPr>
        <w:t>176</w:t>
      </w:r>
    </w:p>
    <w:p w14:paraId="7DD02308" w14:textId="77777777" w:rsidR="00C1563E" w:rsidRDefault="00C1563E">
      <w:pPr>
        <w:jc w:val="center"/>
      </w:pPr>
    </w:p>
    <w:p w14:paraId="7DD02309" w14:textId="77777777" w:rsidR="00C1563E" w:rsidRDefault="000B648B">
      <w:r>
        <w:pict w14:anchorId="7DD0261A">
          <v:rect id="_x0000_i1200" style="width:415.3pt;height:1.5pt" o:hralign="center" o:hrstd="t" o:hr="t" fillcolor="#a0a0a0" stroked="f"/>
        </w:pict>
      </w:r>
    </w:p>
    <w:p w14:paraId="7DD0230A" w14:textId="77777777" w:rsidR="00C1563E" w:rsidRDefault="000B648B">
      <w:hyperlink r:id="rId503"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4"/>
        <w:gridCol w:w="37"/>
      </w:tblGrid>
      <w:tr w:rsidR="00C1563E" w14:paraId="7DD02314" w14:textId="77777777">
        <w:trPr>
          <w:jc w:val="center"/>
        </w:trPr>
        <w:tc>
          <w:tcPr>
            <w:tcW w:w="50" w:type="pct"/>
            <w:shd w:val="clear" w:color="auto" w:fill="auto"/>
          </w:tcPr>
          <w:p w14:paraId="7DD0230B" w14:textId="77777777" w:rsidR="00C1563E" w:rsidRDefault="00C1563E">
            <w:pPr>
              <w:rPr>
                <w:rFonts w:ascii="宋体"/>
              </w:rPr>
            </w:pPr>
          </w:p>
        </w:tc>
        <w:tc>
          <w:tcPr>
            <w:tcW w:w="595" w:type="pct"/>
            <w:shd w:val="clear" w:color="auto" w:fill="auto"/>
          </w:tcPr>
          <w:p w14:paraId="7DD0230C" w14:textId="77777777" w:rsidR="00C1563E" w:rsidRDefault="00C1563E">
            <w:pPr>
              <w:rPr>
                <w:rFonts w:ascii="宋体"/>
              </w:rPr>
            </w:pPr>
          </w:p>
        </w:tc>
        <w:tc>
          <w:tcPr>
            <w:tcW w:w="5" w:type="pct"/>
            <w:shd w:val="clear" w:color="auto" w:fill="auto"/>
          </w:tcPr>
          <w:p w14:paraId="7DD0230D" w14:textId="77777777" w:rsidR="00C1563E" w:rsidRDefault="00C1563E">
            <w:pPr>
              <w:rPr>
                <w:rFonts w:ascii="宋体"/>
              </w:rPr>
            </w:pPr>
          </w:p>
        </w:tc>
        <w:tc>
          <w:tcPr>
            <w:tcW w:w="5" w:type="pct"/>
            <w:shd w:val="clear" w:color="auto" w:fill="auto"/>
          </w:tcPr>
          <w:p w14:paraId="7DD0230E" w14:textId="77777777" w:rsidR="00C1563E" w:rsidRDefault="00C1563E">
            <w:pPr>
              <w:rPr>
                <w:rFonts w:ascii="宋体"/>
              </w:rPr>
            </w:pPr>
          </w:p>
        </w:tc>
        <w:tc>
          <w:tcPr>
            <w:tcW w:w="19" w:type="pct"/>
            <w:shd w:val="clear" w:color="auto" w:fill="auto"/>
          </w:tcPr>
          <w:p w14:paraId="7DD0230F" w14:textId="77777777" w:rsidR="00C1563E" w:rsidRDefault="00C1563E">
            <w:pPr>
              <w:rPr>
                <w:rFonts w:ascii="宋体"/>
              </w:rPr>
            </w:pPr>
          </w:p>
        </w:tc>
        <w:tc>
          <w:tcPr>
            <w:tcW w:w="5" w:type="pct"/>
            <w:shd w:val="clear" w:color="auto" w:fill="auto"/>
          </w:tcPr>
          <w:p w14:paraId="7DD02310" w14:textId="77777777" w:rsidR="00C1563E" w:rsidRDefault="00C1563E">
            <w:pPr>
              <w:rPr>
                <w:rFonts w:ascii="宋体"/>
              </w:rPr>
            </w:pPr>
          </w:p>
        </w:tc>
        <w:tc>
          <w:tcPr>
            <w:tcW w:w="50" w:type="pct"/>
            <w:shd w:val="clear" w:color="auto" w:fill="auto"/>
          </w:tcPr>
          <w:p w14:paraId="7DD02311" w14:textId="77777777" w:rsidR="00C1563E" w:rsidRDefault="00C1563E">
            <w:pPr>
              <w:rPr>
                <w:rFonts w:ascii="宋体"/>
              </w:rPr>
            </w:pPr>
          </w:p>
        </w:tc>
        <w:tc>
          <w:tcPr>
            <w:tcW w:w="4265" w:type="pct"/>
            <w:shd w:val="clear" w:color="auto" w:fill="auto"/>
          </w:tcPr>
          <w:p w14:paraId="7DD02312" w14:textId="77777777" w:rsidR="00C1563E" w:rsidRDefault="00C1563E">
            <w:pPr>
              <w:rPr>
                <w:rFonts w:ascii="宋体"/>
              </w:rPr>
            </w:pPr>
          </w:p>
        </w:tc>
        <w:tc>
          <w:tcPr>
            <w:tcW w:w="5" w:type="pct"/>
            <w:shd w:val="clear" w:color="auto" w:fill="auto"/>
          </w:tcPr>
          <w:p w14:paraId="7DD02313" w14:textId="77777777" w:rsidR="00C1563E" w:rsidRDefault="00C1563E">
            <w:pPr>
              <w:rPr>
                <w:rFonts w:ascii="宋体"/>
              </w:rPr>
            </w:pPr>
          </w:p>
        </w:tc>
      </w:tr>
      <w:tr w:rsidR="00C1563E" w14:paraId="7DD02318" w14:textId="77777777">
        <w:trPr>
          <w:jc w:val="center"/>
        </w:trPr>
        <w:tc>
          <w:tcPr>
            <w:tcW w:w="0" w:type="auto"/>
            <w:gridSpan w:val="3"/>
            <w:shd w:val="clear" w:color="auto" w:fill="auto"/>
            <w:tcMar>
              <w:top w:w="40" w:type="dxa"/>
              <w:left w:w="20" w:type="dxa"/>
              <w:bottom w:w="40" w:type="dxa"/>
              <w:right w:w="20" w:type="dxa"/>
            </w:tcMar>
          </w:tcPr>
          <w:p w14:paraId="7DD02315" w14:textId="77777777" w:rsidR="00C1563E" w:rsidRDefault="000B648B">
            <w:pPr>
              <w:jc w:val="right"/>
              <w:textAlignment w:val="top"/>
            </w:pPr>
            <w:hyperlink r:id="rId504" w:history="1">
              <w:r>
                <w:rPr>
                  <w:rStyle w:val="a5"/>
                  <w:rFonts w:ascii="Times New Roman" w:eastAsia="宋体" w:hAnsi="Times New Roman"/>
                  <w:sz w:val="20"/>
                  <w:szCs w:val="20"/>
                </w:rPr>
                <w:t>10.6*</w:t>
              </w:r>
            </w:hyperlink>
          </w:p>
        </w:tc>
        <w:tc>
          <w:tcPr>
            <w:tcW w:w="0" w:type="auto"/>
            <w:gridSpan w:val="3"/>
            <w:shd w:val="clear" w:color="auto" w:fill="auto"/>
            <w:tcMar>
              <w:top w:w="0" w:type="dxa"/>
              <w:left w:w="20" w:type="dxa"/>
              <w:bottom w:w="0" w:type="dxa"/>
              <w:right w:w="20" w:type="dxa"/>
            </w:tcMar>
          </w:tcPr>
          <w:p w14:paraId="7DD0231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17" w14:textId="77777777" w:rsidR="00C1563E" w:rsidRDefault="000B648B">
            <w:pPr>
              <w:textAlignment w:val="top"/>
            </w:pPr>
            <w:hyperlink r:id="rId505" w:history="1">
              <w:r>
                <w:rPr>
                  <w:rStyle w:val="a5"/>
                  <w:rFonts w:ascii="Times New Roman" w:eastAsia="宋体" w:hAnsi="Times New Roman"/>
                  <w:sz w:val="20"/>
                  <w:szCs w:val="20"/>
                </w:rPr>
                <w:t>Dell Inc. Special Incentive Bonus Plan (incorporated b</w:t>
              </w:r>
              <w:r>
                <w:rPr>
                  <w:rStyle w:val="a5"/>
                  <w:rFonts w:ascii="Times New Roman" w:eastAsia="宋体" w:hAnsi="Times New Roman"/>
                  <w:sz w:val="20"/>
                  <w:szCs w:val="20"/>
                </w:rPr>
                <w:t>y reference to Exhibit 10.6 to Amendment No. 3 to the Company’s 2016 Form S-4 filed with the Commission on April 11, 2016) (Registration No. 333-208524).</w:t>
              </w:r>
            </w:hyperlink>
          </w:p>
        </w:tc>
      </w:tr>
      <w:tr w:rsidR="00C1563E" w14:paraId="7DD0231C" w14:textId="77777777">
        <w:trPr>
          <w:jc w:val="center"/>
        </w:trPr>
        <w:tc>
          <w:tcPr>
            <w:tcW w:w="0" w:type="auto"/>
            <w:gridSpan w:val="3"/>
            <w:shd w:val="clear" w:color="auto" w:fill="auto"/>
            <w:tcMar>
              <w:top w:w="40" w:type="dxa"/>
              <w:left w:w="20" w:type="dxa"/>
              <w:bottom w:w="40" w:type="dxa"/>
              <w:right w:w="20" w:type="dxa"/>
            </w:tcMar>
          </w:tcPr>
          <w:p w14:paraId="7DD02319" w14:textId="77777777" w:rsidR="00C1563E" w:rsidRDefault="000B648B">
            <w:pPr>
              <w:jc w:val="right"/>
              <w:textAlignment w:val="top"/>
            </w:pPr>
            <w:hyperlink r:id="rId506" w:history="1">
              <w:r>
                <w:rPr>
                  <w:rStyle w:val="a5"/>
                  <w:rFonts w:ascii="Times New Roman" w:eastAsia="宋体" w:hAnsi="Times New Roman"/>
                  <w:sz w:val="20"/>
                  <w:szCs w:val="20"/>
                </w:rPr>
                <w:t>10.7*</w:t>
              </w:r>
            </w:hyperlink>
          </w:p>
        </w:tc>
        <w:tc>
          <w:tcPr>
            <w:tcW w:w="0" w:type="auto"/>
            <w:gridSpan w:val="3"/>
            <w:shd w:val="clear" w:color="auto" w:fill="auto"/>
            <w:tcMar>
              <w:top w:w="0" w:type="dxa"/>
              <w:left w:w="20" w:type="dxa"/>
              <w:bottom w:w="0" w:type="dxa"/>
              <w:right w:w="20" w:type="dxa"/>
            </w:tcMar>
          </w:tcPr>
          <w:p w14:paraId="7DD0231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1B" w14:textId="77777777" w:rsidR="00C1563E" w:rsidRDefault="000B648B">
            <w:pPr>
              <w:textAlignment w:val="top"/>
            </w:pPr>
            <w:hyperlink r:id="rId507" w:history="1">
              <w:r>
                <w:rPr>
                  <w:rStyle w:val="a5"/>
                  <w:rFonts w:ascii="Times New Roman" w:eastAsia="宋体" w:hAnsi="Times New Roman"/>
                  <w:sz w:val="20"/>
                  <w:szCs w:val="20"/>
                </w:rPr>
                <w:t>Employment Agreement, dated October 29, 2013, by and a</w:t>
              </w:r>
              <w:r>
                <w:rPr>
                  <w:rStyle w:val="a5"/>
                  <w:rFonts w:ascii="Times New Roman" w:eastAsia="宋体" w:hAnsi="Times New Roman"/>
                  <w:sz w:val="20"/>
                  <w:szCs w:val="20"/>
                </w:rPr>
                <w:t>mong Dell Inc., the Company and Michael S. Dell (incorporated by reference to Exhibit 10.7 to Amendment No. 3 to the Company’s 2016 Form S-4 filed with the Commission on April 11, 2016) (Registration No. 333-208524).</w:t>
              </w:r>
            </w:hyperlink>
          </w:p>
        </w:tc>
      </w:tr>
      <w:tr w:rsidR="00C1563E" w14:paraId="7DD02320" w14:textId="77777777">
        <w:trPr>
          <w:jc w:val="center"/>
        </w:trPr>
        <w:tc>
          <w:tcPr>
            <w:tcW w:w="0" w:type="auto"/>
            <w:gridSpan w:val="3"/>
            <w:shd w:val="clear" w:color="auto" w:fill="auto"/>
            <w:tcMar>
              <w:top w:w="40" w:type="dxa"/>
              <w:left w:w="20" w:type="dxa"/>
              <w:bottom w:w="40" w:type="dxa"/>
              <w:right w:w="20" w:type="dxa"/>
            </w:tcMar>
          </w:tcPr>
          <w:p w14:paraId="7DD0231D" w14:textId="77777777" w:rsidR="00C1563E" w:rsidRDefault="000B648B">
            <w:pPr>
              <w:jc w:val="right"/>
              <w:textAlignment w:val="top"/>
            </w:pPr>
            <w:hyperlink r:id="rId508" w:history="1">
              <w:r>
                <w:rPr>
                  <w:rStyle w:val="a5"/>
                  <w:rFonts w:ascii="Times New Roman" w:eastAsia="宋体" w:hAnsi="Times New Roman"/>
                  <w:sz w:val="20"/>
                  <w:szCs w:val="20"/>
                </w:rPr>
                <w:t>10.8*</w:t>
              </w:r>
            </w:hyperlink>
          </w:p>
        </w:tc>
        <w:tc>
          <w:tcPr>
            <w:tcW w:w="0" w:type="auto"/>
            <w:gridSpan w:val="3"/>
            <w:shd w:val="clear" w:color="auto" w:fill="auto"/>
            <w:tcMar>
              <w:top w:w="0" w:type="dxa"/>
              <w:left w:w="20" w:type="dxa"/>
              <w:bottom w:w="0" w:type="dxa"/>
              <w:right w:w="20" w:type="dxa"/>
            </w:tcMar>
          </w:tcPr>
          <w:p w14:paraId="7DD0231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1F" w14:textId="77777777" w:rsidR="00C1563E" w:rsidRDefault="000B648B">
            <w:pPr>
              <w:textAlignment w:val="top"/>
            </w:pPr>
            <w:hyperlink r:id="rId509" w:history="1">
              <w:r>
                <w:rPr>
                  <w:rStyle w:val="a5"/>
                  <w:rFonts w:ascii="Times New Roman" w:eastAsia="宋体" w:hAnsi="Times New Roman"/>
                  <w:sz w:val="20"/>
                  <w:szCs w:val="20"/>
                </w:rPr>
                <w:t>Dell Inc. Severance Pay Plan for Executive Employees (incorporated by referen</w:t>
              </w:r>
              <w:r>
                <w:rPr>
                  <w:rStyle w:val="a5"/>
                  <w:rFonts w:ascii="Times New Roman" w:eastAsia="宋体" w:hAnsi="Times New Roman"/>
                  <w:sz w:val="20"/>
                  <w:szCs w:val="20"/>
                </w:rPr>
                <w:t>ce to Exhibit 10.14 to the Company’s Annual Report on Form 10-K for the fiscal year ended February 3, 2017) (Commission File No. 001-37867).</w:t>
              </w:r>
            </w:hyperlink>
          </w:p>
        </w:tc>
      </w:tr>
      <w:tr w:rsidR="00C1563E" w14:paraId="7DD02324" w14:textId="77777777">
        <w:trPr>
          <w:jc w:val="center"/>
        </w:trPr>
        <w:tc>
          <w:tcPr>
            <w:tcW w:w="0" w:type="auto"/>
            <w:gridSpan w:val="3"/>
            <w:shd w:val="clear" w:color="auto" w:fill="auto"/>
            <w:tcMar>
              <w:top w:w="40" w:type="dxa"/>
              <w:left w:w="20" w:type="dxa"/>
              <w:bottom w:w="40" w:type="dxa"/>
              <w:right w:w="20" w:type="dxa"/>
            </w:tcMar>
          </w:tcPr>
          <w:p w14:paraId="7DD02321" w14:textId="77777777" w:rsidR="00C1563E" w:rsidRDefault="000B648B">
            <w:pPr>
              <w:jc w:val="right"/>
              <w:textAlignment w:val="top"/>
            </w:pPr>
            <w:hyperlink r:id="rId510" w:history="1">
              <w:r>
                <w:rPr>
                  <w:rStyle w:val="a5"/>
                  <w:rFonts w:ascii="Times New Roman" w:eastAsia="宋体" w:hAnsi="Times New Roman"/>
                  <w:sz w:val="20"/>
                  <w:szCs w:val="20"/>
                </w:rPr>
                <w:t>10.9*</w:t>
              </w:r>
            </w:hyperlink>
          </w:p>
        </w:tc>
        <w:tc>
          <w:tcPr>
            <w:tcW w:w="0" w:type="auto"/>
            <w:gridSpan w:val="3"/>
            <w:shd w:val="clear" w:color="auto" w:fill="auto"/>
            <w:tcMar>
              <w:top w:w="0" w:type="dxa"/>
              <w:left w:w="20" w:type="dxa"/>
              <w:bottom w:w="0" w:type="dxa"/>
              <w:right w:w="20" w:type="dxa"/>
            </w:tcMar>
          </w:tcPr>
          <w:p w14:paraId="7DD0232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23" w14:textId="77777777" w:rsidR="00C1563E" w:rsidRDefault="000B648B">
            <w:pPr>
              <w:textAlignment w:val="top"/>
            </w:pPr>
            <w:hyperlink r:id="rId511" w:history="1">
              <w:r>
                <w:rPr>
                  <w:rStyle w:val="a5"/>
                  <w:rFonts w:ascii="Times New Roman" w:eastAsia="宋体" w:hAnsi="Times New Roman"/>
                  <w:sz w:val="20"/>
                  <w:szCs w:val="20"/>
                </w:rPr>
                <w:t>Protection of Sensitive Information, Noncompetition and Nonsolicitation Agreement, dated March 19, 2015, between Dell Inc. and Rory P. Read (incorporated by refere</w:t>
              </w:r>
              <w:r>
                <w:rPr>
                  <w:rStyle w:val="a5"/>
                  <w:rFonts w:ascii="Times New Roman" w:eastAsia="宋体" w:hAnsi="Times New Roman"/>
                  <w:sz w:val="20"/>
                  <w:szCs w:val="20"/>
                </w:rPr>
                <w:t>nce to Exhibit 10.15 to Amendment No. 3 to the Company’s 2016 Form S-4 filed with the Commission on April 11, 2016) (Registration No. 333-208524).</w:t>
              </w:r>
            </w:hyperlink>
          </w:p>
        </w:tc>
      </w:tr>
      <w:tr w:rsidR="00C1563E" w14:paraId="7DD02328" w14:textId="77777777">
        <w:trPr>
          <w:jc w:val="center"/>
        </w:trPr>
        <w:tc>
          <w:tcPr>
            <w:tcW w:w="0" w:type="auto"/>
            <w:gridSpan w:val="3"/>
            <w:shd w:val="clear" w:color="auto" w:fill="auto"/>
            <w:tcMar>
              <w:top w:w="40" w:type="dxa"/>
              <w:left w:w="20" w:type="dxa"/>
              <w:bottom w:w="40" w:type="dxa"/>
              <w:right w:w="20" w:type="dxa"/>
            </w:tcMar>
          </w:tcPr>
          <w:p w14:paraId="7DD02325" w14:textId="77777777" w:rsidR="00C1563E" w:rsidRDefault="000B648B">
            <w:pPr>
              <w:jc w:val="right"/>
              <w:textAlignment w:val="top"/>
            </w:pPr>
            <w:hyperlink r:id="rId512" w:history="1">
              <w:r>
                <w:rPr>
                  <w:rStyle w:val="a5"/>
                  <w:rFonts w:ascii="Times New Roman" w:eastAsia="宋体" w:hAnsi="Times New Roman"/>
                  <w:sz w:val="20"/>
                  <w:szCs w:val="20"/>
                </w:rPr>
                <w:t>10.10*</w:t>
              </w:r>
            </w:hyperlink>
          </w:p>
        </w:tc>
        <w:tc>
          <w:tcPr>
            <w:tcW w:w="0" w:type="auto"/>
            <w:gridSpan w:val="3"/>
            <w:shd w:val="clear" w:color="auto" w:fill="auto"/>
            <w:tcMar>
              <w:top w:w="0" w:type="dxa"/>
              <w:left w:w="20" w:type="dxa"/>
              <w:bottom w:w="0" w:type="dxa"/>
              <w:right w:w="20" w:type="dxa"/>
            </w:tcMar>
          </w:tcPr>
          <w:p w14:paraId="7DD0232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27" w14:textId="77777777" w:rsidR="00C1563E" w:rsidRDefault="000B648B">
            <w:pPr>
              <w:textAlignment w:val="top"/>
            </w:pPr>
            <w:hyperlink r:id="rId513" w:history="1">
              <w:r>
                <w:rPr>
                  <w:rStyle w:val="a5"/>
                  <w:rFonts w:ascii="Times New Roman" w:eastAsia="宋体" w:hAnsi="Times New Roman"/>
                  <w:sz w:val="20"/>
                  <w:szCs w:val="20"/>
                </w:rPr>
                <w:t xml:space="preserve">Form of Protection of Sensitive Information, Noncompetition and Nonsolicitation Agreement (incorporated by reference to Exhibit 10.16 to Amendment No. 3 </w:t>
              </w:r>
              <w:r>
                <w:rPr>
                  <w:rStyle w:val="a5"/>
                  <w:rFonts w:ascii="Times New Roman" w:eastAsia="宋体" w:hAnsi="Times New Roman"/>
                  <w:sz w:val="20"/>
                  <w:szCs w:val="20"/>
                </w:rPr>
                <w:t>to the Company’s 2016 Form S-4 filed with the Commission on April 11, 2016) (Registration No. 333-208524).</w:t>
              </w:r>
            </w:hyperlink>
          </w:p>
        </w:tc>
      </w:tr>
      <w:tr w:rsidR="00C1563E" w14:paraId="7DD0232C" w14:textId="77777777">
        <w:trPr>
          <w:jc w:val="center"/>
        </w:trPr>
        <w:tc>
          <w:tcPr>
            <w:tcW w:w="0" w:type="auto"/>
            <w:gridSpan w:val="3"/>
            <w:shd w:val="clear" w:color="auto" w:fill="auto"/>
            <w:tcMar>
              <w:top w:w="40" w:type="dxa"/>
              <w:left w:w="20" w:type="dxa"/>
              <w:bottom w:w="40" w:type="dxa"/>
              <w:right w:w="20" w:type="dxa"/>
            </w:tcMar>
          </w:tcPr>
          <w:p w14:paraId="7DD02329" w14:textId="77777777" w:rsidR="00C1563E" w:rsidRDefault="000B648B">
            <w:pPr>
              <w:jc w:val="right"/>
              <w:textAlignment w:val="top"/>
            </w:pPr>
            <w:hyperlink r:id="rId514" w:history="1">
              <w:r>
                <w:rPr>
                  <w:rStyle w:val="a5"/>
                  <w:rFonts w:ascii="Times New Roman" w:eastAsia="宋体" w:hAnsi="Times New Roman"/>
                  <w:sz w:val="20"/>
                  <w:szCs w:val="20"/>
                </w:rPr>
                <w:t>10.11*</w:t>
              </w:r>
            </w:hyperlink>
          </w:p>
        </w:tc>
        <w:tc>
          <w:tcPr>
            <w:tcW w:w="0" w:type="auto"/>
            <w:gridSpan w:val="3"/>
            <w:shd w:val="clear" w:color="auto" w:fill="auto"/>
            <w:tcMar>
              <w:top w:w="0" w:type="dxa"/>
              <w:left w:w="20" w:type="dxa"/>
              <w:bottom w:w="0" w:type="dxa"/>
              <w:right w:w="20" w:type="dxa"/>
            </w:tcMar>
          </w:tcPr>
          <w:p w14:paraId="7DD0232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2B" w14:textId="77777777" w:rsidR="00C1563E" w:rsidRDefault="000B648B">
            <w:pPr>
              <w:textAlignment w:val="top"/>
            </w:pPr>
            <w:hyperlink r:id="rId515" w:history="1">
              <w:r>
                <w:rPr>
                  <w:rStyle w:val="a5"/>
                  <w:rFonts w:ascii="Times New Roman" w:eastAsia="宋体" w:hAnsi="Times New Roman"/>
                  <w:sz w:val="20"/>
                  <w:szCs w:val="20"/>
                </w:rPr>
                <w:t>Form of Dell Technologies Inc. Deferred Cash Award Agreement (incorporated by reference to Exhibit 10.26 to the Company’s Annual Report on Form 10-K for the fiscal year ended February 3,</w:t>
              </w:r>
              <w:r>
                <w:rPr>
                  <w:rStyle w:val="a5"/>
                  <w:rFonts w:ascii="Times New Roman" w:eastAsia="宋体" w:hAnsi="Times New Roman"/>
                  <w:sz w:val="20"/>
                  <w:szCs w:val="20"/>
                </w:rPr>
                <w:t xml:space="preserve"> 2017) (Commission File No. 001-37867).</w:t>
              </w:r>
            </w:hyperlink>
          </w:p>
        </w:tc>
      </w:tr>
      <w:tr w:rsidR="00C1563E" w14:paraId="7DD02330" w14:textId="77777777">
        <w:trPr>
          <w:jc w:val="center"/>
        </w:trPr>
        <w:tc>
          <w:tcPr>
            <w:tcW w:w="0" w:type="auto"/>
            <w:gridSpan w:val="3"/>
            <w:shd w:val="clear" w:color="auto" w:fill="auto"/>
            <w:tcMar>
              <w:top w:w="40" w:type="dxa"/>
              <w:left w:w="20" w:type="dxa"/>
              <w:bottom w:w="40" w:type="dxa"/>
              <w:right w:w="20" w:type="dxa"/>
            </w:tcMar>
          </w:tcPr>
          <w:p w14:paraId="7DD0232D" w14:textId="77777777" w:rsidR="00C1563E" w:rsidRDefault="000B648B">
            <w:pPr>
              <w:jc w:val="right"/>
              <w:textAlignment w:val="top"/>
            </w:pPr>
            <w:hyperlink r:id="rId516" w:history="1">
              <w:r>
                <w:rPr>
                  <w:rStyle w:val="a5"/>
                  <w:rFonts w:ascii="Times New Roman" w:eastAsia="宋体" w:hAnsi="Times New Roman"/>
                  <w:sz w:val="20"/>
                  <w:szCs w:val="20"/>
                </w:rPr>
                <w:t>10.12</w:t>
              </w:r>
            </w:hyperlink>
          </w:p>
        </w:tc>
        <w:tc>
          <w:tcPr>
            <w:tcW w:w="0" w:type="auto"/>
            <w:gridSpan w:val="3"/>
            <w:shd w:val="clear" w:color="auto" w:fill="auto"/>
            <w:tcMar>
              <w:top w:w="0" w:type="dxa"/>
              <w:left w:w="20" w:type="dxa"/>
              <w:bottom w:w="0" w:type="dxa"/>
              <w:right w:w="20" w:type="dxa"/>
            </w:tcMar>
          </w:tcPr>
          <w:p w14:paraId="7DD0232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2F" w14:textId="77777777" w:rsidR="00C1563E" w:rsidRDefault="000B648B">
            <w:pPr>
              <w:textAlignment w:val="top"/>
            </w:pPr>
            <w:hyperlink r:id="rId517" w:history="1">
              <w:r>
                <w:rPr>
                  <w:rStyle w:val="a5"/>
                  <w:rFonts w:ascii="Times New Roman" w:eastAsia="宋体" w:hAnsi="Times New Roman"/>
                  <w:sz w:val="20"/>
                  <w:szCs w:val="20"/>
                </w:rPr>
                <w:t>Amended and Restated Master Transaction Agreement among EMC Corporation, Dell Technologies Inc. and VMware, Inc. dated January 9, 2018 (incorporated by reference to Exhibit 10.1 to VMware, Inc.’s Annual Report on Form 10-K for the fiscal year ended Feb</w:t>
              </w:r>
              <w:r>
                <w:rPr>
                  <w:rStyle w:val="a5"/>
                  <w:rFonts w:ascii="Times New Roman" w:eastAsia="宋体" w:hAnsi="Times New Roman"/>
                  <w:sz w:val="20"/>
                  <w:szCs w:val="20"/>
                </w:rPr>
                <w:t>ruary 2, 2018) (Commission File No. 001-33622).</w:t>
              </w:r>
            </w:hyperlink>
          </w:p>
        </w:tc>
      </w:tr>
      <w:tr w:rsidR="00C1563E" w14:paraId="7DD02334" w14:textId="77777777">
        <w:trPr>
          <w:jc w:val="center"/>
        </w:trPr>
        <w:tc>
          <w:tcPr>
            <w:tcW w:w="0" w:type="auto"/>
            <w:gridSpan w:val="3"/>
            <w:shd w:val="clear" w:color="auto" w:fill="auto"/>
            <w:tcMar>
              <w:top w:w="40" w:type="dxa"/>
              <w:left w:w="20" w:type="dxa"/>
              <w:bottom w:w="40" w:type="dxa"/>
              <w:right w:w="20" w:type="dxa"/>
            </w:tcMar>
          </w:tcPr>
          <w:p w14:paraId="7DD02331" w14:textId="77777777" w:rsidR="00C1563E" w:rsidRDefault="000B648B">
            <w:pPr>
              <w:jc w:val="right"/>
              <w:textAlignment w:val="top"/>
            </w:pPr>
            <w:hyperlink r:id="rId518" w:history="1">
              <w:r>
                <w:rPr>
                  <w:rStyle w:val="a5"/>
                  <w:rFonts w:ascii="Times New Roman" w:eastAsia="宋体" w:hAnsi="Times New Roman"/>
                  <w:sz w:val="20"/>
                  <w:szCs w:val="20"/>
                </w:rPr>
                <w:t>10.13</w:t>
              </w:r>
            </w:hyperlink>
          </w:p>
        </w:tc>
        <w:tc>
          <w:tcPr>
            <w:tcW w:w="0" w:type="auto"/>
            <w:gridSpan w:val="3"/>
            <w:shd w:val="clear" w:color="auto" w:fill="auto"/>
            <w:tcMar>
              <w:top w:w="0" w:type="dxa"/>
              <w:left w:w="20" w:type="dxa"/>
              <w:bottom w:w="0" w:type="dxa"/>
              <w:right w:w="20" w:type="dxa"/>
            </w:tcMar>
          </w:tcPr>
          <w:p w14:paraId="7DD0233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33" w14:textId="77777777" w:rsidR="00C1563E" w:rsidRDefault="000B648B">
            <w:pPr>
              <w:textAlignment w:val="top"/>
            </w:pPr>
            <w:hyperlink r:id="rId519" w:history="1">
              <w:r>
                <w:rPr>
                  <w:rStyle w:val="a5"/>
                  <w:rFonts w:ascii="Times New Roman" w:eastAsia="宋体" w:hAnsi="Times New Roman"/>
                  <w:sz w:val="20"/>
                  <w:szCs w:val="20"/>
                </w:rPr>
                <w:t>Credit Agreement, dated as of September 7, 2016, among Denali Intermediate Inc., Dell Inc., Dell International L.L.C., New Dell International LLC, Universal Ac</w:t>
              </w:r>
              <w:r>
                <w:rPr>
                  <w:rStyle w:val="a5"/>
                  <w:rFonts w:ascii="Times New Roman" w:eastAsia="宋体" w:hAnsi="Times New Roman"/>
                  <w:sz w:val="20"/>
                  <w:szCs w:val="20"/>
                </w:rPr>
                <w:t>quisition Co., EMC Corporation, the issuing banks and lenders party thereto, Credit Suisse AG, Cayman Islands Branch, as Term Loan B Administrative Agent and Collateral Agent, JPMorgan Chase Bank, N A., as Term Loan A/Revolver Administrative Agent and Swin</w:t>
              </w:r>
              <w:r>
                <w:rPr>
                  <w:rStyle w:val="a5"/>
                  <w:rFonts w:ascii="Times New Roman" w:eastAsia="宋体" w:hAnsi="Times New Roman"/>
                  <w:sz w:val="20"/>
                  <w:szCs w:val="20"/>
                </w:rPr>
                <w:t>gline Lender (incorporated by reference to Exhibit 10.1 to the Company’s Current Report on Form 8-K filed with the Commission on September 9, 2016) (Commission File No. 001-37867).</w:t>
              </w:r>
            </w:hyperlink>
          </w:p>
        </w:tc>
      </w:tr>
      <w:tr w:rsidR="00C1563E" w14:paraId="7DD02338" w14:textId="77777777">
        <w:trPr>
          <w:jc w:val="center"/>
        </w:trPr>
        <w:tc>
          <w:tcPr>
            <w:tcW w:w="0" w:type="auto"/>
            <w:gridSpan w:val="3"/>
            <w:shd w:val="clear" w:color="auto" w:fill="auto"/>
            <w:tcMar>
              <w:top w:w="40" w:type="dxa"/>
              <w:left w:w="20" w:type="dxa"/>
              <w:bottom w:w="40" w:type="dxa"/>
              <w:right w:w="20" w:type="dxa"/>
            </w:tcMar>
          </w:tcPr>
          <w:p w14:paraId="7DD02335" w14:textId="77777777" w:rsidR="00C1563E" w:rsidRDefault="000B648B">
            <w:pPr>
              <w:jc w:val="right"/>
              <w:textAlignment w:val="top"/>
            </w:pPr>
            <w:hyperlink r:id="rId520" w:history="1">
              <w:r>
                <w:rPr>
                  <w:rStyle w:val="a5"/>
                  <w:rFonts w:ascii="Times New Roman" w:eastAsia="宋体" w:hAnsi="Times New Roman"/>
                  <w:sz w:val="20"/>
                  <w:szCs w:val="20"/>
                </w:rPr>
                <w:t>10.14</w:t>
              </w:r>
            </w:hyperlink>
          </w:p>
        </w:tc>
        <w:tc>
          <w:tcPr>
            <w:tcW w:w="0" w:type="auto"/>
            <w:gridSpan w:val="3"/>
            <w:shd w:val="clear" w:color="auto" w:fill="auto"/>
            <w:tcMar>
              <w:top w:w="0" w:type="dxa"/>
              <w:left w:w="20" w:type="dxa"/>
              <w:bottom w:w="0" w:type="dxa"/>
              <w:right w:w="20" w:type="dxa"/>
            </w:tcMar>
          </w:tcPr>
          <w:p w14:paraId="7DD0233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37" w14:textId="77777777" w:rsidR="00C1563E" w:rsidRDefault="000B648B">
            <w:pPr>
              <w:textAlignment w:val="top"/>
            </w:pPr>
            <w:hyperlink r:id="rId521" w:history="1">
              <w:r>
                <w:rPr>
                  <w:rStyle w:val="a5"/>
                  <w:rFonts w:ascii="Times New Roman" w:eastAsia="宋体" w:hAnsi="Times New Roman"/>
                  <w:sz w:val="20"/>
                  <w:szCs w:val="20"/>
                </w:rPr>
                <w:t>Credit Agreement, dated as of September 7, 2016, amo</w:t>
              </w:r>
              <w:r>
                <w:rPr>
                  <w:rStyle w:val="a5"/>
                  <w:rFonts w:ascii="Times New Roman" w:eastAsia="宋体" w:hAnsi="Times New Roman"/>
                  <w:sz w:val="20"/>
                  <w:szCs w:val="20"/>
                </w:rPr>
                <w:t>ng Denali Intermediate Inc., Dell Inc., Dell International L.L.C., New Dell International LLC, Universal Acquisition Co., EMC Corporation, the lenders party thereto and JPMorgan Chase Bank, N.A., as Administrative Agent (incorporated by reference to Exhibi</w:t>
              </w:r>
              <w:r>
                <w:rPr>
                  <w:rStyle w:val="a5"/>
                  <w:rFonts w:ascii="Times New Roman" w:eastAsia="宋体" w:hAnsi="Times New Roman"/>
                  <w:sz w:val="20"/>
                  <w:szCs w:val="20"/>
                </w:rPr>
                <w:t>t 10.2 to the Company’s Current Report on Form 8-K filed with the Commission on September 9, 2016) (Commission File No. 001-37867).</w:t>
              </w:r>
            </w:hyperlink>
          </w:p>
        </w:tc>
      </w:tr>
      <w:tr w:rsidR="00C1563E" w14:paraId="7DD0233C" w14:textId="77777777">
        <w:trPr>
          <w:jc w:val="center"/>
        </w:trPr>
        <w:tc>
          <w:tcPr>
            <w:tcW w:w="0" w:type="auto"/>
            <w:gridSpan w:val="3"/>
            <w:shd w:val="clear" w:color="auto" w:fill="auto"/>
            <w:tcMar>
              <w:top w:w="40" w:type="dxa"/>
              <w:left w:w="20" w:type="dxa"/>
              <w:bottom w:w="40" w:type="dxa"/>
              <w:right w:w="20" w:type="dxa"/>
            </w:tcMar>
          </w:tcPr>
          <w:p w14:paraId="7DD02339" w14:textId="77777777" w:rsidR="00C1563E" w:rsidRDefault="000B648B">
            <w:pPr>
              <w:jc w:val="right"/>
              <w:textAlignment w:val="top"/>
            </w:pPr>
            <w:hyperlink r:id="rId522" w:history="1">
              <w:r>
                <w:rPr>
                  <w:rStyle w:val="a5"/>
                  <w:rFonts w:ascii="Times New Roman" w:eastAsia="宋体" w:hAnsi="Times New Roman"/>
                  <w:sz w:val="20"/>
                  <w:szCs w:val="20"/>
                </w:rPr>
                <w:t>10.15</w:t>
              </w:r>
            </w:hyperlink>
          </w:p>
        </w:tc>
        <w:tc>
          <w:tcPr>
            <w:tcW w:w="0" w:type="auto"/>
            <w:gridSpan w:val="3"/>
            <w:shd w:val="clear" w:color="auto" w:fill="auto"/>
            <w:tcMar>
              <w:top w:w="0" w:type="dxa"/>
              <w:left w:w="20" w:type="dxa"/>
              <w:bottom w:w="0" w:type="dxa"/>
              <w:right w:w="20" w:type="dxa"/>
            </w:tcMar>
          </w:tcPr>
          <w:p w14:paraId="7DD0233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3B" w14:textId="77777777" w:rsidR="00C1563E" w:rsidRDefault="000B648B">
            <w:pPr>
              <w:textAlignment w:val="top"/>
            </w:pPr>
            <w:hyperlink r:id="rId523" w:history="1">
              <w:r>
                <w:rPr>
                  <w:rStyle w:val="a5"/>
                  <w:rFonts w:ascii="Times New Roman" w:eastAsia="宋体" w:hAnsi="Times New Roman"/>
                  <w:sz w:val="20"/>
                  <w:szCs w:val="20"/>
                </w:rPr>
                <w:t>Credit Agreement, dated as of September 7, 2016, among Universal Acquisition Co., EMC Corporation, the lenders party thereto and JPMorgan Chase Bank, N.A., as Administrativ</w:t>
              </w:r>
              <w:r>
                <w:rPr>
                  <w:rStyle w:val="a5"/>
                  <w:rFonts w:ascii="Times New Roman" w:eastAsia="宋体" w:hAnsi="Times New Roman"/>
                  <w:sz w:val="20"/>
                  <w:szCs w:val="20"/>
                </w:rPr>
                <w:t>e Agent and Collateral Agent (incorporated by reference to Exhibit 10.3 to the Company’s Current Report on Form 8-K filed with the Commission on September 9, 2016) (Commission File No. 001-37867).</w:t>
              </w:r>
            </w:hyperlink>
          </w:p>
        </w:tc>
      </w:tr>
      <w:tr w:rsidR="00C1563E" w14:paraId="7DD02340" w14:textId="77777777">
        <w:trPr>
          <w:jc w:val="center"/>
        </w:trPr>
        <w:tc>
          <w:tcPr>
            <w:tcW w:w="0" w:type="auto"/>
            <w:gridSpan w:val="3"/>
            <w:shd w:val="clear" w:color="auto" w:fill="auto"/>
            <w:tcMar>
              <w:top w:w="40" w:type="dxa"/>
              <w:left w:w="20" w:type="dxa"/>
              <w:bottom w:w="40" w:type="dxa"/>
              <w:right w:w="20" w:type="dxa"/>
            </w:tcMar>
          </w:tcPr>
          <w:p w14:paraId="7DD0233D" w14:textId="77777777" w:rsidR="00C1563E" w:rsidRDefault="000B648B">
            <w:pPr>
              <w:jc w:val="right"/>
              <w:textAlignment w:val="top"/>
            </w:pPr>
            <w:hyperlink r:id="rId524" w:history="1">
              <w:r>
                <w:rPr>
                  <w:rStyle w:val="a5"/>
                  <w:rFonts w:ascii="Times New Roman" w:eastAsia="宋体" w:hAnsi="Times New Roman"/>
                  <w:sz w:val="20"/>
                  <w:szCs w:val="20"/>
                </w:rPr>
                <w:t>10.16</w:t>
              </w:r>
            </w:hyperlink>
          </w:p>
        </w:tc>
        <w:tc>
          <w:tcPr>
            <w:tcW w:w="0" w:type="auto"/>
            <w:gridSpan w:val="3"/>
            <w:shd w:val="clear" w:color="auto" w:fill="auto"/>
            <w:tcMar>
              <w:top w:w="0" w:type="dxa"/>
              <w:left w:w="20" w:type="dxa"/>
              <w:bottom w:w="0" w:type="dxa"/>
              <w:right w:w="20" w:type="dxa"/>
            </w:tcMar>
          </w:tcPr>
          <w:p w14:paraId="7DD0233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3F" w14:textId="77777777" w:rsidR="00C1563E" w:rsidRDefault="000B648B">
            <w:pPr>
              <w:textAlignment w:val="top"/>
            </w:pPr>
            <w:hyperlink r:id="rId525" w:history="1">
              <w:r>
                <w:rPr>
                  <w:rStyle w:val="a5"/>
                  <w:rFonts w:ascii="Times New Roman" w:eastAsia="宋体" w:hAnsi="Times New Roman"/>
                  <w:sz w:val="20"/>
                  <w:szCs w:val="20"/>
                </w:rPr>
                <w:t>Credit Agreement, dated as of September 7, 2016, among Universal Acquisition Co., EMC Corporation, the lend</w:t>
              </w:r>
              <w:r>
                <w:rPr>
                  <w:rStyle w:val="a5"/>
                  <w:rFonts w:ascii="Times New Roman" w:eastAsia="宋体" w:hAnsi="Times New Roman"/>
                  <w:sz w:val="20"/>
                  <w:szCs w:val="20"/>
                </w:rPr>
                <w:t>ers party thereto and JPMorgan Chase Bank, N.A., as Administrative Agent and Collateral Agent (incorporated by reference to Exhibit 10.4 to the Company’s Current Report on Form 8-K filed with the Commission on September 9, 2016) (Commission File No. 001-37</w:t>
              </w:r>
              <w:r>
                <w:rPr>
                  <w:rStyle w:val="a5"/>
                  <w:rFonts w:ascii="Times New Roman" w:eastAsia="宋体" w:hAnsi="Times New Roman"/>
                  <w:sz w:val="20"/>
                  <w:szCs w:val="20"/>
                </w:rPr>
                <w:t>867).</w:t>
              </w:r>
            </w:hyperlink>
          </w:p>
        </w:tc>
      </w:tr>
      <w:tr w:rsidR="00C1563E" w14:paraId="7DD02344" w14:textId="77777777">
        <w:trPr>
          <w:jc w:val="center"/>
        </w:trPr>
        <w:tc>
          <w:tcPr>
            <w:tcW w:w="0" w:type="auto"/>
            <w:gridSpan w:val="3"/>
            <w:shd w:val="clear" w:color="auto" w:fill="auto"/>
            <w:tcMar>
              <w:top w:w="40" w:type="dxa"/>
              <w:left w:w="20" w:type="dxa"/>
              <w:bottom w:w="40" w:type="dxa"/>
              <w:right w:w="20" w:type="dxa"/>
            </w:tcMar>
          </w:tcPr>
          <w:p w14:paraId="7DD02341" w14:textId="77777777" w:rsidR="00C1563E" w:rsidRDefault="000B648B">
            <w:pPr>
              <w:jc w:val="right"/>
              <w:textAlignment w:val="top"/>
            </w:pPr>
            <w:hyperlink r:id="rId526" w:history="1">
              <w:r>
                <w:rPr>
                  <w:rStyle w:val="a5"/>
                  <w:rFonts w:ascii="Times New Roman" w:eastAsia="宋体" w:hAnsi="Times New Roman"/>
                  <w:sz w:val="20"/>
                  <w:szCs w:val="20"/>
                </w:rPr>
                <w:t>10.17</w:t>
              </w:r>
            </w:hyperlink>
          </w:p>
        </w:tc>
        <w:tc>
          <w:tcPr>
            <w:tcW w:w="0" w:type="auto"/>
            <w:gridSpan w:val="3"/>
            <w:shd w:val="clear" w:color="auto" w:fill="auto"/>
            <w:tcMar>
              <w:top w:w="0" w:type="dxa"/>
              <w:left w:w="20" w:type="dxa"/>
              <w:bottom w:w="0" w:type="dxa"/>
              <w:right w:w="20" w:type="dxa"/>
            </w:tcMar>
          </w:tcPr>
          <w:p w14:paraId="7DD0234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43" w14:textId="77777777" w:rsidR="00C1563E" w:rsidRDefault="000B648B">
            <w:pPr>
              <w:textAlignment w:val="top"/>
            </w:pPr>
            <w:hyperlink r:id="rId527" w:history="1">
              <w:r>
                <w:rPr>
                  <w:rStyle w:val="a5"/>
                  <w:rFonts w:ascii="Times New Roman" w:eastAsia="宋体" w:hAnsi="Times New Roman"/>
                  <w:sz w:val="20"/>
                  <w:szCs w:val="20"/>
                </w:rPr>
                <w:t>Collateral Agreement, dated as of September 7, 2016, among Dell International L.L.C., EMC Corporation, Denali Intermediate Inc., Dell Inc., the other grant</w:t>
              </w:r>
              <w:r>
                <w:rPr>
                  <w:rStyle w:val="a5"/>
                  <w:rFonts w:ascii="Times New Roman" w:eastAsia="宋体" w:hAnsi="Times New Roman"/>
                  <w:sz w:val="20"/>
                  <w:szCs w:val="20"/>
                </w:rPr>
                <w:t>ors party thereto and Credit Suisse AG, Cayman Islands Branch, as Collateral Agent (incorporated by reference to Exhibit 10.5 to the Company’s Quarterly Report on Form 10-Q for the quarterly period ended October 28, 2016) (Commission File No. 001-37867).</w:t>
              </w:r>
            </w:hyperlink>
          </w:p>
        </w:tc>
      </w:tr>
      <w:tr w:rsidR="00C1563E" w14:paraId="7DD02348" w14:textId="77777777">
        <w:trPr>
          <w:jc w:val="center"/>
        </w:trPr>
        <w:tc>
          <w:tcPr>
            <w:tcW w:w="0" w:type="auto"/>
            <w:gridSpan w:val="3"/>
            <w:shd w:val="clear" w:color="auto" w:fill="auto"/>
            <w:tcMar>
              <w:top w:w="40" w:type="dxa"/>
              <w:left w:w="20" w:type="dxa"/>
              <w:bottom w:w="40" w:type="dxa"/>
              <w:right w:w="20" w:type="dxa"/>
            </w:tcMar>
          </w:tcPr>
          <w:p w14:paraId="7DD02345" w14:textId="77777777" w:rsidR="00C1563E" w:rsidRDefault="000B648B">
            <w:pPr>
              <w:jc w:val="right"/>
              <w:textAlignment w:val="top"/>
            </w:pPr>
            <w:hyperlink r:id="rId528" w:history="1">
              <w:r>
                <w:rPr>
                  <w:rStyle w:val="a5"/>
                  <w:rFonts w:ascii="Times New Roman" w:eastAsia="宋体" w:hAnsi="Times New Roman"/>
                  <w:sz w:val="20"/>
                  <w:szCs w:val="20"/>
                </w:rPr>
                <w:t>10.18*</w:t>
              </w:r>
            </w:hyperlink>
          </w:p>
        </w:tc>
        <w:tc>
          <w:tcPr>
            <w:tcW w:w="0" w:type="auto"/>
            <w:gridSpan w:val="3"/>
            <w:shd w:val="clear" w:color="auto" w:fill="auto"/>
            <w:tcMar>
              <w:top w:w="0" w:type="dxa"/>
              <w:left w:w="20" w:type="dxa"/>
              <w:bottom w:w="0" w:type="dxa"/>
              <w:right w:w="20" w:type="dxa"/>
            </w:tcMar>
          </w:tcPr>
          <w:p w14:paraId="7DD0234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47" w14:textId="77777777" w:rsidR="00C1563E" w:rsidRDefault="000B648B">
            <w:pPr>
              <w:textAlignment w:val="top"/>
            </w:pPr>
            <w:hyperlink r:id="rId529" w:history="1">
              <w:r>
                <w:rPr>
                  <w:rStyle w:val="a5"/>
                  <w:rFonts w:ascii="Times New Roman" w:eastAsia="宋体" w:hAnsi="Times New Roman"/>
                  <w:sz w:val="20"/>
                  <w:szCs w:val="20"/>
                </w:rPr>
                <w:t>Form of Indemnification Agreement betw</w:t>
              </w:r>
              <w:r>
                <w:rPr>
                  <w:rStyle w:val="a5"/>
                  <w:rFonts w:ascii="Times New Roman" w:eastAsia="宋体" w:hAnsi="Times New Roman"/>
                  <w:sz w:val="20"/>
                  <w:szCs w:val="20"/>
                </w:rPr>
                <w:t>een the Company and each member of its Board of Directors (incorporated by reference to Exhibit 10.38 to the Company’s Annual Report on Form 10-K for the fiscal year ended February 3, 2017) (Commission File No. 001-37867).</w:t>
              </w:r>
            </w:hyperlink>
          </w:p>
        </w:tc>
      </w:tr>
      <w:tr w:rsidR="00C1563E" w14:paraId="7DD0234C" w14:textId="77777777">
        <w:trPr>
          <w:jc w:val="center"/>
        </w:trPr>
        <w:tc>
          <w:tcPr>
            <w:tcW w:w="0" w:type="auto"/>
            <w:gridSpan w:val="3"/>
            <w:shd w:val="clear" w:color="auto" w:fill="auto"/>
            <w:tcMar>
              <w:top w:w="40" w:type="dxa"/>
              <w:left w:w="20" w:type="dxa"/>
              <w:bottom w:w="40" w:type="dxa"/>
              <w:right w:w="20" w:type="dxa"/>
            </w:tcMar>
          </w:tcPr>
          <w:p w14:paraId="7DD02349" w14:textId="77777777" w:rsidR="00C1563E" w:rsidRDefault="000B648B">
            <w:pPr>
              <w:jc w:val="right"/>
              <w:textAlignment w:val="top"/>
            </w:pPr>
            <w:hyperlink r:id="rId530" w:history="1">
              <w:r>
                <w:rPr>
                  <w:rStyle w:val="a5"/>
                  <w:rFonts w:ascii="Times New Roman" w:eastAsia="宋体" w:hAnsi="Times New Roman"/>
                  <w:sz w:val="20"/>
                  <w:szCs w:val="20"/>
                </w:rPr>
                <w:t>10.19*</w:t>
              </w:r>
            </w:hyperlink>
          </w:p>
        </w:tc>
        <w:tc>
          <w:tcPr>
            <w:tcW w:w="0" w:type="auto"/>
            <w:gridSpan w:val="3"/>
            <w:shd w:val="clear" w:color="auto" w:fill="auto"/>
            <w:tcMar>
              <w:top w:w="0" w:type="dxa"/>
              <w:left w:w="20" w:type="dxa"/>
              <w:bottom w:w="0" w:type="dxa"/>
              <w:right w:w="20" w:type="dxa"/>
            </w:tcMar>
          </w:tcPr>
          <w:p w14:paraId="7DD0234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4B" w14:textId="77777777" w:rsidR="00C1563E" w:rsidRDefault="000B648B">
            <w:pPr>
              <w:textAlignment w:val="top"/>
            </w:pPr>
            <w:hyperlink r:id="rId531" w:history="1">
              <w:r>
                <w:rPr>
                  <w:rStyle w:val="a5"/>
                  <w:rFonts w:ascii="Times New Roman" w:eastAsia="宋体" w:hAnsi="Times New Roman"/>
                  <w:sz w:val="20"/>
                  <w:szCs w:val="20"/>
                </w:rPr>
                <w:t xml:space="preserve">Form of Indemnification Agreement between EMC Corporation and each of </w:t>
              </w:r>
              <w:r>
                <w:rPr>
                  <w:rStyle w:val="a5"/>
                  <w:rFonts w:ascii="Times New Roman" w:eastAsia="宋体" w:hAnsi="Times New Roman"/>
                  <w:sz w:val="20"/>
                  <w:szCs w:val="20"/>
                </w:rPr>
                <w:t>Jeremy Burton, Howard D. Elias and David I. Goulden (incorporated by reference to Exhibit 10.39 to the Company’s Annual Report on Form 10-K for the fiscal year ended February 3, 2017) (Commission File No. 001-37867).</w:t>
              </w:r>
            </w:hyperlink>
          </w:p>
        </w:tc>
      </w:tr>
      <w:tr w:rsidR="00C1563E" w14:paraId="7DD02350" w14:textId="77777777">
        <w:trPr>
          <w:jc w:val="center"/>
        </w:trPr>
        <w:tc>
          <w:tcPr>
            <w:tcW w:w="0" w:type="auto"/>
            <w:gridSpan w:val="3"/>
            <w:shd w:val="clear" w:color="auto" w:fill="auto"/>
            <w:tcMar>
              <w:top w:w="40" w:type="dxa"/>
              <w:left w:w="20" w:type="dxa"/>
              <w:bottom w:w="40" w:type="dxa"/>
              <w:right w:w="20" w:type="dxa"/>
            </w:tcMar>
          </w:tcPr>
          <w:p w14:paraId="7DD0234D" w14:textId="77777777" w:rsidR="00C1563E" w:rsidRDefault="000B648B">
            <w:pPr>
              <w:jc w:val="right"/>
              <w:textAlignment w:val="top"/>
            </w:pPr>
            <w:hyperlink r:id="rId532" w:history="1">
              <w:r>
                <w:rPr>
                  <w:rStyle w:val="a5"/>
                  <w:rFonts w:ascii="Times New Roman" w:eastAsia="宋体" w:hAnsi="Times New Roman"/>
                  <w:sz w:val="20"/>
                  <w:szCs w:val="20"/>
                </w:rPr>
                <w:t>10.20*</w:t>
              </w:r>
            </w:hyperlink>
          </w:p>
        </w:tc>
        <w:tc>
          <w:tcPr>
            <w:tcW w:w="0" w:type="auto"/>
            <w:gridSpan w:val="3"/>
            <w:shd w:val="clear" w:color="auto" w:fill="auto"/>
            <w:tcMar>
              <w:top w:w="0" w:type="dxa"/>
              <w:left w:w="20" w:type="dxa"/>
              <w:bottom w:w="0" w:type="dxa"/>
              <w:right w:w="20" w:type="dxa"/>
            </w:tcMar>
          </w:tcPr>
          <w:p w14:paraId="7DD0234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4F" w14:textId="77777777" w:rsidR="00C1563E" w:rsidRDefault="000B648B">
            <w:pPr>
              <w:textAlignment w:val="top"/>
            </w:pPr>
            <w:hyperlink r:id="rId533" w:history="1">
              <w:r>
                <w:rPr>
                  <w:rStyle w:val="a5"/>
                  <w:rFonts w:ascii="Times New Roman" w:eastAsia="宋体" w:hAnsi="Times New Roman"/>
                  <w:sz w:val="20"/>
                  <w:szCs w:val="20"/>
                </w:rPr>
                <w:t>Form of Indemnification Agreement between Dell Inc. and each of Jeffrey W. C</w:t>
              </w:r>
              <w:r>
                <w:rPr>
                  <w:rStyle w:val="a5"/>
                  <w:rFonts w:ascii="Times New Roman" w:eastAsia="宋体" w:hAnsi="Times New Roman"/>
                  <w:sz w:val="20"/>
                  <w:szCs w:val="20"/>
                </w:rPr>
                <w:t>larke, Marius Haas, Steven H. Price, Karen H. Quintos, Rory Read, Richard J. Rothberg and Thomas W. Sweet (incorporated by reference to Exhibit 10.40 to the Company’s Annual Report on Form 10-K for the fiscal year ended February 3, 2017) (Commission File N</w:t>
              </w:r>
              <w:r>
                <w:rPr>
                  <w:rStyle w:val="a5"/>
                  <w:rFonts w:ascii="Times New Roman" w:eastAsia="宋体" w:hAnsi="Times New Roman"/>
                  <w:sz w:val="20"/>
                  <w:szCs w:val="20"/>
                </w:rPr>
                <w:t>o. 001-37867).</w:t>
              </w:r>
            </w:hyperlink>
          </w:p>
        </w:tc>
      </w:tr>
      <w:tr w:rsidR="00C1563E" w14:paraId="7DD02354" w14:textId="77777777">
        <w:trPr>
          <w:jc w:val="center"/>
        </w:trPr>
        <w:tc>
          <w:tcPr>
            <w:tcW w:w="0" w:type="auto"/>
            <w:gridSpan w:val="3"/>
            <w:shd w:val="clear" w:color="auto" w:fill="auto"/>
            <w:tcMar>
              <w:top w:w="40" w:type="dxa"/>
              <w:left w:w="20" w:type="dxa"/>
              <w:bottom w:w="40" w:type="dxa"/>
              <w:right w:w="20" w:type="dxa"/>
            </w:tcMar>
          </w:tcPr>
          <w:p w14:paraId="7DD02351" w14:textId="77777777" w:rsidR="00C1563E" w:rsidRDefault="000B648B">
            <w:pPr>
              <w:jc w:val="right"/>
              <w:textAlignment w:val="top"/>
            </w:pPr>
            <w:hyperlink r:id="rId534" w:history="1">
              <w:r>
                <w:rPr>
                  <w:rStyle w:val="a5"/>
                  <w:rFonts w:ascii="Times New Roman" w:eastAsia="宋体" w:hAnsi="Times New Roman"/>
                  <w:sz w:val="20"/>
                  <w:szCs w:val="20"/>
                </w:rPr>
                <w:t>10.21*</w:t>
              </w:r>
            </w:hyperlink>
          </w:p>
        </w:tc>
        <w:tc>
          <w:tcPr>
            <w:tcW w:w="0" w:type="auto"/>
            <w:gridSpan w:val="3"/>
            <w:shd w:val="clear" w:color="auto" w:fill="auto"/>
            <w:tcMar>
              <w:top w:w="0" w:type="dxa"/>
              <w:left w:w="20" w:type="dxa"/>
              <w:bottom w:w="0" w:type="dxa"/>
              <w:right w:w="20" w:type="dxa"/>
            </w:tcMar>
          </w:tcPr>
          <w:p w14:paraId="7DD0235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53" w14:textId="77777777" w:rsidR="00C1563E" w:rsidRDefault="000B648B">
            <w:pPr>
              <w:textAlignment w:val="top"/>
            </w:pPr>
            <w:hyperlink r:id="rId535" w:history="1">
              <w:r>
                <w:rPr>
                  <w:rStyle w:val="a5"/>
                  <w:rFonts w:ascii="Times New Roman" w:eastAsia="宋体" w:hAnsi="Times New Roman"/>
                  <w:sz w:val="20"/>
                  <w:szCs w:val="20"/>
                </w:rPr>
                <w:t>Form of EMC Corporation Deferred Compensation Retirement Plan, as amended and restated, effective as of January 1, 2016 (incorporated by reference to Exhi</w:t>
              </w:r>
              <w:r>
                <w:rPr>
                  <w:rStyle w:val="a5"/>
                  <w:rFonts w:ascii="Times New Roman" w:eastAsia="宋体" w:hAnsi="Times New Roman"/>
                  <w:sz w:val="20"/>
                  <w:szCs w:val="20"/>
                </w:rPr>
                <w:t>bit 10.41 to the Company’s Annual Report on Form 10-K for the fiscal year ended February 3, 2017) (Commission File No. 001-37867).</w:t>
              </w:r>
            </w:hyperlink>
          </w:p>
        </w:tc>
      </w:tr>
    </w:tbl>
    <w:p w14:paraId="7DD02355" w14:textId="77777777" w:rsidR="00C1563E" w:rsidRDefault="00C1563E">
      <w:pPr>
        <w:jc w:val="center"/>
      </w:pPr>
    </w:p>
    <w:p w14:paraId="7DD02356" w14:textId="77777777" w:rsidR="00C1563E" w:rsidRDefault="000B648B">
      <w:pPr>
        <w:jc w:val="center"/>
      </w:pPr>
      <w:r>
        <w:rPr>
          <w:rFonts w:ascii="Times New Roman" w:eastAsia="宋体" w:hAnsi="Times New Roman"/>
          <w:color w:val="000000"/>
          <w:sz w:val="20"/>
          <w:szCs w:val="20"/>
        </w:rPr>
        <w:t>177</w:t>
      </w:r>
    </w:p>
    <w:p w14:paraId="7DD02357" w14:textId="77777777" w:rsidR="00C1563E" w:rsidRDefault="00C1563E">
      <w:pPr>
        <w:jc w:val="center"/>
      </w:pPr>
    </w:p>
    <w:p w14:paraId="7DD02358" w14:textId="77777777" w:rsidR="00C1563E" w:rsidRDefault="000B648B">
      <w:r>
        <w:pict w14:anchorId="7DD0261B">
          <v:rect id="_x0000_i1201" style="width:415.3pt;height:1.5pt" o:hralign="center" o:hrstd="t" o:hr="t" fillcolor="#a0a0a0" stroked="f"/>
        </w:pict>
      </w:r>
    </w:p>
    <w:p w14:paraId="7DD02359" w14:textId="77777777" w:rsidR="00C1563E" w:rsidRDefault="000B648B">
      <w:hyperlink r:id="rId536"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3"/>
        <w:gridCol w:w="38"/>
      </w:tblGrid>
      <w:tr w:rsidR="00C1563E" w14:paraId="7DD02363" w14:textId="77777777">
        <w:trPr>
          <w:jc w:val="center"/>
        </w:trPr>
        <w:tc>
          <w:tcPr>
            <w:tcW w:w="50" w:type="pct"/>
            <w:shd w:val="clear" w:color="auto" w:fill="auto"/>
          </w:tcPr>
          <w:p w14:paraId="7DD0235A" w14:textId="77777777" w:rsidR="00C1563E" w:rsidRDefault="00C1563E">
            <w:pPr>
              <w:rPr>
                <w:rFonts w:ascii="宋体"/>
              </w:rPr>
            </w:pPr>
          </w:p>
        </w:tc>
        <w:tc>
          <w:tcPr>
            <w:tcW w:w="595" w:type="pct"/>
            <w:shd w:val="clear" w:color="auto" w:fill="auto"/>
          </w:tcPr>
          <w:p w14:paraId="7DD0235B" w14:textId="77777777" w:rsidR="00C1563E" w:rsidRDefault="00C1563E">
            <w:pPr>
              <w:rPr>
                <w:rFonts w:ascii="宋体"/>
              </w:rPr>
            </w:pPr>
          </w:p>
        </w:tc>
        <w:tc>
          <w:tcPr>
            <w:tcW w:w="5" w:type="pct"/>
            <w:shd w:val="clear" w:color="auto" w:fill="auto"/>
          </w:tcPr>
          <w:p w14:paraId="7DD0235C" w14:textId="77777777" w:rsidR="00C1563E" w:rsidRDefault="00C1563E">
            <w:pPr>
              <w:rPr>
                <w:rFonts w:ascii="宋体"/>
              </w:rPr>
            </w:pPr>
          </w:p>
        </w:tc>
        <w:tc>
          <w:tcPr>
            <w:tcW w:w="5" w:type="pct"/>
            <w:shd w:val="clear" w:color="auto" w:fill="auto"/>
          </w:tcPr>
          <w:p w14:paraId="7DD0235D" w14:textId="77777777" w:rsidR="00C1563E" w:rsidRDefault="00C1563E">
            <w:pPr>
              <w:rPr>
                <w:rFonts w:ascii="宋体"/>
              </w:rPr>
            </w:pPr>
          </w:p>
        </w:tc>
        <w:tc>
          <w:tcPr>
            <w:tcW w:w="19" w:type="pct"/>
            <w:shd w:val="clear" w:color="auto" w:fill="auto"/>
          </w:tcPr>
          <w:p w14:paraId="7DD0235E" w14:textId="77777777" w:rsidR="00C1563E" w:rsidRDefault="00C1563E">
            <w:pPr>
              <w:rPr>
                <w:rFonts w:ascii="宋体"/>
              </w:rPr>
            </w:pPr>
          </w:p>
        </w:tc>
        <w:tc>
          <w:tcPr>
            <w:tcW w:w="5" w:type="pct"/>
            <w:shd w:val="clear" w:color="auto" w:fill="auto"/>
          </w:tcPr>
          <w:p w14:paraId="7DD0235F" w14:textId="77777777" w:rsidR="00C1563E" w:rsidRDefault="00C1563E">
            <w:pPr>
              <w:rPr>
                <w:rFonts w:ascii="宋体"/>
              </w:rPr>
            </w:pPr>
          </w:p>
        </w:tc>
        <w:tc>
          <w:tcPr>
            <w:tcW w:w="50" w:type="pct"/>
            <w:shd w:val="clear" w:color="auto" w:fill="auto"/>
          </w:tcPr>
          <w:p w14:paraId="7DD02360" w14:textId="77777777" w:rsidR="00C1563E" w:rsidRDefault="00C1563E">
            <w:pPr>
              <w:rPr>
                <w:rFonts w:ascii="宋体"/>
              </w:rPr>
            </w:pPr>
          </w:p>
        </w:tc>
        <w:tc>
          <w:tcPr>
            <w:tcW w:w="4265" w:type="pct"/>
            <w:shd w:val="clear" w:color="auto" w:fill="auto"/>
          </w:tcPr>
          <w:p w14:paraId="7DD02361" w14:textId="77777777" w:rsidR="00C1563E" w:rsidRDefault="00C1563E">
            <w:pPr>
              <w:rPr>
                <w:rFonts w:ascii="宋体"/>
              </w:rPr>
            </w:pPr>
          </w:p>
        </w:tc>
        <w:tc>
          <w:tcPr>
            <w:tcW w:w="5" w:type="pct"/>
            <w:shd w:val="clear" w:color="auto" w:fill="auto"/>
          </w:tcPr>
          <w:p w14:paraId="7DD02362" w14:textId="77777777" w:rsidR="00C1563E" w:rsidRDefault="00C1563E">
            <w:pPr>
              <w:rPr>
                <w:rFonts w:ascii="宋体"/>
              </w:rPr>
            </w:pPr>
          </w:p>
        </w:tc>
      </w:tr>
      <w:tr w:rsidR="00C1563E" w14:paraId="7DD02367" w14:textId="77777777">
        <w:trPr>
          <w:jc w:val="center"/>
        </w:trPr>
        <w:tc>
          <w:tcPr>
            <w:tcW w:w="0" w:type="auto"/>
            <w:gridSpan w:val="3"/>
            <w:shd w:val="clear" w:color="auto" w:fill="auto"/>
            <w:tcMar>
              <w:top w:w="40" w:type="dxa"/>
              <w:left w:w="20" w:type="dxa"/>
              <w:bottom w:w="40" w:type="dxa"/>
              <w:right w:w="20" w:type="dxa"/>
            </w:tcMar>
          </w:tcPr>
          <w:p w14:paraId="7DD02364" w14:textId="77777777" w:rsidR="00C1563E" w:rsidRDefault="000B648B">
            <w:pPr>
              <w:jc w:val="right"/>
              <w:textAlignment w:val="top"/>
            </w:pPr>
            <w:hyperlink r:id="rId537" w:history="1">
              <w:r>
                <w:rPr>
                  <w:rStyle w:val="a5"/>
                  <w:rFonts w:ascii="Times New Roman" w:eastAsia="宋体" w:hAnsi="Times New Roman"/>
                  <w:sz w:val="20"/>
                  <w:szCs w:val="20"/>
                </w:rPr>
                <w:t>10.22*</w:t>
              </w:r>
            </w:hyperlink>
          </w:p>
        </w:tc>
        <w:tc>
          <w:tcPr>
            <w:tcW w:w="0" w:type="auto"/>
            <w:gridSpan w:val="3"/>
            <w:shd w:val="clear" w:color="auto" w:fill="auto"/>
            <w:tcMar>
              <w:top w:w="0" w:type="dxa"/>
              <w:left w:w="20" w:type="dxa"/>
              <w:bottom w:w="0" w:type="dxa"/>
              <w:right w:w="20" w:type="dxa"/>
            </w:tcMar>
          </w:tcPr>
          <w:p w14:paraId="7DD0236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66" w14:textId="77777777" w:rsidR="00C1563E" w:rsidRDefault="000B648B">
            <w:pPr>
              <w:textAlignment w:val="top"/>
            </w:pPr>
            <w:hyperlink r:id="rId538" w:history="1">
              <w:r>
                <w:rPr>
                  <w:rStyle w:val="a5"/>
                  <w:rFonts w:ascii="Times New Roman" w:eastAsia="宋体" w:hAnsi="Times New Roman"/>
                  <w:sz w:val="20"/>
                  <w:szCs w:val="20"/>
                </w:rPr>
                <w:t xml:space="preserve">Form of Dell Deferred Compensation Plan, </w:t>
              </w:r>
              <w:r>
                <w:rPr>
                  <w:rStyle w:val="a5"/>
                  <w:rFonts w:ascii="Times New Roman" w:eastAsia="宋体" w:hAnsi="Times New Roman"/>
                  <w:sz w:val="20"/>
                  <w:szCs w:val="20"/>
                </w:rPr>
                <w:t>effective as of January 1, 2017 (incorporated by reference to Exhibit 10.42 to the Company’s Annual Report on Form 10-K for the fiscal year ended February 3, 2017) (Commission File No. 001-37867).</w:t>
              </w:r>
            </w:hyperlink>
          </w:p>
        </w:tc>
      </w:tr>
      <w:tr w:rsidR="00C1563E" w14:paraId="7DD0236B" w14:textId="77777777">
        <w:trPr>
          <w:jc w:val="center"/>
        </w:trPr>
        <w:tc>
          <w:tcPr>
            <w:tcW w:w="0" w:type="auto"/>
            <w:gridSpan w:val="3"/>
            <w:shd w:val="clear" w:color="auto" w:fill="auto"/>
            <w:tcMar>
              <w:top w:w="40" w:type="dxa"/>
              <w:left w:w="20" w:type="dxa"/>
              <w:bottom w:w="40" w:type="dxa"/>
              <w:right w:w="20" w:type="dxa"/>
            </w:tcMar>
          </w:tcPr>
          <w:p w14:paraId="7DD02368" w14:textId="77777777" w:rsidR="00C1563E" w:rsidRDefault="000B648B">
            <w:pPr>
              <w:jc w:val="right"/>
              <w:textAlignment w:val="top"/>
            </w:pPr>
            <w:hyperlink r:id="rId539" w:history="1">
              <w:r>
                <w:rPr>
                  <w:rStyle w:val="a5"/>
                  <w:rFonts w:ascii="Times New Roman" w:eastAsia="宋体" w:hAnsi="Times New Roman"/>
                  <w:sz w:val="20"/>
                  <w:szCs w:val="20"/>
                </w:rPr>
                <w:t>10.23</w:t>
              </w:r>
            </w:hyperlink>
          </w:p>
        </w:tc>
        <w:tc>
          <w:tcPr>
            <w:tcW w:w="0" w:type="auto"/>
            <w:gridSpan w:val="3"/>
            <w:shd w:val="clear" w:color="auto" w:fill="auto"/>
            <w:tcMar>
              <w:top w:w="0" w:type="dxa"/>
              <w:left w:w="20" w:type="dxa"/>
              <w:bottom w:w="0" w:type="dxa"/>
              <w:right w:w="20" w:type="dxa"/>
            </w:tcMar>
          </w:tcPr>
          <w:p w14:paraId="7DD0236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6A" w14:textId="77777777" w:rsidR="00C1563E" w:rsidRDefault="000B648B">
            <w:pPr>
              <w:textAlignment w:val="top"/>
            </w:pPr>
            <w:hyperlink r:id="rId540" w:history="1">
              <w:r>
                <w:rPr>
                  <w:rStyle w:val="a5"/>
                  <w:rFonts w:ascii="Times New Roman" w:eastAsia="宋体" w:hAnsi="Times New Roman"/>
                  <w:sz w:val="20"/>
                  <w:szCs w:val="20"/>
                </w:rPr>
                <w:t>First Refinancing and Incremental Facility Amendment</w:t>
              </w:r>
              <w:r>
                <w:rPr>
                  <w:rStyle w:val="a5"/>
                  <w:rFonts w:ascii="Times New Roman" w:eastAsia="宋体" w:hAnsi="Times New Roman"/>
                  <w:sz w:val="20"/>
                  <w:szCs w:val="20"/>
                </w:rPr>
                <w:t>, dated as of March 8, 2017, among Denali Intermediate Inc., Dell Inc., Dell International L.L.C., EMC Corporation, Credit Suisse AG, Cayman Islands Branch, as Term Loan B Administrative Agent and Collateral Agent, JPMorgan Chase Bank, N.A., as Term Loan A</w:t>
              </w:r>
              <w:r>
                <w:rPr>
                  <w:rStyle w:val="a5"/>
                  <w:rFonts w:ascii="Times New Roman" w:eastAsia="宋体" w:hAnsi="Times New Roman"/>
                  <w:sz w:val="20"/>
                  <w:szCs w:val="20"/>
                </w:rPr>
                <w:t>/Revolver Administrative Agent, and the lenders party thereto (incorporated by reference to Exhibit 10.1 to the Company’s Current Report on Form 8-K filed with the Commission on March 9, 2017) (Commission File No. 001-37867).</w:t>
              </w:r>
            </w:hyperlink>
          </w:p>
        </w:tc>
      </w:tr>
      <w:tr w:rsidR="00C1563E" w14:paraId="7DD0236F" w14:textId="77777777">
        <w:trPr>
          <w:jc w:val="center"/>
        </w:trPr>
        <w:tc>
          <w:tcPr>
            <w:tcW w:w="0" w:type="auto"/>
            <w:gridSpan w:val="3"/>
            <w:shd w:val="clear" w:color="auto" w:fill="auto"/>
            <w:tcMar>
              <w:top w:w="40" w:type="dxa"/>
              <w:left w:w="20" w:type="dxa"/>
              <w:bottom w:w="40" w:type="dxa"/>
              <w:right w:w="20" w:type="dxa"/>
            </w:tcMar>
          </w:tcPr>
          <w:p w14:paraId="7DD0236C" w14:textId="77777777" w:rsidR="00C1563E" w:rsidRDefault="000B648B">
            <w:pPr>
              <w:jc w:val="right"/>
              <w:textAlignment w:val="top"/>
            </w:pPr>
            <w:hyperlink r:id="rId541" w:history="1">
              <w:r>
                <w:rPr>
                  <w:rStyle w:val="a5"/>
                  <w:rFonts w:ascii="Times New Roman" w:eastAsia="宋体" w:hAnsi="Times New Roman"/>
                  <w:sz w:val="20"/>
                  <w:szCs w:val="20"/>
                </w:rPr>
                <w:t>10.24</w:t>
              </w:r>
            </w:hyperlink>
          </w:p>
        </w:tc>
        <w:tc>
          <w:tcPr>
            <w:tcW w:w="0" w:type="auto"/>
            <w:gridSpan w:val="3"/>
            <w:shd w:val="clear" w:color="auto" w:fill="auto"/>
            <w:tcMar>
              <w:top w:w="0" w:type="dxa"/>
              <w:left w:w="20" w:type="dxa"/>
              <w:bottom w:w="0" w:type="dxa"/>
              <w:right w:w="20" w:type="dxa"/>
            </w:tcMar>
          </w:tcPr>
          <w:p w14:paraId="7DD0236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6E" w14:textId="77777777" w:rsidR="00C1563E" w:rsidRDefault="000B648B">
            <w:pPr>
              <w:textAlignment w:val="top"/>
            </w:pPr>
            <w:hyperlink r:id="rId542" w:history="1">
              <w:r>
                <w:rPr>
                  <w:rStyle w:val="a5"/>
                  <w:rFonts w:ascii="Times New Roman" w:eastAsia="宋体" w:hAnsi="Times New Roman"/>
                  <w:sz w:val="20"/>
                  <w:szCs w:val="20"/>
                </w:rPr>
                <w:t>Second Refinancing Amendment, dated as of October 20</w:t>
              </w:r>
              <w:r>
                <w:rPr>
                  <w:rStyle w:val="a5"/>
                  <w:rFonts w:ascii="Times New Roman" w:eastAsia="宋体" w:hAnsi="Times New Roman"/>
                  <w:sz w:val="20"/>
                  <w:szCs w:val="20"/>
                </w:rPr>
                <w:t>, 2017, among Denali Intermediate Inc., Dell Inc., Dell International L.L.C., EMC Corporation, Credit Suisse AG, Cayman Islands Branch, as Term Loan B Administrative Agent and Collateral Agent, JPMorgan Chase Bank, N.A., as Term A/Revolver Administrative A</w:t>
              </w:r>
              <w:r>
                <w:rPr>
                  <w:rStyle w:val="a5"/>
                  <w:rFonts w:ascii="Times New Roman" w:eastAsia="宋体" w:hAnsi="Times New Roman"/>
                  <w:sz w:val="20"/>
                  <w:szCs w:val="20"/>
                </w:rPr>
                <w:t>gent, and the lenders party thereto (incorporated by reference to Exhibit 10.1 to the Company’s Report on Form 8-K filed with the Commission on October 24, 2017) (Commission File No. 001-37867).</w:t>
              </w:r>
            </w:hyperlink>
          </w:p>
        </w:tc>
      </w:tr>
      <w:tr w:rsidR="00C1563E" w14:paraId="7DD02373" w14:textId="77777777">
        <w:trPr>
          <w:jc w:val="center"/>
        </w:trPr>
        <w:tc>
          <w:tcPr>
            <w:tcW w:w="0" w:type="auto"/>
            <w:gridSpan w:val="3"/>
            <w:shd w:val="clear" w:color="auto" w:fill="auto"/>
            <w:tcMar>
              <w:top w:w="40" w:type="dxa"/>
              <w:left w:w="20" w:type="dxa"/>
              <w:bottom w:w="40" w:type="dxa"/>
              <w:right w:w="20" w:type="dxa"/>
            </w:tcMar>
          </w:tcPr>
          <w:p w14:paraId="7DD02370" w14:textId="77777777" w:rsidR="00C1563E" w:rsidRDefault="000B648B">
            <w:pPr>
              <w:jc w:val="right"/>
              <w:textAlignment w:val="top"/>
            </w:pPr>
            <w:hyperlink r:id="rId543" w:history="1">
              <w:r>
                <w:rPr>
                  <w:rStyle w:val="a5"/>
                  <w:rFonts w:ascii="Times New Roman" w:eastAsia="宋体" w:hAnsi="Times New Roman"/>
                  <w:sz w:val="20"/>
                  <w:szCs w:val="20"/>
                </w:rPr>
                <w:t>10.25</w:t>
              </w:r>
            </w:hyperlink>
          </w:p>
        </w:tc>
        <w:tc>
          <w:tcPr>
            <w:tcW w:w="0" w:type="auto"/>
            <w:gridSpan w:val="3"/>
            <w:shd w:val="clear" w:color="auto" w:fill="auto"/>
            <w:tcMar>
              <w:top w:w="0" w:type="dxa"/>
              <w:left w:w="20" w:type="dxa"/>
              <w:bottom w:w="0" w:type="dxa"/>
              <w:right w:w="20" w:type="dxa"/>
            </w:tcMar>
          </w:tcPr>
          <w:p w14:paraId="7DD0237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72" w14:textId="77777777" w:rsidR="00C1563E" w:rsidRDefault="000B648B">
            <w:pPr>
              <w:textAlignment w:val="top"/>
            </w:pPr>
            <w:hyperlink r:id="rId544" w:history="1">
              <w:r>
                <w:rPr>
                  <w:rStyle w:val="a5"/>
                  <w:rFonts w:ascii="Times New Roman" w:eastAsia="宋体" w:hAnsi="Times New Roman"/>
                  <w:sz w:val="20"/>
                  <w:szCs w:val="20"/>
                </w:rPr>
                <w:t xml:space="preserve">Third Refinancing Amendment, dated as of October 20, 2017, among Denali Intermediate </w:t>
              </w:r>
              <w:r>
                <w:rPr>
                  <w:rStyle w:val="a5"/>
                  <w:rFonts w:ascii="Times New Roman" w:eastAsia="宋体" w:hAnsi="Times New Roman"/>
                  <w:sz w:val="20"/>
                  <w:szCs w:val="20"/>
                </w:rPr>
                <w:t>Inc., Dell Inc., Dell International L.L.C., EMC Corporation, Credit Suisse AG, Cayman Islands Branch, as Term Loan B Administrative Agent and Collateral Agent, JPMorgan Chase Bank, N.A., as Term A/Revolver Administrative Agent, and the lenders party theret</w:t>
              </w:r>
              <w:r>
                <w:rPr>
                  <w:rStyle w:val="a5"/>
                  <w:rFonts w:ascii="Times New Roman" w:eastAsia="宋体" w:hAnsi="Times New Roman"/>
                  <w:sz w:val="20"/>
                  <w:szCs w:val="20"/>
                </w:rPr>
                <w:t>o (incorporated by reference to Exhibit 10.2 to the Company’s Report on Form 8-K filed with the Commission on October 24, 2017) (Commission File No. 001-37867).</w:t>
              </w:r>
            </w:hyperlink>
          </w:p>
        </w:tc>
      </w:tr>
      <w:tr w:rsidR="00C1563E" w14:paraId="7DD02377" w14:textId="77777777">
        <w:trPr>
          <w:jc w:val="center"/>
        </w:trPr>
        <w:tc>
          <w:tcPr>
            <w:tcW w:w="0" w:type="auto"/>
            <w:gridSpan w:val="3"/>
            <w:shd w:val="clear" w:color="auto" w:fill="auto"/>
            <w:tcMar>
              <w:top w:w="40" w:type="dxa"/>
              <w:left w:w="20" w:type="dxa"/>
              <w:bottom w:w="40" w:type="dxa"/>
              <w:right w:w="20" w:type="dxa"/>
            </w:tcMar>
          </w:tcPr>
          <w:p w14:paraId="7DD02374" w14:textId="77777777" w:rsidR="00C1563E" w:rsidRDefault="000B648B">
            <w:pPr>
              <w:jc w:val="right"/>
              <w:textAlignment w:val="top"/>
            </w:pPr>
            <w:hyperlink r:id="rId545" w:history="1">
              <w:r>
                <w:rPr>
                  <w:rStyle w:val="a5"/>
                  <w:rFonts w:ascii="Times New Roman" w:eastAsia="宋体" w:hAnsi="Times New Roman"/>
                  <w:sz w:val="20"/>
                  <w:szCs w:val="20"/>
                </w:rPr>
                <w:t>10.26*</w:t>
              </w:r>
            </w:hyperlink>
          </w:p>
        </w:tc>
        <w:tc>
          <w:tcPr>
            <w:tcW w:w="0" w:type="auto"/>
            <w:gridSpan w:val="3"/>
            <w:shd w:val="clear" w:color="auto" w:fill="auto"/>
            <w:tcMar>
              <w:top w:w="0" w:type="dxa"/>
              <w:left w:w="20" w:type="dxa"/>
              <w:bottom w:w="0" w:type="dxa"/>
              <w:right w:w="20" w:type="dxa"/>
            </w:tcMar>
          </w:tcPr>
          <w:p w14:paraId="7DD0237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76" w14:textId="77777777" w:rsidR="00C1563E" w:rsidRDefault="000B648B">
            <w:pPr>
              <w:textAlignment w:val="top"/>
            </w:pPr>
            <w:hyperlink r:id="rId546" w:history="1">
              <w:r>
                <w:rPr>
                  <w:rStyle w:val="a5"/>
                  <w:rFonts w:ascii="Times New Roman" w:eastAsia="宋体" w:hAnsi="Times New Roman"/>
                  <w:sz w:val="20"/>
                  <w:szCs w:val="20"/>
                </w:rPr>
                <w:t xml:space="preserve">Form of Protection of Sensitive Information, Noncompetition and Nonsolicitation Agreement between Dell Inc. and each of </w:t>
              </w:r>
              <w:r>
                <w:rPr>
                  <w:rStyle w:val="a5"/>
                  <w:rFonts w:ascii="Times New Roman" w:eastAsia="宋体" w:hAnsi="Times New Roman"/>
                  <w:sz w:val="20"/>
                  <w:szCs w:val="20"/>
                </w:rPr>
                <w:t>Howard D. Elias and William F. Scannell (incorporated by reference to Exhibit 10.47 to the Company’s Annual Report on Form 10-K for the fiscal year ended February 2, 2018) (Commission File No. 001-37867).</w:t>
              </w:r>
            </w:hyperlink>
          </w:p>
        </w:tc>
      </w:tr>
      <w:tr w:rsidR="00C1563E" w14:paraId="7DD0237B" w14:textId="77777777">
        <w:trPr>
          <w:jc w:val="center"/>
        </w:trPr>
        <w:tc>
          <w:tcPr>
            <w:tcW w:w="0" w:type="auto"/>
            <w:gridSpan w:val="3"/>
            <w:shd w:val="clear" w:color="auto" w:fill="auto"/>
            <w:tcMar>
              <w:top w:w="40" w:type="dxa"/>
              <w:left w:w="20" w:type="dxa"/>
              <w:bottom w:w="40" w:type="dxa"/>
              <w:right w:w="20" w:type="dxa"/>
            </w:tcMar>
          </w:tcPr>
          <w:p w14:paraId="7DD02378" w14:textId="77777777" w:rsidR="00C1563E" w:rsidRDefault="000B648B">
            <w:pPr>
              <w:jc w:val="right"/>
              <w:textAlignment w:val="top"/>
            </w:pPr>
            <w:hyperlink r:id="rId547" w:history="1">
              <w:r>
                <w:rPr>
                  <w:rStyle w:val="a5"/>
                  <w:rFonts w:ascii="Times New Roman" w:eastAsia="宋体" w:hAnsi="Times New Roman"/>
                  <w:sz w:val="20"/>
                  <w:szCs w:val="20"/>
                </w:rPr>
                <w:t>10.27*</w:t>
              </w:r>
            </w:hyperlink>
          </w:p>
        </w:tc>
        <w:tc>
          <w:tcPr>
            <w:tcW w:w="0" w:type="auto"/>
            <w:gridSpan w:val="3"/>
            <w:shd w:val="clear" w:color="auto" w:fill="auto"/>
            <w:tcMar>
              <w:top w:w="0" w:type="dxa"/>
              <w:left w:w="20" w:type="dxa"/>
              <w:bottom w:w="0" w:type="dxa"/>
              <w:right w:w="20" w:type="dxa"/>
            </w:tcMar>
          </w:tcPr>
          <w:p w14:paraId="7DD0237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7A" w14:textId="77777777" w:rsidR="00C1563E" w:rsidRDefault="000B648B">
            <w:pPr>
              <w:textAlignment w:val="top"/>
            </w:pPr>
            <w:hyperlink r:id="rId548" w:history="1">
              <w:r>
                <w:rPr>
                  <w:rStyle w:val="a5"/>
                  <w:rFonts w:ascii="Times New Roman" w:eastAsia="宋体" w:hAnsi="Times New Roman"/>
                  <w:sz w:val="20"/>
                  <w:szCs w:val="20"/>
                </w:rPr>
                <w:t>Offer Letter to Howard D. Elias, dated August 12, 2016 (incorporated by reference to Exhibit 10.49 to the Company’s Annual Report on Form 10-K for the fis</w:t>
              </w:r>
              <w:r>
                <w:rPr>
                  <w:rStyle w:val="a5"/>
                  <w:rFonts w:ascii="Times New Roman" w:eastAsia="宋体" w:hAnsi="Times New Roman"/>
                  <w:sz w:val="20"/>
                  <w:szCs w:val="20"/>
                </w:rPr>
                <w:t>cal year ended February 2, 2018) (Commission File No. 001-37867).</w:t>
              </w:r>
            </w:hyperlink>
          </w:p>
        </w:tc>
      </w:tr>
      <w:tr w:rsidR="00C1563E" w14:paraId="7DD0237F" w14:textId="77777777">
        <w:trPr>
          <w:jc w:val="center"/>
        </w:trPr>
        <w:tc>
          <w:tcPr>
            <w:tcW w:w="0" w:type="auto"/>
            <w:gridSpan w:val="3"/>
            <w:shd w:val="clear" w:color="auto" w:fill="auto"/>
            <w:tcMar>
              <w:top w:w="40" w:type="dxa"/>
              <w:left w:w="20" w:type="dxa"/>
              <w:bottom w:w="40" w:type="dxa"/>
              <w:right w:w="20" w:type="dxa"/>
            </w:tcMar>
          </w:tcPr>
          <w:p w14:paraId="7DD0237C" w14:textId="77777777" w:rsidR="00C1563E" w:rsidRDefault="000B648B">
            <w:pPr>
              <w:jc w:val="right"/>
              <w:textAlignment w:val="top"/>
            </w:pPr>
            <w:hyperlink r:id="rId549" w:history="1">
              <w:r>
                <w:rPr>
                  <w:rStyle w:val="a5"/>
                  <w:rFonts w:ascii="Times New Roman" w:eastAsia="宋体" w:hAnsi="Times New Roman"/>
                  <w:sz w:val="20"/>
                  <w:szCs w:val="20"/>
                </w:rPr>
                <w:t>10.28*</w:t>
              </w:r>
            </w:hyperlink>
          </w:p>
        </w:tc>
        <w:tc>
          <w:tcPr>
            <w:tcW w:w="0" w:type="auto"/>
            <w:gridSpan w:val="3"/>
            <w:shd w:val="clear" w:color="auto" w:fill="auto"/>
            <w:tcMar>
              <w:top w:w="0" w:type="dxa"/>
              <w:left w:w="20" w:type="dxa"/>
              <w:bottom w:w="0" w:type="dxa"/>
              <w:right w:w="20" w:type="dxa"/>
            </w:tcMar>
          </w:tcPr>
          <w:p w14:paraId="7DD0237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7E" w14:textId="77777777" w:rsidR="00C1563E" w:rsidRDefault="000B648B">
            <w:pPr>
              <w:textAlignment w:val="top"/>
            </w:pPr>
            <w:hyperlink r:id="rId550" w:history="1">
              <w:r>
                <w:rPr>
                  <w:rStyle w:val="a5"/>
                  <w:rFonts w:ascii="Times New Roman" w:eastAsia="宋体" w:hAnsi="Times New Roman"/>
                  <w:sz w:val="20"/>
                  <w:szCs w:val="20"/>
                </w:rPr>
                <w:t>Offer Letter to William F. Scannell, dated August 12, 2016 (incorporated by reference to Exhibit 10.51 to the Company’s Annual Report on Form 10-K for the fiscal year ended February 2, 2018) (Commission File No. 001-37867).</w:t>
              </w:r>
            </w:hyperlink>
          </w:p>
        </w:tc>
      </w:tr>
      <w:tr w:rsidR="00C1563E" w14:paraId="7DD02383" w14:textId="77777777">
        <w:trPr>
          <w:jc w:val="center"/>
        </w:trPr>
        <w:tc>
          <w:tcPr>
            <w:tcW w:w="0" w:type="auto"/>
            <w:gridSpan w:val="3"/>
            <w:shd w:val="clear" w:color="auto" w:fill="auto"/>
            <w:tcMar>
              <w:top w:w="40" w:type="dxa"/>
              <w:left w:w="20" w:type="dxa"/>
              <w:bottom w:w="40" w:type="dxa"/>
              <w:right w:w="20" w:type="dxa"/>
            </w:tcMar>
          </w:tcPr>
          <w:p w14:paraId="7DD02380" w14:textId="77777777" w:rsidR="00C1563E" w:rsidRDefault="000B648B">
            <w:pPr>
              <w:jc w:val="right"/>
              <w:textAlignment w:val="top"/>
            </w:pPr>
            <w:hyperlink r:id="rId551" w:history="1">
              <w:r>
                <w:rPr>
                  <w:rStyle w:val="a5"/>
                  <w:rFonts w:ascii="Times New Roman" w:eastAsia="宋体" w:hAnsi="Times New Roman"/>
                  <w:sz w:val="20"/>
                  <w:szCs w:val="20"/>
                </w:rPr>
                <w:t>10.29*</w:t>
              </w:r>
            </w:hyperlink>
          </w:p>
        </w:tc>
        <w:tc>
          <w:tcPr>
            <w:tcW w:w="0" w:type="auto"/>
            <w:gridSpan w:val="3"/>
            <w:shd w:val="clear" w:color="auto" w:fill="auto"/>
            <w:tcMar>
              <w:top w:w="0" w:type="dxa"/>
              <w:left w:w="20" w:type="dxa"/>
              <w:bottom w:w="0" w:type="dxa"/>
              <w:right w:w="20" w:type="dxa"/>
            </w:tcMar>
          </w:tcPr>
          <w:p w14:paraId="7DD0238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82" w14:textId="77777777" w:rsidR="00C1563E" w:rsidRDefault="000B648B">
            <w:pPr>
              <w:textAlignment w:val="top"/>
            </w:pPr>
            <w:hyperlink r:id="rId552" w:history="1">
              <w:r>
                <w:rPr>
                  <w:rStyle w:val="a5"/>
                  <w:rFonts w:ascii="Times New Roman" w:eastAsia="宋体" w:hAnsi="Times New Roman"/>
                  <w:sz w:val="20"/>
                  <w:szCs w:val="20"/>
                </w:rPr>
                <w:t>Form of Amended and Restated Stock Option Agreem</w:t>
              </w:r>
              <w:r>
                <w:rPr>
                  <w:rStyle w:val="a5"/>
                  <w:rFonts w:ascii="Times New Roman" w:eastAsia="宋体" w:hAnsi="Times New Roman"/>
                  <w:sz w:val="20"/>
                  <w:szCs w:val="20"/>
                </w:rPr>
                <w:t>ent-Performance Vesting Option for grants to executive officers under the Dell Technologies Inc. 2013 Stock Incentive Plan (incorporated by reference to Exhibit 10.10 to Amendment No. 2 to the Company’s Registration Statement on Form S-4 filed with the Com</w:t>
              </w:r>
              <w:r>
                <w:rPr>
                  <w:rStyle w:val="a5"/>
                  <w:rFonts w:ascii="Times New Roman" w:eastAsia="宋体" w:hAnsi="Times New Roman"/>
                  <w:sz w:val="20"/>
                  <w:szCs w:val="20"/>
                </w:rPr>
                <w:t>mission on October 4, 2018) (Registration No. 333-226618).</w:t>
              </w:r>
            </w:hyperlink>
          </w:p>
        </w:tc>
      </w:tr>
      <w:tr w:rsidR="00C1563E" w14:paraId="7DD02387" w14:textId="77777777">
        <w:trPr>
          <w:jc w:val="center"/>
        </w:trPr>
        <w:tc>
          <w:tcPr>
            <w:tcW w:w="0" w:type="auto"/>
            <w:gridSpan w:val="3"/>
            <w:shd w:val="clear" w:color="auto" w:fill="auto"/>
            <w:tcMar>
              <w:top w:w="40" w:type="dxa"/>
              <w:left w:w="20" w:type="dxa"/>
              <w:bottom w:w="40" w:type="dxa"/>
              <w:right w:w="20" w:type="dxa"/>
            </w:tcMar>
          </w:tcPr>
          <w:p w14:paraId="7DD02384" w14:textId="77777777" w:rsidR="00C1563E" w:rsidRDefault="000B648B">
            <w:pPr>
              <w:jc w:val="right"/>
              <w:textAlignment w:val="top"/>
            </w:pPr>
            <w:hyperlink r:id="rId553" w:history="1">
              <w:r>
                <w:rPr>
                  <w:rStyle w:val="a5"/>
                  <w:rFonts w:ascii="Times New Roman" w:eastAsia="宋体" w:hAnsi="Times New Roman"/>
                  <w:sz w:val="20"/>
                  <w:szCs w:val="20"/>
                </w:rPr>
                <w:t>10.30*</w:t>
              </w:r>
            </w:hyperlink>
          </w:p>
        </w:tc>
        <w:tc>
          <w:tcPr>
            <w:tcW w:w="0" w:type="auto"/>
            <w:gridSpan w:val="3"/>
            <w:shd w:val="clear" w:color="auto" w:fill="auto"/>
            <w:tcMar>
              <w:top w:w="0" w:type="dxa"/>
              <w:left w:w="20" w:type="dxa"/>
              <w:bottom w:w="0" w:type="dxa"/>
              <w:right w:w="20" w:type="dxa"/>
            </w:tcMar>
          </w:tcPr>
          <w:p w14:paraId="7DD0238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86" w14:textId="77777777" w:rsidR="00C1563E" w:rsidRDefault="000B648B">
            <w:pPr>
              <w:textAlignment w:val="top"/>
            </w:pPr>
            <w:hyperlink r:id="rId554" w:history="1">
              <w:r>
                <w:rPr>
                  <w:rStyle w:val="a5"/>
                  <w:rFonts w:ascii="Times New Roman" w:eastAsia="宋体" w:hAnsi="Times New Roman"/>
                  <w:sz w:val="20"/>
                  <w:szCs w:val="20"/>
                </w:rPr>
                <w:t>Form of Amended and Restated Stock Option Agreeme</w:t>
              </w:r>
              <w:r>
                <w:rPr>
                  <w:rStyle w:val="a5"/>
                  <w:rFonts w:ascii="Times New Roman" w:eastAsia="宋体" w:hAnsi="Times New Roman"/>
                  <w:sz w:val="20"/>
                  <w:szCs w:val="20"/>
                </w:rPr>
                <w:t>nt-Performance Vesting Option for grants to employees under the Dell Technologies Inc. 2013 Stock Incentive Plan (incorporated by reference to Exhibit 10.11 to Amendment No. 2 to the Company’s Registration Statement on Form S-4 filed with the Commission on</w:t>
              </w:r>
              <w:r>
                <w:rPr>
                  <w:rStyle w:val="a5"/>
                  <w:rFonts w:ascii="Times New Roman" w:eastAsia="宋体" w:hAnsi="Times New Roman"/>
                  <w:sz w:val="20"/>
                  <w:szCs w:val="20"/>
                </w:rPr>
                <w:t xml:space="preserve"> October 4, 2018) (Registration No. 333-226618).</w:t>
              </w:r>
            </w:hyperlink>
          </w:p>
        </w:tc>
      </w:tr>
      <w:tr w:rsidR="00C1563E" w14:paraId="7DD0238B" w14:textId="77777777">
        <w:trPr>
          <w:jc w:val="center"/>
        </w:trPr>
        <w:tc>
          <w:tcPr>
            <w:tcW w:w="0" w:type="auto"/>
            <w:gridSpan w:val="3"/>
            <w:shd w:val="clear" w:color="auto" w:fill="auto"/>
            <w:tcMar>
              <w:top w:w="40" w:type="dxa"/>
              <w:left w:w="20" w:type="dxa"/>
              <w:bottom w:w="40" w:type="dxa"/>
              <w:right w:w="20" w:type="dxa"/>
            </w:tcMar>
          </w:tcPr>
          <w:p w14:paraId="7DD02388" w14:textId="77777777" w:rsidR="00C1563E" w:rsidRDefault="000B648B">
            <w:pPr>
              <w:jc w:val="right"/>
              <w:textAlignment w:val="top"/>
            </w:pPr>
            <w:hyperlink r:id="rId555" w:history="1">
              <w:r>
                <w:rPr>
                  <w:rStyle w:val="a5"/>
                  <w:rFonts w:ascii="Times New Roman" w:eastAsia="宋体" w:hAnsi="Times New Roman"/>
                  <w:sz w:val="20"/>
                  <w:szCs w:val="20"/>
                </w:rPr>
                <w:t>10.31*</w:t>
              </w:r>
            </w:hyperlink>
          </w:p>
        </w:tc>
        <w:tc>
          <w:tcPr>
            <w:tcW w:w="0" w:type="auto"/>
            <w:gridSpan w:val="3"/>
            <w:shd w:val="clear" w:color="auto" w:fill="auto"/>
            <w:tcMar>
              <w:top w:w="0" w:type="dxa"/>
              <w:left w:w="20" w:type="dxa"/>
              <w:bottom w:w="0" w:type="dxa"/>
              <w:right w:w="20" w:type="dxa"/>
            </w:tcMar>
          </w:tcPr>
          <w:p w14:paraId="7DD0238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8A" w14:textId="77777777" w:rsidR="00C1563E" w:rsidRDefault="000B648B">
            <w:pPr>
              <w:textAlignment w:val="top"/>
            </w:pPr>
            <w:hyperlink r:id="rId556" w:history="1">
              <w:r>
                <w:rPr>
                  <w:rStyle w:val="a5"/>
                  <w:rFonts w:ascii="Times New Roman" w:eastAsia="宋体" w:hAnsi="Times New Roman"/>
                  <w:sz w:val="20"/>
                  <w:szCs w:val="20"/>
                </w:rPr>
                <w:t>Form of Amended and Restated Stock Option Agreement-Time Vesting Option for grants to executive officers under the Dell Technologies Inc. 2013 Stock Incentive Plan (incorporated by reference to Exhibit 10.12 to Amendment No. 2 to the Company’s Registra</w:t>
              </w:r>
              <w:r>
                <w:rPr>
                  <w:rStyle w:val="a5"/>
                  <w:rFonts w:ascii="Times New Roman" w:eastAsia="宋体" w:hAnsi="Times New Roman"/>
                  <w:sz w:val="20"/>
                  <w:szCs w:val="20"/>
                </w:rPr>
                <w:t>tion Statement on Form S-4 filed with the Commission on October 4, 2018) (Registration No. 333-226618).</w:t>
              </w:r>
            </w:hyperlink>
          </w:p>
        </w:tc>
      </w:tr>
      <w:tr w:rsidR="00C1563E" w14:paraId="7DD0238F" w14:textId="77777777">
        <w:trPr>
          <w:jc w:val="center"/>
        </w:trPr>
        <w:tc>
          <w:tcPr>
            <w:tcW w:w="0" w:type="auto"/>
            <w:gridSpan w:val="3"/>
            <w:shd w:val="clear" w:color="auto" w:fill="auto"/>
            <w:tcMar>
              <w:top w:w="40" w:type="dxa"/>
              <w:left w:w="20" w:type="dxa"/>
              <w:bottom w:w="40" w:type="dxa"/>
              <w:right w:w="20" w:type="dxa"/>
            </w:tcMar>
          </w:tcPr>
          <w:p w14:paraId="7DD0238C" w14:textId="77777777" w:rsidR="00C1563E" w:rsidRDefault="000B648B">
            <w:pPr>
              <w:jc w:val="right"/>
              <w:textAlignment w:val="top"/>
            </w:pPr>
            <w:hyperlink r:id="rId557" w:history="1">
              <w:r>
                <w:rPr>
                  <w:rStyle w:val="a5"/>
                  <w:rFonts w:ascii="Times New Roman" w:eastAsia="宋体" w:hAnsi="Times New Roman"/>
                  <w:sz w:val="20"/>
                  <w:szCs w:val="20"/>
                </w:rPr>
                <w:t>10.32*</w:t>
              </w:r>
            </w:hyperlink>
          </w:p>
        </w:tc>
        <w:tc>
          <w:tcPr>
            <w:tcW w:w="0" w:type="auto"/>
            <w:gridSpan w:val="3"/>
            <w:shd w:val="clear" w:color="auto" w:fill="auto"/>
            <w:tcMar>
              <w:top w:w="0" w:type="dxa"/>
              <w:left w:w="20" w:type="dxa"/>
              <w:bottom w:w="0" w:type="dxa"/>
              <w:right w:w="20" w:type="dxa"/>
            </w:tcMar>
          </w:tcPr>
          <w:p w14:paraId="7DD0238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8E" w14:textId="77777777" w:rsidR="00C1563E" w:rsidRDefault="000B648B">
            <w:pPr>
              <w:textAlignment w:val="top"/>
            </w:pPr>
            <w:hyperlink r:id="rId558" w:history="1">
              <w:r>
                <w:rPr>
                  <w:rStyle w:val="a5"/>
                  <w:rFonts w:ascii="Times New Roman" w:eastAsia="宋体" w:hAnsi="Times New Roman"/>
                  <w:sz w:val="20"/>
                  <w:szCs w:val="20"/>
                </w:rPr>
                <w:t>Form of Amended and Restated Stock Option Agreement-Time Vesting Option for grants to employees under the Dell Technologies Inc. 2013 Stock Incentive Plan (incorporated by reference to Exhibit 10.1</w:t>
              </w:r>
              <w:r>
                <w:rPr>
                  <w:rStyle w:val="a5"/>
                  <w:rFonts w:ascii="Times New Roman" w:eastAsia="宋体" w:hAnsi="Times New Roman"/>
                  <w:sz w:val="20"/>
                  <w:szCs w:val="20"/>
                </w:rPr>
                <w:t>3 to Amendment No. 2 to the Company’s Registration Statement on Form S-4 filed with the Commission on October 4, 2018) (Registration No. 333-226618).</w:t>
              </w:r>
            </w:hyperlink>
          </w:p>
        </w:tc>
      </w:tr>
      <w:tr w:rsidR="00C1563E" w14:paraId="7DD02393" w14:textId="77777777">
        <w:trPr>
          <w:jc w:val="center"/>
        </w:trPr>
        <w:tc>
          <w:tcPr>
            <w:tcW w:w="0" w:type="auto"/>
            <w:gridSpan w:val="3"/>
            <w:shd w:val="clear" w:color="auto" w:fill="auto"/>
            <w:tcMar>
              <w:top w:w="40" w:type="dxa"/>
              <w:left w:w="20" w:type="dxa"/>
              <w:bottom w:w="40" w:type="dxa"/>
              <w:right w:w="20" w:type="dxa"/>
            </w:tcMar>
          </w:tcPr>
          <w:p w14:paraId="7DD02390" w14:textId="77777777" w:rsidR="00C1563E" w:rsidRDefault="000B648B">
            <w:pPr>
              <w:jc w:val="right"/>
              <w:textAlignment w:val="top"/>
            </w:pPr>
            <w:hyperlink r:id="rId559" w:history="1">
              <w:r>
                <w:rPr>
                  <w:rStyle w:val="a5"/>
                  <w:rFonts w:ascii="Times New Roman" w:eastAsia="宋体" w:hAnsi="Times New Roman"/>
                  <w:sz w:val="20"/>
                  <w:szCs w:val="20"/>
                </w:rPr>
                <w:t>10.3</w:t>
              </w:r>
              <w:r>
                <w:rPr>
                  <w:rStyle w:val="a5"/>
                  <w:rFonts w:ascii="Times New Roman" w:eastAsia="宋体" w:hAnsi="Times New Roman"/>
                  <w:sz w:val="20"/>
                  <w:szCs w:val="20"/>
                </w:rPr>
                <w:t>3*</w:t>
              </w:r>
            </w:hyperlink>
          </w:p>
        </w:tc>
        <w:tc>
          <w:tcPr>
            <w:tcW w:w="0" w:type="auto"/>
            <w:gridSpan w:val="3"/>
            <w:shd w:val="clear" w:color="auto" w:fill="auto"/>
            <w:tcMar>
              <w:top w:w="0" w:type="dxa"/>
              <w:left w:w="20" w:type="dxa"/>
              <w:bottom w:w="0" w:type="dxa"/>
              <w:right w:w="20" w:type="dxa"/>
            </w:tcMar>
          </w:tcPr>
          <w:p w14:paraId="7DD0239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92" w14:textId="77777777" w:rsidR="00C1563E" w:rsidRDefault="000B648B">
            <w:pPr>
              <w:textAlignment w:val="top"/>
            </w:pPr>
            <w:hyperlink r:id="rId560" w:history="1">
              <w:r>
                <w:rPr>
                  <w:rStyle w:val="a5"/>
                  <w:rFonts w:ascii="Times New Roman" w:eastAsia="宋体" w:hAnsi="Times New Roman"/>
                  <w:sz w:val="20"/>
                  <w:szCs w:val="20"/>
                </w:rPr>
                <w:t xml:space="preserve">Form of Amended and Restated Dell Performance Award Agreement for grants to executive officers under the Dell Technologies Inc. 2013 Stock </w:t>
              </w:r>
              <w:r>
                <w:rPr>
                  <w:rStyle w:val="a5"/>
                  <w:rFonts w:ascii="Times New Roman" w:eastAsia="宋体" w:hAnsi="Times New Roman"/>
                  <w:sz w:val="20"/>
                  <w:szCs w:val="20"/>
                </w:rPr>
                <w:t>Incentive Plan (incorporated by reference to Exhibit 10.14 to Amendment No. 2 to the Company’s Registration Statement on Form S-4 filed with the Commission on October 4, 2018) (Registration No. 333-226618).</w:t>
              </w:r>
            </w:hyperlink>
          </w:p>
        </w:tc>
      </w:tr>
      <w:tr w:rsidR="00C1563E" w14:paraId="7DD02397" w14:textId="77777777">
        <w:trPr>
          <w:jc w:val="center"/>
        </w:trPr>
        <w:tc>
          <w:tcPr>
            <w:tcW w:w="0" w:type="auto"/>
            <w:gridSpan w:val="3"/>
            <w:shd w:val="clear" w:color="auto" w:fill="auto"/>
            <w:tcMar>
              <w:top w:w="40" w:type="dxa"/>
              <w:left w:w="20" w:type="dxa"/>
              <w:bottom w:w="40" w:type="dxa"/>
              <w:right w:w="20" w:type="dxa"/>
            </w:tcMar>
          </w:tcPr>
          <w:p w14:paraId="7DD02394" w14:textId="77777777" w:rsidR="00C1563E" w:rsidRDefault="000B648B">
            <w:pPr>
              <w:jc w:val="right"/>
              <w:textAlignment w:val="top"/>
            </w:pPr>
            <w:hyperlink r:id="rId561" w:history="1">
              <w:r>
                <w:rPr>
                  <w:rStyle w:val="a5"/>
                  <w:rFonts w:ascii="Times New Roman" w:eastAsia="宋体" w:hAnsi="Times New Roman"/>
                  <w:sz w:val="20"/>
                  <w:szCs w:val="20"/>
                </w:rPr>
                <w:t>10.34*</w:t>
              </w:r>
            </w:hyperlink>
          </w:p>
        </w:tc>
        <w:tc>
          <w:tcPr>
            <w:tcW w:w="0" w:type="auto"/>
            <w:gridSpan w:val="3"/>
            <w:shd w:val="clear" w:color="auto" w:fill="auto"/>
            <w:tcMar>
              <w:top w:w="0" w:type="dxa"/>
              <w:left w:w="20" w:type="dxa"/>
              <w:bottom w:w="0" w:type="dxa"/>
              <w:right w:w="20" w:type="dxa"/>
            </w:tcMar>
          </w:tcPr>
          <w:p w14:paraId="7DD0239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96" w14:textId="77777777" w:rsidR="00C1563E" w:rsidRDefault="000B648B">
            <w:pPr>
              <w:textAlignment w:val="top"/>
            </w:pPr>
            <w:hyperlink r:id="rId562" w:history="1">
              <w:r>
                <w:rPr>
                  <w:rStyle w:val="a5"/>
                  <w:rFonts w:ascii="Times New Roman" w:eastAsia="宋体" w:hAnsi="Times New Roman"/>
                  <w:sz w:val="20"/>
                  <w:szCs w:val="20"/>
                </w:rPr>
                <w:t>Form of Amended and Restated Dell Performance Award Agreement for grants to employees under th</w:t>
              </w:r>
              <w:r>
                <w:rPr>
                  <w:rStyle w:val="a5"/>
                  <w:rFonts w:ascii="Times New Roman" w:eastAsia="宋体" w:hAnsi="Times New Roman"/>
                  <w:sz w:val="20"/>
                  <w:szCs w:val="20"/>
                </w:rPr>
                <w:t>e Dell Technologies Inc. 2013 Stock Incentive Plan (incorporated by reference to Exhibit 10.15 to Amendment No. 2 to the Company’s Registration Statement on Form S-4 filed with the Commission on October 4, 2018) (Registration No. 333-226618).</w:t>
              </w:r>
            </w:hyperlink>
          </w:p>
        </w:tc>
      </w:tr>
      <w:tr w:rsidR="00C1563E" w14:paraId="7DD0239B" w14:textId="77777777">
        <w:trPr>
          <w:jc w:val="center"/>
        </w:trPr>
        <w:tc>
          <w:tcPr>
            <w:tcW w:w="0" w:type="auto"/>
            <w:gridSpan w:val="3"/>
            <w:shd w:val="clear" w:color="auto" w:fill="auto"/>
            <w:tcMar>
              <w:top w:w="40" w:type="dxa"/>
              <w:left w:w="20" w:type="dxa"/>
              <w:bottom w:w="40" w:type="dxa"/>
              <w:right w:w="20" w:type="dxa"/>
            </w:tcMar>
          </w:tcPr>
          <w:p w14:paraId="7DD02398" w14:textId="77777777" w:rsidR="00C1563E" w:rsidRDefault="000B648B">
            <w:pPr>
              <w:jc w:val="right"/>
              <w:textAlignment w:val="top"/>
            </w:pPr>
            <w:hyperlink r:id="rId563" w:history="1">
              <w:r>
                <w:rPr>
                  <w:rStyle w:val="a5"/>
                  <w:rFonts w:ascii="Times New Roman" w:eastAsia="宋体" w:hAnsi="Times New Roman"/>
                  <w:sz w:val="20"/>
                  <w:szCs w:val="20"/>
                </w:rPr>
                <w:t>10.35*</w:t>
              </w:r>
            </w:hyperlink>
          </w:p>
        </w:tc>
        <w:tc>
          <w:tcPr>
            <w:tcW w:w="0" w:type="auto"/>
            <w:gridSpan w:val="3"/>
            <w:shd w:val="clear" w:color="auto" w:fill="auto"/>
            <w:tcMar>
              <w:top w:w="0" w:type="dxa"/>
              <w:left w:w="20" w:type="dxa"/>
              <w:bottom w:w="0" w:type="dxa"/>
              <w:right w:w="20" w:type="dxa"/>
            </w:tcMar>
          </w:tcPr>
          <w:p w14:paraId="7DD0239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9A" w14:textId="77777777" w:rsidR="00C1563E" w:rsidRDefault="000B648B">
            <w:pPr>
              <w:textAlignment w:val="top"/>
            </w:pPr>
            <w:hyperlink r:id="rId564" w:history="1">
              <w:r>
                <w:rPr>
                  <w:rStyle w:val="a5"/>
                  <w:rFonts w:ascii="Times New Roman" w:eastAsia="宋体" w:hAnsi="Times New Roman"/>
                  <w:sz w:val="20"/>
                  <w:szCs w:val="20"/>
                </w:rPr>
                <w:t>Form of Amended and Restated Dell Time Award Agreement for grants to executive officers under the Dell Technologies Inc. 2013 Stock Incentive Plan (incorporat</w:t>
              </w:r>
              <w:r>
                <w:rPr>
                  <w:rStyle w:val="a5"/>
                  <w:rFonts w:ascii="Times New Roman" w:eastAsia="宋体" w:hAnsi="Times New Roman"/>
                  <w:sz w:val="20"/>
                  <w:szCs w:val="20"/>
                </w:rPr>
                <w:t>ed by reference to Exhibit 10.16 to Amendment No. 2 to the Company’s Registration Statement on Form S-4 filed with the Commission on October 4, 2018) (Registration No. 333-226618).</w:t>
              </w:r>
            </w:hyperlink>
          </w:p>
        </w:tc>
      </w:tr>
    </w:tbl>
    <w:p w14:paraId="7DD0239C" w14:textId="77777777" w:rsidR="00C1563E" w:rsidRDefault="00C1563E">
      <w:pPr>
        <w:jc w:val="center"/>
      </w:pPr>
    </w:p>
    <w:p w14:paraId="7DD0239D" w14:textId="77777777" w:rsidR="00C1563E" w:rsidRDefault="000B648B">
      <w:pPr>
        <w:jc w:val="center"/>
      </w:pPr>
      <w:r>
        <w:rPr>
          <w:rFonts w:ascii="Times New Roman" w:eastAsia="宋体" w:hAnsi="Times New Roman"/>
          <w:color w:val="000000"/>
          <w:sz w:val="20"/>
          <w:szCs w:val="20"/>
        </w:rPr>
        <w:t>178</w:t>
      </w:r>
    </w:p>
    <w:p w14:paraId="7DD0239E" w14:textId="77777777" w:rsidR="00C1563E" w:rsidRDefault="00C1563E">
      <w:pPr>
        <w:jc w:val="center"/>
      </w:pPr>
    </w:p>
    <w:p w14:paraId="7DD0239F" w14:textId="77777777" w:rsidR="00C1563E" w:rsidRDefault="000B648B">
      <w:r>
        <w:pict w14:anchorId="7DD0261C">
          <v:rect id="_x0000_i1202" style="width:415.3pt;height:1.5pt" o:hralign="center" o:hrstd="t" o:hr="t" fillcolor="#a0a0a0" stroked="f"/>
        </w:pict>
      </w:r>
    </w:p>
    <w:p w14:paraId="7DD023A0" w14:textId="77777777" w:rsidR="00C1563E" w:rsidRDefault="000B648B">
      <w:hyperlink r:id="rId565"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963"/>
        <w:gridCol w:w="36"/>
        <w:gridCol w:w="36"/>
        <w:gridCol w:w="36"/>
        <w:gridCol w:w="36"/>
        <w:gridCol w:w="54"/>
        <w:gridCol w:w="7084"/>
        <w:gridCol w:w="37"/>
      </w:tblGrid>
      <w:tr w:rsidR="00C1563E" w14:paraId="7DD023AA" w14:textId="77777777">
        <w:trPr>
          <w:jc w:val="center"/>
        </w:trPr>
        <w:tc>
          <w:tcPr>
            <w:tcW w:w="50" w:type="pct"/>
            <w:shd w:val="clear" w:color="auto" w:fill="auto"/>
          </w:tcPr>
          <w:p w14:paraId="7DD023A1" w14:textId="77777777" w:rsidR="00C1563E" w:rsidRDefault="00C1563E">
            <w:pPr>
              <w:rPr>
                <w:rFonts w:ascii="宋体"/>
              </w:rPr>
            </w:pPr>
          </w:p>
        </w:tc>
        <w:tc>
          <w:tcPr>
            <w:tcW w:w="595" w:type="pct"/>
            <w:shd w:val="clear" w:color="auto" w:fill="auto"/>
          </w:tcPr>
          <w:p w14:paraId="7DD023A2" w14:textId="77777777" w:rsidR="00C1563E" w:rsidRDefault="00C1563E">
            <w:pPr>
              <w:rPr>
                <w:rFonts w:ascii="宋体"/>
              </w:rPr>
            </w:pPr>
          </w:p>
        </w:tc>
        <w:tc>
          <w:tcPr>
            <w:tcW w:w="5" w:type="pct"/>
            <w:shd w:val="clear" w:color="auto" w:fill="auto"/>
          </w:tcPr>
          <w:p w14:paraId="7DD023A3" w14:textId="77777777" w:rsidR="00C1563E" w:rsidRDefault="00C1563E">
            <w:pPr>
              <w:rPr>
                <w:rFonts w:ascii="宋体"/>
              </w:rPr>
            </w:pPr>
          </w:p>
        </w:tc>
        <w:tc>
          <w:tcPr>
            <w:tcW w:w="5" w:type="pct"/>
            <w:shd w:val="clear" w:color="auto" w:fill="auto"/>
          </w:tcPr>
          <w:p w14:paraId="7DD023A4" w14:textId="77777777" w:rsidR="00C1563E" w:rsidRDefault="00C1563E">
            <w:pPr>
              <w:rPr>
                <w:rFonts w:ascii="宋体"/>
              </w:rPr>
            </w:pPr>
          </w:p>
        </w:tc>
        <w:tc>
          <w:tcPr>
            <w:tcW w:w="19" w:type="pct"/>
            <w:shd w:val="clear" w:color="auto" w:fill="auto"/>
          </w:tcPr>
          <w:p w14:paraId="7DD023A5" w14:textId="77777777" w:rsidR="00C1563E" w:rsidRDefault="00C1563E">
            <w:pPr>
              <w:rPr>
                <w:rFonts w:ascii="宋体"/>
              </w:rPr>
            </w:pPr>
          </w:p>
        </w:tc>
        <w:tc>
          <w:tcPr>
            <w:tcW w:w="5" w:type="pct"/>
            <w:shd w:val="clear" w:color="auto" w:fill="auto"/>
          </w:tcPr>
          <w:p w14:paraId="7DD023A6" w14:textId="77777777" w:rsidR="00C1563E" w:rsidRDefault="00C1563E">
            <w:pPr>
              <w:rPr>
                <w:rFonts w:ascii="宋体"/>
              </w:rPr>
            </w:pPr>
          </w:p>
        </w:tc>
        <w:tc>
          <w:tcPr>
            <w:tcW w:w="50" w:type="pct"/>
            <w:shd w:val="clear" w:color="auto" w:fill="auto"/>
          </w:tcPr>
          <w:p w14:paraId="7DD023A7" w14:textId="77777777" w:rsidR="00C1563E" w:rsidRDefault="00C1563E">
            <w:pPr>
              <w:rPr>
                <w:rFonts w:ascii="宋体"/>
              </w:rPr>
            </w:pPr>
          </w:p>
        </w:tc>
        <w:tc>
          <w:tcPr>
            <w:tcW w:w="4265" w:type="pct"/>
            <w:shd w:val="clear" w:color="auto" w:fill="auto"/>
          </w:tcPr>
          <w:p w14:paraId="7DD023A8" w14:textId="77777777" w:rsidR="00C1563E" w:rsidRDefault="00C1563E">
            <w:pPr>
              <w:rPr>
                <w:rFonts w:ascii="宋体"/>
              </w:rPr>
            </w:pPr>
          </w:p>
        </w:tc>
        <w:tc>
          <w:tcPr>
            <w:tcW w:w="5" w:type="pct"/>
            <w:shd w:val="clear" w:color="auto" w:fill="auto"/>
          </w:tcPr>
          <w:p w14:paraId="7DD023A9" w14:textId="77777777" w:rsidR="00C1563E" w:rsidRDefault="00C1563E">
            <w:pPr>
              <w:rPr>
                <w:rFonts w:ascii="宋体"/>
              </w:rPr>
            </w:pPr>
          </w:p>
        </w:tc>
      </w:tr>
      <w:tr w:rsidR="00C1563E" w14:paraId="7DD023AE" w14:textId="77777777">
        <w:trPr>
          <w:jc w:val="center"/>
        </w:trPr>
        <w:tc>
          <w:tcPr>
            <w:tcW w:w="0" w:type="auto"/>
            <w:gridSpan w:val="3"/>
            <w:shd w:val="clear" w:color="auto" w:fill="auto"/>
            <w:tcMar>
              <w:top w:w="40" w:type="dxa"/>
              <w:left w:w="20" w:type="dxa"/>
              <w:bottom w:w="40" w:type="dxa"/>
              <w:right w:w="20" w:type="dxa"/>
            </w:tcMar>
          </w:tcPr>
          <w:p w14:paraId="7DD023AB" w14:textId="77777777" w:rsidR="00C1563E" w:rsidRDefault="000B648B">
            <w:pPr>
              <w:jc w:val="right"/>
              <w:textAlignment w:val="top"/>
            </w:pPr>
            <w:hyperlink r:id="rId566" w:history="1">
              <w:r>
                <w:rPr>
                  <w:rStyle w:val="a5"/>
                  <w:rFonts w:ascii="Times New Roman" w:eastAsia="宋体" w:hAnsi="Times New Roman"/>
                  <w:sz w:val="20"/>
                  <w:szCs w:val="20"/>
                </w:rPr>
                <w:t>10.36*</w:t>
              </w:r>
            </w:hyperlink>
          </w:p>
        </w:tc>
        <w:tc>
          <w:tcPr>
            <w:tcW w:w="0" w:type="auto"/>
            <w:gridSpan w:val="3"/>
            <w:shd w:val="clear" w:color="auto" w:fill="auto"/>
            <w:tcMar>
              <w:top w:w="0" w:type="dxa"/>
              <w:left w:w="20" w:type="dxa"/>
              <w:bottom w:w="0" w:type="dxa"/>
              <w:right w:w="20" w:type="dxa"/>
            </w:tcMar>
          </w:tcPr>
          <w:p w14:paraId="7DD023A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AD" w14:textId="77777777" w:rsidR="00C1563E" w:rsidRDefault="000B648B">
            <w:pPr>
              <w:textAlignment w:val="top"/>
            </w:pPr>
            <w:hyperlink r:id="rId567" w:history="1">
              <w:r>
                <w:rPr>
                  <w:rStyle w:val="a5"/>
                  <w:rFonts w:ascii="Times New Roman" w:eastAsia="宋体" w:hAnsi="Times New Roman"/>
                  <w:sz w:val="20"/>
                  <w:szCs w:val="20"/>
                </w:rPr>
                <w:t>Form of Amended and Restated Dell Time Award Agre</w:t>
              </w:r>
              <w:r>
                <w:rPr>
                  <w:rStyle w:val="a5"/>
                  <w:rFonts w:ascii="Times New Roman" w:eastAsia="宋体" w:hAnsi="Times New Roman"/>
                  <w:sz w:val="20"/>
                  <w:szCs w:val="20"/>
                </w:rPr>
                <w:t>ement for grants to employees under the Dell Technologies Inc. 2013 Stock Incentive Plan (incorporated by reference to Exhibit 10.17 to Amendment No. 2 to the Company’s Registration Statement on Form S-4 filed with the Commission on October 4, 2018) (Regis</w:t>
              </w:r>
              <w:r>
                <w:rPr>
                  <w:rStyle w:val="a5"/>
                  <w:rFonts w:ascii="Times New Roman" w:eastAsia="宋体" w:hAnsi="Times New Roman"/>
                  <w:sz w:val="20"/>
                  <w:szCs w:val="20"/>
                </w:rPr>
                <w:t>tration No. 333-226618).</w:t>
              </w:r>
            </w:hyperlink>
          </w:p>
        </w:tc>
      </w:tr>
      <w:tr w:rsidR="00C1563E" w14:paraId="7DD023B2" w14:textId="77777777">
        <w:trPr>
          <w:jc w:val="center"/>
        </w:trPr>
        <w:tc>
          <w:tcPr>
            <w:tcW w:w="0" w:type="auto"/>
            <w:gridSpan w:val="3"/>
            <w:shd w:val="clear" w:color="auto" w:fill="auto"/>
            <w:tcMar>
              <w:top w:w="40" w:type="dxa"/>
              <w:left w:w="20" w:type="dxa"/>
              <w:bottom w:w="40" w:type="dxa"/>
              <w:right w:w="20" w:type="dxa"/>
            </w:tcMar>
          </w:tcPr>
          <w:p w14:paraId="7DD023AF" w14:textId="77777777" w:rsidR="00C1563E" w:rsidRDefault="000B648B">
            <w:pPr>
              <w:jc w:val="right"/>
              <w:textAlignment w:val="top"/>
            </w:pPr>
            <w:hyperlink r:id="rId568" w:history="1">
              <w:r>
                <w:rPr>
                  <w:rStyle w:val="a5"/>
                  <w:rFonts w:ascii="Times New Roman" w:eastAsia="宋体" w:hAnsi="Times New Roman"/>
                  <w:sz w:val="20"/>
                  <w:szCs w:val="20"/>
                </w:rPr>
                <w:t>10.37*</w:t>
              </w:r>
            </w:hyperlink>
          </w:p>
        </w:tc>
        <w:tc>
          <w:tcPr>
            <w:tcW w:w="0" w:type="auto"/>
            <w:gridSpan w:val="3"/>
            <w:shd w:val="clear" w:color="auto" w:fill="auto"/>
            <w:tcMar>
              <w:top w:w="0" w:type="dxa"/>
              <w:left w:w="20" w:type="dxa"/>
              <w:bottom w:w="0" w:type="dxa"/>
              <w:right w:w="20" w:type="dxa"/>
            </w:tcMar>
          </w:tcPr>
          <w:p w14:paraId="7DD023B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B1" w14:textId="77777777" w:rsidR="00C1563E" w:rsidRDefault="000B648B">
            <w:pPr>
              <w:textAlignment w:val="top"/>
            </w:pPr>
            <w:hyperlink r:id="rId569" w:history="1">
              <w:r>
                <w:rPr>
                  <w:rStyle w:val="a5"/>
                  <w:rFonts w:ascii="Times New Roman" w:eastAsia="宋体" w:hAnsi="Times New Roman"/>
                  <w:sz w:val="20"/>
                  <w:szCs w:val="20"/>
                </w:rPr>
                <w:t xml:space="preserve">Form of Amended and </w:t>
              </w:r>
              <w:r>
                <w:rPr>
                  <w:rStyle w:val="a5"/>
                  <w:rFonts w:ascii="Times New Roman" w:eastAsia="宋体" w:hAnsi="Times New Roman"/>
                  <w:sz w:val="20"/>
                  <w:szCs w:val="20"/>
                </w:rPr>
                <w:t xml:space="preserve">Restated Dell Deferred Time Award Agreement for Non-Employee Directors under the Dell Technologies Inc. 2013 Stock Incentive Plan (incorporated by reference to Exhibit 10.18 to Amendment No. 2 to the Company’s Registration Statement on Form S-4 filed with </w:t>
              </w:r>
              <w:r>
                <w:rPr>
                  <w:rStyle w:val="a5"/>
                  <w:rFonts w:ascii="Times New Roman" w:eastAsia="宋体" w:hAnsi="Times New Roman"/>
                  <w:sz w:val="20"/>
                  <w:szCs w:val="20"/>
                </w:rPr>
                <w:t>the Commission on October 4, 2018) (Registration No. 333-226618).</w:t>
              </w:r>
            </w:hyperlink>
          </w:p>
        </w:tc>
      </w:tr>
      <w:tr w:rsidR="00C1563E" w14:paraId="7DD023B6" w14:textId="77777777">
        <w:trPr>
          <w:jc w:val="center"/>
        </w:trPr>
        <w:tc>
          <w:tcPr>
            <w:tcW w:w="0" w:type="auto"/>
            <w:gridSpan w:val="3"/>
            <w:shd w:val="clear" w:color="auto" w:fill="auto"/>
            <w:tcMar>
              <w:top w:w="40" w:type="dxa"/>
              <w:left w:w="20" w:type="dxa"/>
              <w:bottom w:w="40" w:type="dxa"/>
              <w:right w:w="20" w:type="dxa"/>
            </w:tcMar>
          </w:tcPr>
          <w:p w14:paraId="7DD023B3" w14:textId="77777777" w:rsidR="00C1563E" w:rsidRDefault="000B648B">
            <w:pPr>
              <w:jc w:val="right"/>
              <w:textAlignment w:val="top"/>
            </w:pPr>
            <w:hyperlink r:id="rId570" w:history="1">
              <w:r>
                <w:rPr>
                  <w:rStyle w:val="a5"/>
                  <w:rFonts w:ascii="Times New Roman" w:eastAsia="宋体" w:hAnsi="Times New Roman"/>
                  <w:sz w:val="20"/>
                  <w:szCs w:val="20"/>
                </w:rPr>
                <w:t>10.38*</w:t>
              </w:r>
            </w:hyperlink>
          </w:p>
        </w:tc>
        <w:tc>
          <w:tcPr>
            <w:tcW w:w="0" w:type="auto"/>
            <w:gridSpan w:val="3"/>
            <w:shd w:val="clear" w:color="auto" w:fill="auto"/>
            <w:tcMar>
              <w:top w:w="0" w:type="dxa"/>
              <w:left w:w="20" w:type="dxa"/>
              <w:bottom w:w="0" w:type="dxa"/>
              <w:right w:w="20" w:type="dxa"/>
            </w:tcMar>
          </w:tcPr>
          <w:p w14:paraId="7DD023B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B5" w14:textId="77777777" w:rsidR="00C1563E" w:rsidRDefault="000B648B">
            <w:pPr>
              <w:textAlignment w:val="top"/>
            </w:pPr>
            <w:hyperlink r:id="rId571" w:history="1">
              <w:r>
                <w:rPr>
                  <w:rStyle w:val="a5"/>
                  <w:rFonts w:ascii="Times New Roman" w:eastAsia="宋体" w:hAnsi="Times New Roman"/>
                  <w:sz w:val="20"/>
                  <w:szCs w:val="20"/>
                </w:rPr>
                <w:t>Form of Amended and Restated Stock Option Agreement for Non-Employee Directors (Annual Grant) under the Dell Technologies Inc. 2013 Stock Incentive Plan (incorporated by reference to Exhibit 10.19 to Amendment No. 2 to the Company’s Re</w:t>
              </w:r>
              <w:r>
                <w:rPr>
                  <w:rStyle w:val="a5"/>
                  <w:rFonts w:ascii="Times New Roman" w:eastAsia="宋体" w:hAnsi="Times New Roman"/>
                  <w:sz w:val="20"/>
                  <w:szCs w:val="20"/>
                </w:rPr>
                <w:t>gistration Statement on Form S-4 filed with the Commission on October 4, 2018) (Registration No. 333-226618).</w:t>
              </w:r>
            </w:hyperlink>
          </w:p>
        </w:tc>
      </w:tr>
      <w:tr w:rsidR="00C1563E" w14:paraId="7DD023BA" w14:textId="77777777">
        <w:trPr>
          <w:jc w:val="center"/>
        </w:trPr>
        <w:tc>
          <w:tcPr>
            <w:tcW w:w="0" w:type="auto"/>
            <w:gridSpan w:val="3"/>
            <w:shd w:val="clear" w:color="auto" w:fill="auto"/>
            <w:tcMar>
              <w:top w:w="40" w:type="dxa"/>
              <w:left w:w="20" w:type="dxa"/>
              <w:bottom w:w="40" w:type="dxa"/>
              <w:right w:w="20" w:type="dxa"/>
            </w:tcMar>
          </w:tcPr>
          <w:p w14:paraId="7DD023B7" w14:textId="77777777" w:rsidR="00C1563E" w:rsidRDefault="000B648B">
            <w:pPr>
              <w:jc w:val="right"/>
              <w:textAlignment w:val="top"/>
            </w:pPr>
            <w:hyperlink r:id="rId572" w:history="1">
              <w:r>
                <w:rPr>
                  <w:rStyle w:val="a5"/>
                  <w:rFonts w:ascii="Times New Roman" w:eastAsia="宋体" w:hAnsi="Times New Roman"/>
                  <w:sz w:val="20"/>
                  <w:szCs w:val="20"/>
                </w:rPr>
                <w:t>10.39*</w:t>
              </w:r>
            </w:hyperlink>
          </w:p>
        </w:tc>
        <w:tc>
          <w:tcPr>
            <w:tcW w:w="0" w:type="auto"/>
            <w:gridSpan w:val="3"/>
            <w:shd w:val="clear" w:color="auto" w:fill="auto"/>
            <w:tcMar>
              <w:top w:w="0" w:type="dxa"/>
              <w:left w:w="20" w:type="dxa"/>
              <w:bottom w:w="0" w:type="dxa"/>
              <w:right w:w="20" w:type="dxa"/>
            </w:tcMar>
          </w:tcPr>
          <w:p w14:paraId="7DD023B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B9" w14:textId="77777777" w:rsidR="00C1563E" w:rsidRDefault="000B648B">
            <w:pPr>
              <w:textAlignment w:val="top"/>
            </w:pPr>
            <w:hyperlink r:id="rId573" w:history="1">
              <w:r>
                <w:rPr>
                  <w:rStyle w:val="a5"/>
                  <w:rFonts w:ascii="Times New Roman" w:eastAsia="宋体" w:hAnsi="Times New Roman"/>
                  <w:sz w:val="20"/>
                  <w:szCs w:val="20"/>
                </w:rPr>
                <w:t>Form of Stock Option Agreement for Non-Employee Directors (Sign-On Grant) under the Dell Technologies Inc. 2013 Stock Incentive Plan (incorporated by referenc</w:t>
              </w:r>
              <w:r>
                <w:rPr>
                  <w:rStyle w:val="a5"/>
                  <w:rFonts w:ascii="Times New Roman" w:eastAsia="宋体" w:hAnsi="Times New Roman"/>
                  <w:sz w:val="20"/>
                  <w:szCs w:val="20"/>
                </w:rPr>
                <w:t>e to Exhibit 10.20 to Amendment No. 2 to the Company’s Registration Statement on Form S-4 filed with the Commission on October 4, 2018) (Registration No. 333-226618).</w:t>
              </w:r>
            </w:hyperlink>
          </w:p>
        </w:tc>
      </w:tr>
      <w:tr w:rsidR="00C1563E" w14:paraId="7DD023BE" w14:textId="77777777">
        <w:trPr>
          <w:jc w:val="center"/>
        </w:trPr>
        <w:tc>
          <w:tcPr>
            <w:tcW w:w="0" w:type="auto"/>
            <w:gridSpan w:val="3"/>
            <w:shd w:val="clear" w:color="auto" w:fill="auto"/>
            <w:tcMar>
              <w:top w:w="40" w:type="dxa"/>
              <w:left w:w="20" w:type="dxa"/>
              <w:bottom w:w="40" w:type="dxa"/>
              <w:right w:w="20" w:type="dxa"/>
            </w:tcMar>
          </w:tcPr>
          <w:p w14:paraId="7DD023BB" w14:textId="77777777" w:rsidR="00C1563E" w:rsidRDefault="000B648B">
            <w:pPr>
              <w:jc w:val="right"/>
              <w:textAlignment w:val="top"/>
            </w:pPr>
            <w:hyperlink r:id="rId574" w:history="1">
              <w:r>
                <w:rPr>
                  <w:rStyle w:val="a5"/>
                  <w:rFonts w:ascii="Times New Roman" w:eastAsia="宋体" w:hAnsi="Times New Roman"/>
                  <w:sz w:val="20"/>
                  <w:szCs w:val="20"/>
                </w:rPr>
                <w:t>10.40*</w:t>
              </w:r>
            </w:hyperlink>
          </w:p>
        </w:tc>
        <w:tc>
          <w:tcPr>
            <w:tcW w:w="0" w:type="auto"/>
            <w:gridSpan w:val="3"/>
            <w:shd w:val="clear" w:color="auto" w:fill="auto"/>
            <w:tcMar>
              <w:top w:w="0" w:type="dxa"/>
              <w:left w:w="20" w:type="dxa"/>
              <w:bottom w:w="0" w:type="dxa"/>
              <w:right w:w="20" w:type="dxa"/>
            </w:tcMar>
          </w:tcPr>
          <w:p w14:paraId="7DD023B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BD" w14:textId="77777777" w:rsidR="00C1563E" w:rsidRDefault="000B648B">
            <w:pPr>
              <w:textAlignment w:val="top"/>
            </w:pPr>
            <w:hyperlink r:id="rId575" w:history="1">
              <w:r>
                <w:rPr>
                  <w:rStyle w:val="a5"/>
                  <w:rFonts w:ascii="Times New Roman" w:eastAsia="宋体" w:hAnsi="Times New Roman"/>
                  <w:sz w:val="20"/>
                  <w:szCs w:val="20"/>
                </w:rPr>
                <w:t>Form of Amended and Restated Stock Option Agreement for grants to executive officers (Rollover Option) under the Dell Technologies Inc</w:t>
              </w:r>
              <w:r>
                <w:rPr>
                  <w:rStyle w:val="a5"/>
                  <w:rFonts w:ascii="Times New Roman" w:eastAsia="宋体" w:hAnsi="Times New Roman"/>
                  <w:sz w:val="20"/>
                  <w:szCs w:val="20"/>
                </w:rPr>
                <w:t>. 2013 Stock Incentive Plan (incorporated by reference to Exhibit 10.21 to Amendment No. 2 to the Company’s Registration Statement on Form S-4 filed with the Commission on October 4, 2018) (Registration No. 333-226618).</w:t>
              </w:r>
            </w:hyperlink>
          </w:p>
        </w:tc>
      </w:tr>
      <w:tr w:rsidR="00C1563E" w14:paraId="7DD023C2" w14:textId="77777777">
        <w:trPr>
          <w:jc w:val="center"/>
        </w:trPr>
        <w:tc>
          <w:tcPr>
            <w:tcW w:w="0" w:type="auto"/>
            <w:gridSpan w:val="3"/>
            <w:shd w:val="clear" w:color="auto" w:fill="auto"/>
            <w:tcMar>
              <w:top w:w="40" w:type="dxa"/>
              <w:left w:w="20" w:type="dxa"/>
              <w:bottom w:w="40" w:type="dxa"/>
              <w:right w:w="20" w:type="dxa"/>
            </w:tcMar>
          </w:tcPr>
          <w:p w14:paraId="7DD023BF" w14:textId="77777777" w:rsidR="00C1563E" w:rsidRDefault="000B648B">
            <w:pPr>
              <w:jc w:val="right"/>
              <w:textAlignment w:val="top"/>
            </w:pPr>
            <w:hyperlink r:id="rId576" w:history="1">
              <w:r>
                <w:rPr>
                  <w:rStyle w:val="a5"/>
                  <w:rFonts w:ascii="Times New Roman" w:eastAsia="宋体" w:hAnsi="Times New Roman"/>
                  <w:sz w:val="20"/>
                  <w:szCs w:val="20"/>
                </w:rPr>
                <w:t>10.41</w:t>
              </w:r>
            </w:hyperlink>
          </w:p>
        </w:tc>
        <w:tc>
          <w:tcPr>
            <w:tcW w:w="0" w:type="auto"/>
            <w:gridSpan w:val="3"/>
            <w:shd w:val="clear" w:color="auto" w:fill="auto"/>
            <w:tcMar>
              <w:top w:w="0" w:type="dxa"/>
              <w:left w:w="20" w:type="dxa"/>
              <w:bottom w:w="0" w:type="dxa"/>
              <w:right w:w="20" w:type="dxa"/>
            </w:tcMar>
          </w:tcPr>
          <w:p w14:paraId="7DD023C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C1" w14:textId="77777777" w:rsidR="00C1563E" w:rsidRDefault="000B648B">
            <w:pPr>
              <w:textAlignment w:val="top"/>
            </w:pPr>
            <w:hyperlink r:id="rId577" w:history="1">
              <w:r>
                <w:rPr>
                  <w:rStyle w:val="a5"/>
                  <w:rFonts w:ascii="Times New Roman" w:eastAsia="宋体" w:hAnsi="Times New Roman"/>
                  <w:sz w:val="20"/>
                  <w:szCs w:val="20"/>
                </w:rPr>
                <w:t>Dell Technologies Inc. 201</w:t>
              </w:r>
              <w:r>
                <w:rPr>
                  <w:rStyle w:val="a5"/>
                  <w:rFonts w:ascii="Times New Roman" w:eastAsia="宋体" w:hAnsi="Times New Roman"/>
                  <w:sz w:val="20"/>
                  <w:szCs w:val="20"/>
                </w:rPr>
                <w:t>3 Stock Incentive Plan (as amended and restated as of July 9, 2019) (incorporated by reference to Exhibit 10.1 to the Company’s Current Report on Form 8-K filed with the Commission on July 11, 2019) (Commission File No. 001-37867).</w:t>
              </w:r>
            </w:hyperlink>
          </w:p>
        </w:tc>
      </w:tr>
      <w:tr w:rsidR="00C1563E" w14:paraId="7DD023C6" w14:textId="77777777">
        <w:trPr>
          <w:jc w:val="center"/>
        </w:trPr>
        <w:tc>
          <w:tcPr>
            <w:tcW w:w="0" w:type="auto"/>
            <w:gridSpan w:val="3"/>
            <w:shd w:val="clear" w:color="auto" w:fill="auto"/>
            <w:tcMar>
              <w:top w:w="40" w:type="dxa"/>
              <w:left w:w="20" w:type="dxa"/>
              <w:bottom w:w="40" w:type="dxa"/>
              <w:right w:w="20" w:type="dxa"/>
            </w:tcMar>
          </w:tcPr>
          <w:p w14:paraId="7DD023C3" w14:textId="77777777" w:rsidR="00C1563E" w:rsidRDefault="000B648B">
            <w:pPr>
              <w:jc w:val="right"/>
              <w:textAlignment w:val="top"/>
            </w:pPr>
            <w:hyperlink r:id="rId578" w:history="1">
              <w:r>
                <w:rPr>
                  <w:rStyle w:val="a5"/>
                  <w:rFonts w:ascii="Times New Roman" w:eastAsia="宋体" w:hAnsi="Times New Roman"/>
                  <w:sz w:val="20"/>
                  <w:szCs w:val="20"/>
                </w:rPr>
                <w:t>10.42</w:t>
              </w:r>
            </w:hyperlink>
          </w:p>
        </w:tc>
        <w:tc>
          <w:tcPr>
            <w:tcW w:w="0" w:type="auto"/>
            <w:gridSpan w:val="3"/>
            <w:shd w:val="clear" w:color="auto" w:fill="auto"/>
            <w:tcMar>
              <w:top w:w="0" w:type="dxa"/>
              <w:left w:w="20" w:type="dxa"/>
              <w:bottom w:w="0" w:type="dxa"/>
              <w:right w:w="20" w:type="dxa"/>
            </w:tcMar>
          </w:tcPr>
          <w:p w14:paraId="7DD023C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C5" w14:textId="77777777" w:rsidR="00C1563E" w:rsidRDefault="000B648B">
            <w:pPr>
              <w:textAlignment w:val="top"/>
            </w:pPr>
            <w:hyperlink r:id="rId579" w:history="1">
              <w:r>
                <w:rPr>
                  <w:rStyle w:val="a5"/>
                  <w:rFonts w:ascii="Times New Roman" w:eastAsia="宋体" w:hAnsi="Times New Roman"/>
                  <w:sz w:val="20"/>
                  <w:szCs w:val="20"/>
                </w:rPr>
                <w:t>Amended and Restated Dell Technologies Inc. Compensation Program</w:t>
              </w:r>
              <w:r>
                <w:rPr>
                  <w:rStyle w:val="a5"/>
                  <w:rFonts w:ascii="Times New Roman" w:eastAsia="宋体" w:hAnsi="Times New Roman"/>
                  <w:sz w:val="20"/>
                  <w:szCs w:val="20"/>
                </w:rPr>
                <w:t xml:space="preserve"> for Independent Non-Employee Directors (incorporated by reference to Exhibit 10.1 to the Company’s Quarterly Report on Form 10-Q for the quarterly period ended October 30, 2020) (Commission File No. 001-37867).</w:t>
              </w:r>
            </w:hyperlink>
          </w:p>
        </w:tc>
      </w:tr>
      <w:tr w:rsidR="00C1563E" w14:paraId="7DD023CA" w14:textId="77777777">
        <w:trPr>
          <w:jc w:val="center"/>
        </w:trPr>
        <w:tc>
          <w:tcPr>
            <w:tcW w:w="0" w:type="auto"/>
            <w:gridSpan w:val="3"/>
            <w:shd w:val="clear" w:color="auto" w:fill="auto"/>
            <w:tcMar>
              <w:top w:w="40" w:type="dxa"/>
              <w:left w:w="20" w:type="dxa"/>
              <w:bottom w:w="40" w:type="dxa"/>
              <w:right w:w="20" w:type="dxa"/>
            </w:tcMar>
          </w:tcPr>
          <w:p w14:paraId="7DD023C7" w14:textId="77777777" w:rsidR="00C1563E" w:rsidRDefault="000B648B">
            <w:pPr>
              <w:jc w:val="right"/>
              <w:textAlignment w:val="top"/>
            </w:pPr>
            <w:hyperlink r:id="rId580" w:history="1">
              <w:r>
                <w:rPr>
                  <w:rStyle w:val="a5"/>
                  <w:rFonts w:ascii="Times New Roman" w:eastAsia="宋体" w:hAnsi="Times New Roman"/>
                  <w:sz w:val="20"/>
                  <w:szCs w:val="20"/>
                </w:rPr>
                <w:t>10.43</w:t>
              </w:r>
            </w:hyperlink>
          </w:p>
        </w:tc>
        <w:tc>
          <w:tcPr>
            <w:tcW w:w="0" w:type="auto"/>
            <w:gridSpan w:val="3"/>
            <w:shd w:val="clear" w:color="auto" w:fill="auto"/>
            <w:tcMar>
              <w:top w:w="0" w:type="dxa"/>
              <w:left w:w="20" w:type="dxa"/>
              <w:bottom w:w="0" w:type="dxa"/>
              <w:right w:w="20" w:type="dxa"/>
            </w:tcMar>
          </w:tcPr>
          <w:p w14:paraId="7DD023C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C9" w14:textId="77777777" w:rsidR="00C1563E" w:rsidRDefault="000B648B">
            <w:pPr>
              <w:textAlignment w:val="top"/>
            </w:pPr>
            <w:hyperlink r:id="rId581" w:history="1">
              <w:r>
                <w:rPr>
                  <w:rStyle w:val="a5"/>
                  <w:rFonts w:ascii="Times New Roman" w:eastAsia="宋体" w:hAnsi="Times New Roman"/>
                  <w:sz w:val="20"/>
                  <w:szCs w:val="20"/>
                </w:rPr>
                <w:t xml:space="preserve">Letter Agreement, dated as of July 1, 2018, between </w:t>
              </w:r>
              <w:r>
                <w:rPr>
                  <w:rStyle w:val="a5"/>
                  <w:rFonts w:ascii="Times New Roman" w:eastAsia="宋体" w:hAnsi="Times New Roman"/>
                  <w:sz w:val="20"/>
                  <w:szCs w:val="20"/>
                </w:rPr>
                <w:t>the Company and VMware, Inc. (incorporated by reference to Exhibit 10.2 to the Company’s Current Report on Form 8-K filed with the Commission on July 2, 2018) (Commission File No. 001-37867).</w:t>
              </w:r>
            </w:hyperlink>
          </w:p>
        </w:tc>
      </w:tr>
      <w:tr w:rsidR="00C1563E" w14:paraId="7DD023CE" w14:textId="77777777">
        <w:trPr>
          <w:jc w:val="center"/>
        </w:trPr>
        <w:tc>
          <w:tcPr>
            <w:tcW w:w="0" w:type="auto"/>
            <w:gridSpan w:val="3"/>
            <w:shd w:val="clear" w:color="auto" w:fill="auto"/>
            <w:tcMar>
              <w:top w:w="40" w:type="dxa"/>
              <w:left w:w="20" w:type="dxa"/>
              <w:bottom w:w="40" w:type="dxa"/>
              <w:right w:w="20" w:type="dxa"/>
            </w:tcMar>
          </w:tcPr>
          <w:p w14:paraId="7DD023CB" w14:textId="77777777" w:rsidR="00C1563E" w:rsidRDefault="000B648B">
            <w:pPr>
              <w:jc w:val="right"/>
              <w:textAlignment w:val="top"/>
            </w:pPr>
            <w:hyperlink r:id="rId582" w:history="1">
              <w:r>
                <w:rPr>
                  <w:rStyle w:val="a5"/>
                  <w:rFonts w:ascii="Times New Roman" w:eastAsia="宋体" w:hAnsi="Times New Roman"/>
                  <w:sz w:val="20"/>
                  <w:szCs w:val="20"/>
                </w:rPr>
                <w:t>10.44</w:t>
              </w:r>
            </w:hyperlink>
          </w:p>
        </w:tc>
        <w:tc>
          <w:tcPr>
            <w:tcW w:w="0" w:type="auto"/>
            <w:gridSpan w:val="3"/>
            <w:shd w:val="clear" w:color="auto" w:fill="auto"/>
            <w:tcMar>
              <w:top w:w="0" w:type="dxa"/>
              <w:left w:w="20" w:type="dxa"/>
              <w:bottom w:w="0" w:type="dxa"/>
              <w:right w:w="20" w:type="dxa"/>
            </w:tcMar>
          </w:tcPr>
          <w:p w14:paraId="7DD023C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CD" w14:textId="77777777" w:rsidR="00C1563E" w:rsidRDefault="000B648B">
            <w:pPr>
              <w:textAlignment w:val="top"/>
            </w:pPr>
            <w:hyperlink r:id="rId583" w:history="1">
              <w:r>
                <w:rPr>
                  <w:rStyle w:val="a5"/>
                  <w:rFonts w:ascii="Times New Roman" w:eastAsia="宋体" w:hAnsi="Times New Roman"/>
                  <w:sz w:val="20"/>
                  <w:szCs w:val="20"/>
                </w:rPr>
                <w:t>Commitment Letter, dated November 14, 2018, among Dell, Inc., Bank of America, N.A., Merrill Lynch, Pierce, Fenn</w:t>
              </w:r>
              <w:r>
                <w:rPr>
                  <w:rStyle w:val="a5"/>
                  <w:rFonts w:ascii="Times New Roman" w:eastAsia="宋体" w:hAnsi="Times New Roman"/>
                  <w:sz w:val="20"/>
                  <w:szCs w:val="20"/>
                </w:rPr>
                <w:t>er &amp; Smith Incorporated, Barclays Bank PLC, Citigroup Global Markets Inc., Credit Suisse AG, Cayman Islands Branch, Credit Suisse Loan Funding LLC, Goldman Sachs Bank, USA, JPMorgan Chase Bank, N.A., Morgan Stanley Senior Funding, Inc., Deutsche Bank AG Ne</w:t>
              </w:r>
              <w:r>
                <w:rPr>
                  <w:rStyle w:val="a5"/>
                  <w:rFonts w:ascii="Times New Roman" w:eastAsia="宋体" w:hAnsi="Times New Roman"/>
                  <w:sz w:val="20"/>
                  <w:szCs w:val="20"/>
                </w:rPr>
                <w:t>w York Branch, Deutsche Bank Securities Inc., Royal Bank of Canada, UBS Securities LLC and UBS AG, Stamford Branch (incorporated by reference to Exhibit 10.1 to the Company’s Current Report on Form 8-K/A filed with the Commission on November 15, 2018) (Com</w:t>
              </w:r>
              <w:r>
                <w:rPr>
                  <w:rStyle w:val="a5"/>
                  <w:rFonts w:ascii="Times New Roman" w:eastAsia="宋体" w:hAnsi="Times New Roman"/>
                  <w:sz w:val="20"/>
                  <w:szCs w:val="20"/>
                </w:rPr>
                <w:t>mission File No. 001-37867).</w:t>
              </w:r>
            </w:hyperlink>
          </w:p>
        </w:tc>
      </w:tr>
      <w:tr w:rsidR="00C1563E" w14:paraId="7DD023D2" w14:textId="77777777">
        <w:trPr>
          <w:jc w:val="center"/>
        </w:trPr>
        <w:tc>
          <w:tcPr>
            <w:tcW w:w="0" w:type="auto"/>
            <w:gridSpan w:val="3"/>
            <w:shd w:val="clear" w:color="auto" w:fill="auto"/>
            <w:tcMar>
              <w:top w:w="40" w:type="dxa"/>
              <w:left w:w="20" w:type="dxa"/>
              <w:bottom w:w="40" w:type="dxa"/>
              <w:right w:w="20" w:type="dxa"/>
            </w:tcMar>
          </w:tcPr>
          <w:p w14:paraId="7DD023CF" w14:textId="77777777" w:rsidR="00C1563E" w:rsidRDefault="000B648B">
            <w:pPr>
              <w:jc w:val="right"/>
              <w:textAlignment w:val="top"/>
            </w:pPr>
            <w:hyperlink r:id="rId584" w:history="1">
              <w:r>
                <w:rPr>
                  <w:rStyle w:val="a5"/>
                  <w:rFonts w:ascii="Times New Roman" w:eastAsia="宋体" w:hAnsi="Times New Roman"/>
                  <w:sz w:val="20"/>
                  <w:szCs w:val="20"/>
                </w:rPr>
                <w:t>10.45</w:t>
              </w:r>
            </w:hyperlink>
          </w:p>
        </w:tc>
        <w:tc>
          <w:tcPr>
            <w:tcW w:w="0" w:type="auto"/>
            <w:gridSpan w:val="3"/>
            <w:shd w:val="clear" w:color="auto" w:fill="auto"/>
            <w:tcMar>
              <w:top w:w="0" w:type="dxa"/>
              <w:left w:w="20" w:type="dxa"/>
              <w:bottom w:w="0" w:type="dxa"/>
              <w:right w:w="20" w:type="dxa"/>
            </w:tcMar>
          </w:tcPr>
          <w:p w14:paraId="7DD023D0"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D1" w14:textId="77777777" w:rsidR="00C1563E" w:rsidRDefault="000B648B">
            <w:pPr>
              <w:textAlignment w:val="top"/>
            </w:pPr>
            <w:hyperlink r:id="rId585" w:history="1">
              <w:r>
                <w:rPr>
                  <w:rStyle w:val="a5"/>
                  <w:rFonts w:ascii="Times New Roman" w:eastAsia="宋体" w:hAnsi="Times New Roman"/>
                  <w:sz w:val="20"/>
                  <w:szCs w:val="20"/>
                </w:rPr>
                <w:t>Waiver, dated as of</w:t>
              </w:r>
              <w:r>
                <w:rPr>
                  <w:rStyle w:val="a5"/>
                  <w:rFonts w:ascii="Times New Roman" w:eastAsia="宋体" w:hAnsi="Times New Roman"/>
                  <w:sz w:val="20"/>
                  <w:szCs w:val="20"/>
                </w:rPr>
                <w:t xml:space="preserve"> November 14, 2018, among the Company and VMware, Inc. (incorporated by reference to Exhibit 10.6 to the Company’s Current Report on Form 8-K/A filed with the Commission on November 15, 2018) (Commission File No. 001-37867).</w:t>
              </w:r>
            </w:hyperlink>
          </w:p>
        </w:tc>
      </w:tr>
      <w:tr w:rsidR="00C1563E" w14:paraId="7DD023D6" w14:textId="77777777">
        <w:trPr>
          <w:jc w:val="center"/>
        </w:trPr>
        <w:tc>
          <w:tcPr>
            <w:tcW w:w="0" w:type="auto"/>
            <w:gridSpan w:val="3"/>
            <w:shd w:val="clear" w:color="auto" w:fill="auto"/>
            <w:tcMar>
              <w:top w:w="40" w:type="dxa"/>
              <w:left w:w="20" w:type="dxa"/>
              <w:bottom w:w="40" w:type="dxa"/>
              <w:right w:w="20" w:type="dxa"/>
            </w:tcMar>
          </w:tcPr>
          <w:p w14:paraId="7DD023D3" w14:textId="77777777" w:rsidR="00C1563E" w:rsidRDefault="000B648B">
            <w:pPr>
              <w:jc w:val="right"/>
              <w:textAlignment w:val="top"/>
            </w:pPr>
            <w:hyperlink r:id="rId586" w:history="1">
              <w:r>
                <w:rPr>
                  <w:rStyle w:val="a5"/>
                  <w:rFonts w:ascii="Times New Roman" w:eastAsia="宋体" w:hAnsi="Times New Roman"/>
                  <w:sz w:val="20"/>
                  <w:szCs w:val="20"/>
                </w:rPr>
                <w:t>10.46</w:t>
              </w:r>
            </w:hyperlink>
          </w:p>
        </w:tc>
        <w:tc>
          <w:tcPr>
            <w:tcW w:w="0" w:type="auto"/>
            <w:gridSpan w:val="3"/>
            <w:shd w:val="clear" w:color="auto" w:fill="auto"/>
            <w:tcMar>
              <w:top w:w="0" w:type="dxa"/>
              <w:left w:w="20" w:type="dxa"/>
              <w:bottom w:w="0" w:type="dxa"/>
              <w:right w:w="20" w:type="dxa"/>
            </w:tcMar>
          </w:tcPr>
          <w:p w14:paraId="7DD023D4"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D5" w14:textId="77777777" w:rsidR="00C1563E" w:rsidRDefault="000B648B">
            <w:pPr>
              <w:textAlignment w:val="top"/>
            </w:pPr>
            <w:hyperlink r:id="rId587" w:history="1">
              <w:r>
                <w:rPr>
                  <w:rStyle w:val="a5"/>
                  <w:rFonts w:ascii="Times New Roman" w:eastAsia="宋体" w:hAnsi="Times New Roman"/>
                  <w:sz w:val="20"/>
                  <w:szCs w:val="20"/>
                </w:rPr>
                <w:t>Fourth Amendment, dated as of December 20, 2018, to the Credit Agreement among Denali Intermediate Inc., Dell Inc., Dell International L.L.C., EMC Corporation,</w:t>
              </w:r>
              <w:r>
                <w:rPr>
                  <w:rStyle w:val="a5"/>
                  <w:rFonts w:ascii="Times New Roman" w:eastAsia="宋体" w:hAnsi="Times New Roman"/>
                  <w:sz w:val="20"/>
                  <w:szCs w:val="20"/>
                </w:rPr>
                <w:t xml:space="preserve"> Credit Suisse AG, Cayman Islands Branch, as Term Loan B Administrative Agent and Collateral Agent, JPMorgan Chase Bank, N.A., as Term Loan A/Revolver Administrative Agent, and the lenders party thereto (incorporated by reference to Exhibit 10.1 to the Com</w:t>
              </w:r>
              <w:r>
                <w:rPr>
                  <w:rStyle w:val="a5"/>
                  <w:rFonts w:ascii="Times New Roman" w:eastAsia="宋体" w:hAnsi="Times New Roman"/>
                  <w:sz w:val="20"/>
                  <w:szCs w:val="20"/>
                </w:rPr>
                <w:t>pany’s Current Report on Form 8-K filed with the Commission on December 21, 2018) (Commission File No. 001-37867).</w:t>
              </w:r>
            </w:hyperlink>
          </w:p>
        </w:tc>
      </w:tr>
      <w:tr w:rsidR="00C1563E" w14:paraId="7DD023DA" w14:textId="77777777">
        <w:trPr>
          <w:jc w:val="center"/>
        </w:trPr>
        <w:tc>
          <w:tcPr>
            <w:tcW w:w="0" w:type="auto"/>
            <w:gridSpan w:val="3"/>
            <w:shd w:val="clear" w:color="auto" w:fill="auto"/>
            <w:tcMar>
              <w:top w:w="40" w:type="dxa"/>
              <w:left w:w="20" w:type="dxa"/>
              <w:bottom w:w="40" w:type="dxa"/>
              <w:right w:w="20" w:type="dxa"/>
            </w:tcMar>
          </w:tcPr>
          <w:p w14:paraId="7DD023D7" w14:textId="77777777" w:rsidR="00C1563E" w:rsidRDefault="000B648B">
            <w:pPr>
              <w:jc w:val="right"/>
              <w:textAlignment w:val="top"/>
            </w:pPr>
            <w:hyperlink r:id="rId588" w:history="1">
              <w:r>
                <w:rPr>
                  <w:rStyle w:val="a5"/>
                  <w:rFonts w:ascii="Times New Roman" w:eastAsia="宋体" w:hAnsi="Times New Roman"/>
                  <w:sz w:val="20"/>
                  <w:szCs w:val="20"/>
                </w:rPr>
                <w:t>10.47</w:t>
              </w:r>
            </w:hyperlink>
          </w:p>
        </w:tc>
        <w:tc>
          <w:tcPr>
            <w:tcW w:w="0" w:type="auto"/>
            <w:gridSpan w:val="3"/>
            <w:shd w:val="clear" w:color="auto" w:fill="auto"/>
            <w:tcMar>
              <w:top w:w="0" w:type="dxa"/>
              <w:left w:w="20" w:type="dxa"/>
              <w:bottom w:w="0" w:type="dxa"/>
              <w:right w:w="20" w:type="dxa"/>
            </w:tcMar>
          </w:tcPr>
          <w:p w14:paraId="7DD023D8"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D9" w14:textId="77777777" w:rsidR="00C1563E" w:rsidRDefault="000B648B">
            <w:pPr>
              <w:textAlignment w:val="top"/>
            </w:pPr>
            <w:hyperlink r:id="rId589" w:history="1">
              <w:r>
                <w:rPr>
                  <w:rStyle w:val="a5"/>
                  <w:rFonts w:ascii="Times New Roman" w:eastAsia="宋体" w:hAnsi="Times New Roman"/>
                  <w:sz w:val="20"/>
                  <w:szCs w:val="20"/>
                </w:rPr>
                <w:t xml:space="preserve">MD Stockholders Agreement, dated as of December 25, 2018, by and among the Company, Denali Intermediate Inc., Dell Inc., EMC Corporation, Denali Finance Corp., Dell International L.L.C., </w:t>
              </w:r>
              <w:r>
                <w:rPr>
                  <w:rStyle w:val="a5"/>
                  <w:rFonts w:ascii="Times New Roman" w:eastAsia="宋体" w:hAnsi="Times New Roman"/>
                  <w:sz w:val="20"/>
                  <w:szCs w:val="20"/>
                </w:rPr>
                <w:t>Michael S. Dell and the Susan Lieberman Dell Separate Property Trust (incorporated by reference to Exhibit 10.1 to the Company’s Current Report on Form 8-K filed with the Commission on December 28, 2018) (Commission File No. 001-37867).</w:t>
              </w:r>
            </w:hyperlink>
          </w:p>
        </w:tc>
      </w:tr>
      <w:tr w:rsidR="00C1563E" w14:paraId="7DD023DE" w14:textId="77777777">
        <w:trPr>
          <w:jc w:val="center"/>
        </w:trPr>
        <w:tc>
          <w:tcPr>
            <w:tcW w:w="0" w:type="auto"/>
            <w:gridSpan w:val="3"/>
            <w:shd w:val="clear" w:color="auto" w:fill="auto"/>
            <w:tcMar>
              <w:top w:w="40" w:type="dxa"/>
              <w:left w:w="20" w:type="dxa"/>
              <w:bottom w:w="40" w:type="dxa"/>
              <w:right w:w="20" w:type="dxa"/>
            </w:tcMar>
          </w:tcPr>
          <w:p w14:paraId="7DD023DB" w14:textId="77777777" w:rsidR="00C1563E" w:rsidRDefault="000B648B">
            <w:pPr>
              <w:jc w:val="right"/>
              <w:textAlignment w:val="top"/>
            </w:pPr>
            <w:hyperlink r:id="rId590" w:history="1">
              <w:r>
                <w:rPr>
                  <w:rStyle w:val="a5"/>
                  <w:rFonts w:ascii="Times New Roman" w:eastAsia="宋体" w:hAnsi="Times New Roman"/>
                  <w:sz w:val="20"/>
                  <w:szCs w:val="20"/>
                </w:rPr>
                <w:t>10.48</w:t>
              </w:r>
            </w:hyperlink>
          </w:p>
        </w:tc>
        <w:tc>
          <w:tcPr>
            <w:tcW w:w="0" w:type="auto"/>
            <w:gridSpan w:val="3"/>
            <w:shd w:val="clear" w:color="auto" w:fill="auto"/>
            <w:tcMar>
              <w:top w:w="0" w:type="dxa"/>
              <w:left w:w="20" w:type="dxa"/>
              <w:bottom w:w="0" w:type="dxa"/>
              <w:right w:w="20" w:type="dxa"/>
            </w:tcMar>
          </w:tcPr>
          <w:p w14:paraId="7DD023DC"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DD" w14:textId="77777777" w:rsidR="00C1563E" w:rsidRDefault="000B648B">
            <w:pPr>
              <w:textAlignment w:val="top"/>
            </w:pPr>
            <w:hyperlink r:id="rId591" w:history="1">
              <w:r>
                <w:rPr>
                  <w:rStyle w:val="a5"/>
                  <w:rFonts w:ascii="Times New Roman" w:eastAsia="宋体" w:hAnsi="Times New Roman"/>
                  <w:sz w:val="20"/>
                  <w:szCs w:val="20"/>
                </w:rPr>
                <w:t>SLP Stockholders Agreement, dated as of December 25, 2018, by and</w:t>
              </w:r>
              <w:r>
                <w:rPr>
                  <w:rStyle w:val="a5"/>
                  <w:rFonts w:ascii="Times New Roman" w:eastAsia="宋体" w:hAnsi="Times New Roman"/>
                  <w:sz w:val="20"/>
                  <w:szCs w:val="20"/>
                </w:rPr>
                <w:t xml:space="preserve"> among the Company, Denali Intermediate Inc., Dell Inc., EMC Corporation, Denali Finance Corp., Dell International L.L.C., Silver Lake Partners III, L.P., Silver Lake Technology Investors III, L.P., Silver Lake Partners IV, L.P., Silver Lake Technology Inv</w:t>
              </w:r>
              <w:r>
                <w:rPr>
                  <w:rStyle w:val="a5"/>
                  <w:rFonts w:ascii="Times New Roman" w:eastAsia="宋体" w:hAnsi="Times New Roman"/>
                  <w:sz w:val="20"/>
                  <w:szCs w:val="20"/>
                </w:rPr>
                <w:t>estors IV, L.P. and SLP Denali Co-Invest, L.P. and the other stockholders named therein (incorporated by reference to Exhibit 10.2 to the Company’s Current Report on Form 8-K filed with the Commission on December 28, 2018) (Commission File No. 001-37867).</w:t>
              </w:r>
            </w:hyperlink>
          </w:p>
        </w:tc>
      </w:tr>
    </w:tbl>
    <w:p w14:paraId="7DD023DF" w14:textId="77777777" w:rsidR="00C1563E" w:rsidRDefault="00C1563E">
      <w:pPr>
        <w:jc w:val="center"/>
      </w:pPr>
    </w:p>
    <w:p w14:paraId="7DD023E0" w14:textId="77777777" w:rsidR="00C1563E" w:rsidRDefault="000B648B">
      <w:pPr>
        <w:jc w:val="center"/>
      </w:pPr>
      <w:r>
        <w:rPr>
          <w:rFonts w:ascii="Times New Roman" w:eastAsia="宋体" w:hAnsi="Times New Roman"/>
          <w:color w:val="000000"/>
          <w:sz w:val="20"/>
          <w:szCs w:val="20"/>
        </w:rPr>
        <w:t>179</w:t>
      </w:r>
    </w:p>
    <w:p w14:paraId="7DD023E1" w14:textId="77777777" w:rsidR="00C1563E" w:rsidRDefault="00C1563E">
      <w:pPr>
        <w:jc w:val="center"/>
      </w:pPr>
    </w:p>
    <w:p w14:paraId="7DD023E2" w14:textId="77777777" w:rsidR="00C1563E" w:rsidRDefault="000B648B">
      <w:r>
        <w:pict w14:anchorId="7DD0261D">
          <v:rect id="_x0000_i1203" style="width:415.3pt;height:1.5pt" o:hralign="center" o:hrstd="t" o:hr="t" fillcolor="#a0a0a0" stroked="f"/>
        </w:pict>
      </w:r>
    </w:p>
    <w:p w14:paraId="7DD023E3" w14:textId="77777777" w:rsidR="00C1563E" w:rsidRDefault="000B648B">
      <w:hyperlink r:id="rId592"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944"/>
        <w:gridCol w:w="36"/>
        <w:gridCol w:w="36"/>
        <w:gridCol w:w="36"/>
        <w:gridCol w:w="36"/>
        <w:gridCol w:w="54"/>
        <w:gridCol w:w="7083"/>
        <w:gridCol w:w="39"/>
      </w:tblGrid>
      <w:tr w:rsidR="00C1563E" w14:paraId="7DD023ED" w14:textId="77777777">
        <w:trPr>
          <w:jc w:val="center"/>
        </w:trPr>
        <w:tc>
          <w:tcPr>
            <w:tcW w:w="50" w:type="pct"/>
            <w:shd w:val="clear" w:color="auto" w:fill="auto"/>
          </w:tcPr>
          <w:p w14:paraId="7DD023E4" w14:textId="77777777" w:rsidR="00C1563E" w:rsidRDefault="00C1563E">
            <w:pPr>
              <w:rPr>
                <w:rFonts w:ascii="宋体"/>
              </w:rPr>
            </w:pPr>
          </w:p>
        </w:tc>
        <w:tc>
          <w:tcPr>
            <w:tcW w:w="595" w:type="pct"/>
            <w:shd w:val="clear" w:color="auto" w:fill="auto"/>
          </w:tcPr>
          <w:p w14:paraId="7DD023E5" w14:textId="77777777" w:rsidR="00C1563E" w:rsidRDefault="00C1563E">
            <w:pPr>
              <w:rPr>
                <w:rFonts w:ascii="宋体"/>
              </w:rPr>
            </w:pPr>
          </w:p>
        </w:tc>
        <w:tc>
          <w:tcPr>
            <w:tcW w:w="5" w:type="pct"/>
            <w:shd w:val="clear" w:color="auto" w:fill="auto"/>
          </w:tcPr>
          <w:p w14:paraId="7DD023E6" w14:textId="77777777" w:rsidR="00C1563E" w:rsidRDefault="00C1563E">
            <w:pPr>
              <w:rPr>
                <w:rFonts w:ascii="宋体"/>
              </w:rPr>
            </w:pPr>
          </w:p>
        </w:tc>
        <w:tc>
          <w:tcPr>
            <w:tcW w:w="5" w:type="pct"/>
            <w:shd w:val="clear" w:color="auto" w:fill="auto"/>
          </w:tcPr>
          <w:p w14:paraId="7DD023E7" w14:textId="77777777" w:rsidR="00C1563E" w:rsidRDefault="00C1563E">
            <w:pPr>
              <w:rPr>
                <w:rFonts w:ascii="宋体"/>
              </w:rPr>
            </w:pPr>
          </w:p>
        </w:tc>
        <w:tc>
          <w:tcPr>
            <w:tcW w:w="19" w:type="pct"/>
            <w:shd w:val="clear" w:color="auto" w:fill="auto"/>
          </w:tcPr>
          <w:p w14:paraId="7DD023E8" w14:textId="77777777" w:rsidR="00C1563E" w:rsidRDefault="00C1563E">
            <w:pPr>
              <w:rPr>
                <w:rFonts w:ascii="宋体"/>
              </w:rPr>
            </w:pPr>
          </w:p>
        </w:tc>
        <w:tc>
          <w:tcPr>
            <w:tcW w:w="5" w:type="pct"/>
            <w:shd w:val="clear" w:color="auto" w:fill="auto"/>
          </w:tcPr>
          <w:p w14:paraId="7DD023E9" w14:textId="77777777" w:rsidR="00C1563E" w:rsidRDefault="00C1563E">
            <w:pPr>
              <w:rPr>
                <w:rFonts w:ascii="宋体"/>
              </w:rPr>
            </w:pPr>
          </w:p>
        </w:tc>
        <w:tc>
          <w:tcPr>
            <w:tcW w:w="50" w:type="pct"/>
            <w:shd w:val="clear" w:color="auto" w:fill="auto"/>
          </w:tcPr>
          <w:p w14:paraId="7DD023EA" w14:textId="77777777" w:rsidR="00C1563E" w:rsidRDefault="00C1563E">
            <w:pPr>
              <w:rPr>
                <w:rFonts w:ascii="宋体"/>
              </w:rPr>
            </w:pPr>
          </w:p>
        </w:tc>
        <w:tc>
          <w:tcPr>
            <w:tcW w:w="4265" w:type="pct"/>
            <w:shd w:val="clear" w:color="auto" w:fill="auto"/>
          </w:tcPr>
          <w:p w14:paraId="7DD023EB" w14:textId="77777777" w:rsidR="00C1563E" w:rsidRDefault="00C1563E">
            <w:pPr>
              <w:rPr>
                <w:rFonts w:ascii="宋体"/>
              </w:rPr>
            </w:pPr>
          </w:p>
        </w:tc>
        <w:tc>
          <w:tcPr>
            <w:tcW w:w="5" w:type="pct"/>
            <w:shd w:val="clear" w:color="auto" w:fill="auto"/>
          </w:tcPr>
          <w:p w14:paraId="7DD023EC" w14:textId="77777777" w:rsidR="00C1563E" w:rsidRDefault="00C1563E">
            <w:pPr>
              <w:rPr>
                <w:rFonts w:ascii="宋体"/>
              </w:rPr>
            </w:pPr>
          </w:p>
        </w:tc>
      </w:tr>
      <w:tr w:rsidR="00C1563E" w14:paraId="7DD023F1" w14:textId="77777777">
        <w:trPr>
          <w:jc w:val="center"/>
        </w:trPr>
        <w:tc>
          <w:tcPr>
            <w:tcW w:w="0" w:type="auto"/>
            <w:gridSpan w:val="3"/>
            <w:shd w:val="clear" w:color="auto" w:fill="auto"/>
            <w:tcMar>
              <w:top w:w="40" w:type="dxa"/>
              <w:left w:w="20" w:type="dxa"/>
              <w:bottom w:w="40" w:type="dxa"/>
              <w:right w:w="20" w:type="dxa"/>
            </w:tcMar>
          </w:tcPr>
          <w:p w14:paraId="7DD023EE" w14:textId="77777777" w:rsidR="00C1563E" w:rsidRDefault="000B648B">
            <w:pPr>
              <w:jc w:val="right"/>
              <w:textAlignment w:val="top"/>
            </w:pPr>
            <w:hyperlink r:id="rId593" w:history="1">
              <w:r>
                <w:rPr>
                  <w:rStyle w:val="a5"/>
                  <w:rFonts w:ascii="Times New Roman" w:eastAsia="宋体" w:hAnsi="Times New Roman"/>
                  <w:sz w:val="20"/>
                  <w:szCs w:val="20"/>
                </w:rPr>
                <w:t>10.49</w:t>
              </w:r>
            </w:hyperlink>
          </w:p>
        </w:tc>
        <w:tc>
          <w:tcPr>
            <w:tcW w:w="0" w:type="auto"/>
            <w:gridSpan w:val="3"/>
            <w:shd w:val="clear" w:color="auto" w:fill="auto"/>
            <w:tcMar>
              <w:top w:w="0" w:type="dxa"/>
              <w:left w:w="20" w:type="dxa"/>
              <w:bottom w:w="0" w:type="dxa"/>
              <w:right w:w="20" w:type="dxa"/>
            </w:tcMar>
          </w:tcPr>
          <w:p w14:paraId="7DD023E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F0" w14:textId="77777777" w:rsidR="00C1563E" w:rsidRDefault="000B648B">
            <w:pPr>
              <w:textAlignment w:val="top"/>
            </w:pPr>
            <w:hyperlink r:id="rId594" w:history="1">
              <w:r>
                <w:rPr>
                  <w:rStyle w:val="a5"/>
                  <w:rFonts w:ascii="Times New Roman" w:eastAsia="宋体" w:hAnsi="Times New Roman"/>
                  <w:sz w:val="20"/>
                  <w:szCs w:val="20"/>
                </w:rPr>
                <w:t>MSD Partners Stockholders Agreement, dated as of D</w:t>
              </w:r>
              <w:r>
                <w:rPr>
                  <w:rStyle w:val="a5"/>
                  <w:rFonts w:ascii="Times New Roman" w:eastAsia="宋体" w:hAnsi="Times New Roman"/>
                  <w:sz w:val="20"/>
                  <w:szCs w:val="20"/>
                </w:rPr>
                <w:t>ecember 25, 2018, by and among the Company, Denali Intermediate Inc., Dell Inc., EMC Corporation, Denali Finance Corp., Dell International L.L.C., MSDC Denali Investors, L.P., MSDC Denali EIV, LLC and the other stockholders named therein (incorporated by r</w:t>
              </w:r>
              <w:r>
                <w:rPr>
                  <w:rStyle w:val="a5"/>
                  <w:rFonts w:ascii="Times New Roman" w:eastAsia="宋体" w:hAnsi="Times New Roman"/>
                  <w:sz w:val="20"/>
                  <w:szCs w:val="20"/>
                </w:rPr>
                <w:t>eference to Exhibit 10.3 to the Company’s Current Report on Form 8-K filed with the Commission on December 28, 2018) (Commission File No. 001-37867).</w:t>
              </w:r>
            </w:hyperlink>
          </w:p>
        </w:tc>
      </w:tr>
      <w:tr w:rsidR="00C1563E" w14:paraId="7DD023F5" w14:textId="77777777">
        <w:trPr>
          <w:jc w:val="center"/>
        </w:trPr>
        <w:tc>
          <w:tcPr>
            <w:tcW w:w="0" w:type="auto"/>
            <w:gridSpan w:val="3"/>
            <w:shd w:val="clear" w:color="auto" w:fill="auto"/>
            <w:tcMar>
              <w:top w:w="40" w:type="dxa"/>
              <w:left w:w="20" w:type="dxa"/>
              <w:bottom w:w="40" w:type="dxa"/>
              <w:right w:w="20" w:type="dxa"/>
            </w:tcMar>
          </w:tcPr>
          <w:p w14:paraId="7DD023F2" w14:textId="77777777" w:rsidR="00C1563E" w:rsidRDefault="000B648B">
            <w:pPr>
              <w:jc w:val="right"/>
              <w:textAlignment w:val="top"/>
            </w:pPr>
            <w:hyperlink r:id="rId595" w:history="1">
              <w:r>
                <w:rPr>
                  <w:rStyle w:val="a5"/>
                  <w:rFonts w:ascii="Times New Roman" w:eastAsia="宋体" w:hAnsi="Times New Roman"/>
                  <w:sz w:val="20"/>
                  <w:szCs w:val="20"/>
                </w:rPr>
                <w:t>10.5</w:t>
              </w:r>
              <w:r>
                <w:rPr>
                  <w:rStyle w:val="a5"/>
                  <w:rFonts w:ascii="Times New Roman" w:eastAsia="宋体" w:hAnsi="Times New Roman"/>
                  <w:sz w:val="20"/>
                  <w:szCs w:val="20"/>
                </w:rPr>
                <w:t>0</w:t>
              </w:r>
            </w:hyperlink>
          </w:p>
        </w:tc>
        <w:tc>
          <w:tcPr>
            <w:tcW w:w="0" w:type="auto"/>
            <w:gridSpan w:val="3"/>
            <w:shd w:val="clear" w:color="auto" w:fill="auto"/>
            <w:tcMar>
              <w:top w:w="0" w:type="dxa"/>
              <w:left w:w="20" w:type="dxa"/>
              <w:bottom w:w="0" w:type="dxa"/>
              <w:right w:w="20" w:type="dxa"/>
            </w:tcMar>
          </w:tcPr>
          <w:p w14:paraId="7DD023F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F4" w14:textId="77777777" w:rsidR="00C1563E" w:rsidRDefault="000B648B">
            <w:pPr>
              <w:textAlignment w:val="top"/>
            </w:pPr>
            <w:hyperlink r:id="rId596" w:history="1">
              <w:r>
                <w:rPr>
                  <w:rStyle w:val="a5"/>
                  <w:rFonts w:ascii="Times New Roman" w:eastAsia="宋体" w:hAnsi="Times New Roman"/>
                  <w:sz w:val="20"/>
                  <w:szCs w:val="20"/>
                </w:rPr>
                <w:t>Second Amended and Restated Management Stockholders Agreement, dated as of December 25, 2018, by and among the Company, Michael S. Dell, Susan Lieberman</w:t>
              </w:r>
              <w:r>
                <w:rPr>
                  <w:rStyle w:val="a5"/>
                  <w:rFonts w:ascii="Times New Roman" w:eastAsia="宋体" w:hAnsi="Times New Roman"/>
                  <w:sz w:val="20"/>
                  <w:szCs w:val="20"/>
                </w:rPr>
                <w:t xml:space="preserve"> Dell Separate Property Trust, Silver Lake Partners III, L.P., Silver Lake Technology Investors III, L.P., Silver Lake Partners IV, L.P., Silver Lake Technology Investors IV, L.P., SLP Denali Co-Invest, L.P. and the Management Stockholders (as defined ther</w:t>
              </w:r>
              <w:r>
                <w:rPr>
                  <w:rStyle w:val="a5"/>
                  <w:rFonts w:ascii="Times New Roman" w:eastAsia="宋体" w:hAnsi="Times New Roman"/>
                  <w:sz w:val="20"/>
                  <w:szCs w:val="20"/>
                </w:rPr>
                <w:t>ein) (incorporated by reference to Exhibit 10.5 to the Company’s Current Report on Form 8-K filed with the Commission on December 28, 2018) (Commission File No. 001-37867).</w:t>
              </w:r>
            </w:hyperlink>
          </w:p>
        </w:tc>
      </w:tr>
      <w:tr w:rsidR="00C1563E" w14:paraId="7DD023F9" w14:textId="77777777">
        <w:trPr>
          <w:jc w:val="center"/>
        </w:trPr>
        <w:tc>
          <w:tcPr>
            <w:tcW w:w="0" w:type="auto"/>
            <w:gridSpan w:val="3"/>
            <w:shd w:val="clear" w:color="auto" w:fill="auto"/>
            <w:tcMar>
              <w:top w:w="40" w:type="dxa"/>
              <w:left w:w="20" w:type="dxa"/>
              <w:bottom w:w="40" w:type="dxa"/>
              <w:right w:w="20" w:type="dxa"/>
            </w:tcMar>
          </w:tcPr>
          <w:p w14:paraId="7DD023F6" w14:textId="77777777" w:rsidR="00C1563E" w:rsidRDefault="000B648B">
            <w:pPr>
              <w:jc w:val="right"/>
              <w:textAlignment w:val="top"/>
            </w:pPr>
            <w:hyperlink r:id="rId597" w:history="1">
              <w:r>
                <w:rPr>
                  <w:rStyle w:val="a5"/>
                  <w:rFonts w:ascii="Times New Roman" w:eastAsia="宋体" w:hAnsi="Times New Roman"/>
                  <w:sz w:val="20"/>
                  <w:szCs w:val="20"/>
                </w:rPr>
                <w:t>10.51</w:t>
              </w:r>
            </w:hyperlink>
          </w:p>
        </w:tc>
        <w:tc>
          <w:tcPr>
            <w:tcW w:w="0" w:type="auto"/>
            <w:gridSpan w:val="3"/>
            <w:shd w:val="clear" w:color="auto" w:fill="auto"/>
            <w:tcMar>
              <w:top w:w="0" w:type="dxa"/>
              <w:left w:w="20" w:type="dxa"/>
              <w:bottom w:w="0" w:type="dxa"/>
              <w:right w:w="20" w:type="dxa"/>
            </w:tcMar>
          </w:tcPr>
          <w:p w14:paraId="7DD023F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F8" w14:textId="77777777" w:rsidR="00C1563E" w:rsidRDefault="000B648B">
            <w:pPr>
              <w:textAlignment w:val="top"/>
            </w:pPr>
            <w:hyperlink r:id="rId598" w:history="1">
              <w:r>
                <w:rPr>
                  <w:rStyle w:val="a5"/>
                  <w:rFonts w:ascii="Times New Roman" w:eastAsia="宋体" w:hAnsi="Times New Roman"/>
                  <w:sz w:val="20"/>
                  <w:szCs w:val="20"/>
                </w:rPr>
                <w:t>Amended and Restated Class C Stockholders Agreement, dated as of December 25, 2018, by and among the Company, Michael S. Dell, Su</w:t>
              </w:r>
              <w:r>
                <w:rPr>
                  <w:rStyle w:val="a5"/>
                  <w:rFonts w:ascii="Times New Roman" w:eastAsia="宋体" w:hAnsi="Times New Roman"/>
                  <w:sz w:val="20"/>
                  <w:szCs w:val="20"/>
                </w:rPr>
                <w:t>san Lieberman Dell Separate Property Trust, Silver Lake Partners III, L.P., Silver Lake Partners IV, L.P., Silver Lake Technology Investors III, L.P., Silver Lake Technology Investors IV, L.P., SLP Denali Co-Invest, L.P. and Venezio Investments Pte. Ltd. (</w:t>
              </w:r>
              <w:r>
                <w:rPr>
                  <w:rStyle w:val="a5"/>
                  <w:rFonts w:ascii="Times New Roman" w:eastAsia="宋体" w:hAnsi="Times New Roman"/>
                  <w:sz w:val="20"/>
                  <w:szCs w:val="20"/>
                </w:rPr>
                <w:t>incorporated by reference to Exhibit 10.6 to the Company’s Current Report on Form 8-K filed with the Commission on December 28, 2018) (Commission File No. 001-37867).</w:t>
              </w:r>
            </w:hyperlink>
          </w:p>
        </w:tc>
      </w:tr>
      <w:tr w:rsidR="00C1563E" w14:paraId="7DD023FD" w14:textId="77777777">
        <w:trPr>
          <w:jc w:val="center"/>
        </w:trPr>
        <w:tc>
          <w:tcPr>
            <w:tcW w:w="0" w:type="auto"/>
            <w:gridSpan w:val="3"/>
            <w:shd w:val="clear" w:color="auto" w:fill="auto"/>
            <w:tcMar>
              <w:top w:w="40" w:type="dxa"/>
              <w:left w:w="20" w:type="dxa"/>
              <w:bottom w:w="40" w:type="dxa"/>
              <w:right w:w="20" w:type="dxa"/>
            </w:tcMar>
          </w:tcPr>
          <w:p w14:paraId="7DD023FA" w14:textId="77777777" w:rsidR="00C1563E" w:rsidRDefault="000B648B">
            <w:pPr>
              <w:jc w:val="right"/>
              <w:textAlignment w:val="top"/>
            </w:pPr>
            <w:hyperlink r:id="rId599" w:history="1">
              <w:r>
                <w:rPr>
                  <w:rStyle w:val="a5"/>
                  <w:rFonts w:ascii="Times New Roman" w:eastAsia="宋体" w:hAnsi="Times New Roman"/>
                  <w:sz w:val="20"/>
                  <w:szCs w:val="20"/>
                </w:rPr>
                <w:t>10.52</w:t>
              </w:r>
            </w:hyperlink>
          </w:p>
        </w:tc>
        <w:tc>
          <w:tcPr>
            <w:tcW w:w="0" w:type="auto"/>
            <w:gridSpan w:val="3"/>
            <w:shd w:val="clear" w:color="auto" w:fill="auto"/>
            <w:tcMar>
              <w:top w:w="0" w:type="dxa"/>
              <w:left w:w="20" w:type="dxa"/>
              <w:bottom w:w="0" w:type="dxa"/>
              <w:right w:w="20" w:type="dxa"/>
            </w:tcMar>
          </w:tcPr>
          <w:p w14:paraId="7DD023F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3FC" w14:textId="77777777" w:rsidR="00C1563E" w:rsidRDefault="000B648B">
            <w:pPr>
              <w:textAlignment w:val="top"/>
            </w:pPr>
            <w:hyperlink r:id="rId600" w:history="1">
              <w:r>
                <w:rPr>
                  <w:rStyle w:val="a5"/>
                  <w:rFonts w:ascii="Times New Roman" w:eastAsia="宋体" w:hAnsi="Times New Roman"/>
                  <w:sz w:val="20"/>
                  <w:szCs w:val="20"/>
                </w:rPr>
                <w:t xml:space="preserve">Second Amended and Restated Class A Stockholders Agreement, dated as of December 25, 2018, by and among the Company, Michael S. </w:t>
              </w:r>
              <w:r>
                <w:rPr>
                  <w:rStyle w:val="a5"/>
                  <w:rFonts w:ascii="Times New Roman" w:eastAsia="宋体" w:hAnsi="Times New Roman"/>
                  <w:sz w:val="20"/>
                  <w:szCs w:val="20"/>
                </w:rPr>
                <w:t>Dell, Susan Lieberman Dell Separate Property Trust, Silver Lake Partners III, L.P., Silver Lake Partners IV, L.P., Silver Lake Technology Investors III, L.P., Silver Lake Technology Investors IV, L.P., SLP Denali Co-Invest, L.P. and the New Class A Stockho</w:t>
              </w:r>
              <w:r>
                <w:rPr>
                  <w:rStyle w:val="a5"/>
                  <w:rFonts w:ascii="Times New Roman" w:eastAsia="宋体" w:hAnsi="Times New Roman"/>
                  <w:sz w:val="20"/>
                  <w:szCs w:val="20"/>
                </w:rPr>
                <w:t>lders party thereto (incorporated by reference to Exhibit 10.7 to the Company’s Current Report on Form 8-K filed with the Commission on December 28, 2018) (Commission File No. 001-37867).</w:t>
              </w:r>
            </w:hyperlink>
          </w:p>
        </w:tc>
      </w:tr>
      <w:tr w:rsidR="00C1563E" w14:paraId="7DD02401" w14:textId="77777777">
        <w:trPr>
          <w:jc w:val="center"/>
        </w:trPr>
        <w:tc>
          <w:tcPr>
            <w:tcW w:w="0" w:type="auto"/>
            <w:gridSpan w:val="3"/>
            <w:shd w:val="clear" w:color="auto" w:fill="auto"/>
            <w:tcMar>
              <w:top w:w="40" w:type="dxa"/>
              <w:left w:w="20" w:type="dxa"/>
              <w:bottom w:w="40" w:type="dxa"/>
              <w:right w:w="20" w:type="dxa"/>
            </w:tcMar>
          </w:tcPr>
          <w:p w14:paraId="7DD023FE" w14:textId="77777777" w:rsidR="00C1563E" w:rsidRDefault="000B648B">
            <w:pPr>
              <w:jc w:val="right"/>
              <w:textAlignment w:val="top"/>
            </w:pPr>
            <w:hyperlink r:id="rId601" w:history="1">
              <w:r>
                <w:rPr>
                  <w:rStyle w:val="a5"/>
                  <w:rFonts w:ascii="Times New Roman" w:eastAsia="宋体" w:hAnsi="Times New Roman"/>
                  <w:sz w:val="20"/>
                  <w:szCs w:val="20"/>
                </w:rPr>
                <w:t>10.53</w:t>
              </w:r>
            </w:hyperlink>
          </w:p>
        </w:tc>
        <w:tc>
          <w:tcPr>
            <w:tcW w:w="0" w:type="auto"/>
            <w:gridSpan w:val="3"/>
            <w:shd w:val="clear" w:color="auto" w:fill="auto"/>
            <w:tcMar>
              <w:top w:w="0" w:type="dxa"/>
              <w:left w:w="20" w:type="dxa"/>
              <w:bottom w:w="0" w:type="dxa"/>
              <w:right w:w="20" w:type="dxa"/>
            </w:tcMar>
          </w:tcPr>
          <w:p w14:paraId="7DD023F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00" w14:textId="77777777" w:rsidR="00C1563E" w:rsidRDefault="000B648B">
            <w:pPr>
              <w:textAlignment w:val="top"/>
            </w:pPr>
            <w:hyperlink r:id="rId602" w:history="1">
              <w:r>
                <w:rPr>
                  <w:rStyle w:val="a5"/>
                  <w:rFonts w:ascii="Times New Roman" w:eastAsia="宋体" w:hAnsi="Times New Roman"/>
                  <w:sz w:val="20"/>
                  <w:szCs w:val="20"/>
                </w:rPr>
                <w:t>Fifth Amendment, dated as of March 13, 2019, among Denali Intermediate Inc., Dell Inc., Dell International L.L.C., EM</w:t>
              </w:r>
              <w:r>
                <w:rPr>
                  <w:rStyle w:val="a5"/>
                  <w:rFonts w:ascii="Times New Roman" w:eastAsia="宋体" w:hAnsi="Times New Roman"/>
                  <w:sz w:val="20"/>
                  <w:szCs w:val="20"/>
                </w:rPr>
                <w:t>C Corporation, Credit Suisse AG, Cayman Islands Branch, as Term Loan B Administrative Agent and Collateral Agent, JPMorgan Chase Bank, N.A., as Term Loan A/Revolver Administrative Agent, and the lenders party thereto (incorporated by reference to Exhibit 1</w:t>
              </w:r>
              <w:r>
                <w:rPr>
                  <w:rStyle w:val="a5"/>
                  <w:rFonts w:ascii="Times New Roman" w:eastAsia="宋体" w:hAnsi="Times New Roman"/>
                  <w:sz w:val="20"/>
                  <w:szCs w:val="20"/>
                </w:rPr>
                <w:t>0.1 to the Company’s Current Report on Form 8-K filed with the Commission on March 14, 2019) (Commission File No. 001-37867).</w:t>
              </w:r>
            </w:hyperlink>
          </w:p>
        </w:tc>
      </w:tr>
      <w:tr w:rsidR="00C1563E" w14:paraId="7DD02405" w14:textId="77777777">
        <w:trPr>
          <w:jc w:val="center"/>
        </w:trPr>
        <w:tc>
          <w:tcPr>
            <w:tcW w:w="0" w:type="auto"/>
            <w:gridSpan w:val="3"/>
            <w:shd w:val="clear" w:color="auto" w:fill="auto"/>
            <w:tcMar>
              <w:top w:w="40" w:type="dxa"/>
              <w:left w:w="20" w:type="dxa"/>
              <w:bottom w:w="40" w:type="dxa"/>
              <w:right w:w="20" w:type="dxa"/>
            </w:tcMar>
          </w:tcPr>
          <w:p w14:paraId="7DD02402" w14:textId="77777777" w:rsidR="00C1563E" w:rsidRDefault="000B648B">
            <w:pPr>
              <w:jc w:val="right"/>
              <w:textAlignment w:val="top"/>
            </w:pPr>
            <w:hyperlink r:id="rId603" w:history="1">
              <w:r>
                <w:rPr>
                  <w:rStyle w:val="a5"/>
                  <w:rFonts w:ascii="Times New Roman" w:eastAsia="宋体" w:hAnsi="Times New Roman"/>
                  <w:sz w:val="20"/>
                  <w:szCs w:val="20"/>
                </w:rPr>
                <w:t>10.54</w:t>
              </w:r>
            </w:hyperlink>
          </w:p>
        </w:tc>
        <w:tc>
          <w:tcPr>
            <w:tcW w:w="0" w:type="auto"/>
            <w:gridSpan w:val="3"/>
            <w:shd w:val="clear" w:color="auto" w:fill="auto"/>
            <w:tcMar>
              <w:top w:w="0" w:type="dxa"/>
              <w:left w:w="20" w:type="dxa"/>
              <w:bottom w:w="0" w:type="dxa"/>
              <w:right w:w="20" w:type="dxa"/>
            </w:tcMar>
          </w:tcPr>
          <w:p w14:paraId="7DD0240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04" w14:textId="77777777" w:rsidR="00C1563E" w:rsidRDefault="000B648B">
            <w:pPr>
              <w:textAlignment w:val="top"/>
            </w:pPr>
            <w:hyperlink r:id="rId604" w:history="1">
              <w:r>
                <w:rPr>
                  <w:rStyle w:val="a5"/>
                  <w:rFonts w:ascii="Times New Roman" w:eastAsia="宋体" w:hAnsi="Times New Roman"/>
                  <w:sz w:val="20"/>
                  <w:szCs w:val="20"/>
                </w:rPr>
                <w:t>Form of Restricted Stock Unit Agreement under the Dell Technologies Inc. 2013 Stock Incentive Plan (incorporated by reference to Exhibit 10.1 to the Com</w:t>
              </w:r>
              <w:r>
                <w:rPr>
                  <w:rStyle w:val="a5"/>
                  <w:rFonts w:ascii="Times New Roman" w:eastAsia="宋体" w:hAnsi="Times New Roman"/>
                  <w:sz w:val="20"/>
                  <w:szCs w:val="20"/>
                </w:rPr>
                <w:t>pany’s Current Report on Form 8-K filed with the Commission on March 19, 2019) (Commission File No. 001-37867).</w:t>
              </w:r>
            </w:hyperlink>
          </w:p>
        </w:tc>
      </w:tr>
      <w:tr w:rsidR="00C1563E" w14:paraId="7DD02409" w14:textId="77777777">
        <w:trPr>
          <w:jc w:val="center"/>
        </w:trPr>
        <w:tc>
          <w:tcPr>
            <w:tcW w:w="0" w:type="auto"/>
            <w:gridSpan w:val="3"/>
            <w:shd w:val="clear" w:color="auto" w:fill="auto"/>
            <w:tcMar>
              <w:top w:w="40" w:type="dxa"/>
              <w:left w:w="20" w:type="dxa"/>
              <w:bottom w:w="40" w:type="dxa"/>
              <w:right w:w="20" w:type="dxa"/>
            </w:tcMar>
          </w:tcPr>
          <w:p w14:paraId="7DD02406" w14:textId="77777777" w:rsidR="00C1563E" w:rsidRDefault="000B648B">
            <w:pPr>
              <w:jc w:val="right"/>
              <w:textAlignment w:val="top"/>
            </w:pPr>
            <w:hyperlink r:id="rId605" w:history="1">
              <w:r>
                <w:rPr>
                  <w:rStyle w:val="a5"/>
                  <w:rFonts w:ascii="Times New Roman" w:eastAsia="宋体" w:hAnsi="Times New Roman"/>
                  <w:sz w:val="20"/>
                  <w:szCs w:val="20"/>
                </w:rPr>
                <w:t>10.55</w:t>
              </w:r>
            </w:hyperlink>
          </w:p>
        </w:tc>
        <w:tc>
          <w:tcPr>
            <w:tcW w:w="0" w:type="auto"/>
            <w:gridSpan w:val="3"/>
            <w:shd w:val="clear" w:color="auto" w:fill="auto"/>
            <w:tcMar>
              <w:top w:w="0" w:type="dxa"/>
              <w:left w:w="20" w:type="dxa"/>
              <w:bottom w:w="0" w:type="dxa"/>
              <w:right w:w="20" w:type="dxa"/>
            </w:tcMar>
          </w:tcPr>
          <w:p w14:paraId="7DD0240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08" w14:textId="77777777" w:rsidR="00C1563E" w:rsidRDefault="000B648B">
            <w:pPr>
              <w:textAlignment w:val="top"/>
            </w:pPr>
            <w:hyperlink r:id="rId606" w:history="1">
              <w:r>
                <w:rPr>
                  <w:rStyle w:val="a5"/>
                  <w:rFonts w:ascii="Times New Roman" w:eastAsia="宋体" w:hAnsi="Times New Roman"/>
                  <w:sz w:val="20"/>
                  <w:szCs w:val="20"/>
                </w:rPr>
                <w:t>Form of Performance-Based Restricted Stock Unit Agreement under the Dell Technologies Inc. 2013 Stock Incentive Plan (incorporated by reference to Exhibit 10.2 to the Company’s</w:t>
              </w:r>
              <w:r>
                <w:rPr>
                  <w:rStyle w:val="a5"/>
                  <w:rFonts w:ascii="Times New Roman" w:eastAsia="宋体" w:hAnsi="Times New Roman"/>
                  <w:sz w:val="20"/>
                  <w:szCs w:val="20"/>
                </w:rPr>
                <w:t xml:space="preserve"> Current Report on Form 8-K filed with the Commission on March 19, 2019) (Commission File No. 001-37867). </w:t>
              </w:r>
            </w:hyperlink>
          </w:p>
        </w:tc>
      </w:tr>
      <w:tr w:rsidR="00C1563E" w14:paraId="7DD0240D" w14:textId="77777777">
        <w:trPr>
          <w:jc w:val="center"/>
        </w:trPr>
        <w:tc>
          <w:tcPr>
            <w:tcW w:w="0" w:type="auto"/>
            <w:gridSpan w:val="3"/>
            <w:shd w:val="clear" w:color="auto" w:fill="auto"/>
            <w:tcMar>
              <w:top w:w="40" w:type="dxa"/>
              <w:left w:w="20" w:type="dxa"/>
              <w:bottom w:w="40" w:type="dxa"/>
              <w:right w:w="20" w:type="dxa"/>
            </w:tcMar>
          </w:tcPr>
          <w:p w14:paraId="7DD0240A" w14:textId="77777777" w:rsidR="00C1563E" w:rsidRDefault="000B648B">
            <w:pPr>
              <w:jc w:val="right"/>
              <w:textAlignment w:val="top"/>
            </w:pPr>
            <w:hyperlink r:id="rId607" w:history="1">
              <w:r>
                <w:rPr>
                  <w:rStyle w:val="a5"/>
                  <w:rFonts w:ascii="Times New Roman" w:eastAsia="宋体" w:hAnsi="Times New Roman"/>
                  <w:sz w:val="20"/>
                  <w:szCs w:val="20"/>
                </w:rPr>
                <w:t>10.56</w:t>
              </w:r>
            </w:hyperlink>
          </w:p>
        </w:tc>
        <w:tc>
          <w:tcPr>
            <w:tcW w:w="0" w:type="auto"/>
            <w:gridSpan w:val="3"/>
            <w:shd w:val="clear" w:color="auto" w:fill="auto"/>
            <w:tcMar>
              <w:top w:w="0" w:type="dxa"/>
              <w:left w:w="20" w:type="dxa"/>
              <w:bottom w:w="0" w:type="dxa"/>
              <w:right w:w="20" w:type="dxa"/>
            </w:tcMar>
          </w:tcPr>
          <w:p w14:paraId="7DD0240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0C" w14:textId="77777777" w:rsidR="00C1563E" w:rsidRDefault="000B648B">
            <w:pPr>
              <w:textAlignment w:val="top"/>
            </w:pPr>
            <w:hyperlink r:id="rId608" w:history="1">
              <w:r>
                <w:rPr>
                  <w:rStyle w:val="a5"/>
                  <w:rFonts w:ascii="Times New Roman" w:eastAsia="宋体" w:hAnsi="Times New Roman"/>
                  <w:sz w:val="20"/>
                  <w:szCs w:val="20"/>
                </w:rPr>
                <w:t>Sixth Refinancing Amendment, dated as of</w:t>
              </w:r>
              <w:r>
                <w:rPr>
                  <w:rStyle w:val="a5"/>
                  <w:rFonts w:ascii="Times New Roman" w:eastAsia="宋体" w:hAnsi="Times New Roman"/>
                  <w:sz w:val="20"/>
                  <w:szCs w:val="20"/>
                </w:rPr>
                <w:t xml:space="preserve"> September 19, 2019, among Denali Intermediate Inc., Dell Inc., Dell International L.L.C., EMC Corporation, Credit Suisse AG, Cayman Islands Branch, as Term Loan B Administrative Agent and Collateral Agent, JPMorgan Chase Bank, N.A., as Term Loan A/Revolve</w:t>
              </w:r>
              <w:r>
                <w:rPr>
                  <w:rStyle w:val="a5"/>
                  <w:rFonts w:ascii="Times New Roman" w:eastAsia="宋体" w:hAnsi="Times New Roman"/>
                  <w:sz w:val="20"/>
                  <w:szCs w:val="20"/>
                </w:rPr>
                <w:t xml:space="preserve">r Administrative Agent, and the lenders party thereto (incorporated by reference to Exhibit 10.1 to the Company’s Current Report on Form 8-K filed with the Commission on September 23, 2019) (Commission File No. 001-37867). </w:t>
              </w:r>
            </w:hyperlink>
          </w:p>
        </w:tc>
      </w:tr>
      <w:tr w:rsidR="00C1563E" w14:paraId="7DD02411" w14:textId="77777777">
        <w:trPr>
          <w:jc w:val="center"/>
        </w:trPr>
        <w:tc>
          <w:tcPr>
            <w:tcW w:w="0" w:type="auto"/>
            <w:gridSpan w:val="3"/>
            <w:shd w:val="clear" w:color="auto" w:fill="auto"/>
            <w:tcMar>
              <w:top w:w="40" w:type="dxa"/>
              <w:left w:w="20" w:type="dxa"/>
              <w:bottom w:w="40" w:type="dxa"/>
              <w:right w:w="20" w:type="dxa"/>
            </w:tcMar>
          </w:tcPr>
          <w:p w14:paraId="7DD0240E" w14:textId="77777777" w:rsidR="00C1563E" w:rsidRDefault="000B648B">
            <w:pPr>
              <w:jc w:val="right"/>
              <w:textAlignment w:val="top"/>
            </w:pPr>
            <w:hyperlink r:id="rId609" w:history="1">
              <w:r>
                <w:rPr>
                  <w:rStyle w:val="a5"/>
                  <w:rFonts w:ascii="Times New Roman" w:eastAsia="宋体" w:hAnsi="Times New Roman"/>
                  <w:sz w:val="20"/>
                  <w:szCs w:val="20"/>
                </w:rPr>
                <w:t>10.57†*</w:t>
              </w:r>
            </w:hyperlink>
          </w:p>
        </w:tc>
        <w:tc>
          <w:tcPr>
            <w:tcW w:w="0" w:type="auto"/>
            <w:gridSpan w:val="3"/>
            <w:shd w:val="clear" w:color="auto" w:fill="auto"/>
            <w:tcMar>
              <w:top w:w="0" w:type="dxa"/>
              <w:left w:w="20" w:type="dxa"/>
              <w:bottom w:w="0" w:type="dxa"/>
              <w:right w:w="20" w:type="dxa"/>
            </w:tcMar>
          </w:tcPr>
          <w:p w14:paraId="7DD0240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10" w14:textId="77777777" w:rsidR="00C1563E" w:rsidRDefault="000B648B">
            <w:pPr>
              <w:textAlignment w:val="top"/>
            </w:pPr>
            <w:hyperlink r:id="rId610" w:history="1">
              <w:r>
                <w:rPr>
                  <w:rStyle w:val="a5"/>
                  <w:rFonts w:ascii="Times New Roman" w:eastAsia="宋体" w:hAnsi="Times New Roman"/>
                  <w:sz w:val="20"/>
                  <w:szCs w:val="20"/>
                </w:rPr>
                <w:t xml:space="preserve">Waiver Letter, dated as of </w:t>
              </w:r>
            </w:hyperlink>
            <w:hyperlink r:id="rId611" w:history="1">
              <w:r>
                <w:rPr>
                  <w:rStyle w:val="a5"/>
                  <w:rFonts w:ascii="Times New Roman" w:eastAsia="宋体" w:hAnsi="Times New Roman"/>
                  <w:sz w:val="20"/>
                  <w:szCs w:val="20"/>
                </w:rPr>
                <w:t>April 7</w:t>
              </w:r>
            </w:hyperlink>
            <w:hyperlink r:id="rId612" w:history="1">
              <w:r>
                <w:rPr>
                  <w:rStyle w:val="a5"/>
                  <w:rFonts w:ascii="Times New Roman" w:eastAsia="宋体" w:hAnsi="Times New Roman"/>
                  <w:sz w:val="20"/>
                  <w:szCs w:val="20"/>
                </w:rPr>
                <w:t>, 2020, between Dell Technologies Inc. and Michael S. Dell.</w:t>
              </w:r>
            </w:hyperlink>
          </w:p>
        </w:tc>
      </w:tr>
      <w:tr w:rsidR="00C1563E" w14:paraId="7DD02415" w14:textId="77777777">
        <w:trPr>
          <w:jc w:val="center"/>
        </w:trPr>
        <w:tc>
          <w:tcPr>
            <w:tcW w:w="0" w:type="auto"/>
            <w:gridSpan w:val="3"/>
            <w:shd w:val="clear" w:color="auto" w:fill="auto"/>
            <w:tcMar>
              <w:top w:w="40" w:type="dxa"/>
              <w:left w:w="20" w:type="dxa"/>
              <w:bottom w:w="40" w:type="dxa"/>
              <w:right w:w="20" w:type="dxa"/>
            </w:tcMar>
          </w:tcPr>
          <w:p w14:paraId="7DD02412" w14:textId="77777777" w:rsidR="00C1563E" w:rsidRDefault="000B648B">
            <w:pPr>
              <w:jc w:val="right"/>
              <w:textAlignment w:val="top"/>
            </w:pPr>
            <w:hyperlink r:id="rId613" w:history="1">
              <w:r>
                <w:rPr>
                  <w:rStyle w:val="a5"/>
                  <w:rFonts w:ascii="Times New Roman" w:eastAsia="宋体" w:hAnsi="Times New Roman"/>
                  <w:sz w:val="20"/>
                  <w:szCs w:val="20"/>
                </w:rPr>
                <w:t>21.1†</w:t>
              </w:r>
            </w:hyperlink>
          </w:p>
        </w:tc>
        <w:tc>
          <w:tcPr>
            <w:tcW w:w="0" w:type="auto"/>
            <w:gridSpan w:val="3"/>
            <w:shd w:val="clear" w:color="auto" w:fill="auto"/>
            <w:tcMar>
              <w:top w:w="0" w:type="dxa"/>
              <w:left w:w="20" w:type="dxa"/>
              <w:bottom w:w="0" w:type="dxa"/>
              <w:right w:w="20" w:type="dxa"/>
            </w:tcMar>
          </w:tcPr>
          <w:p w14:paraId="7DD0241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14" w14:textId="77777777" w:rsidR="00C1563E" w:rsidRDefault="000B648B">
            <w:pPr>
              <w:textAlignment w:val="top"/>
            </w:pPr>
            <w:hyperlink r:id="rId614" w:history="1">
              <w:r>
                <w:rPr>
                  <w:rStyle w:val="a5"/>
                  <w:rFonts w:ascii="Times New Roman" w:eastAsia="宋体" w:hAnsi="Times New Roman"/>
                  <w:sz w:val="20"/>
                  <w:szCs w:val="20"/>
                </w:rPr>
                <w:t>Subsidiaries of Dell Technologies Inc.</w:t>
              </w:r>
            </w:hyperlink>
          </w:p>
        </w:tc>
      </w:tr>
      <w:tr w:rsidR="00C1563E" w14:paraId="7DD02419" w14:textId="77777777">
        <w:trPr>
          <w:jc w:val="center"/>
        </w:trPr>
        <w:tc>
          <w:tcPr>
            <w:tcW w:w="0" w:type="auto"/>
            <w:gridSpan w:val="3"/>
            <w:shd w:val="clear" w:color="auto" w:fill="auto"/>
            <w:tcMar>
              <w:top w:w="40" w:type="dxa"/>
              <w:left w:w="20" w:type="dxa"/>
              <w:bottom w:w="40" w:type="dxa"/>
              <w:right w:w="20" w:type="dxa"/>
            </w:tcMar>
          </w:tcPr>
          <w:p w14:paraId="7DD02416" w14:textId="77777777" w:rsidR="00C1563E" w:rsidRDefault="000B648B">
            <w:pPr>
              <w:jc w:val="right"/>
              <w:textAlignment w:val="top"/>
            </w:pPr>
            <w:hyperlink r:id="rId615" w:history="1">
              <w:r>
                <w:rPr>
                  <w:rStyle w:val="a5"/>
                  <w:rFonts w:ascii="Times New Roman" w:eastAsia="宋体" w:hAnsi="Times New Roman"/>
                  <w:sz w:val="20"/>
                  <w:szCs w:val="20"/>
                </w:rPr>
                <w:t>23.1†</w:t>
              </w:r>
            </w:hyperlink>
          </w:p>
        </w:tc>
        <w:tc>
          <w:tcPr>
            <w:tcW w:w="0" w:type="auto"/>
            <w:gridSpan w:val="3"/>
            <w:shd w:val="clear" w:color="auto" w:fill="auto"/>
            <w:tcMar>
              <w:top w:w="0" w:type="dxa"/>
              <w:left w:w="20" w:type="dxa"/>
              <w:bottom w:w="0" w:type="dxa"/>
              <w:right w:w="20" w:type="dxa"/>
            </w:tcMar>
          </w:tcPr>
          <w:p w14:paraId="7DD0241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18" w14:textId="77777777" w:rsidR="00C1563E" w:rsidRDefault="000B648B">
            <w:pPr>
              <w:textAlignment w:val="top"/>
            </w:pPr>
            <w:hyperlink r:id="rId616" w:history="1">
              <w:r>
                <w:rPr>
                  <w:rStyle w:val="a5"/>
                  <w:rFonts w:ascii="Times New Roman" w:eastAsia="宋体" w:hAnsi="Times New Roman"/>
                  <w:sz w:val="20"/>
                  <w:szCs w:val="20"/>
                </w:rPr>
                <w:t>Consent of PricewaterhouseCoopers LLP, independent registered public accounting firm of Dell Technologies Inc.</w:t>
              </w:r>
            </w:hyperlink>
          </w:p>
        </w:tc>
      </w:tr>
      <w:tr w:rsidR="00C1563E" w14:paraId="7DD0241D" w14:textId="77777777">
        <w:trPr>
          <w:jc w:val="center"/>
        </w:trPr>
        <w:tc>
          <w:tcPr>
            <w:tcW w:w="0" w:type="auto"/>
            <w:gridSpan w:val="3"/>
            <w:shd w:val="clear" w:color="auto" w:fill="auto"/>
            <w:tcMar>
              <w:top w:w="40" w:type="dxa"/>
              <w:left w:w="20" w:type="dxa"/>
              <w:bottom w:w="40" w:type="dxa"/>
              <w:right w:w="20" w:type="dxa"/>
            </w:tcMar>
          </w:tcPr>
          <w:p w14:paraId="7DD0241A" w14:textId="77777777" w:rsidR="00C1563E" w:rsidRDefault="000B648B">
            <w:pPr>
              <w:jc w:val="right"/>
              <w:textAlignment w:val="top"/>
            </w:pPr>
            <w:hyperlink r:id="rId617"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tcPr>
          <w:p w14:paraId="7DD0241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1C" w14:textId="77777777" w:rsidR="00C1563E" w:rsidRDefault="000B648B">
            <w:pPr>
              <w:textAlignment w:val="top"/>
            </w:pPr>
            <w:hyperlink r:id="rId618" w:history="1">
              <w:r>
                <w:rPr>
                  <w:rStyle w:val="a5"/>
                  <w:rFonts w:ascii="Times New Roman" w:eastAsia="宋体" w:hAnsi="Times New Roman"/>
                  <w:sz w:val="20"/>
                  <w:szCs w:val="20"/>
                </w:rPr>
                <w:t>Certification of Michael S. Dell, Chairman and Chief Executive Officer, pursu</w:t>
              </w:r>
              <w:r>
                <w:rPr>
                  <w:rStyle w:val="a5"/>
                  <w:rFonts w:ascii="Times New Roman" w:eastAsia="宋体" w:hAnsi="Times New Roman"/>
                  <w:sz w:val="20"/>
                  <w:szCs w:val="20"/>
                </w:rPr>
                <w:t>ant to Rule 13a-14(a) or Rule 15d-14(a) under the Securities Exchange Act of 1934, as adopted pursuant to Section 302 of the Sarbanes-Oxley Act of 2002.</w:t>
              </w:r>
            </w:hyperlink>
          </w:p>
        </w:tc>
      </w:tr>
      <w:tr w:rsidR="00C1563E" w14:paraId="7DD02421" w14:textId="77777777">
        <w:trPr>
          <w:jc w:val="center"/>
        </w:trPr>
        <w:tc>
          <w:tcPr>
            <w:tcW w:w="0" w:type="auto"/>
            <w:gridSpan w:val="3"/>
            <w:shd w:val="clear" w:color="auto" w:fill="auto"/>
            <w:tcMar>
              <w:top w:w="40" w:type="dxa"/>
              <w:left w:w="20" w:type="dxa"/>
              <w:bottom w:w="40" w:type="dxa"/>
              <w:right w:w="20" w:type="dxa"/>
            </w:tcMar>
          </w:tcPr>
          <w:p w14:paraId="7DD0241E" w14:textId="77777777" w:rsidR="00C1563E" w:rsidRDefault="000B648B">
            <w:pPr>
              <w:jc w:val="right"/>
              <w:textAlignment w:val="top"/>
            </w:pPr>
            <w:hyperlink r:id="rId619"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tcPr>
          <w:p w14:paraId="7DD0241F"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20" w14:textId="77777777" w:rsidR="00C1563E" w:rsidRDefault="000B648B">
            <w:pPr>
              <w:textAlignment w:val="top"/>
            </w:pPr>
            <w:hyperlink r:id="rId620" w:history="1">
              <w:r>
                <w:rPr>
                  <w:rStyle w:val="a5"/>
                  <w:rFonts w:ascii="Times New Roman" w:eastAsia="宋体" w:hAnsi="Times New Roman"/>
                  <w:sz w:val="20"/>
                  <w:szCs w:val="20"/>
                </w:rPr>
                <w:t>Certification of Thomas W. Sweet, Executive Vice President and Chief Financial Officer, pursuant to Rule 13a-14(a) or Rule 15d-14(a) unde</w:t>
              </w:r>
              <w:r>
                <w:rPr>
                  <w:rStyle w:val="a5"/>
                  <w:rFonts w:ascii="Times New Roman" w:eastAsia="宋体" w:hAnsi="Times New Roman"/>
                  <w:sz w:val="20"/>
                  <w:szCs w:val="20"/>
                </w:rPr>
                <w:t>r the Securities Exchange Act of 1934, as adopted pursuant to Section 302 of the Sarbanes-Oxley Act of 2002.</w:t>
              </w:r>
            </w:hyperlink>
          </w:p>
        </w:tc>
      </w:tr>
      <w:tr w:rsidR="00C1563E" w14:paraId="7DD02425" w14:textId="77777777">
        <w:trPr>
          <w:jc w:val="center"/>
        </w:trPr>
        <w:tc>
          <w:tcPr>
            <w:tcW w:w="0" w:type="auto"/>
            <w:gridSpan w:val="3"/>
            <w:shd w:val="clear" w:color="auto" w:fill="auto"/>
            <w:tcMar>
              <w:top w:w="40" w:type="dxa"/>
              <w:left w:w="20" w:type="dxa"/>
              <w:bottom w:w="40" w:type="dxa"/>
              <w:right w:w="20" w:type="dxa"/>
            </w:tcMar>
          </w:tcPr>
          <w:p w14:paraId="7DD02422" w14:textId="77777777" w:rsidR="00C1563E" w:rsidRDefault="000B648B">
            <w:pPr>
              <w:jc w:val="right"/>
              <w:textAlignment w:val="top"/>
            </w:pPr>
            <w:hyperlink r:id="rId621"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tcPr>
          <w:p w14:paraId="7DD0242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24" w14:textId="77777777" w:rsidR="00C1563E" w:rsidRDefault="000B648B">
            <w:pPr>
              <w:textAlignment w:val="top"/>
            </w:pPr>
            <w:hyperlink r:id="rId622" w:history="1">
              <w:r>
                <w:rPr>
                  <w:rStyle w:val="a5"/>
                  <w:rFonts w:ascii="Times New Roman" w:eastAsia="宋体" w:hAnsi="Times New Roman"/>
                  <w:sz w:val="20"/>
                  <w:szCs w:val="20"/>
                </w:rPr>
                <w:t>Certifications of Michael S. Dell, Ch</w:t>
              </w:r>
              <w:r>
                <w:rPr>
                  <w:rStyle w:val="a5"/>
                  <w:rFonts w:ascii="Times New Roman" w:eastAsia="宋体" w:hAnsi="Times New Roman"/>
                  <w:sz w:val="20"/>
                  <w:szCs w:val="20"/>
                </w:rPr>
                <w:t>airman and Chief Executive Officer, and Thomas W. Sweet, Executive Vice President and Chief Financial Officer, pursuant to Rule 13a-14(b) or Rule 15d-14(b) under the Securities Exchange Act of 1934 and 18 U.S.C. Section 1350, as adopted pursuant to Section</w:t>
              </w:r>
              <w:r>
                <w:rPr>
                  <w:rStyle w:val="a5"/>
                  <w:rFonts w:ascii="Times New Roman" w:eastAsia="宋体" w:hAnsi="Times New Roman"/>
                  <w:sz w:val="20"/>
                  <w:szCs w:val="20"/>
                </w:rPr>
                <w:t xml:space="preserve"> 906 of the Sarbanes-Oxley Act of 2002.</w:t>
              </w:r>
            </w:hyperlink>
          </w:p>
        </w:tc>
      </w:tr>
      <w:tr w:rsidR="00C1563E" w14:paraId="7DD02429" w14:textId="77777777">
        <w:trPr>
          <w:jc w:val="center"/>
        </w:trPr>
        <w:tc>
          <w:tcPr>
            <w:tcW w:w="0" w:type="auto"/>
            <w:gridSpan w:val="3"/>
            <w:shd w:val="clear" w:color="auto" w:fill="auto"/>
            <w:tcMar>
              <w:top w:w="40" w:type="dxa"/>
              <w:left w:w="20" w:type="dxa"/>
              <w:bottom w:w="40" w:type="dxa"/>
              <w:right w:w="20" w:type="dxa"/>
            </w:tcMar>
          </w:tcPr>
          <w:p w14:paraId="7DD02426" w14:textId="77777777" w:rsidR="00C1563E" w:rsidRDefault="000B648B">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tcPr>
          <w:p w14:paraId="7DD0242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28" w14:textId="77777777" w:rsidR="00C1563E" w:rsidRDefault="000B648B">
            <w:pPr>
              <w:textAlignment w:val="top"/>
            </w:pPr>
            <w:r>
              <w:rPr>
                <w:rFonts w:ascii="Times New Roman" w:eastAsia="宋体" w:hAnsi="Times New Roman"/>
                <w:color w:val="000000"/>
                <w:sz w:val="20"/>
                <w:szCs w:val="20"/>
              </w:rPr>
              <w:t>XBRL Instance Document - the instance document does not appear in the Interactive Data File because its XBRL tags are embedded within the Inline XBRL document.</w:t>
            </w:r>
          </w:p>
        </w:tc>
      </w:tr>
      <w:tr w:rsidR="00C1563E" w14:paraId="7DD0242D" w14:textId="77777777">
        <w:trPr>
          <w:jc w:val="center"/>
        </w:trPr>
        <w:tc>
          <w:tcPr>
            <w:tcW w:w="0" w:type="auto"/>
            <w:gridSpan w:val="3"/>
            <w:shd w:val="clear" w:color="auto" w:fill="auto"/>
            <w:tcMar>
              <w:top w:w="40" w:type="dxa"/>
              <w:left w:w="20" w:type="dxa"/>
              <w:bottom w:w="40" w:type="dxa"/>
              <w:right w:w="20" w:type="dxa"/>
            </w:tcMar>
          </w:tcPr>
          <w:p w14:paraId="7DD0242A" w14:textId="77777777" w:rsidR="00C1563E" w:rsidRDefault="000B648B">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tcPr>
          <w:p w14:paraId="7DD0242B"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2C" w14:textId="77777777" w:rsidR="00C1563E" w:rsidRDefault="000B648B">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Schema Document.</w:t>
            </w:r>
          </w:p>
        </w:tc>
      </w:tr>
    </w:tbl>
    <w:p w14:paraId="7DD0242E" w14:textId="77777777" w:rsidR="00C1563E" w:rsidRDefault="00C1563E">
      <w:pPr>
        <w:jc w:val="center"/>
      </w:pPr>
    </w:p>
    <w:p w14:paraId="7DD0242F" w14:textId="77777777" w:rsidR="00C1563E" w:rsidRDefault="000B648B">
      <w:pPr>
        <w:jc w:val="center"/>
      </w:pPr>
      <w:r>
        <w:rPr>
          <w:rFonts w:ascii="Times New Roman" w:eastAsia="宋体" w:hAnsi="Times New Roman"/>
          <w:color w:val="000000"/>
          <w:sz w:val="20"/>
          <w:szCs w:val="20"/>
        </w:rPr>
        <w:t>180</w:t>
      </w:r>
    </w:p>
    <w:p w14:paraId="7DD02430" w14:textId="77777777" w:rsidR="00C1563E" w:rsidRDefault="00C1563E">
      <w:pPr>
        <w:jc w:val="center"/>
      </w:pPr>
    </w:p>
    <w:p w14:paraId="7DD02431" w14:textId="77777777" w:rsidR="00C1563E" w:rsidRDefault="000B648B">
      <w:r>
        <w:pict w14:anchorId="7DD0261E">
          <v:rect id="_x0000_i1204" style="width:415.3pt;height:1.5pt" o:hralign="center" o:hrstd="t" o:hr="t" fillcolor="#a0a0a0" stroked="f"/>
        </w:pict>
      </w:r>
    </w:p>
    <w:p w14:paraId="7DD02432" w14:textId="77777777" w:rsidR="00C1563E" w:rsidRDefault="000B648B">
      <w:hyperlink r:id="rId623" w:anchor="i418e32e4a35149ffbf7d3a25d66881b8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944"/>
        <w:gridCol w:w="36"/>
        <w:gridCol w:w="36"/>
        <w:gridCol w:w="36"/>
        <w:gridCol w:w="36"/>
        <w:gridCol w:w="54"/>
        <w:gridCol w:w="7084"/>
        <w:gridCol w:w="37"/>
      </w:tblGrid>
      <w:tr w:rsidR="00C1563E" w14:paraId="7DD0243C" w14:textId="77777777">
        <w:trPr>
          <w:jc w:val="center"/>
        </w:trPr>
        <w:tc>
          <w:tcPr>
            <w:tcW w:w="50" w:type="pct"/>
            <w:shd w:val="clear" w:color="auto" w:fill="auto"/>
          </w:tcPr>
          <w:p w14:paraId="7DD02433" w14:textId="77777777" w:rsidR="00C1563E" w:rsidRDefault="00C1563E">
            <w:pPr>
              <w:rPr>
                <w:rFonts w:ascii="宋体"/>
              </w:rPr>
            </w:pPr>
          </w:p>
        </w:tc>
        <w:tc>
          <w:tcPr>
            <w:tcW w:w="595" w:type="pct"/>
            <w:shd w:val="clear" w:color="auto" w:fill="auto"/>
          </w:tcPr>
          <w:p w14:paraId="7DD02434" w14:textId="77777777" w:rsidR="00C1563E" w:rsidRDefault="00C1563E">
            <w:pPr>
              <w:rPr>
                <w:rFonts w:ascii="宋体"/>
              </w:rPr>
            </w:pPr>
          </w:p>
        </w:tc>
        <w:tc>
          <w:tcPr>
            <w:tcW w:w="5" w:type="pct"/>
            <w:shd w:val="clear" w:color="auto" w:fill="auto"/>
          </w:tcPr>
          <w:p w14:paraId="7DD02435" w14:textId="77777777" w:rsidR="00C1563E" w:rsidRDefault="00C1563E">
            <w:pPr>
              <w:rPr>
                <w:rFonts w:ascii="宋体"/>
              </w:rPr>
            </w:pPr>
          </w:p>
        </w:tc>
        <w:tc>
          <w:tcPr>
            <w:tcW w:w="5" w:type="pct"/>
            <w:shd w:val="clear" w:color="auto" w:fill="auto"/>
          </w:tcPr>
          <w:p w14:paraId="7DD02436" w14:textId="77777777" w:rsidR="00C1563E" w:rsidRDefault="00C1563E">
            <w:pPr>
              <w:rPr>
                <w:rFonts w:ascii="宋体"/>
              </w:rPr>
            </w:pPr>
          </w:p>
        </w:tc>
        <w:tc>
          <w:tcPr>
            <w:tcW w:w="19" w:type="pct"/>
            <w:shd w:val="clear" w:color="auto" w:fill="auto"/>
          </w:tcPr>
          <w:p w14:paraId="7DD02437" w14:textId="77777777" w:rsidR="00C1563E" w:rsidRDefault="00C1563E">
            <w:pPr>
              <w:rPr>
                <w:rFonts w:ascii="宋体"/>
              </w:rPr>
            </w:pPr>
          </w:p>
        </w:tc>
        <w:tc>
          <w:tcPr>
            <w:tcW w:w="5" w:type="pct"/>
            <w:shd w:val="clear" w:color="auto" w:fill="auto"/>
          </w:tcPr>
          <w:p w14:paraId="7DD02438" w14:textId="77777777" w:rsidR="00C1563E" w:rsidRDefault="00C1563E">
            <w:pPr>
              <w:rPr>
                <w:rFonts w:ascii="宋体"/>
              </w:rPr>
            </w:pPr>
          </w:p>
        </w:tc>
        <w:tc>
          <w:tcPr>
            <w:tcW w:w="50" w:type="pct"/>
            <w:shd w:val="clear" w:color="auto" w:fill="auto"/>
          </w:tcPr>
          <w:p w14:paraId="7DD02439" w14:textId="77777777" w:rsidR="00C1563E" w:rsidRDefault="00C1563E">
            <w:pPr>
              <w:rPr>
                <w:rFonts w:ascii="宋体"/>
              </w:rPr>
            </w:pPr>
          </w:p>
        </w:tc>
        <w:tc>
          <w:tcPr>
            <w:tcW w:w="4265" w:type="pct"/>
            <w:shd w:val="clear" w:color="auto" w:fill="auto"/>
          </w:tcPr>
          <w:p w14:paraId="7DD0243A" w14:textId="77777777" w:rsidR="00C1563E" w:rsidRDefault="00C1563E">
            <w:pPr>
              <w:rPr>
                <w:rFonts w:ascii="宋体"/>
              </w:rPr>
            </w:pPr>
          </w:p>
        </w:tc>
        <w:tc>
          <w:tcPr>
            <w:tcW w:w="5" w:type="pct"/>
            <w:shd w:val="clear" w:color="auto" w:fill="auto"/>
          </w:tcPr>
          <w:p w14:paraId="7DD0243B" w14:textId="77777777" w:rsidR="00C1563E" w:rsidRDefault="00C1563E">
            <w:pPr>
              <w:rPr>
                <w:rFonts w:ascii="宋体"/>
              </w:rPr>
            </w:pPr>
          </w:p>
        </w:tc>
      </w:tr>
      <w:tr w:rsidR="00C1563E" w14:paraId="7DD02440" w14:textId="77777777">
        <w:trPr>
          <w:jc w:val="center"/>
        </w:trPr>
        <w:tc>
          <w:tcPr>
            <w:tcW w:w="0" w:type="auto"/>
            <w:gridSpan w:val="3"/>
            <w:shd w:val="clear" w:color="auto" w:fill="auto"/>
            <w:tcMar>
              <w:top w:w="40" w:type="dxa"/>
              <w:left w:w="20" w:type="dxa"/>
              <w:bottom w:w="40" w:type="dxa"/>
              <w:right w:w="20" w:type="dxa"/>
            </w:tcMar>
          </w:tcPr>
          <w:p w14:paraId="7DD0243D" w14:textId="77777777" w:rsidR="00C1563E" w:rsidRDefault="000B648B">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tcPr>
          <w:p w14:paraId="7DD0243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3F" w14:textId="77777777" w:rsidR="00C1563E" w:rsidRDefault="000B648B">
            <w:pPr>
              <w:textAlignment w:val="top"/>
            </w:pPr>
            <w:r>
              <w:rPr>
                <w:rFonts w:ascii="Times New Roman" w:eastAsia="宋体" w:hAnsi="Times New Roman"/>
                <w:color w:val="000000"/>
                <w:sz w:val="20"/>
                <w:szCs w:val="20"/>
              </w:rPr>
              <w:t xml:space="preserve">Inline XBRL </w:t>
            </w:r>
            <w:r>
              <w:rPr>
                <w:rFonts w:ascii="Times New Roman" w:eastAsia="宋体" w:hAnsi="Times New Roman"/>
                <w:color w:val="000000"/>
                <w:sz w:val="20"/>
                <w:szCs w:val="20"/>
              </w:rPr>
              <w:t>Taxonomy Extension Calculation Linkbase Document.</w:t>
            </w:r>
          </w:p>
        </w:tc>
      </w:tr>
      <w:tr w:rsidR="00C1563E" w14:paraId="7DD02444" w14:textId="77777777">
        <w:trPr>
          <w:jc w:val="center"/>
        </w:trPr>
        <w:tc>
          <w:tcPr>
            <w:tcW w:w="0" w:type="auto"/>
            <w:gridSpan w:val="3"/>
            <w:shd w:val="clear" w:color="auto" w:fill="auto"/>
            <w:tcMar>
              <w:top w:w="40" w:type="dxa"/>
              <w:left w:w="20" w:type="dxa"/>
              <w:bottom w:w="40" w:type="dxa"/>
              <w:right w:w="20" w:type="dxa"/>
            </w:tcMar>
          </w:tcPr>
          <w:p w14:paraId="7DD02441" w14:textId="77777777" w:rsidR="00C1563E" w:rsidRDefault="000B648B">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tcPr>
          <w:p w14:paraId="7DD0244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43" w14:textId="77777777" w:rsidR="00C1563E" w:rsidRDefault="000B648B">
            <w:pPr>
              <w:textAlignment w:val="top"/>
            </w:pPr>
            <w:r>
              <w:rPr>
                <w:rFonts w:ascii="Times New Roman" w:eastAsia="宋体" w:hAnsi="Times New Roman"/>
                <w:color w:val="000000"/>
                <w:sz w:val="20"/>
                <w:szCs w:val="20"/>
              </w:rPr>
              <w:t>Inline XBRL Taxonomy Extension Definition Linkbase Document.</w:t>
            </w:r>
          </w:p>
        </w:tc>
      </w:tr>
      <w:tr w:rsidR="00C1563E" w14:paraId="7DD02448" w14:textId="77777777">
        <w:trPr>
          <w:jc w:val="center"/>
        </w:trPr>
        <w:tc>
          <w:tcPr>
            <w:tcW w:w="0" w:type="auto"/>
            <w:gridSpan w:val="3"/>
            <w:shd w:val="clear" w:color="auto" w:fill="auto"/>
            <w:tcMar>
              <w:top w:w="40" w:type="dxa"/>
              <w:left w:w="20" w:type="dxa"/>
              <w:bottom w:w="40" w:type="dxa"/>
              <w:right w:w="20" w:type="dxa"/>
            </w:tcMar>
          </w:tcPr>
          <w:p w14:paraId="7DD02445" w14:textId="77777777" w:rsidR="00C1563E" w:rsidRDefault="000B648B">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tcPr>
          <w:p w14:paraId="7DD0244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47" w14:textId="77777777" w:rsidR="00C1563E" w:rsidRDefault="000B648B">
            <w:pPr>
              <w:textAlignment w:val="top"/>
            </w:pPr>
            <w:r>
              <w:rPr>
                <w:rFonts w:ascii="Times New Roman" w:eastAsia="宋体" w:hAnsi="Times New Roman"/>
                <w:color w:val="000000"/>
                <w:sz w:val="20"/>
                <w:szCs w:val="20"/>
              </w:rPr>
              <w:t>Inline XBRL Taxonomy Extension Label Linkbase Document.</w:t>
            </w:r>
          </w:p>
        </w:tc>
      </w:tr>
      <w:tr w:rsidR="00C1563E" w14:paraId="7DD0244C" w14:textId="77777777">
        <w:trPr>
          <w:jc w:val="center"/>
        </w:trPr>
        <w:tc>
          <w:tcPr>
            <w:tcW w:w="0" w:type="auto"/>
            <w:gridSpan w:val="3"/>
            <w:shd w:val="clear" w:color="auto" w:fill="auto"/>
            <w:tcMar>
              <w:top w:w="40" w:type="dxa"/>
              <w:left w:w="20" w:type="dxa"/>
              <w:bottom w:w="40" w:type="dxa"/>
              <w:right w:w="20" w:type="dxa"/>
            </w:tcMar>
          </w:tcPr>
          <w:p w14:paraId="7DD02449" w14:textId="77777777" w:rsidR="00C1563E" w:rsidRDefault="000B648B">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tcPr>
          <w:p w14:paraId="7DD0244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4B" w14:textId="77777777" w:rsidR="00C1563E" w:rsidRDefault="000B648B">
            <w:pPr>
              <w:textAlignment w:val="top"/>
            </w:pPr>
            <w:r>
              <w:rPr>
                <w:rFonts w:ascii="Times New Roman" w:eastAsia="宋体" w:hAnsi="Times New Roman"/>
                <w:color w:val="000000"/>
                <w:sz w:val="20"/>
                <w:szCs w:val="20"/>
              </w:rPr>
              <w:t xml:space="preserve">Inline XBRL Taxonomy Extension Presentation Linkbase </w:t>
            </w:r>
            <w:r>
              <w:rPr>
                <w:rFonts w:ascii="Times New Roman" w:eastAsia="宋体" w:hAnsi="Times New Roman"/>
                <w:color w:val="000000"/>
                <w:sz w:val="20"/>
                <w:szCs w:val="20"/>
              </w:rPr>
              <w:t>Document.</w:t>
            </w:r>
          </w:p>
        </w:tc>
      </w:tr>
      <w:tr w:rsidR="00C1563E" w14:paraId="7DD02450" w14:textId="77777777">
        <w:trPr>
          <w:jc w:val="center"/>
        </w:trPr>
        <w:tc>
          <w:tcPr>
            <w:tcW w:w="0" w:type="auto"/>
            <w:gridSpan w:val="3"/>
            <w:shd w:val="clear" w:color="auto" w:fill="auto"/>
            <w:tcMar>
              <w:top w:w="40" w:type="dxa"/>
              <w:left w:w="20" w:type="dxa"/>
              <w:bottom w:w="40" w:type="dxa"/>
              <w:right w:w="20" w:type="dxa"/>
            </w:tcMar>
          </w:tcPr>
          <w:p w14:paraId="7DD0244D" w14:textId="77777777" w:rsidR="00C1563E" w:rsidRDefault="000B648B">
            <w:pPr>
              <w:jc w:val="right"/>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tcPr>
          <w:p w14:paraId="7DD0244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tcPr>
          <w:p w14:paraId="7DD0244F" w14:textId="77777777" w:rsidR="00C1563E" w:rsidRDefault="000B648B">
            <w:pPr>
              <w:textAlignment w:val="top"/>
            </w:pPr>
            <w:r>
              <w:rPr>
                <w:rFonts w:ascii="Times New Roman" w:eastAsia="宋体" w:hAnsi="Times New Roman"/>
                <w:color w:val="000000"/>
                <w:sz w:val="20"/>
                <w:szCs w:val="20"/>
              </w:rPr>
              <w:t>Cover Page Interactive Data File - the cover page XBRL tags are embedded within the Inline XBRL document (included in Exhibit 101).</w:t>
            </w:r>
          </w:p>
        </w:tc>
      </w:tr>
    </w:tbl>
    <w:p w14:paraId="7DD02451" w14:textId="77777777" w:rsidR="00C1563E" w:rsidRDefault="00C1563E">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60"/>
        <w:gridCol w:w="969"/>
        <w:gridCol w:w="36"/>
        <w:gridCol w:w="36"/>
        <w:gridCol w:w="36"/>
        <w:gridCol w:w="36"/>
        <w:gridCol w:w="45"/>
        <w:gridCol w:w="7067"/>
        <w:gridCol w:w="39"/>
      </w:tblGrid>
      <w:tr w:rsidR="00C1563E" w14:paraId="7DD0245B" w14:textId="77777777">
        <w:trPr>
          <w:jc w:val="center"/>
        </w:trPr>
        <w:tc>
          <w:tcPr>
            <w:tcW w:w="50" w:type="pct"/>
            <w:shd w:val="clear" w:color="auto" w:fill="auto"/>
          </w:tcPr>
          <w:p w14:paraId="7DD02452" w14:textId="77777777" w:rsidR="00C1563E" w:rsidRDefault="00C1563E">
            <w:pPr>
              <w:rPr>
                <w:rFonts w:ascii="宋体"/>
              </w:rPr>
            </w:pPr>
          </w:p>
        </w:tc>
        <w:tc>
          <w:tcPr>
            <w:tcW w:w="596" w:type="pct"/>
            <w:shd w:val="clear" w:color="auto" w:fill="auto"/>
          </w:tcPr>
          <w:p w14:paraId="7DD02453" w14:textId="77777777" w:rsidR="00C1563E" w:rsidRDefault="00C1563E">
            <w:pPr>
              <w:rPr>
                <w:rFonts w:ascii="宋体"/>
              </w:rPr>
            </w:pPr>
          </w:p>
        </w:tc>
        <w:tc>
          <w:tcPr>
            <w:tcW w:w="5" w:type="pct"/>
            <w:shd w:val="clear" w:color="auto" w:fill="auto"/>
          </w:tcPr>
          <w:p w14:paraId="7DD02454" w14:textId="77777777" w:rsidR="00C1563E" w:rsidRDefault="00C1563E">
            <w:pPr>
              <w:rPr>
                <w:rFonts w:ascii="宋体"/>
              </w:rPr>
            </w:pPr>
          </w:p>
        </w:tc>
        <w:tc>
          <w:tcPr>
            <w:tcW w:w="5" w:type="pct"/>
            <w:shd w:val="clear" w:color="auto" w:fill="auto"/>
          </w:tcPr>
          <w:p w14:paraId="7DD02455" w14:textId="77777777" w:rsidR="00C1563E" w:rsidRDefault="00C1563E">
            <w:pPr>
              <w:rPr>
                <w:rFonts w:ascii="宋体"/>
              </w:rPr>
            </w:pPr>
          </w:p>
        </w:tc>
        <w:tc>
          <w:tcPr>
            <w:tcW w:w="26" w:type="pct"/>
            <w:shd w:val="clear" w:color="auto" w:fill="auto"/>
          </w:tcPr>
          <w:p w14:paraId="7DD02456" w14:textId="77777777" w:rsidR="00C1563E" w:rsidRDefault="00C1563E">
            <w:pPr>
              <w:rPr>
                <w:rFonts w:ascii="宋体"/>
              </w:rPr>
            </w:pPr>
          </w:p>
        </w:tc>
        <w:tc>
          <w:tcPr>
            <w:tcW w:w="5" w:type="pct"/>
            <w:shd w:val="clear" w:color="auto" w:fill="auto"/>
          </w:tcPr>
          <w:p w14:paraId="7DD02457" w14:textId="77777777" w:rsidR="00C1563E" w:rsidRDefault="00C1563E">
            <w:pPr>
              <w:rPr>
                <w:rFonts w:ascii="宋体"/>
              </w:rPr>
            </w:pPr>
          </w:p>
        </w:tc>
        <w:tc>
          <w:tcPr>
            <w:tcW w:w="50" w:type="pct"/>
            <w:shd w:val="clear" w:color="auto" w:fill="auto"/>
          </w:tcPr>
          <w:p w14:paraId="7DD02458" w14:textId="77777777" w:rsidR="00C1563E" w:rsidRDefault="00C1563E">
            <w:pPr>
              <w:rPr>
                <w:rFonts w:ascii="宋体"/>
              </w:rPr>
            </w:pPr>
          </w:p>
        </w:tc>
        <w:tc>
          <w:tcPr>
            <w:tcW w:w="4256" w:type="pct"/>
            <w:shd w:val="clear" w:color="auto" w:fill="auto"/>
          </w:tcPr>
          <w:p w14:paraId="7DD02459" w14:textId="77777777" w:rsidR="00C1563E" w:rsidRDefault="00C1563E">
            <w:pPr>
              <w:rPr>
                <w:rFonts w:ascii="宋体"/>
              </w:rPr>
            </w:pPr>
          </w:p>
        </w:tc>
        <w:tc>
          <w:tcPr>
            <w:tcW w:w="5" w:type="pct"/>
            <w:shd w:val="clear" w:color="auto" w:fill="auto"/>
          </w:tcPr>
          <w:p w14:paraId="7DD0245A" w14:textId="77777777" w:rsidR="00C1563E" w:rsidRDefault="00C1563E">
            <w:pPr>
              <w:rPr>
                <w:rFonts w:ascii="宋体"/>
              </w:rPr>
            </w:pPr>
          </w:p>
        </w:tc>
      </w:tr>
      <w:tr w:rsidR="00C1563E" w14:paraId="7DD0245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DD0245C" w14:textId="77777777" w:rsidR="00C1563E" w:rsidRDefault="000B648B">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DD0245D"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5E" w14:textId="77777777" w:rsidR="00C1563E" w:rsidRDefault="000B648B">
            <w:pPr>
              <w:textAlignment w:val="bottom"/>
            </w:pPr>
            <w:r>
              <w:rPr>
                <w:rFonts w:ascii="Times New Roman" w:eastAsia="宋体" w:hAnsi="Times New Roman"/>
                <w:color w:val="000000"/>
                <w:sz w:val="20"/>
                <w:szCs w:val="20"/>
              </w:rPr>
              <w:t>Filed with this report.</w:t>
            </w:r>
          </w:p>
        </w:tc>
      </w:tr>
      <w:tr w:rsidR="00C1563E" w14:paraId="7DD02463" w14:textId="77777777">
        <w:trPr>
          <w:jc w:val="center"/>
        </w:trPr>
        <w:tc>
          <w:tcPr>
            <w:tcW w:w="0" w:type="auto"/>
            <w:gridSpan w:val="3"/>
            <w:shd w:val="clear" w:color="auto" w:fill="auto"/>
            <w:tcMar>
              <w:top w:w="40" w:type="dxa"/>
              <w:left w:w="20" w:type="dxa"/>
              <w:bottom w:w="40" w:type="dxa"/>
              <w:right w:w="20" w:type="dxa"/>
            </w:tcMar>
          </w:tcPr>
          <w:p w14:paraId="7DD02460" w14:textId="77777777" w:rsidR="00C1563E" w:rsidRDefault="000B648B">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DD02461"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62" w14:textId="77777777" w:rsidR="00C1563E" w:rsidRDefault="000B648B">
            <w:pPr>
              <w:textAlignment w:val="bottom"/>
            </w:pPr>
            <w:r>
              <w:rPr>
                <w:rFonts w:ascii="Times New Roman" w:eastAsia="宋体" w:hAnsi="Times New Roman"/>
                <w:color w:val="000000"/>
                <w:sz w:val="20"/>
                <w:szCs w:val="20"/>
              </w:rPr>
              <w:t>Furnished with this report.</w:t>
            </w:r>
          </w:p>
        </w:tc>
      </w:tr>
      <w:tr w:rsidR="00C1563E" w14:paraId="7DD02467" w14:textId="77777777">
        <w:trPr>
          <w:jc w:val="center"/>
        </w:trPr>
        <w:tc>
          <w:tcPr>
            <w:tcW w:w="0" w:type="auto"/>
            <w:gridSpan w:val="3"/>
            <w:shd w:val="clear" w:color="auto" w:fill="auto"/>
            <w:tcMar>
              <w:top w:w="40" w:type="dxa"/>
              <w:left w:w="20" w:type="dxa"/>
              <w:bottom w:w="40" w:type="dxa"/>
              <w:right w:w="20" w:type="dxa"/>
            </w:tcMar>
          </w:tcPr>
          <w:p w14:paraId="7DD02464" w14:textId="77777777" w:rsidR="00C1563E" w:rsidRDefault="000B648B">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DD02465"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66" w14:textId="77777777" w:rsidR="00C1563E" w:rsidRDefault="000B648B">
            <w:pPr>
              <w:textAlignment w:val="bottom"/>
            </w:pPr>
            <w:r>
              <w:rPr>
                <w:rFonts w:ascii="Times New Roman" w:eastAsia="宋体" w:hAnsi="Times New Roman"/>
                <w:color w:val="000000"/>
                <w:sz w:val="20"/>
                <w:szCs w:val="20"/>
              </w:rPr>
              <w:t xml:space="preserve">Management contracts or </w:t>
            </w:r>
            <w:r>
              <w:rPr>
                <w:rFonts w:ascii="Times New Roman" w:eastAsia="宋体" w:hAnsi="Times New Roman"/>
                <w:color w:val="000000"/>
                <w:sz w:val="20"/>
                <w:szCs w:val="20"/>
              </w:rPr>
              <w:t>compensation plans or arrangements in which directors or executive officers participate.</w:t>
            </w:r>
          </w:p>
        </w:tc>
      </w:tr>
      <w:tr w:rsidR="00C1563E" w14:paraId="7DD0246B" w14:textId="77777777">
        <w:trPr>
          <w:jc w:val="center"/>
        </w:trPr>
        <w:tc>
          <w:tcPr>
            <w:tcW w:w="0" w:type="auto"/>
            <w:gridSpan w:val="3"/>
            <w:shd w:val="clear" w:color="auto" w:fill="auto"/>
            <w:tcMar>
              <w:top w:w="0" w:type="dxa"/>
              <w:left w:w="20" w:type="dxa"/>
              <w:bottom w:w="0" w:type="dxa"/>
              <w:right w:w="20" w:type="dxa"/>
            </w:tcMar>
          </w:tcPr>
          <w:p w14:paraId="7DD02468"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69"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6A" w14:textId="77777777" w:rsidR="00C1563E" w:rsidRDefault="000B648B">
            <w:pPr>
              <w:textAlignment w:val="bottom"/>
            </w:pPr>
            <w:r>
              <w:rPr>
                <w:rFonts w:ascii="Times New Roman" w:eastAsia="宋体" w:hAnsi="Times New Roman"/>
                <w:color w:val="000000"/>
                <w:sz w:val="20"/>
                <w:szCs w:val="20"/>
              </w:rPr>
              <w:t>Pursuant to Item 601(b)(4)(iii) of Regulation S-K, copies of certain instruments defining the rights of holders of certain long-term debt of the Company and its sub</w:t>
            </w:r>
            <w:r>
              <w:rPr>
                <w:rFonts w:ascii="Times New Roman" w:eastAsia="宋体" w:hAnsi="Times New Roman"/>
                <w:color w:val="000000"/>
                <w:sz w:val="20"/>
                <w:szCs w:val="20"/>
              </w:rPr>
              <w:t>sidiaries are not filed. The Company agrees to furnish to the Securities and Exchange Commission, upon request, a copy of each instrument with respect to issuances of such long-term debt.</w:t>
            </w:r>
          </w:p>
        </w:tc>
      </w:tr>
    </w:tbl>
    <w:p w14:paraId="7DD0246C" w14:textId="77777777" w:rsidR="00C1563E" w:rsidRDefault="00C1563E"/>
    <w:p w14:paraId="7DD0246D" w14:textId="77777777" w:rsidR="00C1563E" w:rsidRDefault="000B648B">
      <w:r>
        <w:rPr>
          <w:rFonts w:ascii="Times New Roman" w:eastAsia="宋体" w:hAnsi="Times New Roman"/>
          <w:b/>
          <w:bCs/>
          <w:color w:val="000000"/>
          <w:sz w:val="20"/>
          <w:szCs w:val="20"/>
        </w:rPr>
        <w:t>ITEM 16 — FORM 10-K SUMMARY</w:t>
      </w:r>
    </w:p>
    <w:p w14:paraId="7DD0246E" w14:textId="77777777" w:rsidR="00C1563E" w:rsidRDefault="00C1563E"/>
    <w:p w14:paraId="7DD0246F" w14:textId="77777777" w:rsidR="00C1563E" w:rsidRDefault="000B648B">
      <w:pPr>
        <w:ind w:hanging="360"/>
      </w:pPr>
      <w:r>
        <w:rPr>
          <w:rFonts w:ascii="Times New Roman" w:eastAsia="宋体" w:hAnsi="Times New Roman"/>
          <w:color w:val="000000"/>
          <w:sz w:val="20"/>
          <w:szCs w:val="20"/>
        </w:rPr>
        <w:t>None.</w:t>
      </w:r>
    </w:p>
    <w:p w14:paraId="7DD02470" w14:textId="77777777" w:rsidR="00C1563E" w:rsidRDefault="00C1563E">
      <w:pPr>
        <w:jc w:val="center"/>
      </w:pPr>
    </w:p>
    <w:p w14:paraId="7DD02471" w14:textId="77777777" w:rsidR="00C1563E" w:rsidRDefault="000B648B">
      <w:pPr>
        <w:jc w:val="center"/>
      </w:pPr>
      <w:r>
        <w:rPr>
          <w:rFonts w:ascii="Times New Roman" w:eastAsia="宋体" w:hAnsi="Times New Roman"/>
          <w:color w:val="000000"/>
          <w:sz w:val="20"/>
          <w:szCs w:val="20"/>
        </w:rPr>
        <w:t>181</w:t>
      </w:r>
    </w:p>
    <w:p w14:paraId="7DD02472" w14:textId="77777777" w:rsidR="00C1563E" w:rsidRDefault="00C1563E">
      <w:pPr>
        <w:jc w:val="center"/>
      </w:pPr>
    </w:p>
    <w:p w14:paraId="7DD02473" w14:textId="77777777" w:rsidR="00C1563E" w:rsidRDefault="000B648B">
      <w:r>
        <w:pict w14:anchorId="7DD0261F">
          <v:rect id="_x0000_i1205" style="width:415.3pt;height:1.5pt" o:hralign="center" o:hrstd="t" o:hr="t" fillcolor="#a0a0a0" stroked="f"/>
        </w:pict>
      </w:r>
    </w:p>
    <w:p w14:paraId="7DD02474" w14:textId="77777777" w:rsidR="00C1563E" w:rsidRDefault="000B648B">
      <w:hyperlink r:id="rId624" w:anchor="i418e32e4a35149ffbf7d3a25d66881b8_10" w:history="1">
        <w:r>
          <w:rPr>
            <w:rStyle w:val="a5"/>
            <w:rFonts w:ascii="Times New Roman" w:eastAsia="宋体" w:hAnsi="Times New Roman"/>
            <w:sz w:val="20"/>
            <w:szCs w:val="20"/>
          </w:rPr>
          <w:t>Table of Contents</w:t>
        </w:r>
      </w:hyperlink>
    </w:p>
    <w:p w14:paraId="7DD02475" w14:textId="77777777" w:rsidR="00C1563E" w:rsidRDefault="000B648B">
      <w:pPr>
        <w:jc w:val="center"/>
      </w:pPr>
      <w:r>
        <w:rPr>
          <w:rFonts w:ascii="Times New Roman" w:eastAsia="宋体" w:hAnsi="Times New Roman"/>
          <w:b/>
          <w:bCs/>
          <w:color w:val="000000"/>
          <w:sz w:val="20"/>
          <w:szCs w:val="20"/>
        </w:rPr>
        <w:t>SIGNATURES</w:t>
      </w:r>
    </w:p>
    <w:p w14:paraId="7DD02476" w14:textId="77777777" w:rsidR="00C1563E" w:rsidRDefault="00C1563E">
      <w:pPr>
        <w:jc w:val="center"/>
      </w:pPr>
    </w:p>
    <w:p w14:paraId="7DD02477" w14:textId="77777777" w:rsidR="00C1563E" w:rsidRDefault="000B648B">
      <w:r>
        <w:rPr>
          <w:rFonts w:ascii="Times New Roman" w:eastAsia="宋体" w:hAnsi="Times New Roman"/>
          <w:color w:val="000000"/>
          <w:sz w:val="20"/>
          <w:szCs w:val="20"/>
          <w:shd w:val="clear" w:color="auto" w:fill="FFFFFF"/>
        </w:rPr>
        <w:t>Pursuant to the re</w:t>
      </w:r>
      <w:r>
        <w:rPr>
          <w:rFonts w:ascii="Times New Roman" w:eastAsia="宋体" w:hAnsi="Times New Roman"/>
          <w:color w:val="000000"/>
          <w:sz w:val="20"/>
          <w:szCs w:val="20"/>
        </w:rPr>
        <w:t>quirements of Section 13 or 15(d) of</w:t>
      </w:r>
      <w:r>
        <w:rPr>
          <w:rFonts w:ascii="Times New Roman" w:eastAsia="宋体" w:hAnsi="Times New Roman"/>
          <w:color w:val="000000"/>
          <w:sz w:val="20"/>
          <w:szCs w:val="20"/>
          <w:shd w:val="clear" w:color="auto" w:fill="FFFFFF"/>
        </w:rPr>
        <w:t xml:space="preserve"> the Securities Ex</w:t>
      </w:r>
      <w:r>
        <w:rPr>
          <w:rFonts w:ascii="Times New Roman" w:eastAsia="宋体" w:hAnsi="Times New Roman"/>
          <w:color w:val="000000"/>
          <w:sz w:val="20"/>
          <w:szCs w:val="20"/>
          <w:shd w:val="clear" w:color="auto" w:fill="FFFFFF"/>
        </w:rPr>
        <w:t>change Act of 1934, the registrant has duly caused this report to be signed on its behalf by the undersigned, thereunto duly authorized.</w:t>
      </w:r>
    </w:p>
    <w:p w14:paraId="7DD02478" w14:textId="77777777" w:rsidR="00C1563E" w:rsidRDefault="000B648B">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49"/>
        <w:gridCol w:w="3280"/>
        <w:gridCol w:w="36"/>
        <w:gridCol w:w="89"/>
        <w:gridCol w:w="282"/>
        <w:gridCol w:w="37"/>
        <w:gridCol w:w="49"/>
        <w:gridCol w:w="4136"/>
        <w:gridCol w:w="36"/>
      </w:tblGrid>
      <w:tr w:rsidR="00C1563E" w14:paraId="7DD02482" w14:textId="77777777">
        <w:tc>
          <w:tcPr>
            <w:tcW w:w="50" w:type="pct"/>
            <w:shd w:val="clear" w:color="auto" w:fill="auto"/>
          </w:tcPr>
          <w:p w14:paraId="7DD02479" w14:textId="77777777" w:rsidR="00C1563E" w:rsidRDefault="00C1563E">
            <w:pPr>
              <w:rPr>
                <w:rFonts w:ascii="宋体"/>
              </w:rPr>
            </w:pPr>
          </w:p>
        </w:tc>
        <w:tc>
          <w:tcPr>
            <w:tcW w:w="2071" w:type="pct"/>
            <w:shd w:val="clear" w:color="auto" w:fill="auto"/>
          </w:tcPr>
          <w:p w14:paraId="7DD0247A" w14:textId="77777777" w:rsidR="00C1563E" w:rsidRDefault="00C1563E">
            <w:pPr>
              <w:rPr>
                <w:rFonts w:ascii="宋体"/>
              </w:rPr>
            </w:pPr>
          </w:p>
        </w:tc>
        <w:tc>
          <w:tcPr>
            <w:tcW w:w="5" w:type="pct"/>
            <w:shd w:val="clear" w:color="auto" w:fill="auto"/>
          </w:tcPr>
          <w:p w14:paraId="7DD0247B" w14:textId="77777777" w:rsidR="00C1563E" w:rsidRDefault="00C1563E">
            <w:pPr>
              <w:rPr>
                <w:rFonts w:ascii="宋体"/>
              </w:rPr>
            </w:pPr>
          </w:p>
        </w:tc>
        <w:tc>
          <w:tcPr>
            <w:tcW w:w="50" w:type="pct"/>
            <w:shd w:val="clear" w:color="auto" w:fill="auto"/>
          </w:tcPr>
          <w:p w14:paraId="7DD0247C" w14:textId="77777777" w:rsidR="00C1563E" w:rsidRDefault="00C1563E">
            <w:pPr>
              <w:rPr>
                <w:rFonts w:ascii="宋体"/>
              </w:rPr>
            </w:pPr>
          </w:p>
        </w:tc>
        <w:tc>
          <w:tcPr>
            <w:tcW w:w="158" w:type="pct"/>
            <w:shd w:val="clear" w:color="auto" w:fill="auto"/>
          </w:tcPr>
          <w:p w14:paraId="7DD0247D" w14:textId="77777777" w:rsidR="00C1563E" w:rsidRDefault="00C1563E">
            <w:pPr>
              <w:rPr>
                <w:rFonts w:ascii="宋体"/>
              </w:rPr>
            </w:pPr>
          </w:p>
        </w:tc>
        <w:tc>
          <w:tcPr>
            <w:tcW w:w="5" w:type="pct"/>
            <w:shd w:val="clear" w:color="auto" w:fill="auto"/>
          </w:tcPr>
          <w:p w14:paraId="7DD0247E" w14:textId="77777777" w:rsidR="00C1563E" w:rsidRDefault="00C1563E">
            <w:pPr>
              <w:rPr>
                <w:rFonts w:ascii="宋体"/>
              </w:rPr>
            </w:pPr>
          </w:p>
        </w:tc>
        <w:tc>
          <w:tcPr>
            <w:tcW w:w="50" w:type="pct"/>
            <w:shd w:val="clear" w:color="auto" w:fill="auto"/>
          </w:tcPr>
          <w:p w14:paraId="7DD0247F" w14:textId="77777777" w:rsidR="00C1563E" w:rsidRDefault="00C1563E">
            <w:pPr>
              <w:rPr>
                <w:rFonts w:ascii="宋体"/>
              </w:rPr>
            </w:pPr>
          </w:p>
        </w:tc>
        <w:tc>
          <w:tcPr>
            <w:tcW w:w="2605" w:type="pct"/>
            <w:shd w:val="clear" w:color="auto" w:fill="auto"/>
          </w:tcPr>
          <w:p w14:paraId="7DD02480" w14:textId="77777777" w:rsidR="00C1563E" w:rsidRDefault="00C1563E">
            <w:pPr>
              <w:rPr>
                <w:rFonts w:ascii="宋体"/>
              </w:rPr>
            </w:pPr>
          </w:p>
        </w:tc>
        <w:tc>
          <w:tcPr>
            <w:tcW w:w="5" w:type="pct"/>
            <w:shd w:val="clear" w:color="auto" w:fill="auto"/>
          </w:tcPr>
          <w:p w14:paraId="7DD02481" w14:textId="77777777" w:rsidR="00C1563E" w:rsidRDefault="00C1563E">
            <w:pPr>
              <w:rPr>
                <w:rFonts w:ascii="宋体"/>
              </w:rPr>
            </w:pPr>
          </w:p>
        </w:tc>
      </w:tr>
      <w:tr w:rsidR="00C1563E" w14:paraId="7DD02485" w14:textId="77777777">
        <w:tc>
          <w:tcPr>
            <w:tcW w:w="0" w:type="auto"/>
            <w:gridSpan w:val="3"/>
            <w:shd w:val="clear" w:color="auto" w:fill="auto"/>
            <w:tcMar>
              <w:top w:w="0" w:type="dxa"/>
              <w:left w:w="20" w:type="dxa"/>
              <w:bottom w:w="0" w:type="dxa"/>
              <w:right w:w="20" w:type="dxa"/>
            </w:tcMar>
          </w:tcPr>
          <w:p w14:paraId="7DD02483" w14:textId="77777777" w:rsidR="00C1563E" w:rsidRDefault="00C1563E">
            <w:pPr>
              <w:rPr>
                <w:rFonts w:ascii="宋体"/>
              </w:rPr>
            </w:pPr>
          </w:p>
        </w:tc>
        <w:tc>
          <w:tcPr>
            <w:tcW w:w="0" w:type="auto"/>
            <w:gridSpan w:val="6"/>
            <w:shd w:val="clear" w:color="auto" w:fill="auto"/>
            <w:tcMar>
              <w:top w:w="40" w:type="dxa"/>
              <w:left w:w="20" w:type="dxa"/>
              <w:bottom w:w="40" w:type="dxa"/>
              <w:right w:w="20" w:type="dxa"/>
            </w:tcMar>
            <w:vAlign w:val="bottom"/>
          </w:tcPr>
          <w:p w14:paraId="7DD02484" w14:textId="77777777" w:rsidR="00C1563E" w:rsidRDefault="000B648B">
            <w:pPr>
              <w:textAlignment w:val="bottom"/>
            </w:pPr>
            <w:r>
              <w:rPr>
                <w:rFonts w:ascii="Times New Roman" w:eastAsia="宋体" w:hAnsi="Times New Roman"/>
                <w:color w:val="000000"/>
                <w:sz w:val="20"/>
                <w:szCs w:val="20"/>
              </w:rPr>
              <w:t>DELL TECHNOLOGIES INC.</w:t>
            </w:r>
          </w:p>
        </w:tc>
      </w:tr>
      <w:tr w:rsidR="00C1563E" w14:paraId="7DD02489" w14:textId="77777777">
        <w:trPr>
          <w:trHeight w:val="300"/>
        </w:trPr>
        <w:tc>
          <w:tcPr>
            <w:tcW w:w="0" w:type="auto"/>
            <w:gridSpan w:val="3"/>
            <w:shd w:val="clear" w:color="auto" w:fill="auto"/>
            <w:tcMar>
              <w:top w:w="0" w:type="dxa"/>
              <w:left w:w="20" w:type="dxa"/>
              <w:bottom w:w="0" w:type="dxa"/>
              <w:right w:w="20" w:type="dxa"/>
            </w:tcMar>
          </w:tcPr>
          <w:p w14:paraId="7DD0248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87"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88" w14:textId="77777777" w:rsidR="00C1563E" w:rsidRDefault="00C1563E">
            <w:pPr>
              <w:rPr>
                <w:rFonts w:ascii="宋体"/>
              </w:rPr>
            </w:pPr>
          </w:p>
        </w:tc>
      </w:tr>
      <w:tr w:rsidR="00C1563E" w14:paraId="7DD0248D" w14:textId="77777777">
        <w:tc>
          <w:tcPr>
            <w:tcW w:w="0" w:type="auto"/>
            <w:gridSpan w:val="3"/>
            <w:shd w:val="clear" w:color="auto" w:fill="auto"/>
            <w:tcMar>
              <w:top w:w="40" w:type="dxa"/>
              <w:left w:w="20" w:type="dxa"/>
              <w:bottom w:w="40" w:type="dxa"/>
              <w:right w:w="20" w:type="dxa"/>
            </w:tcMar>
          </w:tcPr>
          <w:p w14:paraId="7DD0248A" w14:textId="77777777" w:rsidR="00C1563E" w:rsidRDefault="000B648B">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7DD0248B" w14:textId="77777777" w:rsidR="00C1563E" w:rsidRDefault="000B648B">
            <w:pPr>
              <w:textAlignment w:val="top"/>
            </w:pPr>
            <w:r>
              <w:rPr>
                <w:rFonts w:ascii="Times New Roman" w:eastAsia="宋体" w:hAnsi="Times New Roman"/>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7DD0248C" w14:textId="77777777" w:rsidR="00C1563E" w:rsidRDefault="000B648B">
            <w:pPr>
              <w:jc w:val="center"/>
              <w:textAlignment w:val="bottom"/>
            </w:pPr>
            <w:r>
              <w:rPr>
                <w:rFonts w:ascii="Times New Roman" w:eastAsia="宋体" w:hAnsi="Times New Roman"/>
                <w:color w:val="000000"/>
                <w:sz w:val="20"/>
                <w:szCs w:val="20"/>
              </w:rPr>
              <w:t>/s/ MICHAEL S. DELL</w:t>
            </w:r>
          </w:p>
        </w:tc>
      </w:tr>
      <w:tr w:rsidR="00C1563E" w14:paraId="7DD02491" w14:textId="77777777">
        <w:tc>
          <w:tcPr>
            <w:tcW w:w="0" w:type="auto"/>
            <w:gridSpan w:val="3"/>
            <w:shd w:val="clear" w:color="auto" w:fill="auto"/>
            <w:tcMar>
              <w:top w:w="0" w:type="dxa"/>
              <w:left w:w="20" w:type="dxa"/>
              <w:bottom w:w="0" w:type="dxa"/>
              <w:right w:w="20" w:type="dxa"/>
            </w:tcMar>
          </w:tcPr>
          <w:p w14:paraId="7DD0248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8F" w14:textId="77777777" w:rsidR="00C1563E" w:rsidRDefault="00C1563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90" w14:textId="77777777" w:rsidR="00C1563E" w:rsidRDefault="000B648B">
            <w:pPr>
              <w:jc w:val="center"/>
              <w:textAlignment w:val="bottom"/>
            </w:pPr>
            <w:r>
              <w:rPr>
                <w:rFonts w:ascii="Times New Roman" w:eastAsia="宋体" w:hAnsi="Times New Roman"/>
                <w:color w:val="000000"/>
                <w:sz w:val="20"/>
                <w:szCs w:val="20"/>
              </w:rPr>
              <w:t>Michael S. Dell</w:t>
            </w:r>
          </w:p>
        </w:tc>
      </w:tr>
      <w:tr w:rsidR="00C1563E" w14:paraId="7DD02495" w14:textId="77777777">
        <w:tc>
          <w:tcPr>
            <w:tcW w:w="0" w:type="auto"/>
            <w:gridSpan w:val="3"/>
            <w:shd w:val="clear" w:color="auto" w:fill="auto"/>
            <w:tcMar>
              <w:top w:w="0" w:type="dxa"/>
              <w:left w:w="20" w:type="dxa"/>
              <w:bottom w:w="0" w:type="dxa"/>
              <w:right w:w="20" w:type="dxa"/>
            </w:tcMar>
          </w:tcPr>
          <w:p w14:paraId="7DD0249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93"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94" w14:textId="77777777" w:rsidR="00C1563E" w:rsidRDefault="000B648B">
            <w:pPr>
              <w:jc w:val="center"/>
              <w:textAlignment w:val="bottom"/>
            </w:pPr>
            <w:r>
              <w:rPr>
                <w:rFonts w:ascii="Times New Roman" w:eastAsia="宋体" w:hAnsi="Times New Roman"/>
                <w:i/>
                <w:iCs/>
                <w:color w:val="000000"/>
                <w:sz w:val="20"/>
                <w:szCs w:val="20"/>
              </w:rPr>
              <w:t xml:space="preserve">Chairman and Chief </w:t>
            </w:r>
            <w:r>
              <w:rPr>
                <w:rFonts w:ascii="Times New Roman" w:eastAsia="宋体" w:hAnsi="Times New Roman"/>
                <w:i/>
                <w:iCs/>
                <w:color w:val="000000"/>
                <w:sz w:val="20"/>
                <w:szCs w:val="20"/>
              </w:rPr>
              <w:t>Executive Officer</w:t>
            </w:r>
          </w:p>
        </w:tc>
      </w:tr>
      <w:tr w:rsidR="00C1563E" w14:paraId="7DD02499" w14:textId="77777777">
        <w:tc>
          <w:tcPr>
            <w:tcW w:w="0" w:type="auto"/>
            <w:gridSpan w:val="3"/>
            <w:shd w:val="clear" w:color="auto" w:fill="auto"/>
            <w:tcMar>
              <w:top w:w="0" w:type="dxa"/>
              <w:left w:w="20" w:type="dxa"/>
              <w:bottom w:w="0" w:type="dxa"/>
              <w:right w:w="20" w:type="dxa"/>
            </w:tcMar>
          </w:tcPr>
          <w:p w14:paraId="7DD0249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97"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98" w14:textId="77777777" w:rsidR="00C1563E" w:rsidRDefault="000B648B">
            <w:pPr>
              <w:jc w:val="center"/>
              <w:textAlignment w:val="bottom"/>
            </w:pPr>
            <w:r>
              <w:rPr>
                <w:rFonts w:ascii="Times New Roman" w:eastAsia="宋体" w:hAnsi="Times New Roman"/>
                <w:i/>
                <w:iCs/>
                <w:color w:val="000000"/>
                <w:sz w:val="20"/>
                <w:szCs w:val="20"/>
              </w:rPr>
              <w:t>(Duly Authorized Officer)</w:t>
            </w:r>
          </w:p>
        </w:tc>
      </w:tr>
      <w:tr w:rsidR="00C1563E" w14:paraId="7DD0249D" w14:textId="77777777">
        <w:trPr>
          <w:trHeight w:val="280"/>
        </w:trPr>
        <w:tc>
          <w:tcPr>
            <w:tcW w:w="0" w:type="auto"/>
            <w:gridSpan w:val="3"/>
            <w:shd w:val="clear" w:color="auto" w:fill="auto"/>
            <w:tcMar>
              <w:top w:w="0" w:type="dxa"/>
              <w:left w:w="20" w:type="dxa"/>
              <w:bottom w:w="0" w:type="dxa"/>
              <w:right w:w="20" w:type="dxa"/>
            </w:tcMar>
          </w:tcPr>
          <w:p w14:paraId="7DD0249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9B"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9C" w14:textId="77777777" w:rsidR="00C1563E" w:rsidRDefault="00C1563E">
            <w:pPr>
              <w:rPr>
                <w:rFonts w:ascii="宋体"/>
              </w:rPr>
            </w:pPr>
          </w:p>
        </w:tc>
      </w:tr>
    </w:tbl>
    <w:p w14:paraId="7DD0249E" w14:textId="77777777" w:rsidR="00C1563E" w:rsidRDefault="00C1563E"/>
    <w:p w14:paraId="7DD0249F" w14:textId="77777777" w:rsidR="00C1563E" w:rsidRDefault="000B648B">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March 26, 2021 </w:t>
      </w:r>
    </w:p>
    <w:p w14:paraId="7DD024A0" w14:textId="77777777" w:rsidR="00C1563E" w:rsidRDefault="00C1563E"/>
    <w:p w14:paraId="7DD024A1" w14:textId="77777777" w:rsidR="00C1563E" w:rsidRDefault="00C1563E"/>
    <w:p w14:paraId="7DD024A2" w14:textId="77777777" w:rsidR="00C1563E" w:rsidRDefault="000B648B">
      <w:r>
        <w:rPr>
          <w:rFonts w:ascii="Times New Roman" w:eastAsia="宋体" w:hAnsi="Times New Roman"/>
          <w:color w:val="000000"/>
          <w:sz w:val="20"/>
          <w:szCs w:val="20"/>
        </w:rPr>
        <w:t xml:space="preserve">Pursuant to the requirements of the Securities Exchange Act of 1934, this report has been signed below by the following persons on behalf of the registrant and in the </w:t>
      </w:r>
      <w:r>
        <w:rPr>
          <w:rFonts w:ascii="Times New Roman" w:eastAsia="宋体" w:hAnsi="Times New Roman"/>
          <w:color w:val="000000"/>
          <w:sz w:val="20"/>
          <w:szCs w:val="20"/>
        </w:rPr>
        <w:t>capacities indicated as of March 26, 2021:</w:t>
      </w:r>
    </w:p>
    <w:tbl>
      <w:tblPr>
        <w:tblW w:w="5000" w:type="pct"/>
        <w:tblCellMar>
          <w:top w:w="15" w:type="dxa"/>
          <w:left w:w="15" w:type="dxa"/>
          <w:bottom w:w="15" w:type="dxa"/>
          <w:right w:w="15" w:type="dxa"/>
        </w:tblCellMar>
        <w:tblLook w:val="04A0" w:firstRow="1" w:lastRow="0" w:firstColumn="1" w:lastColumn="0" w:noHBand="0" w:noVBand="1"/>
      </w:tblPr>
      <w:tblGrid>
        <w:gridCol w:w="60"/>
        <w:gridCol w:w="3296"/>
        <w:gridCol w:w="38"/>
        <w:gridCol w:w="36"/>
        <w:gridCol w:w="204"/>
        <w:gridCol w:w="36"/>
        <w:gridCol w:w="61"/>
        <w:gridCol w:w="4568"/>
        <w:gridCol w:w="37"/>
      </w:tblGrid>
      <w:tr w:rsidR="00C1563E" w14:paraId="7DD024AC" w14:textId="77777777">
        <w:tc>
          <w:tcPr>
            <w:tcW w:w="50" w:type="pct"/>
            <w:shd w:val="clear" w:color="auto" w:fill="auto"/>
          </w:tcPr>
          <w:p w14:paraId="7DD024A3" w14:textId="77777777" w:rsidR="00C1563E" w:rsidRDefault="00C1563E">
            <w:pPr>
              <w:rPr>
                <w:rFonts w:ascii="宋体"/>
              </w:rPr>
            </w:pPr>
          </w:p>
        </w:tc>
        <w:tc>
          <w:tcPr>
            <w:tcW w:w="1991" w:type="pct"/>
            <w:shd w:val="clear" w:color="auto" w:fill="auto"/>
          </w:tcPr>
          <w:p w14:paraId="7DD024A4" w14:textId="77777777" w:rsidR="00C1563E" w:rsidRDefault="00C1563E">
            <w:pPr>
              <w:rPr>
                <w:rFonts w:ascii="宋体"/>
              </w:rPr>
            </w:pPr>
          </w:p>
        </w:tc>
        <w:tc>
          <w:tcPr>
            <w:tcW w:w="5" w:type="pct"/>
            <w:shd w:val="clear" w:color="auto" w:fill="auto"/>
          </w:tcPr>
          <w:p w14:paraId="7DD024A5" w14:textId="77777777" w:rsidR="00C1563E" w:rsidRDefault="00C1563E">
            <w:pPr>
              <w:rPr>
                <w:rFonts w:ascii="宋体"/>
              </w:rPr>
            </w:pPr>
          </w:p>
        </w:tc>
        <w:tc>
          <w:tcPr>
            <w:tcW w:w="5" w:type="pct"/>
            <w:shd w:val="clear" w:color="auto" w:fill="auto"/>
          </w:tcPr>
          <w:p w14:paraId="7DD024A6" w14:textId="77777777" w:rsidR="00C1563E" w:rsidRDefault="00C1563E">
            <w:pPr>
              <w:rPr>
                <w:rFonts w:ascii="宋体"/>
              </w:rPr>
            </w:pPr>
          </w:p>
        </w:tc>
        <w:tc>
          <w:tcPr>
            <w:tcW w:w="136" w:type="pct"/>
            <w:shd w:val="clear" w:color="auto" w:fill="auto"/>
          </w:tcPr>
          <w:p w14:paraId="7DD024A7" w14:textId="77777777" w:rsidR="00C1563E" w:rsidRDefault="00C1563E">
            <w:pPr>
              <w:rPr>
                <w:rFonts w:ascii="宋体"/>
              </w:rPr>
            </w:pPr>
          </w:p>
        </w:tc>
        <w:tc>
          <w:tcPr>
            <w:tcW w:w="5" w:type="pct"/>
            <w:shd w:val="clear" w:color="auto" w:fill="auto"/>
          </w:tcPr>
          <w:p w14:paraId="7DD024A8" w14:textId="77777777" w:rsidR="00C1563E" w:rsidRDefault="00C1563E">
            <w:pPr>
              <w:rPr>
                <w:rFonts w:ascii="宋体"/>
              </w:rPr>
            </w:pPr>
          </w:p>
        </w:tc>
        <w:tc>
          <w:tcPr>
            <w:tcW w:w="50" w:type="pct"/>
            <w:shd w:val="clear" w:color="auto" w:fill="auto"/>
          </w:tcPr>
          <w:p w14:paraId="7DD024A9" w14:textId="77777777" w:rsidR="00C1563E" w:rsidRDefault="00C1563E">
            <w:pPr>
              <w:rPr>
                <w:rFonts w:ascii="宋体"/>
              </w:rPr>
            </w:pPr>
          </w:p>
        </w:tc>
        <w:tc>
          <w:tcPr>
            <w:tcW w:w="2752" w:type="pct"/>
            <w:shd w:val="clear" w:color="auto" w:fill="auto"/>
          </w:tcPr>
          <w:p w14:paraId="7DD024AA" w14:textId="77777777" w:rsidR="00C1563E" w:rsidRDefault="00C1563E">
            <w:pPr>
              <w:rPr>
                <w:rFonts w:ascii="宋体"/>
              </w:rPr>
            </w:pPr>
          </w:p>
        </w:tc>
        <w:tc>
          <w:tcPr>
            <w:tcW w:w="5" w:type="pct"/>
            <w:shd w:val="clear" w:color="auto" w:fill="auto"/>
          </w:tcPr>
          <w:p w14:paraId="7DD024AB" w14:textId="77777777" w:rsidR="00C1563E" w:rsidRDefault="00C1563E">
            <w:pPr>
              <w:rPr>
                <w:rFonts w:ascii="宋体"/>
              </w:rPr>
            </w:pPr>
          </w:p>
        </w:tc>
      </w:tr>
      <w:tr w:rsidR="00C1563E" w14:paraId="7DD024B0" w14:textId="77777777">
        <w:tc>
          <w:tcPr>
            <w:tcW w:w="0" w:type="auto"/>
            <w:gridSpan w:val="3"/>
            <w:shd w:val="clear" w:color="auto" w:fill="auto"/>
            <w:tcMar>
              <w:top w:w="40" w:type="dxa"/>
              <w:left w:w="20" w:type="dxa"/>
              <w:bottom w:w="40" w:type="dxa"/>
              <w:right w:w="20" w:type="dxa"/>
            </w:tcMar>
            <w:vAlign w:val="bottom"/>
          </w:tcPr>
          <w:p w14:paraId="7DD024AD" w14:textId="77777777" w:rsidR="00C1563E" w:rsidRDefault="000B648B">
            <w:pPr>
              <w:textAlignment w:val="bottom"/>
            </w:pPr>
            <w:r>
              <w:rPr>
                <w:rFonts w:ascii="Times New Roman" w:eastAsia="宋体" w:hAnsi="Times New Roman"/>
                <w:color w:val="000000"/>
                <w:sz w:val="20"/>
                <w:szCs w:val="20"/>
              </w:rPr>
              <w:t>Signature</w:t>
            </w:r>
          </w:p>
        </w:tc>
        <w:tc>
          <w:tcPr>
            <w:tcW w:w="0" w:type="auto"/>
            <w:gridSpan w:val="3"/>
            <w:shd w:val="clear" w:color="auto" w:fill="auto"/>
            <w:tcMar>
              <w:top w:w="0" w:type="dxa"/>
              <w:left w:w="20" w:type="dxa"/>
              <w:bottom w:w="0" w:type="dxa"/>
              <w:right w:w="20" w:type="dxa"/>
            </w:tcMar>
          </w:tcPr>
          <w:p w14:paraId="7DD024A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AF" w14:textId="77777777" w:rsidR="00C1563E" w:rsidRDefault="000B648B">
            <w:pPr>
              <w:textAlignment w:val="bottom"/>
            </w:pPr>
            <w:r>
              <w:rPr>
                <w:rFonts w:ascii="Times New Roman" w:eastAsia="宋体" w:hAnsi="Times New Roman"/>
                <w:color w:val="000000"/>
                <w:sz w:val="20"/>
                <w:szCs w:val="20"/>
              </w:rPr>
              <w:t>Title</w:t>
            </w:r>
          </w:p>
        </w:tc>
      </w:tr>
      <w:tr w:rsidR="00C1563E" w14:paraId="7DD024B4" w14:textId="77777777">
        <w:trPr>
          <w:trHeight w:val="300"/>
        </w:trPr>
        <w:tc>
          <w:tcPr>
            <w:tcW w:w="0" w:type="auto"/>
            <w:gridSpan w:val="3"/>
            <w:shd w:val="clear" w:color="auto" w:fill="auto"/>
            <w:tcMar>
              <w:top w:w="0" w:type="dxa"/>
              <w:left w:w="20" w:type="dxa"/>
              <w:bottom w:w="0" w:type="dxa"/>
              <w:right w:w="20" w:type="dxa"/>
            </w:tcMar>
          </w:tcPr>
          <w:p w14:paraId="7DD024B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B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B3" w14:textId="77777777" w:rsidR="00C1563E" w:rsidRDefault="00C1563E">
            <w:pPr>
              <w:rPr>
                <w:rFonts w:ascii="宋体"/>
              </w:rPr>
            </w:pPr>
          </w:p>
        </w:tc>
      </w:tr>
      <w:tr w:rsidR="00C1563E" w14:paraId="7DD024B8" w14:textId="77777777">
        <w:tc>
          <w:tcPr>
            <w:tcW w:w="0" w:type="auto"/>
            <w:gridSpan w:val="3"/>
            <w:shd w:val="clear" w:color="auto" w:fill="auto"/>
            <w:tcMar>
              <w:top w:w="40" w:type="dxa"/>
              <w:left w:w="20" w:type="dxa"/>
              <w:bottom w:w="40" w:type="dxa"/>
              <w:right w:w="20" w:type="dxa"/>
            </w:tcMar>
            <w:vAlign w:val="bottom"/>
          </w:tcPr>
          <w:p w14:paraId="7DD024B5" w14:textId="77777777" w:rsidR="00C1563E" w:rsidRDefault="000B648B">
            <w:pPr>
              <w:spacing w:before="240"/>
              <w:jc w:val="center"/>
              <w:textAlignment w:val="bottom"/>
            </w:pPr>
            <w:r>
              <w:rPr>
                <w:rFonts w:ascii="Times New Roman" w:eastAsia="宋体" w:hAnsi="Times New Roman"/>
                <w:color w:val="000000"/>
                <w:sz w:val="20"/>
                <w:szCs w:val="20"/>
              </w:rPr>
              <w:t>/s/ MICHAEL S. DELL</w:t>
            </w:r>
          </w:p>
        </w:tc>
        <w:tc>
          <w:tcPr>
            <w:tcW w:w="0" w:type="auto"/>
            <w:gridSpan w:val="3"/>
            <w:shd w:val="clear" w:color="auto" w:fill="auto"/>
            <w:tcMar>
              <w:top w:w="0" w:type="dxa"/>
              <w:left w:w="20" w:type="dxa"/>
              <w:bottom w:w="0" w:type="dxa"/>
              <w:right w:w="20" w:type="dxa"/>
            </w:tcMar>
          </w:tcPr>
          <w:p w14:paraId="7DD024B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B7" w14:textId="77777777" w:rsidR="00C1563E" w:rsidRDefault="000B648B">
            <w:pPr>
              <w:textAlignment w:val="bottom"/>
            </w:pPr>
            <w:r>
              <w:rPr>
                <w:rFonts w:ascii="Times New Roman" w:eastAsia="宋体" w:hAnsi="Times New Roman"/>
                <w:color w:val="000000"/>
                <w:sz w:val="20"/>
                <w:szCs w:val="20"/>
              </w:rPr>
              <w:t>Chairman and Chief Executive Officer</w:t>
            </w:r>
          </w:p>
        </w:tc>
      </w:tr>
      <w:tr w:rsidR="00C1563E" w14:paraId="7DD024B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B9" w14:textId="77777777" w:rsidR="00C1563E" w:rsidRDefault="000B648B">
            <w:pPr>
              <w:jc w:val="center"/>
              <w:textAlignment w:val="bottom"/>
            </w:pPr>
            <w:r>
              <w:rPr>
                <w:rFonts w:ascii="Times New Roman" w:eastAsia="宋体" w:hAnsi="Times New Roman"/>
                <w:color w:val="000000"/>
                <w:sz w:val="20"/>
                <w:szCs w:val="20"/>
              </w:rPr>
              <w:t>Michael S. Dell</w:t>
            </w:r>
          </w:p>
        </w:tc>
        <w:tc>
          <w:tcPr>
            <w:tcW w:w="0" w:type="auto"/>
            <w:gridSpan w:val="3"/>
            <w:shd w:val="clear" w:color="auto" w:fill="auto"/>
            <w:tcMar>
              <w:top w:w="0" w:type="dxa"/>
              <w:left w:w="20" w:type="dxa"/>
              <w:bottom w:w="0" w:type="dxa"/>
              <w:right w:w="20" w:type="dxa"/>
            </w:tcMar>
          </w:tcPr>
          <w:p w14:paraId="7DD024B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BB" w14:textId="77777777" w:rsidR="00C1563E" w:rsidRDefault="000B648B">
            <w:pPr>
              <w:textAlignment w:val="bottom"/>
            </w:pPr>
            <w:r>
              <w:rPr>
                <w:rFonts w:ascii="Times New Roman" w:eastAsia="宋体" w:hAnsi="Times New Roman"/>
                <w:color w:val="000000"/>
                <w:sz w:val="20"/>
                <w:szCs w:val="20"/>
              </w:rPr>
              <w:t>(principal executive officer)</w:t>
            </w:r>
          </w:p>
        </w:tc>
      </w:tr>
      <w:tr w:rsidR="00C1563E" w14:paraId="7DD024C0" w14:textId="77777777">
        <w:trPr>
          <w:trHeight w:val="300"/>
        </w:trPr>
        <w:tc>
          <w:tcPr>
            <w:tcW w:w="0" w:type="auto"/>
            <w:gridSpan w:val="3"/>
            <w:shd w:val="clear" w:color="auto" w:fill="auto"/>
            <w:tcMar>
              <w:top w:w="0" w:type="dxa"/>
              <w:left w:w="20" w:type="dxa"/>
              <w:bottom w:w="0" w:type="dxa"/>
              <w:right w:w="20" w:type="dxa"/>
            </w:tcMar>
          </w:tcPr>
          <w:p w14:paraId="7DD024B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B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BF" w14:textId="77777777" w:rsidR="00C1563E" w:rsidRDefault="00C1563E">
            <w:pPr>
              <w:rPr>
                <w:rFonts w:ascii="宋体"/>
              </w:rPr>
            </w:pPr>
          </w:p>
        </w:tc>
      </w:tr>
      <w:tr w:rsidR="00C1563E" w14:paraId="7DD024C4" w14:textId="77777777">
        <w:tc>
          <w:tcPr>
            <w:tcW w:w="0" w:type="auto"/>
            <w:gridSpan w:val="3"/>
            <w:shd w:val="clear" w:color="auto" w:fill="auto"/>
            <w:tcMar>
              <w:top w:w="40" w:type="dxa"/>
              <w:left w:w="20" w:type="dxa"/>
              <w:bottom w:w="40" w:type="dxa"/>
              <w:right w:w="20" w:type="dxa"/>
            </w:tcMar>
            <w:vAlign w:val="bottom"/>
          </w:tcPr>
          <w:p w14:paraId="7DD024C1" w14:textId="77777777" w:rsidR="00C1563E" w:rsidRDefault="000B648B">
            <w:pPr>
              <w:spacing w:before="240"/>
              <w:jc w:val="center"/>
              <w:textAlignment w:val="bottom"/>
            </w:pPr>
            <w:r>
              <w:rPr>
                <w:rFonts w:ascii="Times New Roman" w:eastAsia="宋体" w:hAnsi="Times New Roman"/>
                <w:color w:val="000000"/>
                <w:sz w:val="20"/>
                <w:szCs w:val="20"/>
              </w:rPr>
              <w:t>/s/ DAVID W. DORMAN</w:t>
            </w:r>
          </w:p>
        </w:tc>
        <w:tc>
          <w:tcPr>
            <w:tcW w:w="0" w:type="auto"/>
            <w:gridSpan w:val="3"/>
            <w:shd w:val="clear" w:color="auto" w:fill="auto"/>
            <w:tcMar>
              <w:top w:w="0" w:type="dxa"/>
              <w:left w:w="20" w:type="dxa"/>
              <w:bottom w:w="0" w:type="dxa"/>
              <w:right w:w="20" w:type="dxa"/>
            </w:tcMar>
          </w:tcPr>
          <w:p w14:paraId="7DD024C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C3" w14:textId="77777777" w:rsidR="00C1563E" w:rsidRDefault="000B648B">
            <w:pPr>
              <w:textAlignment w:val="bottom"/>
            </w:pPr>
            <w:r>
              <w:rPr>
                <w:rFonts w:ascii="Times New Roman" w:eastAsia="宋体" w:hAnsi="Times New Roman"/>
                <w:color w:val="000000"/>
                <w:sz w:val="20"/>
                <w:szCs w:val="20"/>
              </w:rPr>
              <w:t>Director</w:t>
            </w:r>
          </w:p>
        </w:tc>
      </w:tr>
      <w:tr w:rsidR="00C1563E" w14:paraId="7DD024C8"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C5" w14:textId="77777777" w:rsidR="00C1563E" w:rsidRDefault="000B648B">
            <w:pPr>
              <w:jc w:val="center"/>
              <w:textAlignment w:val="bottom"/>
            </w:pPr>
            <w:r>
              <w:rPr>
                <w:rFonts w:ascii="Times New Roman" w:eastAsia="宋体" w:hAnsi="Times New Roman"/>
                <w:color w:val="000000"/>
                <w:sz w:val="20"/>
                <w:szCs w:val="20"/>
              </w:rPr>
              <w:t>David W. Dorman</w:t>
            </w:r>
          </w:p>
        </w:tc>
        <w:tc>
          <w:tcPr>
            <w:tcW w:w="0" w:type="auto"/>
            <w:gridSpan w:val="3"/>
            <w:shd w:val="clear" w:color="auto" w:fill="auto"/>
            <w:tcMar>
              <w:top w:w="0" w:type="dxa"/>
              <w:left w:w="20" w:type="dxa"/>
              <w:bottom w:w="0" w:type="dxa"/>
              <w:right w:w="20" w:type="dxa"/>
            </w:tcMar>
          </w:tcPr>
          <w:p w14:paraId="7DD024C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C7" w14:textId="77777777" w:rsidR="00C1563E" w:rsidRDefault="00C1563E">
            <w:pPr>
              <w:rPr>
                <w:rFonts w:ascii="宋体"/>
              </w:rPr>
            </w:pPr>
          </w:p>
        </w:tc>
      </w:tr>
      <w:tr w:rsidR="00C1563E" w14:paraId="7DD024CC" w14:textId="77777777">
        <w:trPr>
          <w:trHeight w:val="300"/>
        </w:trPr>
        <w:tc>
          <w:tcPr>
            <w:tcW w:w="0" w:type="auto"/>
            <w:gridSpan w:val="3"/>
            <w:shd w:val="clear" w:color="auto" w:fill="auto"/>
            <w:tcMar>
              <w:top w:w="0" w:type="dxa"/>
              <w:left w:w="20" w:type="dxa"/>
              <w:bottom w:w="0" w:type="dxa"/>
              <w:right w:w="20" w:type="dxa"/>
            </w:tcMar>
          </w:tcPr>
          <w:p w14:paraId="7DD024C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C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CB" w14:textId="77777777" w:rsidR="00C1563E" w:rsidRDefault="00C1563E">
            <w:pPr>
              <w:rPr>
                <w:rFonts w:ascii="宋体"/>
              </w:rPr>
            </w:pPr>
          </w:p>
        </w:tc>
      </w:tr>
      <w:tr w:rsidR="00C1563E" w14:paraId="7DD024D0" w14:textId="77777777">
        <w:tc>
          <w:tcPr>
            <w:tcW w:w="0" w:type="auto"/>
            <w:gridSpan w:val="3"/>
            <w:shd w:val="clear" w:color="auto" w:fill="auto"/>
            <w:tcMar>
              <w:top w:w="40" w:type="dxa"/>
              <w:left w:w="20" w:type="dxa"/>
              <w:bottom w:w="40" w:type="dxa"/>
              <w:right w:w="20" w:type="dxa"/>
            </w:tcMar>
            <w:vAlign w:val="bottom"/>
          </w:tcPr>
          <w:p w14:paraId="7DD024CD" w14:textId="77777777" w:rsidR="00C1563E" w:rsidRDefault="000B648B">
            <w:pPr>
              <w:spacing w:before="240"/>
              <w:jc w:val="center"/>
              <w:textAlignment w:val="bottom"/>
            </w:pPr>
            <w:r>
              <w:rPr>
                <w:rFonts w:ascii="Times New Roman" w:eastAsia="宋体" w:hAnsi="Times New Roman"/>
                <w:color w:val="000000"/>
                <w:sz w:val="20"/>
                <w:szCs w:val="20"/>
              </w:rPr>
              <w:t xml:space="preserve">/s/ EGON </w:t>
            </w:r>
            <w:r>
              <w:rPr>
                <w:rFonts w:ascii="Times New Roman" w:eastAsia="宋体" w:hAnsi="Times New Roman"/>
                <w:color w:val="000000"/>
                <w:sz w:val="20"/>
                <w:szCs w:val="20"/>
              </w:rPr>
              <w:t>DURBAN</w:t>
            </w:r>
          </w:p>
        </w:tc>
        <w:tc>
          <w:tcPr>
            <w:tcW w:w="0" w:type="auto"/>
            <w:gridSpan w:val="3"/>
            <w:shd w:val="clear" w:color="auto" w:fill="auto"/>
            <w:tcMar>
              <w:top w:w="0" w:type="dxa"/>
              <w:left w:w="20" w:type="dxa"/>
              <w:bottom w:w="0" w:type="dxa"/>
              <w:right w:w="20" w:type="dxa"/>
            </w:tcMar>
          </w:tcPr>
          <w:p w14:paraId="7DD024C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CF" w14:textId="77777777" w:rsidR="00C1563E" w:rsidRDefault="000B648B">
            <w:pPr>
              <w:textAlignment w:val="bottom"/>
            </w:pPr>
            <w:r>
              <w:rPr>
                <w:rFonts w:ascii="Times New Roman" w:eastAsia="宋体" w:hAnsi="Times New Roman"/>
                <w:color w:val="000000"/>
                <w:sz w:val="20"/>
                <w:szCs w:val="20"/>
              </w:rPr>
              <w:t>Director</w:t>
            </w:r>
          </w:p>
        </w:tc>
      </w:tr>
      <w:tr w:rsidR="00C1563E" w14:paraId="7DD024D4"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D1" w14:textId="77777777" w:rsidR="00C1563E" w:rsidRDefault="000B648B">
            <w:pPr>
              <w:jc w:val="center"/>
              <w:textAlignment w:val="bottom"/>
            </w:pPr>
            <w:r>
              <w:rPr>
                <w:rFonts w:ascii="Times New Roman" w:eastAsia="宋体" w:hAnsi="Times New Roman"/>
                <w:color w:val="000000"/>
                <w:sz w:val="20"/>
                <w:szCs w:val="20"/>
              </w:rPr>
              <w:t>Egon Durban</w:t>
            </w:r>
          </w:p>
        </w:tc>
        <w:tc>
          <w:tcPr>
            <w:tcW w:w="0" w:type="auto"/>
            <w:gridSpan w:val="3"/>
            <w:shd w:val="clear" w:color="auto" w:fill="auto"/>
            <w:tcMar>
              <w:top w:w="0" w:type="dxa"/>
              <w:left w:w="20" w:type="dxa"/>
              <w:bottom w:w="0" w:type="dxa"/>
              <w:right w:w="20" w:type="dxa"/>
            </w:tcMar>
          </w:tcPr>
          <w:p w14:paraId="7DD024D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D3" w14:textId="77777777" w:rsidR="00C1563E" w:rsidRDefault="00C1563E">
            <w:pPr>
              <w:rPr>
                <w:rFonts w:ascii="宋体"/>
              </w:rPr>
            </w:pPr>
          </w:p>
        </w:tc>
      </w:tr>
      <w:tr w:rsidR="00C1563E" w14:paraId="7DD024D8" w14:textId="77777777">
        <w:trPr>
          <w:trHeight w:val="300"/>
        </w:trPr>
        <w:tc>
          <w:tcPr>
            <w:tcW w:w="0" w:type="auto"/>
            <w:gridSpan w:val="3"/>
            <w:shd w:val="clear" w:color="auto" w:fill="auto"/>
            <w:tcMar>
              <w:top w:w="0" w:type="dxa"/>
              <w:left w:w="20" w:type="dxa"/>
              <w:bottom w:w="0" w:type="dxa"/>
              <w:right w:w="20" w:type="dxa"/>
            </w:tcMar>
          </w:tcPr>
          <w:p w14:paraId="7DD024D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D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D7" w14:textId="77777777" w:rsidR="00C1563E" w:rsidRDefault="00C1563E">
            <w:pPr>
              <w:rPr>
                <w:rFonts w:ascii="宋体"/>
              </w:rPr>
            </w:pPr>
          </w:p>
        </w:tc>
      </w:tr>
      <w:tr w:rsidR="00C1563E" w14:paraId="7DD024DC" w14:textId="77777777">
        <w:tc>
          <w:tcPr>
            <w:tcW w:w="0" w:type="auto"/>
            <w:gridSpan w:val="3"/>
            <w:shd w:val="clear" w:color="auto" w:fill="auto"/>
            <w:tcMar>
              <w:top w:w="40" w:type="dxa"/>
              <w:left w:w="20" w:type="dxa"/>
              <w:bottom w:w="40" w:type="dxa"/>
              <w:right w:w="20" w:type="dxa"/>
            </w:tcMar>
            <w:vAlign w:val="bottom"/>
          </w:tcPr>
          <w:p w14:paraId="7DD024D9" w14:textId="77777777" w:rsidR="00C1563E" w:rsidRDefault="000B648B">
            <w:pPr>
              <w:spacing w:before="240"/>
              <w:jc w:val="center"/>
              <w:textAlignment w:val="bottom"/>
            </w:pPr>
            <w:r>
              <w:rPr>
                <w:rFonts w:ascii="Times New Roman" w:eastAsia="宋体" w:hAnsi="Times New Roman"/>
                <w:color w:val="000000"/>
                <w:sz w:val="20"/>
                <w:szCs w:val="20"/>
              </w:rPr>
              <w:t>/s/ WILLIAM D. GREEN</w:t>
            </w:r>
          </w:p>
        </w:tc>
        <w:tc>
          <w:tcPr>
            <w:tcW w:w="0" w:type="auto"/>
            <w:gridSpan w:val="3"/>
            <w:shd w:val="clear" w:color="auto" w:fill="auto"/>
            <w:tcMar>
              <w:top w:w="0" w:type="dxa"/>
              <w:left w:w="20" w:type="dxa"/>
              <w:bottom w:w="0" w:type="dxa"/>
              <w:right w:w="20" w:type="dxa"/>
            </w:tcMar>
          </w:tcPr>
          <w:p w14:paraId="7DD024D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DB" w14:textId="77777777" w:rsidR="00C1563E" w:rsidRDefault="000B648B">
            <w:pPr>
              <w:textAlignment w:val="bottom"/>
            </w:pPr>
            <w:r>
              <w:rPr>
                <w:rFonts w:ascii="Times New Roman" w:eastAsia="宋体" w:hAnsi="Times New Roman"/>
                <w:color w:val="000000"/>
                <w:sz w:val="20"/>
                <w:szCs w:val="20"/>
              </w:rPr>
              <w:t>Director</w:t>
            </w:r>
          </w:p>
        </w:tc>
      </w:tr>
      <w:tr w:rsidR="00C1563E" w14:paraId="7DD024E0"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DD" w14:textId="77777777" w:rsidR="00C1563E" w:rsidRDefault="000B648B">
            <w:pPr>
              <w:jc w:val="center"/>
              <w:textAlignment w:val="bottom"/>
            </w:pPr>
            <w:r>
              <w:rPr>
                <w:rFonts w:ascii="Times New Roman" w:eastAsia="宋体" w:hAnsi="Times New Roman"/>
                <w:color w:val="000000"/>
                <w:sz w:val="20"/>
                <w:szCs w:val="20"/>
              </w:rPr>
              <w:t>William D. Green</w:t>
            </w:r>
          </w:p>
        </w:tc>
        <w:tc>
          <w:tcPr>
            <w:tcW w:w="0" w:type="auto"/>
            <w:gridSpan w:val="3"/>
            <w:shd w:val="clear" w:color="auto" w:fill="auto"/>
            <w:tcMar>
              <w:top w:w="0" w:type="dxa"/>
              <w:left w:w="20" w:type="dxa"/>
              <w:bottom w:w="0" w:type="dxa"/>
              <w:right w:w="20" w:type="dxa"/>
            </w:tcMar>
          </w:tcPr>
          <w:p w14:paraId="7DD024D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DF" w14:textId="77777777" w:rsidR="00C1563E" w:rsidRDefault="00C1563E">
            <w:pPr>
              <w:rPr>
                <w:rFonts w:ascii="宋体"/>
              </w:rPr>
            </w:pPr>
          </w:p>
        </w:tc>
      </w:tr>
      <w:tr w:rsidR="00C1563E" w14:paraId="7DD024E4" w14:textId="77777777">
        <w:trPr>
          <w:trHeight w:val="300"/>
        </w:trPr>
        <w:tc>
          <w:tcPr>
            <w:tcW w:w="0" w:type="auto"/>
            <w:gridSpan w:val="3"/>
            <w:shd w:val="clear" w:color="auto" w:fill="auto"/>
            <w:tcMar>
              <w:top w:w="0" w:type="dxa"/>
              <w:left w:w="20" w:type="dxa"/>
              <w:bottom w:w="0" w:type="dxa"/>
              <w:right w:w="20" w:type="dxa"/>
            </w:tcMar>
          </w:tcPr>
          <w:p w14:paraId="7DD024E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E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E3" w14:textId="77777777" w:rsidR="00C1563E" w:rsidRDefault="00C1563E">
            <w:pPr>
              <w:rPr>
                <w:rFonts w:ascii="宋体"/>
              </w:rPr>
            </w:pPr>
          </w:p>
        </w:tc>
      </w:tr>
      <w:tr w:rsidR="00C1563E" w14:paraId="7DD024E8" w14:textId="77777777">
        <w:tc>
          <w:tcPr>
            <w:tcW w:w="0" w:type="auto"/>
            <w:gridSpan w:val="3"/>
            <w:shd w:val="clear" w:color="auto" w:fill="auto"/>
            <w:tcMar>
              <w:top w:w="40" w:type="dxa"/>
              <w:left w:w="20" w:type="dxa"/>
              <w:bottom w:w="40" w:type="dxa"/>
              <w:right w:w="20" w:type="dxa"/>
            </w:tcMar>
            <w:vAlign w:val="bottom"/>
          </w:tcPr>
          <w:p w14:paraId="7DD024E5" w14:textId="77777777" w:rsidR="00C1563E" w:rsidRDefault="000B648B">
            <w:pPr>
              <w:spacing w:before="240"/>
              <w:jc w:val="center"/>
              <w:textAlignment w:val="bottom"/>
            </w:pPr>
            <w:r>
              <w:rPr>
                <w:rFonts w:ascii="Times New Roman" w:eastAsia="宋体" w:hAnsi="Times New Roman"/>
                <w:color w:val="000000"/>
                <w:sz w:val="20"/>
                <w:szCs w:val="20"/>
              </w:rPr>
              <w:t>/s/ ELLEN J. KULLMAN</w:t>
            </w:r>
          </w:p>
        </w:tc>
        <w:tc>
          <w:tcPr>
            <w:tcW w:w="0" w:type="auto"/>
            <w:gridSpan w:val="3"/>
            <w:shd w:val="clear" w:color="auto" w:fill="auto"/>
            <w:tcMar>
              <w:top w:w="0" w:type="dxa"/>
              <w:left w:w="20" w:type="dxa"/>
              <w:bottom w:w="0" w:type="dxa"/>
              <w:right w:w="20" w:type="dxa"/>
            </w:tcMar>
          </w:tcPr>
          <w:p w14:paraId="7DD024E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E7" w14:textId="77777777" w:rsidR="00C1563E" w:rsidRDefault="000B648B">
            <w:pPr>
              <w:textAlignment w:val="bottom"/>
            </w:pPr>
            <w:r>
              <w:rPr>
                <w:rFonts w:ascii="Times New Roman" w:eastAsia="宋体" w:hAnsi="Times New Roman"/>
                <w:color w:val="000000"/>
                <w:sz w:val="20"/>
                <w:szCs w:val="20"/>
              </w:rPr>
              <w:t>Director</w:t>
            </w:r>
          </w:p>
        </w:tc>
      </w:tr>
      <w:tr w:rsidR="00C1563E" w14:paraId="7DD024E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E9" w14:textId="77777777" w:rsidR="00C1563E" w:rsidRDefault="000B648B">
            <w:pPr>
              <w:jc w:val="center"/>
              <w:textAlignment w:val="bottom"/>
            </w:pPr>
            <w:r>
              <w:rPr>
                <w:rFonts w:ascii="Times New Roman" w:eastAsia="宋体" w:hAnsi="Times New Roman"/>
                <w:color w:val="000000"/>
                <w:sz w:val="20"/>
                <w:szCs w:val="20"/>
              </w:rPr>
              <w:t>Ellen J. Kullman</w:t>
            </w:r>
          </w:p>
        </w:tc>
        <w:tc>
          <w:tcPr>
            <w:tcW w:w="0" w:type="auto"/>
            <w:gridSpan w:val="3"/>
            <w:shd w:val="clear" w:color="auto" w:fill="auto"/>
            <w:tcMar>
              <w:top w:w="0" w:type="dxa"/>
              <w:left w:w="20" w:type="dxa"/>
              <w:bottom w:w="0" w:type="dxa"/>
              <w:right w:w="20" w:type="dxa"/>
            </w:tcMar>
          </w:tcPr>
          <w:p w14:paraId="7DD024E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EB" w14:textId="77777777" w:rsidR="00C1563E" w:rsidRDefault="00C1563E">
            <w:pPr>
              <w:rPr>
                <w:rFonts w:ascii="宋体"/>
              </w:rPr>
            </w:pPr>
          </w:p>
        </w:tc>
      </w:tr>
      <w:tr w:rsidR="00C1563E" w14:paraId="7DD024F0" w14:textId="77777777">
        <w:trPr>
          <w:trHeight w:val="300"/>
        </w:trPr>
        <w:tc>
          <w:tcPr>
            <w:tcW w:w="0" w:type="auto"/>
            <w:gridSpan w:val="3"/>
            <w:shd w:val="clear" w:color="auto" w:fill="auto"/>
            <w:tcMar>
              <w:top w:w="0" w:type="dxa"/>
              <w:left w:w="20" w:type="dxa"/>
              <w:bottom w:w="0" w:type="dxa"/>
              <w:right w:w="20" w:type="dxa"/>
            </w:tcMar>
          </w:tcPr>
          <w:p w14:paraId="7DD024E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EE"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EF" w14:textId="77777777" w:rsidR="00C1563E" w:rsidRDefault="00C1563E">
            <w:pPr>
              <w:rPr>
                <w:rFonts w:ascii="宋体"/>
              </w:rPr>
            </w:pPr>
          </w:p>
        </w:tc>
      </w:tr>
      <w:tr w:rsidR="00C1563E" w14:paraId="7DD024F4" w14:textId="77777777">
        <w:tc>
          <w:tcPr>
            <w:tcW w:w="0" w:type="auto"/>
            <w:gridSpan w:val="3"/>
            <w:shd w:val="clear" w:color="auto" w:fill="auto"/>
            <w:tcMar>
              <w:top w:w="40" w:type="dxa"/>
              <w:left w:w="20" w:type="dxa"/>
              <w:bottom w:w="40" w:type="dxa"/>
              <w:right w:w="20" w:type="dxa"/>
            </w:tcMar>
            <w:vAlign w:val="bottom"/>
          </w:tcPr>
          <w:p w14:paraId="7DD024F1" w14:textId="77777777" w:rsidR="00C1563E" w:rsidRDefault="000B648B">
            <w:pPr>
              <w:spacing w:before="240"/>
              <w:jc w:val="center"/>
              <w:textAlignment w:val="bottom"/>
            </w:pPr>
            <w:r>
              <w:rPr>
                <w:rFonts w:ascii="Times New Roman" w:eastAsia="宋体" w:hAnsi="Times New Roman"/>
                <w:color w:val="000000"/>
                <w:sz w:val="20"/>
                <w:szCs w:val="20"/>
              </w:rPr>
              <w:t>/s/ SIMON PATTERSON</w:t>
            </w:r>
          </w:p>
        </w:tc>
        <w:tc>
          <w:tcPr>
            <w:tcW w:w="0" w:type="auto"/>
            <w:gridSpan w:val="3"/>
            <w:shd w:val="clear" w:color="auto" w:fill="auto"/>
            <w:tcMar>
              <w:top w:w="0" w:type="dxa"/>
              <w:left w:w="20" w:type="dxa"/>
              <w:bottom w:w="0" w:type="dxa"/>
              <w:right w:w="20" w:type="dxa"/>
            </w:tcMar>
          </w:tcPr>
          <w:p w14:paraId="7DD024F2"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F3" w14:textId="77777777" w:rsidR="00C1563E" w:rsidRDefault="000B648B">
            <w:pPr>
              <w:textAlignment w:val="bottom"/>
            </w:pPr>
            <w:r>
              <w:rPr>
                <w:rFonts w:ascii="Times New Roman" w:eastAsia="宋体" w:hAnsi="Times New Roman"/>
                <w:color w:val="000000"/>
                <w:sz w:val="20"/>
                <w:szCs w:val="20"/>
              </w:rPr>
              <w:t>Director</w:t>
            </w:r>
          </w:p>
        </w:tc>
      </w:tr>
      <w:tr w:rsidR="00C1563E" w14:paraId="7DD024F8"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4F5" w14:textId="77777777" w:rsidR="00C1563E" w:rsidRDefault="000B648B">
            <w:pPr>
              <w:jc w:val="center"/>
              <w:textAlignment w:val="bottom"/>
            </w:pPr>
            <w:r>
              <w:rPr>
                <w:rFonts w:ascii="Times New Roman" w:eastAsia="宋体" w:hAnsi="Times New Roman"/>
                <w:color w:val="000000"/>
                <w:sz w:val="20"/>
                <w:szCs w:val="20"/>
              </w:rPr>
              <w:t>Simon Patterson</w:t>
            </w:r>
          </w:p>
        </w:tc>
        <w:tc>
          <w:tcPr>
            <w:tcW w:w="0" w:type="auto"/>
            <w:gridSpan w:val="3"/>
            <w:shd w:val="clear" w:color="auto" w:fill="auto"/>
            <w:tcMar>
              <w:top w:w="0" w:type="dxa"/>
              <w:left w:w="20" w:type="dxa"/>
              <w:bottom w:w="0" w:type="dxa"/>
              <w:right w:w="20" w:type="dxa"/>
            </w:tcMar>
          </w:tcPr>
          <w:p w14:paraId="7DD024F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F7" w14:textId="77777777" w:rsidR="00C1563E" w:rsidRDefault="00C1563E">
            <w:pPr>
              <w:rPr>
                <w:rFonts w:ascii="宋体"/>
              </w:rPr>
            </w:pPr>
          </w:p>
        </w:tc>
      </w:tr>
      <w:tr w:rsidR="00C1563E" w14:paraId="7DD024FC" w14:textId="77777777">
        <w:trPr>
          <w:trHeight w:val="300"/>
        </w:trPr>
        <w:tc>
          <w:tcPr>
            <w:tcW w:w="0" w:type="auto"/>
            <w:gridSpan w:val="3"/>
            <w:shd w:val="clear" w:color="auto" w:fill="auto"/>
            <w:tcMar>
              <w:top w:w="0" w:type="dxa"/>
              <w:left w:w="20" w:type="dxa"/>
              <w:bottom w:w="0" w:type="dxa"/>
              <w:right w:w="20" w:type="dxa"/>
            </w:tcMar>
          </w:tcPr>
          <w:p w14:paraId="7DD024F9"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FA"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4FB" w14:textId="77777777" w:rsidR="00C1563E" w:rsidRDefault="00C1563E">
            <w:pPr>
              <w:rPr>
                <w:rFonts w:ascii="宋体"/>
              </w:rPr>
            </w:pPr>
          </w:p>
        </w:tc>
      </w:tr>
      <w:tr w:rsidR="00C1563E" w14:paraId="7DD02500" w14:textId="77777777">
        <w:tc>
          <w:tcPr>
            <w:tcW w:w="0" w:type="auto"/>
            <w:gridSpan w:val="3"/>
            <w:shd w:val="clear" w:color="auto" w:fill="auto"/>
            <w:tcMar>
              <w:top w:w="40" w:type="dxa"/>
              <w:left w:w="20" w:type="dxa"/>
              <w:bottom w:w="40" w:type="dxa"/>
              <w:right w:w="20" w:type="dxa"/>
            </w:tcMar>
            <w:vAlign w:val="bottom"/>
          </w:tcPr>
          <w:p w14:paraId="7DD024FD" w14:textId="77777777" w:rsidR="00C1563E" w:rsidRDefault="000B648B">
            <w:pPr>
              <w:spacing w:before="240"/>
              <w:jc w:val="center"/>
              <w:textAlignment w:val="bottom"/>
            </w:pPr>
            <w:r>
              <w:rPr>
                <w:rFonts w:ascii="Times New Roman" w:eastAsia="宋体" w:hAnsi="Times New Roman"/>
                <w:color w:val="000000"/>
                <w:sz w:val="20"/>
                <w:szCs w:val="20"/>
              </w:rPr>
              <w:t>/s/ LYNN VOJVODICH</w:t>
            </w:r>
          </w:p>
        </w:tc>
        <w:tc>
          <w:tcPr>
            <w:tcW w:w="0" w:type="auto"/>
            <w:gridSpan w:val="3"/>
            <w:shd w:val="clear" w:color="auto" w:fill="auto"/>
            <w:tcMar>
              <w:top w:w="0" w:type="dxa"/>
              <w:left w:w="20" w:type="dxa"/>
              <w:bottom w:w="0" w:type="dxa"/>
              <w:right w:w="20" w:type="dxa"/>
            </w:tcMar>
          </w:tcPr>
          <w:p w14:paraId="7DD024F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4FF" w14:textId="77777777" w:rsidR="00C1563E" w:rsidRDefault="000B648B">
            <w:pPr>
              <w:textAlignment w:val="bottom"/>
            </w:pPr>
            <w:r>
              <w:rPr>
                <w:rFonts w:ascii="Times New Roman" w:eastAsia="宋体" w:hAnsi="Times New Roman"/>
                <w:color w:val="000000"/>
                <w:sz w:val="20"/>
                <w:szCs w:val="20"/>
              </w:rPr>
              <w:t>Director</w:t>
            </w:r>
          </w:p>
        </w:tc>
      </w:tr>
      <w:tr w:rsidR="00C1563E" w14:paraId="7DD02504"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501" w14:textId="77777777" w:rsidR="00C1563E" w:rsidRDefault="000B648B">
            <w:pPr>
              <w:jc w:val="center"/>
              <w:textAlignment w:val="bottom"/>
            </w:pPr>
            <w:r>
              <w:rPr>
                <w:rFonts w:ascii="Times New Roman" w:eastAsia="宋体" w:hAnsi="Times New Roman"/>
                <w:color w:val="000000"/>
                <w:sz w:val="20"/>
                <w:szCs w:val="20"/>
              </w:rPr>
              <w:t>Lynn Vojvodich</w:t>
            </w:r>
          </w:p>
        </w:tc>
        <w:tc>
          <w:tcPr>
            <w:tcW w:w="0" w:type="auto"/>
            <w:gridSpan w:val="3"/>
            <w:shd w:val="clear" w:color="auto" w:fill="auto"/>
            <w:tcMar>
              <w:top w:w="0" w:type="dxa"/>
              <w:left w:w="20" w:type="dxa"/>
              <w:bottom w:w="0" w:type="dxa"/>
              <w:right w:w="20" w:type="dxa"/>
            </w:tcMar>
          </w:tcPr>
          <w:p w14:paraId="7DD0250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03" w14:textId="77777777" w:rsidR="00C1563E" w:rsidRDefault="00C1563E">
            <w:pPr>
              <w:rPr>
                <w:rFonts w:ascii="宋体"/>
              </w:rPr>
            </w:pPr>
          </w:p>
        </w:tc>
      </w:tr>
      <w:tr w:rsidR="00C1563E" w14:paraId="7DD02508" w14:textId="77777777">
        <w:trPr>
          <w:trHeight w:val="300"/>
        </w:trPr>
        <w:tc>
          <w:tcPr>
            <w:tcW w:w="0" w:type="auto"/>
            <w:gridSpan w:val="3"/>
            <w:shd w:val="clear" w:color="auto" w:fill="auto"/>
            <w:tcMar>
              <w:top w:w="0" w:type="dxa"/>
              <w:left w:w="20" w:type="dxa"/>
              <w:bottom w:w="0" w:type="dxa"/>
              <w:right w:w="20" w:type="dxa"/>
            </w:tcMar>
          </w:tcPr>
          <w:p w14:paraId="7DD02505"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06"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07" w14:textId="77777777" w:rsidR="00C1563E" w:rsidRDefault="00C1563E">
            <w:pPr>
              <w:rPr>
                <w:rFonts w:ascii="宋体"/>
              </w:rPr>
            </w:pPr>
          </w:p>
        </w:tc>
      </w:tr>
      <w:tr w:rsidR="00C1563E" w14:paraId="7DD0250C" w14:textId="77777777">
        <w:tc>
          <w:tcPr>
            <w:tcW w:w="0" w:type="auto"/>
            <w:gridSpan w:val="3"/>
            <w:shd w:val="clear" w:color="auto" w:fill="auto"/>
            <w:tcMar>
              <w:top w:w="40" w:type="dxa"/>
              <w:left w:w="20" w:type="dxa"/>
              <w:bottom w:w="40" w:type="dxa"/>
              <w:right w:w="20" w:type="dxa"/>
            </w:tcMar>
            <w:vAlign w:val="bottom"/>
          </w:tcPr>
          <w:p w14:paraId="7DD02509" w14:textId="77777777" w:rsidR="00C1563E" w:rsidRDefault="000B648B">
            <w:pPr>
              <w:spacing w:before="240"/>
              <w:jc w:val="center"/>
              <w:textAlignment w:val="bottom"/>
            </w:pPr>
            <w:r>
              <w:rPr>
                <w:rFonts w:ascii="Times New Roman" w:eastAsia="宋体" w:hAnsi="Times New Roman"/>
                <w:color w:val="000000"/>
                <w:sz w:val="20"/>
                <w:szCs w:val="20"/>
              </w:rPr>
              <w:t>/s/ THOMAS W. SWEET</w:t>
            </w:r>
          </w:p>
        </w:tc>
        <w:tc>
          <w:tcPr>
            <w:tcW w:w="0" w:type="auto"/>
            <w:gridSpan w:val="3"/>
            <w:shd w:val="clear" w:color="auto" w:fill="auto"/>
            <w:tcMar>
              <w:top w:w="0" w:type="dxa"/>
              <w:left w:w="20" w:type="dxa"/>
              <w:bottom w:w="0" w:type="dxa"/>
              <w:right w:w="20" w:type="dxa"/>
            </w:tcMar>
          </w:tcPr>
          <w:p w14:paraId="7DD0250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50B" w14:textId="77777777" w:rsidR="00C1563E" w:rsidRDefault="000B648B">
            <w:pPr>
              <w:textAlignment w:val="bottom"/>
            </w:pPr>
            <w:r>
              <w:rPr>
                <w:rFonts w:ascii="Times New Roman" w:eastAsia="宋体" w:hAnsi="Times New Roman"/>
                <w:color w:val="000000"/>
                <w:sz w:val="20"/>
                <w:szCs w:val="20"/>
              </w:rPr>
              <w:t xml:space="preserve">Executive Vice President and Chief Financial Officer </w:t>
            </w:r>
          </w:p>
        </w:tc>
      </w:tr>
      <w:tr w:rsidR="00C1563E" w14:paraId="7DD02510"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50D" w14:textId="77777777" w:rsidR="00C1563E" w:rsidRDefault="000B648B">
            <w:pPr>
              <w:jc w:val="center"/>
              <w:textAlignment w:val="bottom"/>
            </w:pPr>
            <w:r>
              <w:rPr>
                <w:rFonts w:ascii="Times New Roman" w:eastAsia="宋体" w:hAnsi="Times New Roman"/>
                <w:color w:val="000000"/>
                <w:sz w:val="20"/>
                <w:szCs w:val="20"/>
              </w:rPr>
              <w:t>Thomas W. Sweet</w:t>
            </w:r>
          </w:p>
        </w:tc>
        <w:tc>
          <w:tcPr>
            <w:tcW w:w="0" w:type="auto"/>
            <w:gridSpan w:val="3"/>
            <w:shd w:val="clear" w:color="auto" w:fill="auto"/>
            <w:tcMar>
              <w:top w:w="0" w:type="dxa"/>
              <w:left w:w="20" w:type="dxa"/>
              <w:bottom w:w="0" w:type="dxa"/>
              <w:right w:w="20" w:type="dxa"/>
            </w:tcMar>
          </w:tcPr>
          <w:p w14:paraId="7DD0250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50F" w14:textId="77777777" w:rsidR="00C1563E" w:rsidRDefault="000B648B">
            <w:pPr>
              <w:textAlignment w:val="bottom"/>
            </w:pPr>
            <w:r>
              <w:rPr>
                <w:rFonts w:ascii="Times New Roman" w:eastAsia="宋体" w:hAnsi="Times New Roman"/>
                <w:color w:val="000000"/>
                <w:sz w:val="20"/>
                <w:szCs w:val="20"/>
              </w:rPr>
              <w:t>(principal financial officer)</w:t>
            </w:r>
          </w:p>
        </w:tc>
      </w:tr>
      <w:tr w:rsidR="00C1563E" w14:paraId="7DD02514" w14:textId="77777777">
        <w:trPr>
          <w:trHeight w:val="300"/>
        </w:trPr>
        <w:tc>
          <w:tcPr>
            <w:tcW w:w="0" w:type="auto"/>
            <w:gridSpan w:val="3"/>
            <w:shd w:val="clear" w:color="auto" w:fill="auto"/>
            <w:tcMar>
              <w:top w:w="0" w:type="dxa"/>
              <w:left w:w="20" w:type="dxa"/>
              <w:bottom w:w="0" w:type="dxa"/>
              <w:right w:w="20" w:type="dxa"/>
            </w:tcMar>
          </w:tcPr>
          <w:p w14:paraId="7DD02511"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12"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13" w14:textId="77777777" w:rsidR="00C1563E" w:rsidRDefault="00C1563E">
            <w:pPr>
              <w:rPr>
                <w:rFonts w:ascii="宋体"/>
              </w:rPr>
            </w:pPr>
          </w:p>
        </w:tc>
      </w:tr>
      <w:tr w:rsidR="00C1563E" w14:paraId="7DD02518" w14:textId="77777777">
        <w:tc>
          <w:tcPr>
            <w:tcW w:w="0" w:type="auto"/>
            <w:gridSpan w:val="3"/>
            <w:shd w:val="clear" w:color="auto" w:fill="auto"/>
            <w:tcMar>
              <w:top w:w="40" w:type="dxa"/>
              <w:left w:w="20" w:type="dxa"/>
              <w:bottom w:w="40" w:type="dxa"/>
              <w:right w:w="20" w:type="dxa"/>
            </w:tcMar>
            <w:vAlign w:val="bottom"/>
          </w:tcPr>
          <w:p w14:paraId="7DD02515" w14:textId="77777777" w:rsidR="00C1563E" w:rsidRDefault="000B648B">
            <w:pPr>
              <w:spacing w:before="240"/>
              <w:jc w:val="center"/>
              <w:textAlignment w:val="bottom"/>
            </w:pPr>
            <w:r>
              <w:rPr>
                <w:rFonts w:ascii="Times New Roman" w:eastAsia="宋体" w:hAnsi="Times New Roman"/>
                <w:color w:val="000000"/>
                <w:sz w:val="20"/>
                <w:szCs w:val="20"/>
              </w:rPr>
              <w:t>/s/ BRUNILDA RIOS</w:t>
            </w:r>
          </w:p>
        </w:tc>
        <w:tc>
          <w:tcPr>
            <w:tcW w:w="0" w:type="auto"/>
            <w:gridSpan w:val="3"/>
            <w:shd w:val="clear" w:color="auto" w:fill="auto"/>
            <w:tcMar>
              <w:top w:w="0" w:type="dxa"/>
              <w:left w:w="20" w:type="dxa"/>
              <w:bottom w:w="0" w:type="dxa"/>
              <w:right w:w="20" w:type="dxa"/>
            </w:tcMar>
          </w:tcPr>
          <w:p w14:paraId="7DD02516"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517" w14:textId="77777777" w:rsidR="00C1563E" w:rsidRDefault="000B648B">
            <w:pPr>
              <w:textAlignment w:val="bottom"/>
            </w:pPr>
            <w:r>
              <w:rPr>
                <w:rFonts w:ascii="Times New Roman" w:eastAsia="宋体" w:hAnsi="Times New Roman"/>
                <w:color w:val="000000"/>
                <w:sz w:val="20"/>
                <w:szCs w:val="20"/>
              </w:rPr>
              <w:t>Senior Vice President, Corporate Finance and</w:t>
            </w:r>
          </w:p>
        </w:tc>
      </w:tr>
      <w:tr w:rsidR="00C1563E" w14:paraId="7DD0251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DD02519" w14:textId="77777777" w:rsidR="00C1563E" w:rsidRDefault="000B648B">
            <w:pPr>
              <w:jc w:val="center"/>
              <w:textAlignment w:val="bottom"/>
            </w:pPr>
            <w:r>
              <w:rPr>
                <w:rFonts w:ascii="Times New Roman" w:eastAsia="宋体" w:hAnsi="Times New Roman"/>
                <w:color w:val="000000"/>
                <w:sz w:val="20"/>
                <w:szCs w:val="20"/>
              </w:rPr>
              <w:t>Brunilda Rios</w:t>
            </w:r>
          </w:p>
        </w:tc>
        <w:tc>
          <w:tcPr>
            <w:tcW w:w="0" w:type="auto"/>
            <w:gridSpan w:val="3"/>
            <w:shd w:val="clear" w:color="auto" w:fill="auto"/>
            <w:tcMar>
              <w:top w:w="0" w:type="dxa"/>
              <w:left w:w="20" w:type="dxa"/>
              <w:bottom w:w="0" w:type="dxa"/>
              <w:right w:w="20" w:type="dxa"/>
            </w:tcMar>
          </w:tcPr>
          <w:p w14:paraId="7DD0251A"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51B" w14:textId="77777777" w:rsidR="00C1563E" w:rsidRDefault="000B648B">
            <w:pPr>
              <w:textAlignment w:val="bottom"/>
            </w:pPr>
            <w:r>
              <w:rPr>
                <w:rFonts w:ascii="Times New Roman" w:eastAsia="宋体" w:hAnsi="Times New Roman"/>
                <w:color w:val="000000"/>
                <w:sz w:val="20"/>
                <w:szCs w:val="20"/>
              </w:rPr>
              <w:t>Chief Accounting Officer</w:t>
            </w:r>
          </w:p>
        </w:tc>
      </w:tr>
      <w:tr w:rsidR="00C1563E" w14:paraId="7DD02520" w14:textId="77777777">
        <w:tc>
          <w:tcPr>
            <w:tcW w:w="0" w:type="auto"/>
            <w:gridSpan w:val="3"/>
            <w:shd w:val="clear" w:color="auto" w:fill="auto"/>
            <w:tcMar>
              <w:top w:w="0" w:type="dxa"/>
              <w:left w:w="20" w:type="dxa"/>
              <w:bottom w:w="0" w:type="dxa"/>
              <w:right w:w="20" w:type="dxa"/>
            </w:tcMar>
          </w:tcPr>
          <w:p w14:paraId="7DD0251D" w14:textId="77777777" w:rsidR="00C1563E" w:rsidRDefault="00C1563E">
            <w:pPr>
              <w:rPr>
                <w:rFonts w:ascii="宋体"/>
              </w:rPr>
            </w:pPr>
          </w:p>
        </w:tc>
        <w:tc>
          <w:tcPr>
            <w:tcW w:w="0" w:type="auto"/>
            <w:gridSpan w:val="3"/>
            <w:shd w:val="clear" w:color="auto" w:fill="auto"/>
            <w:tcMar>
              <w:top w:w="0" w:type="dxa"/>
              <w:left w:w="20" w:type="dxa"/>
              <w:bottom w:w="0" w:type="dxa"/>
              <w:right w:w="20" w:type="dxa"/>
            </w:tcMar>
          </w:tcPr>
          <w:p w14:paraId="7DD0251E" w14:textId="77777777" w:rsidR="00C1563E" w:rsidRDefault="00C1563E">
            <w:pPr>
              <w:rPr>
                <w:rFonts w:ascii="宋体"/>
              </w:rPr>
            </w:pPr>
          </w:p>
        </w:tc>
        <w:tc>
          <w:tcPr>
            <w:tcW w:w="0" w:type="auto"/>
            <w:gridSpan w:val="3"/>
            <w:shd w:val="clear" w:color="auto" w:fill="auto"/>
            <w:tcMar>
              <w:top w:w="40" w:type="dxa"/>
              <w:left w:w="20" w:type="dxa"/>
              <w:bottom w:w="40" w:type="dxa"/>
              <w:right w:w="20" w:type="dxa"/>
            </w:tcMar>
            <w:vAlign w:val="bottom"/>
          </w:tcPr>
          <w:p w14:paraId="7DD0251F" w14:textId="77777777" w:rsidR="00C1563E" w:rsidRDefault="000B648B">
            <w:pPr>
              <w:textAlignment w:val="bottom"/>
            </w:pPr>
            <w:r>
              <w:rPr>
                <w:rFonts w:ascii="Times New Roman" w:eastAsia="宋体" w:hAnsi="Times New Roman"/>
                <w:color w:val="000000"/>
                <w:sz w:val="20"/>
                <w:szCs w:val="20"/>
              </w:rPr>
              <w:t xml:space="preserve">(principal </w:t>
            </w:r>
            <w:r>
              <w:rPr>
                <w:rFonts w:ascii="Times New Roman" w:eastAsia="宋体" w:hAnsi="Times New Roman"/>
                <w:color w:val="000000"/>
                <w:sz w:val="20"/>
                <w:szCs w:val="20"/>
              </w:rPr>
              <w:t>accounting officer)</w:t>
            </w:r>
          </w:p>
        </w:tc>
      </w:tr>
    </w:tbl>
    <w:p w14:paraId="7DD02521" w14:textId="77777777" w:rsidR="00C1563E" w:rsidRDefault="00C1563E">
      <w:pPr>
        <w:jc w:val="center"/>
      </w:pPr>
    </w:p>
    <w:p w14:paraId="7DD02522" w14:textId="77777777" w:rsidR="00C1563E" w:rsidRDefault="000B648B">
      <w:pPr>
        <w:jc w:val="center"/>
      </w:pPr>
      <w:r>
        <w:rPr>
          <w:rFonts w:ascii="Times New Roman" w:eastAsia="宋体" w:hAnsi="Times New Roman"/>
          <w:color w:val="000000"/>
          <w:sz w:val="20"/>
          <w:szCs w:val="20"/>
        </w:rPr>
        <w:t>182</w:t>
      </w:r>
    </w:p>
    <w:p w14:paraId="7DD02523" w14:textId="77777777" w:rsidR="00C1563E" w:rsidRDefault="00C1563E">
      <w:pPr>
        <w:jc w:val="center"/>
      </w:pPr>
    </w:p>
    <w:p w14:paraId="7DD02524" w14:textId="77777777" w:rsidR="00C1563E" w:rsidRDefault="000B648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DD02620" wp14:editId="7DD02621">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26" w14:textId="77777777">
        <w:trPr>
          <w:tblCellSpacing w:w="15" w:type="dxa"/>
        </w:trPr>
        <w:tc>
          <w:tcPr>
            <w:tcW w:w="0" w:type="auto"/>
            <w:shd w:val="clear" w:color="auto" w:fill="auto"/>
            <w:vAlign w:val="center"/>
          </w:tcPr>
          <w:p w14:paraId="7DD02525" w14:textId="77777777" w:rsidR="00C1563E" w:rsidRDefault="00C1563E">
            <w:pPr>
              <w:rPr>
                <w:rFonts w:ascii="宋体"/>
              </w:rPr>
            </w:pPr>
          </w:p>
        </w:tc>
      </w:tr>
    </w:tbl>
    <w:p w14:paraId="7DD02527"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29" w14:textId="77777777">
        <w:trPr>
          <w:tblCellSpacing w:w="15" w:type="dxa"/>
        </w:trPr>
        <w:tc>
          <w:tcPr>
            <w:tcW w:w="0" w:type="auto"/>
            <w:shd w:val="clear" w:color="auto" w:fill="auto"/>
            <w:vAlign w:val="center"/>
          </w:tcPr>
          <w:p w14:paraId="7DD02528" w14:textId="77777777" w:rsidR="00C1563E" w:rsidRDefault="00C1563E">
            <w:pPr>
              <w:rPr>
                <w:rFonts w:ascii="宋体"/>
              </w:rPr>
            </w:pPr>
          </w:p>
        </w:tc>
      </w:tr>
    </w:tbl>
    <w:p w14:paraId="7DD0252A"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2C" w14:textId="77777777">
        <w:trPr>
          <w:tblCellSpacing w:w="15" w:type="dxa"/>
        </w:trPr>
        <w:tc>
          <w:tcPr>
            <w:tcW w:w="0" w:type="auto"/>
            <w:shd w:val="clear" w:color="auto" w:fill="auto"/>
            <w:vAlign w:val="center"/>
          </w:tcPr>
          <w:p w14:paraId="7DD0252B" w14:textId="77777777" w:rsidR="00C1563E" w:rsidRDefault="00C1563E">
            <w:pPr>
              <w:rPr>
                <w:rFonts w:ascii="宋体"/>
              </w:rPr>
            </w:pPr>
          </w:p>
        </w:tc>
      </w:tr>
    </w:tbl>
    <w:p w14:paraId="7DD0252D"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2F" w14:textId="77777777">
        <w:trPr>
          <w:tblCellSpacing w:w="15" w:type="dxa"/>
        </w:trPr>
        <w:tc>
          <w:tcPr>
            <w:tcW w:w="0" w:type="auto"/>
            <w:shd w:val="clear" w:color="auto" w:fill="auto"/>
            <w:vAlign w:val="center"/>
          </w:tcPr>
          <w:p w14:paraId="7DD0252E" w14:textId="77777777" w:rsidR="00C1563E" w:rsidRDefault="00C1563E">
            <w:pPr>
              <w:rPr>
                <w:rFonts w:ascii="宋体"/>
              </w:rPr>
            </w:pPr>
          </w:p>
        </w:tc>
      </w:tr>
    </w:tbl>
    <w:p w14:paraId="7DD02530" w14:textId="77777777" w:rsidR="00C1563E" w:rsidRDefault="000B648B">
      <w:r>
        <w:rPr>
          <w:rFonts w:ascii="宋体" w:eastAsia="宋体" w:hAnsi="宋体" w:cs="宋体"/>
        </w:rPr>
        <w:t xml:space="preserve">Previous Next </w:t>
      </w:r>
    </w:p>
    <w:p w14:paraId="7DD02531" w14:textId="77777777" w:rsidR="00C1563E" w:rsidRDefault="000B648B">
      <w:pPr>
        <w:pStyle w:val="a3"/>
      </w:pPr>
      <w:r>
        <w:t>Settings</w:t>
      </w:r>
    </w:p>
    <w:p w14:paraId="7DD02532" w14:textId="77777777" w:rsidR="00C1563E" w:rsidRDefault="000B648B">
      <w:pPr>
        <w:pStyle w:val="Style4"/>
      </w:pPr>
      <w:r>
        <w:t>窗体顶端</w:t>
      </w:r>
    </w:p>
    <w:p w14:paraId="7DD02533" w14:textId="77777777" w:rsidR="00C1563E" w:rsidRDefault="000B648B">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DD02622" wp14:editId="7DD02623">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DD02534" w14:textId="77777777" w:rsidR="00C1563E" w:rsidRDefault="000B648B">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DD02624" wp14:editId="7DD02625">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DD02535" w14:textId="77777777" w:rsidR="00C1563E" w:rsidRDefault="000B648B">
      <w:r>
        <w:pict w14:anchorId="7DD02626">
          <v:rect id="_x0000_i1206" style="width:415.3pt;height:1.5pt" o:hralign="center" o:hrstd="t" o:hr="t" fillcolor="#a0a0a0" stroked="f"/>
        </w:pict>
      </w:r>
    </w:p>
    <w:p w14:paraId="7DD02536" w14:textId="77777777" w:rsidR="00C1563E" w:rsidRDefault="000B648B">
      <w:r>
        <w:rPr>
          <w:rFonts w:ascii="宋体" w:eastAsia="宋体" w:hAnsi="宋体" w:cs="宋体"/>
        </w:rPr>
        <w:t xml:space="preserve">Tagged Data </w:t>
      </w:r>
    </w:p>
    <w:p w14:paraId="7DD02537" w14:textId="77777777" w:rsidR="00C1563E" w:rsidRDefault="000B648B">
      <w:r>
        <w:rPr>
          <w:rFonts w:ascii="monospace" w:eastAsia="monospace" w:hAnsi="monospace" w:cs="monospace"/>
          <w:noProof/>
        </w:rPr>
        <mc:AlternateContent>
          <mc:Choice Requires="wps">
            <w:drawing>
              <wp:inline distT="0" distB="0" distL="114300" distR="114300" wp14:anchorId="7DD02627" wp14:editId="7DD02628">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DD02538" w14:textId="77777777" w:rsidR="00C1563E" w:rsidRDefault="000B648B">
      <w:r>
        <w:rPr>
          <w:rFonts w:ascii="宋体" w:eastAsia="宋体" w:hAnsi="宋体" w:cs="宋体"/>
        </w:rPr>
        <w:t>Save</w:t>
      </w:r>
    </w:p>
    <w:p w14:paraId="7DD02539" w14:textId="77777777" w:rsidR="00C1563E" w:rsidRDefault="000B648B">
      <w:r>
        <w:rPr>
          <w:rFonts w:ascii="宋体" w:eastAsia="宋体" w:hAnsi="宋体" w:cs="宋体"/>
        </w:rPr>
        <w:t>Reset</w:t>
      </w:r>
    </w:p>
    <w:p w14:paraId="7DD0253A" w14:textId="77777777" w:rsidR="00C1563E" w:rsidRDefault="000B648B">
      <w:r>
        <w:pict w14:anchorId="7DD02629">
          <v:rect id="_x0000_i1207" style="width:415.3pt;height:1.5pt" o:hralign="center" o:hrstd="t" o:hr="t" fillcolor="#a0a0a0" stroked="f"/>
        </w:pict>
      </w:r>
    </w:p>
    <w:p w14:paraId="7DD0253B" w14:textId="77777777" w:rsidR="00C1563E" w:rsidRDefault="000B648B">
      <w:r>
        <w:rPr>
          <w:rFonts w:ascii="宋体" w:eastAsia="宋体" w:hAnsi="宋体" w:cs="宋体"/>
        </w:rPr>
        <w:t xml:space="preserve">Search Results </w:t>
      </w:r>
    </w:p>
    <w:p w14:paraId="7DD0253C" w14:textId="77777777" w:rsidR="00C1563E" w:rsidRDefault="000B648B">
      <w:r>
        <w:rPr>
          <w:rFonts w:ascii="monospace" w:eastAsia="monospace" w:hAnsi="monospace" w:cs="monospace"/>
          <w:noProof/>
        </w:rPr>
        <mc:AlternateContent>
          <mc:Choice Requires="wps">
            <w:drawing>
              <wp:inline distT="0" distB="0" distL="114300" distR="114300" wp14:anchorId="7DD0262A" wp14:editId="7DD0262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DD0253D" w14:textId="77777777" w:rsidR="00C1563E" w:rsidRDefault="000B648B">
      <w:r>
        <w:rPr>
          <w:rFonts w:ascii="宋体" w:eastAsia="宋体" w:hAnsi="宋体" w:cs="宋体"/>
        </w:rPr>
        <w:t>Save</w:t>
      </w:r>
    </w:p>
    <w:p w14:paraId="7DD0253E" w14:textId="77777777" w:rsidR="00C1563E" w:rsidRDefault="000B648B">
      <w:r>
        <w:rPr>
          <w:rFonts w:ascii="宋体" w:eastAsia="宋体" w:hAnsi="宋体" w:cs="宋体"/>
        </w:rPr>
        <w:t>Reset</w:t>
      </w:r>
    </w:p>
    <w:p w14:paraId="7DD0253F" w14:textId="77777777" w:rsidR="00C1563E" w:rsidRDefault="000B648B">
      <w:r>
        <w:pict w14:anchorId="7DD0262C">
          <v:rect id="_x0000_i1208" style="width:415.3pt;height:1.5pt" o:hralign="center" o:hrstd="t" o:hr="t" fillcolor="#a0a0a0" stroked="f"/>
        </w:pict>
      </w:r>
    </w:p>
    <w:p w14:paraId="7DD02540" w14:textId="77777777" w:rsidR="00C1563E" w:rsidRDefault="000B648B">
      <w:r>
        <w:rPr>
          <w:rFonts w:ascii="宋体" w:eastAsia="宋体" w:hAnsi="宋体" w:cs="宋体"/>
        </w:rPr>
        <w:t xml:space="preserve">Selected Fact </w:t>
      </w:r>
    </w:p>
    <w:p w14:paraId="7DD02541" w14:textId="77777777" w:rsidR="00C1563E" w:rsidRDefault="000B648B">
      <w:r>
        <w:rPr>
          <w:rFonts w:ascii="monospace" w:eastAsia="monospace" w:hAnsi="monospace" w:cs="monospace"/>
          <w:noProof/>
        </w:rPr>
        <mc:AlternateContent>
          <mc:Choice Requires="wps">
            <w:drawing>
              <wp:inline distT="0" distB="0" distL="114300" distR="114300" wp14:anchorId="7DD0262D" wp14:editId="7DD0262E">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DD02542" w14:textId="77777777" w:rsidR="00C1563E" w:rsidRDefault="000B648B">
      <w:r>
        <w:rPr>
          <w:rFonts w:ascii="宋体" w:eastAsia="宋体" w:hAnsi="宋体" w:cs="宋体"/>
        </w:rPr>
        <w:t>Save</w:t>
      </w:r>
    </w:p>
    <w:p w14:paraId="7DD02543" w14:textId="77777777" w:rsidR="00C1563E" w:rsidRDefault="000B648B">
      <w:r>
        <w:rPr>
          <w:rFonts w:ascii="宋体" w:eastAsia="宋体" w:hAnsi="宋体" w:cs="宋体"/>
        </w:rPr>
        <w:t>Reset</w:t>
      </w:r>
    </w:p>
    <w:p w14:paraId="7DD02544" w14:textId="77777777" w:rsidR="00C1563E" w:rsidRDefault="000B648B">
      <w:r>
        <w:pict w14:anchorId="7DD0262F">
          <v:rect id="_x0000_i1209" style="width:415.3pt;height:1.5pt" o:hralign="center" o:hrstd="t" o:hr="t" fillcolor="#a0a0a0" stroked="f"/>
        </w:pict>
      </w:r>
    </w:p>
    <w:p w14:paraId="7DD02545" w14:textId="77777777" w:rsidR="00C1563E" w:rsidRDefault="000B648B">
      <w:r>
        <w:rPr>
          <w:rFonts w:ascii="宋体" w:eastAsia="宋体" w:hAnsi="宋体" w:cs="宋体"/>
        </w:rPr>
        <w:t xml:space="preserve">Tag Shading (hover) </w:t>
      </w:r>
    </w:p>
    <w:p w14:paraId="7DD02546" w14:textId="77777777" w:rsidR="00C1563E" w:rsidRDefault="000B648B">
      <w:r>
        <w:rPr>
          <w:rFonts w:ascii="monospace" w:eastAsia="monospace" w:hAnsi="monospace" w:cs="monospace"/>
          <w:noProof/>
        </w:rPr>
        <mc:AlternateContent>
          <mc:Choice Requires="wps">
            <w:drawing>
              <wp:inline distT="0" distB="0" distL="114300" distR="114300" wp14:anchorId="7DD02630" wp14:editId="7DD02631">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DD02547" w14:textId="77777777" w:rsidR="00C1563E" w:rsidRDefault="000B648B">
      <w:r>
        <w:rPr>
          <w:rFonts w:ascii="宋体" w:eastAsia="宋体" w:hAnsi="宋体" w:cs="宋体"/>
        </w:rPr>
        <w:t>Save</w:t>
      </w:r>
    </w:p>
    <w:p w14:paraId="7DD02548" w14:textId="77777777" w:rsidR="00C1563E" w:rsidRDefault="000B648B">
      <w:r>
        <w:rPr>
          <w:rFonts w:ascii="宋体" w:eastAsia="宋体" w:hAnsi="宋体" w:cs="宋体"/>
        </w:rPr>
        <w:t>Reset</w:t>
      </w:r>
    </w:p>
    <w:p w14:paraId="7DD02549" w14:textId="77777777" w:rsidR="00C1563E" w:rsidRDefault="000B648B">
      <w:pPr>
        <w:pStyle w:val="Style5"/>
      </w:pPr>
      <w:r>
        <w:t>窗体底端</w:t>
      </w:r>
    </w:p>
    <w:p w14:paraId="7DD0254A" w14:textId="77777777" w:rsidR="00C1563E" w:rsidRDefault="000B648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DD02632" wp14:editId="7DD0263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4C" w14:textId="77777777">
        <w:trPr>
          <w:tblCellSpacing w:w="15" w:type="dxa"/>
        </w:trPr>
        <w:tc>
          <w:tcPr>
            <w:tcW w:w="0" w:type="auto"/>
            <w:shd w:val="clear" w:color="auto" w:fill="auto"/>
            <w:vAlign w:val="center"/>
          </w:tcPr>
          <w:p w14:paraId="7DD0254B" w14:textId="77777777" w:rsidR="00C1563E" w:rsidRDefault="00C1563E">
            <w:pPr>
              <w:rPr>
                <w:rFonts w:ascii="宋体"/>
              </w:rPr>
            </w:pPr>
          </w:p>
        </w:tc>
      </w:tr>
    </w:tbl>
    <w:p w14:paraId="7DD0254D"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4F" w14:textId="77777777">
        <w:trPr>
          <w:tblCellSpacing w:w="15" w:type="dxa"/>
        </w:trPr>
        <w:tc>
          <w:tcPr>
            <w:tcW w:w="0" w:type="auto"/>
            <w:shd w:val="clear" w:color="auto" w:fill="auto"/>
            <w:vAlign w:val="center"/>
          </w:tcPr>
          <w:p w14:paraId="7DD0254E" w14:textId="77777777" w:rsidR="00C1563E" w:rsidRDefault="00C1563E">
            <w:pPr>
              <w:rPr>
                <w:rFonts w:ascii="宋体"/>
              </w:rPr>
            </w:pPr>
          </w:p>
        </w:tc>
      </w:tr>
    </w:tbl>
    <w:p w14:paraId="7DD02550"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52" w14:textId="77777777">
        <w:trPr>
          <w:tblCellSpacing w:w="15" w:type="dxa"/>
        </w:trPr>
        <w:tc>
          <w:tcPr>
            <w:tcW w:w="0" w:type="auto"/>
            <w:shd w:val="clear" w:color="auto" w:fill="auto"/>
            <w:vAlign w:val="center"/>
          </w:tcPr>
          <w:p w14:paraId="7DD02551" w14:textId="77777777" w:rsidR="00C1563E" w:rsidRDefault="00C1563E">
            <w:pPr>
              <w:rPr>
                <w:rFonts w:ascii="宋体"/>
              </w:rPr>
            </w:pPr>
          </w:p>
        </w:tc>
      </w:tr>
    </w:tbl>
    <w:p w14:paraId="7DD02553"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55" w14:textId="77777777">
        <w:trPr>
          <w:tblCellSpacing w:w="15" w:type="dxa"/>
        </w:trPr>
        <w:tc>
          <w:tcPr>
            <w:tcW w:w="0" w:type="auto"/>
            <w:shd w:val="clear" w:color="auto" w:fill="auto"/>
            <w:vAlign w:val="center"/>
          </w:tcPr>
          <w:p w14:paraId="7DD02554" w14:textId="77777777" w:rsidR="00C1563E" w:rsidRDefault="00C1563E">
            <w:pPr>
              <w:rPr>
                <w:rFonts w:ascii="宋体"/>
              </w:rPr>
            </w:pPr>
          </w:p>
        </w:tc>
      </w:tr>
    </w:tbl>
    <w:p w14:paraId="7DD02556" w14:textId="77777777" w:rsidR="00C1563E" w:rsidRDefault="000B648B">
      <w:r>
        <w:rPr>
          <w:rFonts w:ascii="宋体" w:eastAsia="宋体" w:hAnsi="宋体" w:cs="宋体"/>
        </w:rPr>
        <w:t xml:space="preserve">Previous Next </w:t>
      </w:r>
    </w:p>
    <w:p w14:paraId="7DD02557" w14:textId="77777777" w:rsidR="00C1563E" w:rsidRDefault="000B648B">
      <w:pPr>
        <w:pStyle w:val="a3"/>
      </w:pPr>
      <w:r>
        <w:t xml:space="preserve">Nested Facts / </w:t>
      </w:r>
    </w:p>
    <w:p w14:paraId="7DD02558" w14:textId="77777777" w:rsidR="00C1563E" w:rsidRDefault="000B648B">
      <w:r>
        <w:rPr>
          <w:rFonts w:ascii="宋体" w:eastAsia="宋体" w:hAnsi="宋体" w:cs="宋体"/>
        </w:rPr>
        <w:t xml:space="preserve">Previous Next </w:t>
      </w:r>
    </w:p>
    <w:p w14:paraId="7DD02559" w14:textId="77777777" w:rsidR="00C1563E" w:rsidRDefault="000B648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DD02634" wp14:editId="7DD02635">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5B" w14:textId="77777777">
        <w:trPr>
          <w:tblCellSpacing w:w="15" w:type="dxa"/>
        </w:trPr>
        <w:tc>
          <w:tcPr>
            <w:tcW w:w="0" w:type="auto"/>
            <w:shd w:val="clear" w:color="auto" w:fill="auto"/>
            <w:vAlign w:val="center"/>
          </w:tcPr>
          <w:p w14:paraId="7DD0255A" w14:textId="77777777" w:rsidR="00C1563E" w:rsidRDefault="00C1563E">
            <w:pPr>
              <w:rPr>
                <w:rFonts w:ascii="宋体"/>
              </w:rPr>
            </w:pPr>
          </w:p>
        </w:tc>
      </w:tr>
    </w:tbl>
    <w:p w14:paraId="7DD0255C"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5E" w14:textId="77777777">
        <w:trPr>
          <w:tblCellSpacing w:w="15" w:type="dxa"/>
        </w:trPr>
        <w:tc>
          <w:tcPr>
            <w:tcW w:w="0" w:type="auto"/>
            <w:shd w:val="clear" w:color="auto" w:fill="auto"/>
            <w:vAlign w:val="center"/>
          </w:tcPr>
          <w:p w14:paraId="7DD0255D" w14:textId="77777777" w:rsidR="00C1563E" w:rsidRDefault="00C1563E">
            <w:pPr>
              <w:rPr>
                <w:rFonts w:ascii="宋体"/>
              </w:rPr>
            </w:pPr>
          </w:p>
        </w:tc>
      </w:tr>
    </w:tbl>
    <w:p w14:paraId="7DD0255F"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61" w14:textId="77777777">
        <w:trPr>
          <w:tblCellSpacing w:w="15" w:type="dxa"/>
        </w:trPr>
        <w:tc>
          <w:tcPr>
            <w:tcW w:w="0" w:type="auto"/>
            <w:shd w:val="clear" w:color="auto" w:fill="auto"/>
            <w:vAlign w:val="center"/>
          </w:tcPr>
          <w:p w14:paraId="7DD02560" w14:textId="77777777" w:rsidR="00C1563E" w:rsidRDefault="00C1563E">
            <w:pPr>
              <w:rPr>
                <w:rFonts w:ascii="宋体"/>
              </w:rPr>
            </w:pPr>
          </w:p>
        </w:tc>
      </w:tr>
    </w:tbl>
    <w:p w14:paraId="7DD02562" w14:textId="77777777" w:rsidR="00C1563E" w:rsidRDefault="00C156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563E" w14:paraId="7DD02564" w14:textId="77777777">
        <w:trPr>
          <w:tblCellSpacing w:w="15" w:type="dxa"/>
        </w:trPr>
        <w:tc>
          <w:tcPr>
            <w:tcW w:w="0" w:type="auto"/>
            <w:shd w:val="clear" w:color="auto" w:fill="auto"/>
            <w:vAlign w:val="center"/>
          </w:tcPr>
          <w:p w14:paraId="7DD02563" w14:textId="77777777" w:rsidR="00C1563E" w:rsidRDefault="00C1563E">
            <w:pPr>
              <w:rPr>
                <w:rFonts w:ascii="宋体"/>
              </w:rPr>
            </w:pPr>
          </w:p>
        </w:tc>
      </w:tr>
    </w:tbl>
    <w:p w14:paraId="7DD02565" w14:textId="77777777" w:rsidR="00C1563E" w:rsidRDefault="000B648B">
      <w:r>
        <w:rPr>
          <w:rFonts w:ascii="宋体" w:eastAsia="宋体" w:hAnsi="宋体" w:cs="宋体"/>
        </w:rPr>
        <w:t xml:space="preserve">Previous Next </w:t>
      </w:r>
    </w:p>
    <w:p w14:paraId="7DD02566" w14:textId="77777777" w:rsidR="00C1563E" w:rsidRDefault="00C1563E"/>
    <w:sectPr w:rsidR="00C1563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B62C" w14:textId="77777777" w:rsidR="000B648B" w:rsidRDefault="000B648B" w:rsidP="000B648B">
      <w:r>
        <w:separator/>
      </w:r>
    </w:p>
  </w:endnote>
  <w:endnote w:type="continuationSeparator" w:id="0">
    <w:p w14:paraId="5A3219B9" w14:textId="77777777" w:rsidR="000B648B" w:rsidRDefault="000B648B" w:rsidP="000B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2DCA" w14:textId="77777777" w:rsidR="000B648B" w:rsidRDefault="000B648B" w:rsidP="000B648B">
      <w:r>
        <w:separator/>
      </w:r>
    </w:p>
  </w:footnote>
  <w:footnote w:type="continuationSeparator" w:id="0">
    <w:p w14:paraId="321EF340" w14:textId="77777777" w:rsidR="000B648B" w:rsidRDefault="000B648B" w:rsidP="000B6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5FCC43"/>
    <w:rsid w:val="000B648B"/>
    <w:rsid w:val="00C1563E"/>
    <w:rsid w:val="795FC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FCB94"/>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B64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B648B"/>
    <w:rPr>
      <w:rFonts w:asciiTheme="minorEastAsia" w:hAnsiTheme="minorEastAsia" w:cs="Times New Roman"/>
      <w:sz w:val="18"/>
      <w:szCs w:val="18"/>
    </w:rPr>
  </w:style>
  <w:style w:type="paragraph" w:styleId="a8">
    <w:name w:val="footer"/>
    <w:basedOn w:val="a"/>
    <w:link w:val="a9"/>
    <w:rsid w:val="000B648B"/>
    <w:pPr>
      <w:tabs>
        <w:tab w:val="center" w:pos="4153"/>
        <w:tab w:val="right" w:pos="8306"/>
      </w:tabs>
      <w:snapToGrid w:val="0"/>
    </w:pPr>
    <w:rPr>
      <w:sz w:val="18"/>
      <w:szCs w:val="18"/>
    </w:rPr>
  </w:style>
  <w:style w:type="character" w:customStyle="1" w:styleId="a9">
    <w:name w:val="页脚 字符"/>
    <w:basedOn w:val="a0"/>
    <w:link w:val="a8"/>
    <w:rsid w:val="000B648B"/>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1000007/dell-20210129.htm" TargetMode="External"/><Relationship Id="rId21" Type="http://schemas.openxmlformats.org/officeDocument/2006/relationships/hyperlink" Target="https://www.sec.gov/ix?doc=/Archives/edgar/data/0001571996/000157199621000007/dell-20210129.htm" TargetMode="External"/><Relationship Id="rId324" Type="http://schemas.openxmlformats.org/officeDocument/2006/relationships/hyperlink" Target="https://www.sec.gov/ix?doc=/Archives/edgar/data/0001571996/000157199621000007/dell-20210129.htm" TargetMode="External"/><Relationship Id="rId531" Type="http://schemas.openxmlformats.org/officeDocument/2006/relationships/hyperlink" Target="http://www.sec.gov/Archives/edgar/data/1571996/000157199617000004/exhibit1039_020317.htm" TargetMode="External"/><Relationship Id="rId170" Type="http://schemas.openxmlformats.org/officeDocument/2006/relationships/hyperlink" Target="https://www.sec.gov/ix?doc=/Archives/edgar/data/0001571996/000157199621000007/dell-20210129.htm" TargetMode="External"/><Relationship Id="rId268" Type="http://schemas.openxmlformats.org/officeDocument/2006/relationships/hyperlink" Target="https://www.sec.gov/ix?doc=/Archives/edgar/data/0001571996/000157199621000007/dell-20210129.htm" TargetMode="External"/><Relationship Id="rId475" Type="http://schemas.openxmlformats.org/officeDocument/2006/relationships/hyperlink" Target="https://www.sec.gov/Archives/edgar/data/1571996/000119312520102602/d912603dex44.htm" TargetMode="External"/><Relationship Id="rId32" Type="http://schemas.openxmlformats.org/officeDocument/2006/relationships/hyperlink" Target="https://www.sec.gov/ix?doc=/Archives/edgar/data/0001571996/000157199621000007/dell-20210129.htm" TargetMode="External"/><Relationship Id="rId128" Type="http://schemas.openxmlformats.org/officeDocument/2006/relationships/hyperlink" Target="https://www.sec.gov/ix?doc=/Archives/edgar/data/0001571996/000157199621000007/dell-20210129.htm" TargetMode="External"/><Relationship Id="rId335" Type="http://schemas.openxmlformats.org/officeDocument/2006/relationships/hyperlink" Target="https://www.sec.gov/ix?doc=/Archives/edgar/data/0001571996/000157199621000007/dell-20210129.htm" TargetMode="External"/><Relationship Id="rId542" Type="http://schemas.openxmlformats.org/officeDocument/2006/relationships/hyperlink" Target="http://www.sec.gov/Archives/edgar/data/1571996/000157199617000037/exhibit101-secondamendment.htm" TargetMode="External"/><Relationship Id="rId181" Type="http://schemas.openxmlformats.org/officeDocument/2006/relationships/hyperlink" Target="https://www.sec.gov/ix?doc=/Archives/edgar/data/0001571996/000157199621000007/dell-20210129.htm" TargetMode="External"/><Relationship Id="rId402" Type="http://schemas.openxmlformats.org/officeDocument/2006/relationships/hyperlink" Target="http://www.sec.gov/Archives/edgar/data/1571996/000119312516706567/d238698dex46.htm" TargetMode="External"/><Relationship Id="rId279" Type="http://schemas.openxmlformats.org/officeDocument/2006/relationships/hyperlink" Target="https://www.sec.gov/ix?doc=/Archives/edgar/data/0001571996/000157199621000007/dell-20210129.htm" TargetMode="External"/><Relationship Id="rId486" Type="http://schemas.openxmlformats.org/officeDocument/2006/relationships/hyperlink" Target="https://www.sec.gov/Archives/edgar/data/1571996/000157199620000034/exhibit49q1fy21.htm" TargetMode="External"/><Relationship Id="rId43" Type="http://schemas.openxmlformats.org/officeDocument/2006/relationships/hyperlink" Target="https://www.sec.gov/ix?doc=/Archives/edgar/data/0001571996/000157199621000007/dell-20210129.htm" TargetMode="External"/><Relationship Id="rId139" Type="http://schemas.openxmlformats.org/officeDocument/2006/relationships/hyperlink" Target="https://www.sec.gov/ix?doc=/Archives/edgar/data/0001571996/000157199621000007/dell-20210129.htm" TargetMode="External"/><Relationship Id="rId346" Type="http://schemas.openxmlformats.org/officeDocument/2006/relationships/hyperlink" Target="https://www.sec.gov/ix?doc=/Archives/edgar/data/0001571996/000157199621000007/dell-20210129.htm" TargetMode="External"/><Relationship Id="rId553" Type="http://schemas.openxmlformats.org/officeDocument/2006/relationships/hyperlink" Target="http://www.sec.gov/Archives/edgar/data/1571996/000119312518293366/d681091dex1011.htm" TargetMode="External"/><Relationship Id="rId192" Type="http://schemas.openxmlformats.org/officeDocument/2006/relationships/hyperlink" Target="https://www.sec.gov/ix?doc=/Archives/edgar/data/0001571996/000157199621000007/dell-20210129.htm" TargetMode="External"/><Relationship Id="rId206" Type="http://schemas.openxmlformats.org/officeDocument/2006/relationships/hyperlink" Target="https://www.sec.gov/ix?doc=/Archives/edgar/data/0001571996/000157199621000007/dell-20210129.htm" TargetMode="External"/><Relationship Id="rId413" Type="http://schemas.openxmlformats.org/officeDocument/2006/relationships/hyperlink" Target="http://www.sec.gov/Archives/edgar/data/1571996/000157199619000008/exhibit430_020119.htm" TargetMode="External"/><Relationship Id="rId497" Type="http://schemas.openxmlformats.org/officeDocument/2006/relationships/hyperlink" Target="http://www.sec.gov/Archives/edgar/data/1571996/000157199617000004/exhibit103_020317.htm" TargetMode="External"/><Relationship Id="rId620" Type="http://schemas.openxmlformats.org/officeDocument/2006/relationships/hyperlink" Target="https://www.sec.gov/Archives/edgar/data/0001571996/000157199621000007/exhibit312q4fy21.htm" TargetMode="External"/><Relationship Id="rId357" Type="http://schemas.openxmlformats.org/officeDocument/2006/relationships/hyperlink" Target="http://www.sec.gov/Archives/edgar/data/1571996/000119312518360943/d673794dex32.htm" TargetMode="External"/><Relationship Id="rId54" Type="http://schemas.openxmlformats.org/officeDocument/2006/relationships/hyperlink" Target="https://www.sec.gov/ix?doc=/Archives/edgar/data/0001571996/000157199621000007/dell-20210129.htm" TargetMode="External"/><Relationship Id="rId217" Type="http://schemas.openxmlformats.org/officeDocument/2006/relationships/hyperlink" Target="https://www.sec.gov/ix?doc=/Archives/edgar/data/0001571996/000157199621000007/dell-20210129.htm" TargetMode="External"/><Relationship Id="rId564" Type="http://schemas.openxmlformats.org/officeDocument/2006/relationships/hyperlink" Target="http://www.sec.gov/Archives/edgar/data/1571996/000119312518293366/d681091dex1016.htm" TargetMode="External"/><Relationship Id="rId424" Type="http://schemas.openxmlformats.org/officeDocument/2006/relationships/hyperlink" Target="https://www.sec.gov/Archives/edgar/data/1571996/000119312519082281/d708174dex42.htm" TargetMode="External"/><Relationship Id="rId270" Type="http://schemas.openxmlformats.org/officeDocument/2006/relationships/hyperlink" Target="https://www.sec.gov/ix?doc=/Archives/edgar/data/0001571996/000157199621000007/dell-20210129.htm" TargetMode="External"/><Relationship Id="rId65" Type="http://schemas.openxmlformats.org/officeDocument/2006/relationships/hyperlink" Target="https://www.sec.gov/ix?doc=/Archives/edgar/data/0001571996/000157199621000007/dell-20210129.htm" TargetMode="External"/><Relationship Id="rId130" Type="http://schemas.openxmlformats.org/officeDocument/2006/relationships/hyperlink" Target="https://www.sec.gov/ix?doc=/Archives/edgar/data/0001571996/000157199621000007/dell-20210129.htm" TargetMode="External"/><Relationship Id="rId368" Type="http://schemas.openxmlformats.org/officeDocument/2006/relationships/hyperlink" Target="http://www.sec.gov/Archives/edgar/data/826083/000095012311031594/d81054exv4w1.htm" TargetMode="External"/><Relationship Id="rId575" Type="http://schemas.openxmlformats.org/officeDocument/2006/relationships/hyperlink" Target="http://www.sec.gov/Archives/edgar/data/1571996/000119312518293366/d681091dex1021.htm" TargetMode="External"/><Relationship Id="rId228" Type="http://schemas.openxmlformats.org/officeDocument/2006/relationships/hyperlink" Target="https://www.sec.gov/ix?doc=/Archives/edgar/data/0001571996/000157199621000007/dell-20210129.htm" TargetMode="External"/><Relationship Id="rId435" Type="http://schemas.openxmlformats.org/officeDocument/2006/relationships/hyperlink" Target="https://www.sec.gov/Archives/edgar/data/1571996/000119312519082281/d708174dex411.htm" TargetMode="External"/><Relationship Id="rId281" Type="http://schemas.openxmlformats.org/officeDocument/2006/relationships/hyperlink" Target="https://www.sec.gov/ix?doc=/Archives/edgar/data/0001571996/000157199621000007/dell-20210129.htm" TargetMode="External"/><Relationship Id="rId502" Type="http://schemas.openxmlformats.org/officeDocument/2006/relationships/hyperlink" Target="https://www.sec.gov/Archives/edgar/data/1571996/000157199620000034/exhibit101q1fy21.htm" TargetMode="External"/><Relationship Id="rId76" Type="http://schemas.openxmlformats.org/officeDocument/2006/relationships/hyperlink" Target="https://www.sec.gov/ix?doc=/Archives/edgar/data/0001571996/000157199621000007/dell-20210129.htm" TargetMode="External"/><Relationship Id="rId141" Type="http://schemas.openxmlformats.org/officeDocument/2006/relationships/hyperlink" Target="https://www.sec.gov/ix?doc=/Archives/edgar/data/0001571996/000157199621000007/dell-20210129.htm" TargetMode="External"/><Relationship Id="rId379" Type="http://schemas.openxmlformats.org/officeDocument/2006/relationships/hyperlink" Target="http://www.sec.gov/Archives/edgar/data/1571996/000119312516611855/d73946dex421.htm" TargetMode="External"/><Relationship Id="rId586" Type="http://schemas.openxmlformats.org/officeDocument/2006/relationships/hyperlink" Target="http://www.sec.gov/Archives/edgar/data/1571996/000119312518356324/d670019dex101.htm" TargetMode="External"/><Relationship Id="rId7" Type="http://schemas.openxmlformats.org/officeDocument/2006/relationships/hyperlink" Target="https://www.sec.gov/ix?doc=/Archives/edgar/data/0001571996/000157199621000007/dell-20210129.htm" TargetMode="External"/><Relationship Id="rId239" Type="http://schemas.openxmlformats.org/officeDocument/2006/relationships/hyperlink" Target="https://www.sec.gov/ix?doc=/Archives/edgar/data/0001571996/000157199621000007/dell-20210129.htm" TargetMode="External"/><Relationship Id="rId446" Type="http://schemas.openxmlformats.org/officeDocument/2006/relationships/hyperlink" Target="https://www.sec.gov/ix?doc=/Archives/edgar/data/0001571996/000157199621000007/dell-20210129.htm" TargetMode="External"/><Relationship Id="rId292" Type="http://schemas.openxmlformats.org/officeDocument/2006/relationships/hyperlink" Target="https://www.sec.gov/ix?doc=/Archives/edgar/data/0001571996/000157199621000007/dell-20210129.htm" TargetMode="External"/><Relationship Id="rId306" Type="http://schemas.openxmlformats.org/officeDocument/2006/relationships/hyperlink" Target="https://www.sec.gov/ix?doc=/Archives/edgar/data/0001571996/000157199621000007/dell-20210129.htm" TargetMode="External"/><Relationship Id="rId87" Type="http://schemas.openxmlformats.org/officeDocument/2006/relationships/hyperlink" Target="https://www.sec.gov/ix?doc=/Archives/edgar/data/0001571996/000157199621000007/dell-20210129.htm" TargetMode="External"/><Relationship Id="rId513" Type="http://schemas.openxmlformats.org/officeDocument/2006/relationships/hyperlink" Target="http://www.sec.gov/Archives/edgar/data/1571996/000119312516537298/d73946dex1016.htm" TargetMode="External"/><Relationship Id="rId597" Type="http://schemas.openxmlformats.org/officeDocument/2006/relationships/hyperlink" Target="https://www.sec.gov/Archives/edgar/data/1571996/000119312518360943/d673794dex106.htm" TargetMode="External"/><Relationship Id="rId152" Type="http://schemas.openxmlformats.org/officeDocument/2006/relationships/hyperlink" Target="https://www.sec.gov/ix?doc=/Archives/edgar/data/0001571996/000157199621000007/dell-20210129.htm" TargetMode="External"/><Relationship Id="rId457" Type="http://schemas.openxmlformats.org/officeDocument/2006/relationships/hyperlink" Target="https://www.sec.gov/Archives/edgar/data/1571996/000119312520102602/d912603dex42.htm" TargetMode="External"/><Relationship Id="rId14" Type="http://schemas.openxmlformats.org/officeDocument/2006/relationships/hyperlink" Target="https://www.sec.gov/ix?doc=/Archives/edgar/data/0001571996/000157199621000007/dell-20210129.htm" TargetMode="External"/><Relationship Id="rId317" Type="http://schemas.openxmlformats.org/officeDocument/2006/relationships/hyperlink" Target="https://www.sec.gov/ix?doc=/Archives/edgar/data/0001571996/000157199621000007/dell-20210129.htm" TargetMode="External"/><Relationship Id="rId524" Type="http://schemas.openxmlformats.org/officeDocument/2006/relationships/hyperlink" Target="http://www.sec.gov/Archives/edgar/data/1571996/000119312516706567/d238698dex104.htm" TargetMode="External"/><Relationship Id="rId98" Type="http://schemas.openxmlformats.org/officeDocument/2006/relationships/hyperlink" Target="https://www.sec.gov/ix?doc=/Archives/edgar/data/0001571996/000157199621000007/dell-20210129.htm" TargetMode="External"/><Relationship Id="rId163" Type="http://schemas.openxmlformats.org/officeDocument/2006/relationships/hyperlink" Target="https://www.sec.gov/ix?doc=/Archives/edgar/data/0001571996/000157199621000007/dell-20210129.htm" TargetMode="External"/><Relationship Id="rId370" Type="http://schemas.openxmlformats.org/officeDocument/2006/relationships/hyperlink" Target="http://www.sec.gov/Archives/edgar/data/790070/000119312513249454/d548166dex41.htm" TargetMode="External"/><Relationship Id="rId230" Type="http://schemas.openxmlformats.org/officeDocument/2006/relationships/hyperlink" Target="https://www.sec.gov/ix?doc=/Archives/edgar/data/0001571996/000157199621000007/dell-20210129.htm" TargetMode="External"/><Relationship Id="rId468" Type="http://schemas.openxmlformats.org/officeDocument/2006/relationships/hyperlink" Target="https://www.sec.gov/Archives/edgar/data/1571996/000119312520102602/d912603dex43.htm" TargetMode="External"/><Relationship Id="rId25" Type="http://schemas.openxmlformats.org/officeDocument/2006/relationships/hyperlink" Target="https://www.sec.gov/ix?doc=/Archives/edgar/data/0001571996/000157199621000007/dell-20210129.htm" TargetMode="External"/><Relationship Id="rId328" Type="http://schemas.openxmlformats.org/officeDocument/2006/relationships/hyperlink" Target="https://www.sec.gov/ix?doc=/Archives/edgar/data/0001571996/000157199621000007/dell-20210129.htm" TargetMode="External"/><Relationship Id="rId535" Type="http://schemas.openxmlformats.org/officeDocument/2006/relationships/hyperlink" Target="http://www.sec.gov/Archives/edgar/data/1571996/000157199617000004/exhibit1041_020317.htm" TargetMode="External"/><Relationship Id="rId174" Type="http://schemas.openxmlformats.org/officeDocument/2006/relationships/hyperlink" Target="https://www.sec.gov/ix?doc=/Archives/edgar/data/0001571996/000157199621000007/dell-20210129.htm" TargetMode="External"/><Relationship Id="rId381" Type="http://schemas.openxmlformats.org/officeDocument/2006/relationships/hyperlink" Target="http://www.sec.gov/Archives/edgar/data/1571996/000119312516611855/d73946dex423.htm" TargetMode="External"/><Relationship Id="rId602" Type="http://schemas.openxmlformats.org/officeDocument/2006/relationships/hyperlink" Target="https://www.sec.gov/Archives/edgar/data/1571996/000119312519074935/d681612dex101.htm" TargetMode="External"/><Relationship Id="rId241" Type="http://schemas.openxmlformats.org/officeDocument/2006/relationships/hyperlink" Target="https://www.sec.gov/ix?doc=/Archives/edgar/data/0001571996/000157199621000007/dell-20210129.htm" TargetMode="External"/><Relationship Id="rId479" Type="http://schemas.openxmlformats.org/officeDocument/2006/relationships/hyperlink" Target="https://www.sec.gov/Archives/edgar/data/1571996/000119312520102602/d912603dex42.htm" TargetMode="External"/><Relationship Id="rId36" Type="http://schemas.openxmlformats.org/officeDocument/2006/relationships/hyperlink" Target="https://www.sec.gov/ix?doc=/Archives/edgar/data/0001571996/000157199621000007/dell-20210129.htm" TargetMode="External"/><Relationship Id="rId283" Type="http://schemas.openxmlformats.org/officeDocument/2006/relationships/hyperlink" Target="https://www.sec.gov/ix?doc=/Archives/edgar/data/0001571996/000157199621000007/dell-20210129.htm" TargetMode="External"/><Relationship Id="rId339" Type="http://schemas.openxmlformats.org/officeDocument/2006/relationships/hyperlink" Target="https://www.sec.gov/ix?doc=/Archives/edgar/data/0001571996/000157199621000007/dell-20210129.htm" TargetMode="External"/><Relationship Id="rId490" Type="http://schemas.openxmlformats.org/officeDocument/2006/relationships/hyperlink" Target="https://www.sec.gov/Archives/edgar/data/1571996/000157199620000051/exhibit41q3fy21.htm" TargetMode="External"/><Relationship Id="rId504" Type="http://schemas.openxmlformats.org/officeDocument/2006/relationships/hyperlink" Target="http://www.sec.gov/Archives/edgar/data/1571996/000119312516537298/d73946dex106.htm" TargetMode="External"/><Relationship Id="rId546" Type="http://schemas.openxmlformats.org/officeDocument/2006/relationships/hyperlink" Target="http://www.sec.gov/Archives/edgar/data/1571996/000157199618000004/exhibit1047_020218.htm" TargetMode="External"/><Relationship Id="rId78" Type="http://schemas.openxmlformats.org/officeDocument/2006/relationships/hyperlink" Target="https://www.sec.gov/ix?doc=/Archives/edgar/data/0001571996/000157199621000007/dell-20210129.htm" TargetMode="External"/><Relationship Id="rId101" Type="http://schemas.openxmlformats.org/officeDocument/2006/relationships/hyperlink" Target="https://www.sec.gov/ix?doc=/Archives/edgar/data/0001571996/000157199621000007/dell-20210129.htm" TargetMode="External"/><Relationship Id="rId143" Type="http://schemas.openxmlformats.org/officeDocument/2006/relationships/hyperlink" Target="https://www.sec.gov/ix?doc=/Archives/edgar/data/0001571996/000157199621000007/dell-20210129.htm" TargetMode="External"/><Relationship Id="rId185" Type="http://schemas.openxmlformats.org/officeDocument/2006/relationships/hyperlink" Target="https://www.sec.gov/ix?doc=/Archives/edgar/data/0001571996/000157199621000007/dell-20210129.htm" TargetMode="External"/><Relationship Id="rId350" Type="http://schemas.openxmlformats.org/officeDocument/2006/relationships/hyperlink" Target="https://www.sec.gov/ix?doc=/Archives/edgar/data/0001571996/000157199621000007/dell-20210129.htm" TargetMode="External"/><Relationship Id="rId406" Type="http://schemas.openxmlformats.org/officeDocument/2006/relationships/hyperlink" Target="http://www.sec.gov/Archives/edgar/data/1571996/000119312516706567/d238698dex48.htm" TargetMode="External"/><Relationship Id="rId588" Type="http://schemas.openxmlformats.org/officeDocument/2006/relationships/hyperlink" Target="https://www.sec.gov/Archives/edgar/data/1571996/000119312518360943/d673794dex101.htm" TargetMode="External"/><Relationship Id="rId9" Type="http://schemas.openxmlformats.org/officeDocument/2006/relationships/hyperlink" Target="https://www.sec.gov/ix?doc=/Archives/edgar/data/0001571996/000157199621000007/dell-20210129.htm" TargetMode="External"/><Relationship Id="rId210" Type="http://schemas.openxmlformats.org/officeDocument/2006/relationships/hyperlink" Target="https://www.sec.gov/ix?doc=/Archives/edgar/data/0001571996/000157199621000007/dell-20210129.htm" TargetMode="External"/><Relationship Id="rId392" Type="http://schemas.openxmlformats.org/officeDocument/2006/relationships/hyperlink" Target="http://www.sec.gov/Archives/edgar/data/1571996/000119312516706567/d238698dex42.htm" TargetMode="External"/><Relationship Id="rId448" Type="http://schemas.openxmlformats.org/officeDocument/2006/relationships/hyperlink" Target="https://www.sec.gov/Archives/edgar/data/1571996/000119312520102602/d912603dex41.htm" TargetMode="External"/><Relationship Id="rId613" Type="http://schemas.openxmlformats.org/officeDocument/2006/relationships/hyperlink" Target="https://www.sec.gov/Archives/edgar/data/0001571996/000157199621000007/exhibit211q4fy21.htm" TargetMode="External"/><Relationship Id="rId252" Type="http://schemas.openxmlformats.org/officeDocument/2006/relationships/hyperlink" Target="https://www.sec.gov/ix?doc=/Archives/edgar/data/0001571996/000157199621000007/dell-20210129.htm" TargetMode="External"/><Relationship Id="rId294" Type="http://schemas.openxmlformats.org/officeDocument/2006/relationships/hyperlink" Target="https://www.sec.gov/ix?doc=/Archives/edgar/data/0001571996/000157199621000007/dell-20210129.htm" TargetMode="External"/><Relationship Id="rId308" Type="http://schemas.openxmlformats.org/officeDocument/2006/relationships/hyperlink" Target="https://www.sec.gov/ix?doc=/Archives/edgar/data/0001571996/000157199621000007/dell-20210129.htm" TargetMode="External"/><Relationship Id="rId515" Type="http://schemas.openxmlformats.org/officeDocument/2006/relationships/hyperlink" Target="http://www.sec.gov/Archives/edgar/data/1571996/000157199617000004/exhibit1026_020317.htm" TargetMode="External"/><Relationship Id="rId47" Type="http://schemas.openxmlformats.org/officeDocument/2006/relationships/hyperlink" Target="https://www.sec.gov/ix?doc=/Archives/edgar/data/0001571996/000157199621000007/dell-20210129.htm" TargetMode="External"/><Relationship Id="rId89" Type="http://schemas.openxmlformats.org/officeDocument/2006/relationships/hyperlink" Target="https://www.sec.gov/ix?doc=/Archives/edgar/data/0001571996/000157199621000007/dell-20210129.htm" TargetMode="External"/><Relationship Id="rId112" Type="http://schemas.openxmlformats.org/officeDocument/2006/relationships/hyperlink" Target="https://www.sec.gov/ix?doc=/Archives/edgar/data/0001571996/000157199621000007/dell-20210129.htm" TargetMode="External"/><Relationship Id="rId154" Type="http://schemas.openxmlformats.org/officeDocument/2006/relationships/hyperlink" Target="https://www.sec.gov/ix?doc=/Archives/edgar/data/0001571996/000157199621000007/dell-20210129.htm" TargetMode="External"/><Relationship Id="rId361" Type="http://schemas.openxmlformats.org/officeDocument/2006/relationships/hyperlink" Target="http://www.sec.gov/Archives/edgar/data/826083/000095013408006801/d55879exv4w1.htm" TargetMode="External"/><Relationship Id="rId557" Type="http://schemas.openxmlformats.org/officeDocument/2006/relationships/hyperlink" Target="http://www.sec.gov/Archives/edgar/data/1571996/000119312518293366/d681091dex1013.htm" TargetMode="External"/><Relationship Id="rId599" Type="http://schemas.openxmlformats.org/officeDocument/2006/relationships/hyperlink" Target="https://www.sec.gov/Archives/edgar/data/1571996/000119312518360943/d673794dex107.htm" TargetMode="External"/><Relationship Id="rId196" Type="http://schemas.openxmlformats.org/officeDocument/2006/relationships/hyperlink" Target="https://www.sec.gov/ix?doc=/Archives/edgar/data/0001571996/000157199621000007/dell-20210129.htm" TargetMode="External"/><Relationship Id="rId417" Type="http://schemas.openxmlformats.org/officeDocument/2006/relationships/hyperlink" Target="https://www.sec.gov/ix?doc=/Archives/edgar/data/0001571996/000157199621000007/dell-20210129.htm" TargetMode="External"/><Relationship Id="rId459" Type="http://schemas.openxmlformats.org/officeDocument/2006/relationships/hyperlink" Target="https://www.sec.gov/Archives/edgar/data/1571996/000119312520102602/d912603dex42.htm" TargetMode="External"/><Relationship Id="rId624" Type="http://schemas.openxmlformats.org/officeDocument/2006/relationships/hyperlink" Target="https://www.sec.gov/ix?doc=/Archives/edgar/data/0001571996/000157199621000007/dell-20210129.htm" TargetMode="External"/><Relationship Id="rId16" Type="http://schemas.openxmlformats.org/officeDocument/2006/relationships/hyperlink" Target="https://www.sec.gov/ix?doc=/Archives/edgar/data/0001571996/000157199621000007/dell-20210129.htm" TargetMode="External"/><Relationship Id="rId221" Type="http://schemas.openxmlformats.org/officeDocument/2006/relationships/hyperlink" Target="https://www.sec.gov/ix?doc=/Archives/edgar/data/0001571996/000157199621000007/dell-20210129.htm" TargetMode="External"/><Relationship Id="rId263" Type="http://schemas.openxmlformats.org/officeDocument/2006/relationships/hyperlink" Target="https://www.sec.gov/ix?doc=/Archives/edgar/data/0001571996/000157199621000007/dell-20210129.htm" TargetMode="External"/><Relationship Id="rId319" Type="http://schemas.openxmlformats.org/officeDocument/2006/relationships/hyperlink" Target="https://www.sec.gov/ix?doc=/Archives/edgar/data/0001571996/000157199621000007/dell-20210129.htm" TargetMode="External"/><Relationship Id="rId470" Type="http://schemas.openxmlformats.org/officeDocument/2006/relationships/hyperlink" Target="https://www.sec.gov/Archives/edgar/data/1571996/000119312520102602/d912603dex44.htm" TargetMode="External"/><Relationship Id="rId526" Type="http://schemas.openxmlformats.org/officeDocument/2006/relationships/hyperlink" Target="http://www.sec.gov/Archives/edgar/data/1571996/000157199616000021/exhibit105_102816.htm" TargetMode="External"/><Relationship Id="rId58" Type="http://schemas.openxmlformats.org/officeDocument/2006/relationships/hyperlink" Target="https://www.sec.gov/ix?doc=/Archives/edgar/data/0001571996/000157199621000007/dell-20210129.htm" TargetMode="External"/><Relationship Id="rId123" Type="http://schemas.openxmlformats.org/officeDocument/2006/relationships/hyperlink" Target="https://www.sec.gov/ix?doc=/Archives/edgar/data/0001571996/000157199621000007/dell-20210129.htm" TargetMode="External"/><Relationship Id="rId330" Type="http://schemas.openxmlformats.org/officeDocument/2006/relationships/hyperlink" Target="https://www.sec.gov/ix?doc=/Archives/edgar/data/0001571996/000157199621000007/dell-20210129.htm" TargetMode="External"/><Relationship Id="rId568" Type="http://schemas.openxmlformats.org/officeDocument/2006/relationships/hyperlink" Target="http://www.sec.gov/Archives/edgar/data/1571996/000119312518293366/d681091dex1018.htm" TargetMode="External"/><Relationship Id="rId165" Type="http://schemas.openxmlformats.org/officeDocument/2006/relationships/hyperlink" Target="https://www.sec.gov/ix?doc=/Archives/edgar/data/0001571996/000157199621000007/dell-20210129.htm" TargetMode="External"/><Relationship Id="rId372" Type="http://schemas.openxmlformats.org/officeDocument/2006/relationships/hyperlink" Target="http://www.sec.gov/Archives/edgar/data/1571996/000119312516611855/d73946dex414.htm" TargetMode="External"/><Relationship Id="rId428" Type="http://schemas.openxmlformats.org/officeDocument/2006/relationships/hyperlink" Target="https://www.sec.gov/Archives/edgar/data/1571996/000119312519082281/d708174dex44.htm" TargetMode="External"/><Relationship Id="rId232" Type="http://schemas.openxmlformats.org/officeDocument/2006/relationships/hyperlink" Target="https://www.sec.gov/ix?doc=/Archives/edgar/data/0001571996/000157199621000007/dell-20210129.htm" TargetMode="External"/><Relationship Id="rId274" Type="http://schemas.openxmlformats.org/officeDocument/2006/relationships/hyperlink" Target="https://www.sec.gov/ix?doc=/Archives/edgar/data/0001571996/000157199621000007/dell-20210129.htm" TargetMode="External"/><Relationship Id="rId481" Type="http://schemas.openxmlformats.org/officeDocument/2006/relationships/hyperlink" Target="https://www.sec.gov/Archives/edgar/data/1571996/000119312520102602/d912603dex43.htm" TargetMode="External"/><Relationship Id="rId27" Type="http://schemas.openxmlformats.org/officeDocument/2006/relationships/hyperlink" Target="https://www.sec.gov/ix?doc=/Archives/edgar/data/0001571996/000157199621000007/dell-20210129.htm" TargetMode="External"/><Relationship Id="rId69" Type="http://schemas.openxmlformats.org/officeDocument/2006/relationships/hyperlink" Target="https://www.sec.gov/ix?doc=/Archives/edgar/data/0001571996/000157199621000007/dell-20210129.htm" TargetMode="External"/><Relationship Id="rId134" Type="http://schemas.openxmlformats.org/officeDocument/2006/relationships/hyperlink" Target="https://www.sec.gov/ix?doc=/Archives/edgar/data/0001571996/000157199621000007/dell-20210129.htm" TargetMode="External"/><Relationship Id="rId537" Type="http://schemas.openxmlformats.org/officeDocument/2006/relationships/hyperlink" Target="http://www.sec.gov/Archives/edgar/data/1571996/000157199617000004/exhibit1042_020317.htm" TargetMode="External"/><Relationship Id="rId579" Type="http://schemas.openxmlformats.org/officeDocument/2006/relationships/hyperlink" Target="https://www.sec.gov/Archives/edgar/data/1571996/000157199620000051/exhibit101q3fy21.htm" TargetMode="External"/><Relationship Id="rId80" Type="http://schemas.openxmlformats.org/officeDocument/2006/relationships/hyperlink" Target="https://www.sec.gov/ix?doc=/Archives/edgar/data/0001571996/000157199621000007/dell-20210129.htm" TargetMode="External"/><Relationship Id="rId176" Type="http://schemas.openxmlformats.org/officeDocument/2006/relationships/hyperlink" Target="https://www.sec.gov/ix?doc=/Archives/edgar/data/0001571996/000157199621000007/dell-20210129.htm" TargetMode="External"/><Relationship Id="rId341" Type="http://schemas.openxmlformats.org/officeDocument/2006/relationships/hyperlink" Target="https://www.sec.gov/ix?doc=/Archives/edgar/data/0001571996/000157199621000007/dell-20210129.htm" TargetMode="External"/><Relationship Id="rId383" Type="http://schemas.openxmlformats.org/officeDocument/2006/relationships/hyperlink" Target="http://www.sec.gov/Archives/edgar/data/1571996/000119312516611855/d73946dex425.htm" TargetMode="External"/><Relationship Id="rId439" Type="http://schemas.openxmlformats.org/officeDocument/2006/relationships/hyperlink" Target="https://www.sec.gov/Archives/edgar/data/1571996/000119312518360943/d673794dex104.htm" TargetMode="External"/><Relationship Id="rId590" Type="http://schemas.openxmlformats.org/officeDocument/2006/relationships/hyperlink" Target="https://www.sec.gov/Archives/edgar/data/1571996/000119312518360943/d673794dex102.htm" TargetMode="External"/><Relationship Id="rId604" Type="http://schemas.openxmlformats.org/officeDocument/2006/relationships/hyperlink" Target="https://www.sec.gov/Archives/edgar/data/1571996/000157199619000005/exhibit101formofrsu.htm" TargetMode="External"/><Relationship Id="rId201" Type="http://schemas.openxmlformats.org/officeDocument/2006/relationships/hyperlink" Target="https://www.sec.gov/ix?doc=/Archives/edgar/data/0001571996/000157199621000007/dell-20210129.htm" TargetMode="External"/><Relationship Id="rId243" Type="http://schemas.openxmlformats.org/officeDocument/2006/relationships/hyperlink" Target="https://www.sec.gov/ix?doc=/Archives/edgar/data/0001571996/000157199621000007/dell-20210129.htm" TargetMode="External"/><Relationship Id="rId285" Type="http://schemas.openxmlformats.org/officeDocument/2006/relationships/hyperlink" Target="https://www.sec.gov/ix?doc=/Archives/edgar/data/0001571996/000157199621000007/dell-20210129.htm" TargetMode="External"/><Relationship Id="rId450" Type="http://schemas.openxmlformats.org/officeDocument/2006/relationships/hyperlink" Target="https://www.sec.gov/Archives/edgar/data/1571996/000119312520102602/d912603dex41.htm" TargetMode="External"/><Relationship Id="rId506" Type="http://schemas.openxmlformats.org/officeDocument/2006/relationships/hyperlink" Target="http://www.sec.gov/Archives/edgar/data/1571996/000119312516537298/d73946dex107.htm" TargetMode="External"/><Relationship Id="rId38" Type="http://schemas.openxmlformats.org/officeDocument/2006/relationships/hyperlink" Target="https://www.sec.gov/ix?doc=/Archives/edgar/data/0001571996/000157199621000007/dell-20210129.htm" TargetMode="External"/><Relationship Id="rId103" Type="http://schemas.openxmlformats.org/officeDocument/2006/relationships/hyperlink" Target="https://www.sec.gov/ix?doc=/Archives/edgar/data/0001571996/000157199621000007/dell-20210129.htm" TargetMode="External"/><Relationship Id="rId310" Type="http://schemas.openxmlformats.org/officeDocument/2006/relationships/hyperlink" Target="https://www.sec.gov/ix?doc=/Archives/edgar/data/0001571996/000157199621000007/dell-20210129.htm" TargetMode="External"/><Relationship Id="rId492" Type="http://schemas.openxmlformats.org/officeDocument/2006/relationships/hyperlink" Target="https://www.sec.gov/Archives/edgar/data/0001571996/000157199621000007/exhibit452fy21.htm" TargetMode="External"/><Relationship Id="rId548" Type="http://schemas.openxmlformats.org/officeDocument/2006/relationships/hyperlink" Target="http://www.sec.gov/Archives/edgar/data/1571996/000157199618000004/exhibit1049_020218.htm" TargetMode="External"/><Relationship Id="rId91" Type="http://schemas.openxmlformats.org/officeDocument/2006/relationships/hyperlink" Target="https://www.sec.gov/ix?doc=/Archives/edgar/data/0001571996/000157199621000007/dell-20210129.htm" TargetMode="External"/><Relationship Id="rId145" Type="http://schemas.openxmlformats.org/officeDocument/2006/relationships/hyperlink" Target="https://www.sec.gov/ix?doc=/Archives/edgar/data/0001571996/000157199621000007/dell-20210129.htm" TargetMode="External"/><Relationship Id="rId187" Type="http://schemas.openxmlformats.org/officeDocument/2006/relationships/hyperlink" Target="https://www.sec.gov/ix?doc=/Archives/edgar/data/0001571996/000157199621000007/dell-20210129.htm" TargetMode="External"/><Relationship Id="rId352" Type="http://schemas.openxmlformats.org/officeDocument/2006/relationships/hyperlink" Target="https://www.sec.gov/ix?doc=/Archives/edgar/data/0001571996/000157199621000007/dell-20210129.htm" TargetMode="External"/><Relationship Id="rId394" Type="http://schemas.openxmlformats.org/officeDocument/2006/relationships/hyperlink" Target="https://www.sec.gov/ix?doc=/Archives/edgar/data/0001571996/000157199621000007/dell-20210129.htm" TargetMode="External"/><Relationship Id="rId408" Type="http://schemas.openxmlformats.org/officeDocument/2006/relationships/hyperlink" Target="http://www.sec.gov/Archives/edgar/data/1571996/000119312516706567/d238698dex49.htm" TargetMode="External"/><Relationship Id="rId615" Type="http://schemas.openxmlformats.org/officeDocument/2006/relationships/hyperlink" Target="https://www.sec.gov/Archives/edgar/data/0001571996/000157199621000007/exhibit231fy21.htm" TargetMode="External"/><Relationship Id="rId212" Type="http://schemas.openxmlformats.org/officeDocument/2006/relationships/hyperlink" Target="https://www.sec.gov/ix?doc=/Archives/edgar/data/0001571996/000157199621000007/dell-20210129.htm" TargetMode="External"/><Relationship Id="rId254" Type="http://schemas.openxmlformats.org/officeDocument/2006/relationships/hyperlink" Target="https://www.sec.gov/ix?doc=/Archives/edgar/data/0001571996/000157199621000007/dell-20210129.htm" TargetMode="External"/><Relationship Id="rId49" Type="http://schemas.openxmlformats.org/officeDocument/2006/relationships/hyperlink" Target="https://www.sec.gov/ix?doc=/Archives/edgar/data/0001571996/000157199621000007/dell-20210129.htm" TargetMode="External"/><Relationship Id="rId114" Type="http://schemas.openxmlformats.org/officeDocument/2006/relationships/hyperlink" Target="https://www.sec.gov/ix?doc=/Archives/edgar/data/0001571996/000157199621000007/dell-20210129.htm" TargetMode="External"/><Relationship Id="rId296" Type="http://schemas.openxmlformats.org/officeDocument/2006/relationships/hyperlink" Target="https://www.sec.gov/ix?doc=/Archives/edgar/data/0001571996/000157199621000007/dell-20210129.htm" TargetMode="External"/><Relationship Id="rId461" Type="http://schemas.openxmlformats.org/officeDocument/2006/relationships/hyperlink" Target="https://www.sec.gov/Archives/edgar/data/1571996/000119312520102602/d912603dex42.htm" TargetMode="External"/><Relationship Id="rId517" Type="http://schemas.openxmlformats.org/officeDocument/2006/relationships/hyperlink" Target="http://www.sec.gov/Archives/edgar/data/1124610/000112461018000012/vmw-222018x10kex101.htm" TargetMode="External"/><Relationship Id="rId559" Type="http://schemas.openxmlformats.org/officeDocument/2006/relationships/hyperlink" Target="http://www.sec.gov/Archives/edgar/data/1571996/000119312518293366/d681091dex1014.htm" TargetMode="External"/><Relationship Id="rId60" Type="http://schemas.openxmlformats.org/officeDocument/2006/relationships/hyperlink" Target="https://www.sec.gov/ix?doc=/Archives/edgar/data/0001571996/000157199621000007/dell-20210129.htm" TargetMode="External"/><Relationship Id="rId156" Type="http://schemas.openxmlformats.org/officeDocument/2006/relationships/hyperlink" Target="https://www.sec.gov/ix?doc=/Archives/edgar/data/0001571996/000157199621000007/dell-20210129.htm" TargetMode="External"/><Relationship Id="rId198" Type="http://schemas.openxmlformats.org/officeDocument/2006/relationships/hyperlink" Target="https://www.sec.gov/ix?doc=/Archives/edgar/data/0001571996/000157199621000007/dell-20210129.htm" TargetMode="External"/><Relationship Id="rId321" Type="http://schemas.openxmlformats.org/officeDocument/2006/relationships/hyperlink" Target="https://www.sec.gov/ix?doc=/Archives/edgar/data/0001571996/000157199621000007/dell-20210129.htm" TargetMode="External"/><Relationship Id="rId363" Type="http://schemas.openxmlformats.org/officeDocument/2006/relationships/hyperlink" Target="https://www.sec.gov/ix?doc=/Archives/edgar/data/0001571996/000157199621000007/dell-20210129.htm" TargetMode="External"/><Relationship Id="rId419" Type="http://schemas.openxmlformats.org/officeDocument/2006/relationships/hyperlink" Target="http://www.sec.gov/Archives/edgar/data/1571996/000157199619000008/exhibit432_020119.htm" TargetMode="External"/><Relationship Id="rId570" Type="http://schemas.openxmlformats.org/officeDocument/2006/relationships/hyperlink" Target="http://www.sec.gov/Archives/edgar/data/1571996/000119312518293366/d681091dex1019.htm" TargetMode="External"/><Relationship Id="rId626" Type="http://schemas.openxmlformats.org/officeDocument/2006/relationships/theme" Target="theme/theme1.xml"/><Relationship Id="rId223" Type="http://schemas.openxmlformats.org/officeDocument/2006/relationships/hyperlink" Target="https://www.sec.gov/ix?doc=/Archives/edgar/data/0001571996/000157199621000007/dell-20210129.htm" TargetMode="External"/><Relationship Id="rId430" Type="http://schemas.openxmlformats.org/officeDocument/2006/relationships/hyperlink" Target="https://www.sec.gov/Archives/edgar/data/1571996/000119312519082281/d708174dex45.htm" TargetMode="External"/><Relationship Id="rId18" Type="http://schemas.openxmlformats.org/officeDocument/2006/relationships/hyperlink" Target="https://www.sec.gov/ix?doc=/Archives/edgar/data/0001571996/000157199621000007/dell-20210129.htm" TargetMode="External"/><Relationship Id="rId265" Type="http://schemas.openxmlformats.org/officeDocument/2006/relationships/hyperlink" Target="https://www.sec.gov/ix?doc=/Archives/edgar/data/0001571996/000157199621000007/dell-20210129.htm" TargetMode="External"/><Relationship Id="rId472" Type="http://schemas.openxmlformats.org/officeDocument/2006/relationships/hyperlink" Target="https://www.sec.gov/Archives/edgar/data/1571996/000119312520102602/d912603dex44.htm" TargetMode="External"/><Relationship Id="rId528" Type="http://schemas.openxmlformats.org/officeDocument/2006/relationships/hyperlink" Target="http://www.sec.gov/Archives/edgar/data/1571996/000157199617000004/exhibit1038_020317.htm" TargetMode="External"/><Relationship Id="rId125" Type="http://schemas.openxmlformats.org/officeDocument/2006/relationships/hyperlink" Target="https://www.sec.gov/ix?doc=/Archives/edgar/data/0001571996/000157199621000007/dell-20210129.htm" TargetMode="External"/><Relationship Id="rId167" Type="http://schemas.openxmlformats.org/officeDocument/2006/relationships/hyperlink" Target="https://www.sec.gov/ix?doc=/Archives/edgar/data/0001571996/000157199621000007/dell-20210129.htm" TargetMode="External"/><Relationship Id="rId332" Type="http://schemas.openxmlformats.org/officeDocument/2006/relationships/hyperlink" Target="https://www.sec.gov/ix?doc=/Archives/edgar/data/0001571996/000157199621000007/dell-20210129.htm" TargetMode="External"/><Relationship Id="rId374" Type="http://schemas.openxmlformats.org/officeDocument/2006/relationships/hyperlink" Target="http://www.sec.gov/Archives/edgar/data/1571996/000119312516611855/d73946dex417.htm" TargetMode="External"/><Relationship Id="rId581" Type="http://schemas.openxmlformats.org/officeDocument/2006/relationships/hyperlink" Target="http://www.sec.gov/Archives/edgar/data/1571996/000119312518210339/d880259dex102.htm" TargetMode="External"/><Relationship Id="rId71" Type="http://schemas.openxmlformats.org/officeDocument/2006/relationships/hyperlink" Target="https://www.sec.gov/ix?doc=/Archives/edgar/data/0001571996/000157199621000007/dell-20210129.htm" TargetMode="External"/><Relationship Id="rId234" Type="http://schemas.openxmlformats.org/officeDocument/2006/relationships/hyperlink" Target="https://www.sec.gov/ix?doc=/Archives/edgar/data/0001571996/000157199621000007/dell-20210129.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1000007/dell-20210129.htm" TargetMode="External"/><Relationship Id="rId276" Type="http://schemas.openxmlformats.org/officeDocument/2006/relationships/hyperlink" Target="https://www.sec.gov/ix?doc=/Archives/edgar/data/0001571996/000157199621000007/dell-20210129.htm" TargetMode="External"/><Relationship Id="rId441" Type="http://schemas.openxmlformats.org/officeDocument/2006/relationships/hyperlink" Target="https://www.sec.gov/Archives/edgar/data/1571996/000157199620000017/exhibit440fy20.htm" TargetMode="External"/><Relationship Id="rId483" Type="http://schemas.openxmlformats.org/officeDocument/2006/relationships/hyperlink" Target="https://www.sec.gov/Archives/edgar/data/1571996/000119312520102602/d912603dex44.htm" TargetMode="External"/><Relationship Id="rId539" Type="http://schemas.openxmlformats.org/officeDocument/2006/relationships/hyperlink" Target="http://www.sec.gov/Archives/edgar/data/1571996/000119312517076981/d325592dex101.htm" TargetMode="External"/><Relationship Id="rId40" Type="http://schemas.openxmlformats.org/officeDocument/2006/relationships/hyperlink" Target="https://www.sec.gov/ix?doc=/Archives/edgar/data/0001571996/000157199621000007/dell-20210129.htm" TargetMode="External"/><Relationship Id="rId136" Type="http://schemas.openxmlformats.org/officeDocument/2006/relationships/hyperlink" Target="https://www.sec.gov/ix?doc=/Archives/edgar/data/0001571996/000157199621000007/dell-20210129.htm" TargetMode="External"/><Relationship Id="rId178" Type="http://schemas.openxmlformats.org/officeDocument/2006/relationships/hyperlink" Target="https://www.sec.gov/ix?doc=/Archives/edgar/data/0001571996/000157199621000007/dell-20210129.htm" TargetMode="External"/><Relationship Id="rId301" Type="http://schemas.openxmlformats.org/officeDocument/2006/relationships/hyperlink" Target="https://www.sec.gov/ix?doc=/Archives/edgar/data/0001571996/000157199621000007/dell-20210129.htm" TargetMode="External"/><Relationship Id="rId343" Type="http://schemas.openxmlformats.org/officeDocument/2006/relationships/hyperlink" Target="https://www.sec.gov/ix?doc=/Archives/edgar/data/0001571996/000157199621000007/dell-20210129.htm" TargetMode="External"/><Relationship Id="rId550" Type="http://schemas.openxmlformats.org/officeDocument/2006/relationships/hyperlink" Target="http://www.sec.gov/Archives/edgar/data/1571996/000157199618000004/exhibit1051_020218.htm" TargetMode="External"/><Relationship Id="rId82" Type="http://schemas.openxmlformats.org/officeDocument/2006/relationships/hyperlink" Target="https://www.sec.gov/ix?doc=/Archives/edgar/data/0001571996/000157199621000007/dell-20210129.htm" TargetMode="External"/><Relationship Id="rId203" Type="http://schemas.openxmlformats.org/officeDocument/2006/relationships/hyperlink" Target="https://www.sec.gov/ix?doc=/Archives/edgar/data/0001571996/000157199621000007/dell-20210129.htm" TargetMode="External"/><Relationship Id="rId385" Type="http://schemas.openxmlformats.org/officeDocument/2006/relationships/hyperlink" Target="http://www.sec.gov/Archives/edgar/data/1571996/000119312516629055/d214451dex41.htm" TargetMode="External"/><Relationship Id="rId592" Type="http://schemas.openxmlformats.org/officeDocument/2006/relationships/hyperlink" Target="https://www.sec.gov/ix?doc=/Archives/edgar/data/0001571996/000157199621000007/dell-20210129.htm" TargetMode="External"/><Relationship Id="rId606" Type="http://schemas.openxmlformats.org/officeDocument/2006/relationships/hyperlink" Target="https://www.sec.gov/Archives/edgar/data/1571996/000157199619000005/exhibit102formofprsu.htm" TargetMode="External"/><Relationship Id="rId245" Type="http://schemas.openxmlformats.org/officeDocument/2006/relationships/hyperlink" Target="https://www.sec.gov/ix?doc=/Archives/edgar/data/0001571996/000157199621000007/dell-20210129.htm" TargetMode="External"/><Relationship Id="rId287" Type="http://schemas.openxmlformats.org/officeDocument/2006/relationships/hyperlink" Target="https://www.sec.gov/ix?doc=/Archives/edgar/data/0001571996/000157199621000007/dell-20210129.htm" TargetMode="External"/><Relationship Id="rId410" Type="http://schemas.openxmlformats.org/officeDocument/2006/relationships/hyperlink" Target="http://www.sec.gov/Archives/edgar/data/1571996/000119312516706567/d238698dex410.htm" TargetMode="External"/><Relationship Id="rId452" Type="http://schemas.openxmlformats.org/officeDocument/2006/relationships/hyperlink" Target="https://www.sec.gov/Archives/edgar/data/1571996/000119312520102602/d912603dex41.htm" TargetMode="External"/><Relationship Id="rId494" Type="http://schemas.openxmlformats.org/officeDocument/2006/relationships/hyperlink" Target="http://www.sec.gov/Archives/edgar/data/1571996/000157199617000045/exhibit104_110317.htm" TargetMode="External"/><Relationship Id="rId508" Type="http://schemas.openxmlformats.org/officeDocument/2006/relationships/hyperlink" Target="http://www.sec.gov/Archives/edgar/data/1571996/000157199617000004/exhibit1014_020317.htm" TargetMode="External"/><Relationship Id="rId105" Type="http://schemas.openxmlformats.org/officeDocument/2006/relationships/hyperlink" Target="https://www.sec.gov/ix?doc=/Archives/edgar/data/0001571996/000157199621000007/dell-20210129.htm" TargetMode="External"/><Relationship Id="rId147" Type="http://schemas.openxmlformats.org/officeDocument/2006/relationships/hyperlink" Target="https://www.sec.gov/ix?doc=/Archives/edgar/data/0001571996/000157199621000007/dell-20210129.htm" TargetMode="External"/><Relationship Id="rId312" Type="http://schemas.openxmlformats.org/officeDocument/2006/relationships/hyperlink" Target="https://www.sec.gov/ix?doc=/Archives/edgar/data/0001571996/000157199621000007/dell-20210129.htm" TargetMode="External"/><Relationship Id="rId354" Type="http://schemas.openxmlformats.org/officeDocument/2006/relationships/hyperlink" Target="https://www.sec.gov/ix?doc=/Archives/edgar/data/0001571996/000157199621000007/dell-20210129.htm" TargetMode="External"/><Relationship Id="rId51" Type="http://schemas.openxmlformats.org/officeDocument/2006/relationships/hyperlink" Target="https://www.sec.gov/ix?doc=/Archives/edgar/data/0001571996/000157199621000007/dell-20210129.htm" TargetMode="External"/><Relationship Id="rId93" Type="http://schemas.openxmlformats.org/officeDocument/2006/relationships/hyperlink" Target="https://www.sec.gov/ix?doc=/Archives/edgar/data/0001571996/000157199621000007/dell-20210129.htm" TargetMode="External"/><Relationship Id="rId189" Type="http://schemas.openxmlformats.org/officeDocument/2006/relationships/hyperlink" Target="https://www.sec.gov/ix?doc=/Archives/edgar/data/0001571996/000157199621000007/dell-20210129.htm" TargetMode="External"/><Relationship Id="rId396" Type="http://schemas.openxmlformats.org/officeDocument/2006/relationships/hyperlink" Target="http://www.sec.gov/Archives/edgar/data/1571996/000119312516706567/d238698dex43.htm" TargetMode="External"/><Relationship Id="rId561" Type="http://schemas.openxmlformats.org/officeDocument/2006/relationships/hyperlink" Target="http://www.sec.gov/Archives/edgar/data/1571996/000119312518293366/d681091dex1015.htm" TargetMode="External"/><Relationship Id="rId617" Type="http://schemas.openxmlformats.org/officeDocument/2006/relationships/hyperlink" Target="https://www.sec.gov/Archives/edgar/data/0001571996/000157199621000007/exhibit311q4fy21.htm" TargetMode="External"/><Relationship Id="rId214" Type="http://schemas.openxmlformats.org/officeDocument/2006/relationships/hyperlink" Target="https://www.sec.gov/ix?doc=/Archives/edgar/data/0001571996/000157199621000007/dell-20210129.htm" TargetMode="External"/><Relationship Id="rId256" Type="http://schemas.openxmlformats.org/officeDocument/2006/relationships/hyperlink" Target="https://www.sec.gov/ix?doc=/Archives/edgar/data/0001571996/000157199621000007/dell-20210129.htm" TargetMode="External"/><Relationship Id="rId298" Type="http://schemas.openxmlformats.org/officeDocument/2006/relationships/hyperlink" Target="https://www.sec.gov/ix?doc=/Archives/edgar/data/0001571996/000157199621000007/dell-20210129.htm" TargetMode="External"/><Relationship Id="rId421" Type="http://schemas.openxmlformats.org/officeDocument/2006/relationships/hyperlink" Target="http://www.sec.gov/Archives/edgar/data/1571996/000157199619000008/exhibit433_020109.htm" TargetMode="External"/><Relationship Id="rId463" Type="http://schemas.openxmlformats.org/officeDocument/2006/relationships/hyperlink" Target="https://www.sec.gov/Archives/edgar/data/1571996/000119312520102602/d912603dex43.htm" TargetMode="External"/><Relationship Id="rId519" Type="http://schemas.openxmlformats.org/officeDocument/2006/relationships/hyperlink" Target="http://www.sec.gov/Archives/edgar/data/1571996/000119312516706567/d238698dex101.htm" TargetMode="External"/><Relationship Id="rId116" Type="http://schemas.openxmlformats.org/officeDocument/2006/relationships/hyperlink" Target="https://www.sec.gov/ix?doc=/Archives/edgar/data/0001571996/000157199621000007/dell-20210129.htm" TargetMode="External"/><Relationship Id="rId158" Type="http://schemas.openxmlformats.org/officeDocument/2006/relationships/hyperlink" Target="https://www.sec.gov/ix?doc=/Archives/edgar/data/0001571996/000157199621000007/dell-20210129.htm" TargetMode="External"/><Relationship Id="rId323" Type="http://schemas.openxmlformats.org/officeDocument/2006/relationships/hyperlink" Target="https://www.sec.gov/ix?doc=/Archives/edgar/data/0001571996/000157199621000007/dell-20210129.htm" TargetMode="External"/><Relationship Id="rId530" Type="http://schemas.openxmlformats.org/officeDocument/2006/relationships/hyperlink" Target="http://www.sec.gov/Archives/edgar/data/1571996/000157199617000004/exhibit1039_020317.htm" TargetMode="External"/><Relationship Id="rId20" Type="http://schemas.openxmlformats.org/officeDocument/2006/relationships/hyperlink" Target="https://www.sec.gov/ix?doc=/Archives/edgar/data/0001571996/000157199621000007/dell-20210129.htm" TargetMode="External"/><Relationship Id="rId62" Type="http://schemas.openxmlformats.org/officeDocument/2006/relationships/hyperlink" Target="https://www.sec.gov/ix?doc=/Archives/edgar/data/0001571996/000157199621000007/dell-20210129.htm" TargetMode="External"/><Relationship Id="rId365" Type="http://schemas.openxmlformats.org/officeDocument/2006/relationships/hyperlink" Target="http://www.sec.gov/Archives/edgar/data/826083/000095012310085135/d75835exv4w1.htm" TargetMode="External"/><Relationship Id="rId572" Type="http://schemas.openxmlformats.org/officeDocument/2006/relationships/hyperlink" Target="http://www.sec.gov/Archives/edgar/data/1571996/000119312518293366/d681091dex1020.htm" TargetMode="External"/><Relationship Id="rId225" Type="http://schemas.openxmlformats.org/officeDocument/2006/relationships/hyperlink" Target="https://www.sec.gov/ix?doc=/Archives/edgar/data/0001571996/000157199621000007/dell-20210129.htm" TargetMode="External"/><Relationship Id="rId267" Type="http://schemas.openxmlformats.org/officeDocument/2006/relationships/hyperlink" Target="https://www.sec.gov/ix?doc=/Archives/edgar/data/0001571996/000157199621000007/dell-20210129.htm" TargetMode="External"/><Relationship Id="rId432" Type="http://schemas.openxmlformats.org/officeDocument/2006/relationships/hyperlink" Target="https://www.sec.gov/Archives/edgar/data/1571996/000119312519082281/d708174dex410.htm" TargetMode="External"/><Relationship Id="rId474" Type="http://schemas.openxmlformats.org/officeDocument/2006/relationships/hyperlink" Target="https://www.sec.gov/Archives/edgar/data/1571996/000119312520102602/d912603dex41.htm" TargetMode="External"/><Relationship Id="rId127" Type="http://schemas.openxmlformats.org/officeDocument/2006/relationships/hyperlink" Target="https://www.sec.gov/ix?doc=/Archives/edgar/data/0001571996/000157199621000007/dell-20210129.htm" TargetMode="External"/><Relationship Id="rId31" Type="http://schemas.openxmlformats.org/officeDocument/2006/relationships/hyperlink" Target="https://www.sec.gov/ix?doc=/Archives/edgar/data/0001571996/000157199621000007/dell-20210129.htm" TargetMode="External"/><Relationship Id="rId73" Type="http://schemas.openxmlformats.org/officeDocument/2006/relationships/hyperlink" Target="https://www.sec.gov/ix?doc=/Archives/edgar/data/0001571996/000157199621000007/dell-20210129.htm" TargetMode="External"/><Relationship Id="rId169" Type="http://schemas.openxmlformats.org/officeDocument/2006/relationships/hyperlink" Target="https://www.sec.gov/ix?doc=/Archives/edgar/data/0001571996/000157199621000007/dell-20210129.htm" TargetMode="External"/><Relationship Id="rId334" Type="http://schemas.openxmlformats.org/officeDocument/2006/relationships/hyperlink" Target="https://www.sec.gov/ix?doc=/Archives/edgar/data/0001571996/000157199621000007/dell-20210129.htm" TargetMode="External"/><Relationship Id="rId376" Type="http://schemas.openxmlformats.org/officeDocument/2006/relationships/hyperlink" Target="http://www.sec.gov/Archives/edgar/data/1571996/000119312516611855/d73946dex419.htm" TargetMode="External"/><Relationship Id="rId541" Type="http://schemas.openxmlformats.org/officeDocument/2006/relationships/hyperlink" Target="http://www.sec.gov/Archives/edgar/data/1571996/000157199617000037/exhibit101-secondamendment.htm" TargetMode="External"/><Relationship Id="rId583" Type="http://schemas.openxmlformats.org/officeDocument/2006/relationships/hyperlink" Target="http://www.sec.gov/Archives/edgar/data/1571996/000119312518328110/d655711dex101.htm" TargetMode="External"/><Relationship Id="rId4" Type="http://schemas.openxmlformats.org/officeDocument/2006/relationships/footnotes" Target="footnotes.xml"/><Relationship Id="rId180" Type="http://schemas.openxmlformats.org/officeDocument/2006/relationships/hyperlink" Target="https://www.sec.gov/ix?doc=/Archives/edgar/data/0001571996/000157199621000007/dell-20210129.htm" TargetMode="External"/><Relationship Id="rId236" Type="http://schemas.openxmlformats.org/officeDocument/2006/relationships/hyperlink" Target="https://www.sec.gov/ix?doc=/Archives/edgar/data/0001571996/000157199621000007/dell-20210129.htm" TargetMode="External"/><Relationship Id="rId278" Type="http://schemas.openxmlformats.org/officeDocument/2006/relationships/hyperlink" Target="https://www.sec.gov/ix?doc=/Archives/edgar/data/0001571996/000157199621000007/dell-20210129.htm" TargetMode="External"/><Relationship Id="rId401" Type="http://schemas.openxmlformats.org/officeDocument/2006/relationships/hyperlink" Target="http://www.sec.gov/Archives/edgar/data/1571996/000119312516706567/d238698dex46.htm" TargetMode="External"/><Relationship Id="rId443" Type="http://schemas.openxmlformats.org/officeDocument/2006/relationships/hyperlink" Target="https://www.sec.gov/Archives/edgar/data/1571996/000157199620000017/exhibit441fy20.htm" TargetMode="External"/><Relationship Id="rId303" Type="http://schemas.openxmlformats.org/officeDocument/2006/relationships/hyperlink" Target="https://www.sec.gov/ix?doc=/Archives/edgar/data/0001571996/000157199621000007/dell-20210129.htm" TargetMode="External"/><Relationship Id="rId485" Type="http://schemas.openxmlformats.org/officeDocument/2006/relationships/hyperlink" Target="https://www.sec.gov/Archives/edgar/data/1571996/000157199620000034/exhibit49q1fy21.htm" TargetMode="External"/><Relationship Id="rId42" Type="http://schemas.openxmlformats.org/officeDocument/2006/relationships/hyperlink" Target="https://www.sec.gov/ix?doc=/Archives/edgar/data/0001571996/000157199621000007/dell-20210129.htm" TargetMode="External"/><Relationship Id="rId84" Type="http://schemas.openxmlformats.org/officeDocument/2006/relationships/hyperlink" Target="https://www.sec.gov/ix?doc=/Archives/edgar/data/0001571996/000157199621000007/dell-20210129.htm" TargetMode="External"/><Relationship Id="rId138" Type="http://schemas.openxmlformats.org/officeDocument/2006/relationships/hyperlink" Target="https://www.sec.gov/ix?doc=/Archives/edgar/data/0001571996/000157199621000007/dell-20210129.htm" TargetMode="External"/><Relationship Id="rId345" Type="http://schemas.openxmlformats.org/officeDocument/2006/relationships/hyperlink" Target="https://www.sec.gov/ix?doc=/Archives/edgar/data/0001571996/000157199621000007/dell-20210129.htm" TargetMode="External"/><Relationship Id="rId387" Type="http://schemas.openxmlformats.org/officeDocument/2006/relationships/hyperlink" Target="http://www.sec.gov/Archives/edgar/data/1571996/000119312516629055/d214451dex42.htm" TargetMode="External"/><Relationship Id="rId510" Type="http://schemas.openxmlformats.org/officeDocument/2006/relationships/hyperlink" Target="http://www.sec.gov/Archives/edgar/data/1571996/000119312516537298/d73946dex1015.htm" TargetMode="External"/><Relationship Id="rId552" Type="http://schemas.openxmlformats.org/officeDocument/2006/relationships/hyperlink" Target="http://www.sec.gov/Archives/edgar/data/1571996/000119312518293366/d681091dex1010.htm" TargetMode="External"/><Relationship Id="rId594" Type="http://schemas.openxmlformats.org/officeDocument/2006/relationships/hyperlink" Target="https://www.sec.gov/Archives/edgar/data/1571996/000119312518360943/d673794dex103.htm" TargetMode="External"/><Relationship Id="rId608" Type="http://schemas.openxmlformats.org/officeDocument/2006/relationships/hyperlink" Target="https://www.sec.gov/ix?doc=/Archives/edgar/data/1571996/000119312519252192/d807029d8k.htm" TargetMode="External"/><Relationship Id="rId191" Type="http://schemas.openxmlformats.org/officeDocument/2006/relationships/hyperlink" Target="https://www.sec.gov/ix?doc=/Archives/edgar/data/0001571996/000157199621000007/dell-20210129.htm" TargetMode="External"/><Relationship Id="rId205" Type="http://schemas.openxmlformats.org/officeDocument/2006/relationships/hyperlink" Target="https://www.sec.gov/ix?doc=/Archives/edgar/data/0001571996/000157199621000007/dell-20210129.htm" TargetMode="External"/><Relationship Id="rId247" Type="http://schemas.openxmlformats.org/officeDocument/2006/relationships/hyperlink" Target="https://www.sec.gov/ix?doc=/Archives/edgar/data/0001571996/000157199621000007/dell-20210129.htm" TargetMode="External"/><Relationship Id="rId412" Type="http://schemas.openxmlformats.org/officeDocument/2006/relationships/hyperlink" Target="http://www.sec.gov/Archives/edgar/data/1571996/000157199616000021/exhibit411_102816.htm" TargetMode="External"/><Relationship Id="rId107" Type="http://schemas.openxmlformats.org/officeDocument/2006/relationships/hyperlink" Target="https://www.sec.gov/ix?doc=/Archives/edgar/data/0001571996/000157199621000007/dell-20210129.htm" TargetMode="External"/><Relationship Id="rId289" Type="http://schemas.openxmlformats.org/officeDocument/2006/relationships/hyperlink" Target="https://www.sec.gov/ix?doc=/Archives/edgar/data/0001571996/000157199621000007/dell-20210129.htm" TargetMode="External"/><Relationship Id="rId454" Type="http://schemas.openxmlformats.org/officeDocument/2006/relationships/hyperlink" Target="https://www.sec.gov/Archives/edgar/data/1571996/000119312520102602/d912603dex41.htm" TargetMode="External"/><Relationship Id="rId496" Type="http://schemas.openxmlformats.org/officeDocument/2006/relationships/hyperlink" Target="http://www.sec.gov/Archives/edgar/data/1571996/000119312516537298/d73946dex1013.htm" TargetMode="External"/><Relationship Id="rId11" Type="http://schemas.openxmlformats.org/officeDocument/2006/relationships/hyperlink" Target="https://www.sec.gov/ix?doc=/Archives/edgar/data/0001571996/000157199621000007/dell-20210129.htm" TargetMode="External"/><Relationship Id="rId53" Type="http://schemas.openxmlformats.org/officeDocument/2006/relationships/hyperlink" Target="https://www.sec.gov/ix?doc=/Archives/edgar/data/0001571996/000157199621000007/dell-20210129.htm" TargetMode="External"/><Relationship Id="rId149" Type="http://schemas.openxmlformats.org/officeDocument/2006/relationships/hyperlink" Target="https://www.sec.gov/ix?doc=/Archives/edgar/data/0001571996/000157199621000007/dell-20210129.htm" TargetMode="External"/><Relationship Id="rId314" Type="http://schemas.openxmlformats.org/officeDocument/2006/relationships/hyperlink" Target="https://www.sec.gov/ix?doc=/Archives/edgar/data/0001571996/000157199621000007/dell-20210129.htm" TargetMode="External"/><Relationship Id="rId356" Type="http://schemas.openxmlformats.org/officeDocument/2006/relationships/hyperlink" Target="http://www.sec.gov/Archives/edgar/data/1571996/000119312518360943/d673794dex31.htm" TargetMode="External"/><Relationship Id="rId398" Type="http://schemas.openxmlformats.org/officeDocument/2006/relationships/hyperlink" Target="http://www.sec.gov/Archives/edgar/data/1571996/000119312516706567/d238698dex44.htm" TargetMode="External"/><Relationship Id="rId521" Type="http://schemas.openxmlformats.org/officeDocument/2006/relationships/hyperlink" Target="http://www.sec.gov/Archives/edgar/data/1571996/000119312516706567/d238698dex102.htm" TargetMode="External"/><Relationship Id="rId563" Type="http://schemas.openxmlformats.org/officeDocument/2006/relationships/hyperlink" Target="http://www.sec.gov/Archives/edgar/data/1571996/000119312518293366/d681091dex1016.htm" TargetMode="External"/><Relationship Id="rId619" Type="http://schemas.openxmlformats.org/officeDocument/2006/relationships/hyperlink" Target="https://www.sec.gov/Archives/edgar/data/0001571996/000157199621000007/exhibit312q4fy21.htm" TargetMode="External"/><Relationship Id="rId95" Type="http://schemas.openxmlformats.org/officeDocument/2006/relationships/hyperlink" Target="https://www.sec.gov/ix?doc=/Archives/edgar/data/0001571996/000157199621000007/dell-20210129.htm" TargetMode="External"/><Relationship Id="rId160" Type="http://schemas.openxmlformats.org/officeDocument/2006/relationships/hyperlink" Target="https://www.sec.gov/ix?doc=/Archives/edgar/data/0001571996/000157199621000007/dell-20210129.htm" TargetMode="External"/><Relationship Id="rId216" Type="http://schemas.openxmlformats.org/officeDocument/2006/relationships/hyperlink" Target="https://www.sec.gov/ix?doc=/Archives/edgar/data/0001571996/000157199621000007/dell-20210129.htm" TargetMode="External"/><Relationship Id="rId423" Type="http://schemas.openxmlformats.org/officeDocument/2006/relationships/hyperlink" Target="https://www.sec.gov/Archives/edgar/data/1571996/000119312519082281/d708174dex41.htm" TargetMode="External"/><Relationship Id="rId258" Type="http://schemas.openxmlformats.org/officeDocument/2006/relationships/hyperlink" Target="https://www.sec.gov/ix?doc=/Archives/edgar/data/0001571996/000157199621000007/dell-20210129.htm" TargetMode="External"/><Relationship Id="rId465" Type="http://schemas.openxmlformats.org/officeDocument/2006/relationships/hyperlink" Target="https://www.sec.gov/Archives/edgar/data/1571996/000119312520102602/d912603dex43.htm" TargetMode="External"/><Relationship Id="rId22" Type="http://schemas.openxmlformats.org/officeDocument/2006/relationships/hyperlink" Target="https://www.sec.gov/ix?doc=/Archives/edgar/data/0001571996/000157199621000007/dell-20210129.htm" TargetMode="External"/><Relationship Id="rId64" Type="http://schemas.openxmlformats.org/officeDocument/2006/relationships/hyperlink" Target="https://www.sec.gov/ix?doc=/Archives/edgar/data/0001571996/000157199621000007/dell-20210129.htm" TargetMode="External"/><Relationship Id="rId118" Type="http://schemas.openxmlformats.org/officeDocument/2006/relationships/hyperlink" Target="https://www.sec.gov/ix?doc=/Archives/edgar/data/0001571996/000157199621000007/dell-20210129.htm" TargetMode="External"/><Relationship Id="rId325" Type="http://schemas.openxmlformats.org/officeDocument/2006/relationships/hyperlink" Target="https://www.sec.gov/ix?doc=/Archives/edgar/data/0001571996/000157199621000007/dell-20210129.htm" TargetMode="External"/><Relationship Id="rId367" Type="http://schemas.openxmlformats.org/officeDocument/2006/relationships/hyperlink" Target="https://www.sec.gov/ix?doc=/Archives/edgar/data/0001571996/000157199621000007/dell-20210129.htm" TargetMode="External"/><Relationship Id="rId532" Type="http://schemas.openxmlformats.org/officeDocument/2006/relationships/hyperlink" Target="http://www.sec.gov/Archives/edgar/data/1571996/000157199617000004/exhibit1040_020317.htm" TargetMode="External"/><Relationship Id="rId574" Type="http://schemas.openxmlformats.org/officeDocument/2006/relationships/hyperlink" Target="http://www.sec.gov/Archives/edgar/data/1571996/000119312518293366/d681091dex1021.htm" TargetMode="External"/><Relationship Id="rId171" Type="http://schemas.openxmlformats.org/officeDocument/2006/relationships/hyperlink" Target="https://www.sec.gov/ix?doc=/Archives/edgar/data/0001571996/000157199621000007/dell-20210129.htm" TargetMode="External"/><Relationship Id="rId227" Type="http://schemas.openxmlformats.org/officeDocument/2006/relationships/hyperlink" Target="https://www.sec.gov/ix?doc=/Archives/edgar/data/0001571996/000157199621000007/dell-20210129.htm" TargetMode="External"/><Relationship Id="rId269" Type="http://schemas.openxmlformats.org/officeDocument/2006/relationships/hyperlink" Target="https://www.sec.gov/ix?doc=/Archives/edgar/data/0001571996/000157199621000007/dell-20210129.htm" TargetMode="External"/><Relationship Id="rId434" Type="http://schemas.openxmlformats.org/officeDocument/2006/relationships/hyperlink" Target="https://www.sec.gov/Archives/edgar/data/1571996/000119312519082281/d708174dex411.htm" TargetMode="External"/><Relationship Id="rId476" Type="http://schemas.openxmlformats.org/officeDocument/2006/relationships/hyperlink" Target="https://www.sec.gov/Archives/edgar/data/1571996/000157199620000034/exhibit45q1fy21.htm" TargetMode="External"/><Relationship Id="rId33" Type="http://schemas.openxmlformats.org/officeDocument/2006/relationships/hyperlink" Target="https://www.sec.gov/ix?doc=/Archives/edgar/data/0001571996/000157199621000007/dell-20210129.htm" TargetMode="External"/><Relationship Id="rId129" Type="http://schemas.openxmlformats.org/officeDocument/2006/relationships/hyperlink" Target="https://www.sec.gov/ix?doc=/Archives/edgar/data/0001571996/000157199621000007/dell-20210129.htm" TargetMode="External"/><Relationship Id="rId280" Type="http://schemas.openxmlformats.org/officeDocument/2006/relationships/hyperlink" Target="https://www.sec.gov/ix?doc=/Archives/edgar/data/0001571996/000157199621000007/dell-20210129.htm" TargetMode="External"/><Relationship Id="rId336" Type="http://schemas.openxmlformats.org/officeDocument/2006/relationships/hyperlink" Target="https://www.sec.gov/ix?doc=/Archives/edgar/data/0001571996/000157199621000007/dell-20210129.htm" TargetMode="External"/><Relationship Id="rId501" Type="http://schemas.openxmlformats.org/officeDocument/2006/relationships/hyperlink" Target="https://www.sec.gov/Archives/edgar/data/1571996/000157199620000034/exhibit101q1fy21.htm" TargetMode="External"/><Relationship Id="rId543" Type="http://schemas.openxmlformats.org/officeDocument/2006/relationships/hyperlink" Target="http://www.sec.gov/Archives/edgar/data/1571996/000157199617000037/exhibit102-thirdamendment.htm" TargetMode="External"/><Relationship Id="rId75" Type="http://schemas.openxmlformats.org/officeDocument/2006/relationships/hyperlink" Target="https://www.sec.gov/ix?doc=/Archives/edgar/data/0001571996/000157199621000007/dell-20210129.htm" TargetMode="External"/><Relationship Id="rId140" Type="http://schemas.openxmlformats.org/officeDocument/2006/relationships/hyperlink" Target="https://www.sec.gov/ix?doc=/Archives/edgar/data/0001571996/000157199621000007/dell-20210129.htm" TargetMode="External"/><Relationship Id="rId182" Type="http://schemas.openxmlformats.org/officeDocument/2006/relationships/hyperlink" Target="https://www.sec.gov/ix?doc=/Archives/edgar/data/0001571996/000157199621000007/dell-20210129.htm" TargetMode="External"/><Relationship Id="rId378" Type="http://schemas.openxmlformats.org/officeDocument/2006/relationships/hyperlink" Target="http://www.sec.gov/Archives/edgar/data/1571996/000119312516611855/d73946dex421.htm" TargetMode="External"/><Relationship Id="rId403" Type="http://schemas.openxmlformats.org/officeDocument/2006/relationships/hyperlink" Target="http://www.sec.gov/Archives/edgar/data/1571996/000119312516706567/d238698dex47.htm" TargetMode="External"/><Relationship Id="rId585" Type="http://schemas.openxmlformats.org/officeDocument/2006/relationships/hyperlink" Target="http://www.sec.gov/Archives/edgar/data/1571996/000119312518328110/d655711dex106.htm" TargetMode="External"/><Relationship Id="rId6" Type="http://schemas.openxmlformats.org/officeDocument/2006/relationships/hyperlink" Target="https://www.sec.gov/ix?doc=/Archives/edgar/data/0001571996/000157199621000007/dell-20210129.htm" TargetMode="External"/><Relationship Id="rId238" Type="http://schemas.openxmlformats.org/officeDocument/2006/relationships/hyperlink" Target="https://www.sec.gov/ix?doc=/Archives/edgar/data/0001571996/000157199621000007/dell-20210129.htm" TargetMode="External"/><Relationship Id="rId445" Type="http://schemas.openxmlformats.org/officeDocument/2006/relationships/hyperlink" Target="https://www.sec.gov/Archives/edgar/data/1571996/000157199620000017/exhibit441fy20.htm" TargetMode="External"/><Relationship Id="rId487" Type="http://schemas.openxmlformats.org/officeDocument/2006/relationships/hyperlink" Target="https://www.sec.gov/Archives/edgar/data/1571996/000157199620000034/exhibit49q1fy21.htm" TargetMode="External"/><Relationship Id="rId610" Type="http://schemas.openxmlformats.org/officeDocument/2006/relationships/hyperlink" Target="https://www.sec.gov/Archives/edgar/data/0001571996/000157199621000007/exhibit1057fy21.htm" TargetMode="External"/><Relationship Id="rId291" Type="http://schemas.openxmlformats.org/officeDocument/2006/relationships/hyperlink" Target="https://www.sec.gov/ix?doc=/Archives/edgar/data/0001571996/000157199621000007/dell-20210129.htm" TargetMode="External"/><Relationship Id="rId305" Type="http://schemas.openxmlformats.org/officeDocument/2006/relationships/hyperlink" Target="https://www.sec.gov/ix?doc=/Archives/edgar/data/0001571996/000157199621000007/dell-20210129.htm" TargetMode="External"/><Relationship Id="rId347" Type="http://schemas.openxmlformats.org/officeDocument/2006/relationships/hyperlink" Target="https://www.sec.gov/ix?doc=/Archives/edgar/data/0001571996/000157199621000007/dell-20210129.htm" TargetMode="External"/><Relationship Id="rId512" Type="http://schemas.openxmlformats.org/officeDocument/2006/relationships/hyperlink" Target="http://www.sec.gov/Archives/edgar/data/1571996/000119312516537298/d73946dex1016.htm" TargetMode="External"/><Relationship Id="rId44" Type="http://schemas.openxmlformats.org/officeDocument/2006/relationships/hyperlink" Target="https://www.sec.gov/ix?doc=/Archives/edgar/data/0001571996/000157199621000007/dell-20210129.htm" TargetMode="External"/><Relationship Id="rId86" Type="http://schemas.openxmlformats.org/officeDocument/2006/relationships/hyperlink" Target="https://www.sec.gov/ix?doc=/Archives/edgar/data/0001571996/000157199621000007/dell-20210129.htm" TargetMode="External"/><Relationship Id="rId151" Type="http://schemas.openxmlformats.org/officeDocument/2006/relationships/hyperlink" Target="https://www.sec.gov/ix?doc=/Archives/edgar/data/0001571996/000157199621000007/dell-20210129.htm" TargetMode="External"/><Relationship Id="rId389" Type="http://schemas.openxmlformats.org/officeDocument/2006/relationships/hyperlink" Target="http://www.sec.gov/Archives/edgar/data/1571996/000119312516629055/d214451dex43.htm" TargetMode="External"/><Relationship Id="rId554" Type="http://schemas.openxmlformats.org/officeDocument/2006/relationships/hyperlink" Target="http://www.sec.gov/Archives/edgar/data/1571996/000119312518293366/d681091dex1011.htm" TargetMode="External"/><Relationship Id="rId596" Type="http://schemas.openxmlformats.org/officeDocument/2006/relationships/hyperlink" Target="https://www.sec.gov/Archives/edgar/data/1571996/000119312518360943/d673794dex105.htm" TargetMode="External"/><Relationship Id="rId193" Type="http://schemas.openxmlformats.org/officeDocument/2006/relationships/hyperlink" Target="https://www.sec.gov/ix?doc=/Archives/edgar/data/0001571996/000157199621000007/dell-20210129.htm" TargetMode="External"/><Relationship Id="rId207" Type="http://schemas.openxmlformats.org/officeDocument/2006/relationships/hyperlink" Target="https://www.sec.gov/ix?doc=/Archives/edgar/data/0001571996/000157199621000007/dell-20210129.htm" TargetMode="External"/><Relationship Id="rId249" Type="http://schemas.openxmlformats.org/officeDocument/2006/relationships/hyperlink" Target="https://www.sec.gov/ix?doc=/Archives/edgar/data/0001571996/000157199621000007/dell-20210129.htm" TargetMode="External"/><Relationship Id="rId414" Type="http://schemas.openxmlformats.org/officeDocument/2006/relationships/hyperlink" Target="http://www.sec.gov/Archives/edgar/data/1571996/000157199619000008/exhibit430_020119.htm" TargetMode="External"/><Relationship Id="rId456" Type="http://schemas.openxmlformats.org/officeDocument/2006/relationships/hyperlink" Target="https://www.sec.gov/Archives/edgar/data/1571996/000119312520102602/d912603dex42.htm" TargetMode="External"/><Relationship Id="rId498" Type="http://schemas.openxmlformats.org/officeDocument/2006/relationships/hyperlink" Target="http://www.sec.gov/Archives/edgar/data/1571996/000157199617000004/exhibit103_020317.htm" TargetMode="External"/><Relationship Id="rId621" Type="http://schemas.openxmlformats.org/officeDocument/2006/relationships/hyperlink" Target="https://www.sec.gov/Archives/edgar/data/0001571996/000157199621000007/exhibit321q4fy21.htm" TargetMode="External"/><Relationship Id="rId13" Type="http://schemas.openxmlformats.org/officeDocument/2006/relationships/hyperlink" Target="https://www.sec.gov/ix?doc=/Archives/edgar/data/0001571996/000157199621000007/dell-20210129.htm" TargetMode="External"/><Relationship Id="rId109" Type="http://schemas.openxmlformats.org/officeDocument/2006/relationships/hyperlink" Target="https://www.sec.gov/ix?doc=/Archives/edgar/data/0001571996/000157199621000007/dell-20210129.htm" TargetMode="External"/><Relationship Id="rId260" Type="http://schemas.openxmlformats.org/officeDocument/2006/relationships/hyperlink" Target="https://www.sec.gov/ix?doc=/Archives/edgar/data/0001571996/000157199621000007/dell-20210129.htm" TargetMode="External"/><Relationship Id="rId316" Type="http://schemas.openxmlformats.org/officeDocument/2006/relationships/hyperlink" Target="https://www.sec.gov/ix?doc=/Archives/edgar/data/0001571996/000157199621000007/dell-20210129.htm" TargetMode="External"/><Relationship Id="rId523" Type="http://schemas.openxmlformats.org/officeDocument/2006/relationships/hyperlink" Target="http://www.sec.gov/Archives/edgar/data/1571996/000119312516706567/d238698dex103.htm" TargetMode="External"/><Relationship Id="rId55" Type="http://schemas.openxmlformats.org/officeDocument/2006/relationships/hyperlink" Target="https://www.sec.gov/ix?doc=/Archives/edgar/data/0001571996/000157199621000007/dell-20210129.htm" TargetMode="External"/><Relationship Id="rId97" Type="http://schemas.openxmlformats.org/officeDocument/2006/relationships/hyperlink" Target="https://www.sec.gov/ix?doc=/Archives/edgar/data/0001571996/000157199621000007/dell-20210129.htm" TargetMode="External"/><Relationship Id="rId120" Type="http://schemas.openxmlformats.org/officeDocument/2006/relationships/hyperlink" Target="https://www.sec.gov/ix?doc=/Archives/edgar/data/0001571996/000157199621000007/dell-20210129.htm" TargetMode="External"/><Relationship Id="rId358" Type="http://schemas.openxmlformats.org/officeDocument/2006/relationships/hyperlink" Target="http://www.sec.gov/Archives/edgar/data/1571996/000119312518360943/d673794dex32.htm" TargetMode="External"/><Relationship Id="rId565" Type="http://schemas.openxmlformats.org/officeDocument/2006/relationships/hyperlink" Target="https://www.sec.gov/ix?doc=/Archives/edgar/data/0001571996/000157199621000007/dell-20210129.htm" TargetMode="External"/><Relationship Id="rId162" Type="http://schemas.openxmlformats.org/officeDocument/2006/relationships/hyperlink" Target="https://www.sec.gov/ix?doc=/Archives/edgar/data/0001571996/000157199621000007/dell-20210129.htm" TargetMode="External"/><Relationship Id="rId218" Type="http://schemas.openxmlformats.org/officeDocument/2006/relationships/hyperlink" Target="https://www.sec.gov/ix?doc=/Archives/edgar/data/0001571996/000157199621000007/dell-20210129.htm" TargetMode="External"/><Relationship Id="rId425" Type="http://schemas.openxmlformats.org/officeDocument/2006/relationships/hyperlink" Target="https://www.sec.gov/Archives/edgar/data/1571996/000119312519082281/d708174dex42.htm" TargetMode="External"/><Relationship Id="rId467" Type="http://schemas.openxmlformats.org/officeDocument/2006/relationships/hyperlink" Target="https://www.sec.gov/Archives/edgar/data/1571996/000119312520102602/d912603dex41.htm" TargetMode="External"/><Relationship Id="rId271" Type="http://schemas.openxmlformats.org/officeDocument/2006/relationships/hyperlink" Target="https://www.sec.gov/ix?doc=/Archives/edgar/data/0001571996/000157199621000007/dell-20210129.htm" TargetMode="External"/><Relationship Id="rId24" Type="http://schemas.openxmlformats.org/officeDocument/2006/relationships/hyperlink" Target="https://www.sec.gov/ix?doc=/Archives/edgar/data/0001571996/000157199621000007/dell-20210129.htm" TargetMode="External"/><Relationship Id="rId66" Type="http://schemas.openxmlformats.org/officeDocument/2006/relationships/hyperlink" Target="https://www.sec.gov/ix?doc=/Archives/edgar/data/0001571996/000157199621000007/dell-20210129.htm" TargetMode="External"/><Relationship Id="rId131" Type="http://schemas.openxmlformats.org/officeDocument/2006/relationships/hyperlink" Target="https://www.sec.gov/ix?doc=/Archives/edgar/data/0001571996/000157199621000007/dell-20210129.htm" TargetMode="External"/><Relationship Id="rId327" Type="http://schemas.openxmlformats.org/officeDocument/2006/relationships/hyperlink" Target="https://www.sec.gov/ix?doc=/Archives/edgar/data/0001571996/000157199621000007/dell-20210129.htm" TargetMode="External"/><Relationship Id="rId369" Type="http://schemas.openxmlformats.org/officeDocument/2006/relationships/hyperlink" Target="http://www.sec.gov/Archives/edgar/data/826083/000095012311031594/d81054exv4w1.htm" TargetMode="External"/><Relationship Id="rId534" Type="http://schemas.openxmlformats.org/officeDocument/2006/relationships/hyperlink" Target="http://www.sec.gov/Archives/edgar/data/1571996/000157199617000004/exhibit1041_020317.htm" TargetMode="External"/><Relationship Id="rId576" Type="http://schemas.openxmlformats.org/officeDocument/2006/relationships/hyperlink" Target="http://www.sec.gov/Archives/edgar/data/1571996/000157199619000032/a2013stockincentiveplanjul.htm" TargetMode="External"/><Relationship Id="rId173" Type="http://schemas.openxmlformats.org/officeDocument/2006/relationships/hyperlink" Target="https://www.sec.gov/ix?doc=/Archives/edgar/data/0001571996/000157199621000007/dell-20210129.htm" TargetMode="External"/><Relationship Id="rId229" Type="http://schemas.openxmlformats.org/officeDocument/2006/relationships/hyperlink" Target="https://www.sec.gov/ix?doc=/Archives/edgar/data/0001571996/000157199621000007/dell-20210129.htm" TargetMode="External"/><Relationship Id="rId380" Type="http://schemas.openxmlformats.org/officeDocument/2006/relationships/hyperlink" Target="http://www.sec.gov/Archives/edgar/data/1571996/000119312516611855/d73946dex423.htm" TargetMode="External"/><Relationship Id="rId436" Type="http://schemas.openxmlformats.org/officeDocument/2006/relationships/hyperlink" Target="https://www.sec.gov/Archives/edgar/data/1571996/000119312519082281/d708174dex412.htm" TargetMode="External"/><Relationship Id="rId601" Type="http://schemas.openxmlformats.org/officeDocument/2006/relationships/hyperlink" Target="https://www.sec.gov/Archives/edgar/data/1571996/000119312519074935/d681612d8k.htm" TargetMode="External"/><Relationship Id="rId240" Type="http://schemas.openxmlformats.org/officeDocument/2006/relationships/hyperlink" Target="https://www.sec.gov/ix?doc=/Archives/edgar/data/0001571996/000157199621000007/dell-20210129.htm" TargetMode="External"/><Relationship Id="rId478" Type="http://schemas.openxmlformats.org/officeDocument/2006/relationships/hyperlink" Target="https://www.sec.gov/Archives/edgar/data/1571996/000157199620000034/exhibit45q1fy21.htm" TargetMode="External"/><Relationship Id="rId35" Type="http://schemas.openxmlformats.org/officeDocument/2006/relationships/hyperlink" Target="https://www.sec.gov/ix?doc=/Archives/edgar/data/0001571996/000157199621000007/dell-20210129.htm" TargetMode="External"/><Relationship Id="rId77" Type="http://schemas.openxmlformats.org/officeDocument/2006/relationships/hyperlink" Target="https://www.sec.gov/ix?doc=/Archives/edgar/data/0001571996/000157199621000007/dell-20210129.htm" TargetMode="External"/><Relationship Id="rId100" Type="http://schemas.openxmlformats.org/officeDocument/2006/relationships/hyperlink" Target="https://www.sec.gov/ix?doc=/Archives/edgar/data/0001571996/000157199621000007/dell-20210129.htm" TargetMode="External"/><Relationship Id="rId282" Type="http://schemas.openxmlformats.org/officeDocument/2006/relationships/hyperlink" Target="https://www.sec.gov/ix?doc=/Archives/edgar/data/0001571996/000157199621000007/dell-20210129.htm" TargetMode="External"/><Relationship Id="rId338" Type="http://schemas.openxmlformats.org/officeDocument/2006/relationships/hyperlink" Target="https://www.sec.gov/ix?doc=/Archives/edgar/data/0001571996/000157199621000007/dell-20210129.htm" TargetMode="External"/><Relationship Id="rId503" Type="http://schemas.openxmlformats.org/officeDocument/2006/relationships/hyperlink" Target="https://www.sec.gov/ix?doc=/Archives/edgar/data/0001571996/000157199621000007/dell-20210129.htm" TargetMode="External"/><Relationship Id="rId545" Type="http://schemas.openxmlformats.org/officeDocument/2006/relationships/hyperlink" Target="http://www.sec.gov/Archives/edgar/data/1571996/000157199618000004/exhibit1047_020218.htm" TargetMode="External"/><Relationship Id="rId587" Type="http://schemas.openxmlformats.org/officeDocument/2006/relationships/hyperlink" Target="http://www.sec.gov/Archives/edgar/data/1571996/000119312518356324/d670019dex101.htm" TargetMode="External"/><Relationship Id="rId8" Type="http://schemas.openxmlformats.org/officeDocument/2006/relationships/hyperlink" Target="https://www.sec.gov/ix?doc=/Archives/edgar/data/0001571996/000157199621000007/dell-20210129.htm" TargetMode="External"/><Relationship Id="rId142" Type="http://schemas.openxmlformats.org/officeDocument/2006/relationships/hyperlink" Target="https://www.sec.gov/ix?doc=/Archives/edgar/data/0001571996/000157199621000007/dell-20210129.htm" TargetMode="External"/><Relationship Id="rId184" Type="http://schemas.openxmlformats.org/officeDocument/2006/relationships/hyperlink" Target="https://www.sec.gov/ix?doc=/Archives/edgar/data/0001571996/000157199621000007/dell-20210129.htm" TargetMode="External"/><Relationship Id="rId391" Type="http://schemas.openxmlformats.org/officeDocument/2006/relationships/hyperlink" Target="http://www.sec.gov/Archives/edgar/data/1571996/000119312516706567/d238698dex41.htm" TargetMode="External"/><Relationship Id="rId405" Type="http://schemas.openxmlformats.org/officeDocument/2006/relationships/hyperlink" Target="http://www.sec.gov/Archives/edgar/data/1571996/000119312516706567/d238698dex48.htm" TargetMode="External"/><Relationship Id="rId447" Type="http://schemas.openxmlformats.org/officeDocument/2006/relationships/hyperlink" Target="https://www.sec.gov/Archives/edgar/data/1571996/000119312520102602/d912603dex41.htm" TargetMode="External"/><Relationship Id="rId612" Type="http://schemas.openxmlformats.org/officeDocument/2006/relationships/hyperlink" Target="https://www.sec.gov/Archives/edgar/data/0001571996/000157199621000007/exhibit1057fy21.htm" TargetMode="External"/><Relationship Id="rId251" Type="http://schemas.openxmlformats.org/officeDocument/2006/relationships/hyperlink" Target="https://www.sec.gov/ix?doc=/Archives/edgar/data/0001571996/000157199621000007/dell-20210129.htm" TargetMode="External"/><Relationship Id="rId489" Type="http://schemas.openxmlformats.org/officeDocument/2006/relationships/hyperlink" Target="https://www.sec.gov/Archives/edgar/data/1571996/000157199620000051/exhibit41q3fy21.htm" TargetMode="External"/><Relationship Id="rId46" Type="http://schemas.openxmlformats.org/officeDocument/2006/relationships/hyperlink" Target="https://www.sec.gov/ix?doc=/Archives/edgar/data/0001571996/000157199621000007/dell-20210129.htm" TargetMode="External"/><Relationship Id="rId293" Type="http://schemas.openxmlformats.org/officeDocument/2006/relationships/hyperlink" Target="https://www.sec.gov/ix?doc=/Archives/edgar/data/0001571996/000157199621000007/dell-20210129.htm" TargetMode="External"/><Relationship Id="rId307" Type="http://schemas.openxmlformats.org/officeDocument/2006/relationships/hyperlink" Target="https://www.sec.gov/ix?doc=/Archives/edgar/data/0001571996/000157199621000007/dell-20210129.htm" TargetMode="External"/><Relationship Id="rId349" Type="http://schemas.openxmlformats.org/officeDocument/2006/relationships/hyperlink" Target="https://www.sec.gov/ix?doc=/Archives/edgar/data/0001571996/000157199621000007/dell-20210129.htm" TargetMode="External"/><Relationship Id="rId514" Type="http://schemas.openxmlformats.org/officeDocument/2006/relationships/hyperlink" Target="http://www.sec.gov/Archives/edgar/data/1571996/000157199617000004/exhibit1026_020317.htm" TargetMode="External"/><Relationship Id="rId556" Type="http://schemas.openxmlformats.org/officeDocument/2006/relationships/hyperlink" Target="http://www.sec.gov/Archives/edgar/data/1571996/000119312518293366/d681091dex1012.htm" TargetMode="External"/><Relationship Id="rId88" Type="http://schemas.openxmlformats.org/officeDocument/2006/relationships/hyperlink" Target="https://www.sec.gov/ix?doc=/Archives/edgar/data/0001571996/000157199621000007/dell-20210129.htm" TargetMode="External"/><Relationship Id="rId111" Type="http://schemas.openxmlformats.org/officeDocument/2006/relationships/hyperlink" Target="https://www.sec.gov/ix?doc=/Archives/edgar/data/0001571996/000157199621000007/dell-20210129.htm" TargetMode="External"/><Relationship Id="rId153" Type="http://schemas.openxmlformats.org/officeDocument/2006/relationships/hyperlink" Target="https://www.sec.gov/ix?doc=/Archives/edgar/data/0001571996/000157199621000007/dell-20210129.htm" TargetMode="External"/><Relationship Id="rId195" Type="http://schemas.openxmlformats.org/officeDocument/2006/relationships/hyperlink" Target="https://www.sec.gov/ix?doc=/Archives/edgar/data/0001571996/000157199621000007/dell-20210129.htm" TargetMode="External"/><Relationship Id="rId209" Type="http://schemas.openxmlformats.org/officeDocument/2006/relationships/hyperlink" Target="https://www.sec.gov/ix?doc=/Archives/edgar/data/0001571996/000157199621000007/dell-20210129.htm" TargetMode="External"/><Relationship Id="rId360" Type="http://schemas.openxmlformats.org/officeDocument/2006/relationships/hyperlink" Target="http://www.sec.gov/Archives/edgar/data/826083/0000950134-98-003605.txt" TargetMode="External"/><Relationship Id="rId416" Type="http://schemas.openxmlformats.org/officeDocument/2006/relationships/hyperlink" Target="http://www.sec.gov/Archives/edgar/data/1571996/000157199619000008/exhibit431_020119.htm" TargetMode="External"/><Relationship Id="rId598" Type="http://schemas.openxmlformats.org/officeDocument/2006/relationships/hyperlink" Target="https://www.sec.gov/Archives/edgar/data/1571996/000119312518360943/d673794dex106.htm" TargetMode="External"/><Relationship Id="rId220" Type="http://schemas.openxmlformats.org/officeDocument/2006/relationships/hyperlink" Target="https://www.sec.gov/ix?doc=/Archives/edgar/data/0001571996/000157199621000007/dell-20210129.htm" TargetMode="External"/><Relationship Id="rId458" Type="http://schemas.openxmlformats.org/officeDocument/2006/relationships/hyperlink" Target="https://www.sec.gov/Archives/edgar/data/1571996/000119312520102602/d912603dex42.htm" TargetMode="External"/><Relationship Id="rId623" Type="http://schemas.openxmlformats.org/officeDocument/2006/relationships/hyperlink" Target="https://www.sec.gov/ix?doc=/Archives/edgar/data/0001571996/000157199621000007/dell-20210129.htm" TargetMode="External"/><Relationship Id="rId15" Type="http://schemas.openxmlformats.org/officeDocument/2006/relationships/hyperlink" Target="https://www.sec.gov/ix?doc=/Archives/edgar/data/0001571996/000157199621000007/dell-20210129.htm" TargetMode="External"/><Relationship Id="rId57" Type="http://schemas.openxmlformats.org/officeDocument/2006/relationships/hyperlink" Target="https://www.sec.gov/ix?doc=/Archives/edgar/data/0001571996/000157199621000007/dell-20210129.htm" TargetMode="External"/><Relationship Id="rId262" Type="http://schemas.openxmlformats.org/officeDocument/2006/relationships/hyperlink" Target="https://www.sec.gov/ix?doc=/Archives/edgar/data/0001571996/000157199621000007/dell-20210129.htm" TargetMode="External"/><Relationship Id="rId318" Type="http://schemas.openxmlformats.org/officeDocument/2006/relationships/hyperlink" Target="https://www.sec.gov/ix?doc=/Archives/edgar/data/0001571996/000157199621000007/dell-20210129.htm" TargetMode="External"/><Relationship Id="rId525" Type="http://schemas.openxmlformats.org/officeDocument/2006/relationships/hyperlink" Target="http://www.sec.gov/Archives/edgar/data/1571996/000119312516706567/d238698dex104.htm" TargetMode="External"/><Relationship Id="rId567" Type="http://schemas.openxmlformats.org/officeDocument/2006/relationships/hyperlink" Target="http://www.sec.gov/Archives/edgar/data/1571996/000119312518293366/d681091dex1017.htm" TargetMode="External"/><Relationship Id="rId99" Type="http://schemas.openxmlformats.org/officeDocument/2006/relationships/hyperlink" Target="https://www.sec.gov/ix?doc=/Archives/edgar/data/0001571996/000157199621000007/dell-20210129.htm" TargetMode="External"/><Relationship Id="rId122" Type="http://schemas.openxmlformats.org/officeDocument/2006/relationships/hyperlink" Target="https://www.sec.gov/ix?doc=/Archives/edgar/data/0001571996/000157199621000007/dell-20210129.htm" TargetMode="External"/><Relationship Id="rId164" Type="http://schemas.openxmlformats.org/officeDocument/2006/relationships/hyperlink" Target="https://www.sec.gov/ix?doc=/Archives/edgar/data/0001571996/000157199621000007/dell-20210129.htm" TargetMode="External"/><Relationship Id="rId371" Type="http://schemas.openxmlformats.org/officeDocument/2006/relationships/hyperlink" Target="http://www.sec.gov/Archives/edgar/data/790070/000119312513249454/d548166dex41.htm" TargetMode="External"/><Relationship Id="rId427" Type="http://schemas.openxmlformats.org/officeDocument/2006/relationships/hyperlink" Target="https://www.sec.gov/Archives/edgar/data/1571996/000119312519082281/d708174dex43.htm" TargetMode="External"/><Relationship Id="rId469" Type="http://schemas.openxmlformats.org/officeDocument/2006/relationships/hyperlink" Target="https://www.sec.gov/Archives/edgar/data/1571996/000119312520102602/d912603dex44.htm" TargetMode="External"/><Relationship Id="rId26" Type="http://schemas.openxmlformats.org/officeDocument/2006/relationships/hyperlink" Target="https://www.sec.gov/ix?doc=/Archives/edgar/data/0001571996/000157199621000007/dell-20210129.htm" TargetMode="External"/><Relationship Id="rId231" Type="http://schemas.openxmlformats.org/officeDocument/2006/relationships/hyperlink" Target="https://www.sec.gov/ix?doc=/Archives/edgar/data/0001571996/000157199621000007/dell-20210129.htm" TargetMode="External"/><Relationship Id="rId273" Type="http://schemas.openxmlformats.org/officeDocument/2006/relationships/hyperlink" Target="https://www.sec.gov/ix?doc=/Archives/edgar/data/0001571996/000157199621000007/dell-20210129.htm" TargetMode="External"/><Relationship Id="rId329" Type="http://schemas.openxmlformats.org/officeDocument/2006/relationships/hyperlink" Target="https://www.sec.gov/ix?doc=/Archives/edgar/data/0001571996/000157199621000007/dell-20210129.htm" TargetMode="External"/><Relationship Id="rId480" Type="http://schemas.openxmlformats.org/officeDocument/2006/relationships/hyperlink" Target="https://www.sec.gov/Archives/edgar/data/1571996/000119312520102602/d912603dex42.htm" TargetMode="External"/><Relationship Id="rId536" Type="http://schemas.openxmlformats.org/officeDocument/2006/relationships/hyperlink" Target="https://www.sec.gov/ix?doc=/Archives/edgar/data/0001571996/000157199621000007/dell-20210129.htm" TargetMode="External"/><Relationship Id="rId68" Type="http://schemas.openxmlformats.org/officeDocument/2006/relationships/hyperlink" Target="https://www.sec.gov/ix?doc=/Archives/edgar/data/0001571996/000157199621000007/dell-20210129.htm" TargetMode="External"/><Relationship Id="rId133" Type="http://schemas.openxmlformats.org/officeDocument/2006/relationships/hyperlink" Target="https://www.sec.gov/ix?doc=/Archives/edgar/data/0001571996/000157199621000007/dell-20210129.htm" TargetMode="External"/><Relationship Id="rId175" Type="http://schemas.openxmlformats.org/officeDocument/2006/relationships/hyperlink" Target="https://www.sec.gov/ix?doc=/Archives/edgar/data/0001571996/000157199621000007/dell-20210129.htm" TargetMode="External"/><Relationship Id="rId340" Type="http://schemas.openxmlformats.org/officeDocument/2006/relationships/hyperlink" Target="https://www.sec.gov/ix?doc=/Archives/edgar/data/0001571996/000157199621000007/dell-20210129.htm" TargetMode="External"/><Relationship Id="rId578" Type="http://schemas.openxmlformats.org/officeDocument/2006/relationships/hyperlink" Target="https://www.sec.gov/Archives/edgar/data/1571996/000157199620000051/exhibit101q3fy21.htm" TargetMode="External"/><Relationship Id="rId200" Type="http://schemas.openxmlformats.org/officeDocument/2006/relationships/hyperlink" Target="https://www.sec.gov/ix?doc=/Archives/edgar/data/0001571996/000157199621000007/dell-20210129.htm" TargetMode="External"/><Relationship Id="rId382" Type="http://schemas.openxmlformats.org/officeDocument/2006/relationships/hyperlink" Target="http://www.sec.gov/Archives/edgar/data/1571996/000119312516611855/d73946dex425.htm" TargetMode="External"/><Relationship Id="rId438" Type="http://schemas.openxmlformats.org/officeDocument/2006/relationships/hyperlink" Target="https://www.sec.gov/Archives/edgar/data/1571996/000119312518360943/d673794dex104.htm" TargetMode="External"/><Relationship Id="rId603" Type="http://schemas.openxmlformats.org/officeDocument/2006/relationships/hyperlink" Target="https://www.sec.gov/Archives/edgar/data/1571996/000157199619000005/exhibit101formofrsu.htm" TargetMode="External"/><Relationship Id="rId242" Type="http://schemas.openxmlformats.org/officeDocument/2006/relationships/hyperlink" Target="https://www.sec.gov/ix?doc=/Archives/edgar/data/0001571996/000157199621000007/dell-20210129.htm" TargetMode="External"/><Relationship Id="rId284" Type="http://schemas.openxmlformats.org/officeDocument/2006/relationships/hyperlink" Target="https://www.sec.gov/ix?doc=/Archives/edgar/data/0001571996/000157199621000007/dell-20210129.htm" TargetMode="External"/><Relationship Id="rId491" Type="http://schemas.openxmlformats.org/officeDocument/2006/relationships/hyperlink" Target="https://www.sec.gov/Archives/edgar/data/0001571996/000157199621000007/exhibit452fy21.htm" TargetMode="External"/><Relationship Id="rId505" Type="http://schemas.openxmlformats.org/officeDocument/2006/relationships/hyperlink" Target="http://www.sec.gov/Archives/edgar/data/1571996/000119312516537298/d73946dex106.htm" TargetMode="External"/><Relationship Id="rId37" Type="http://schemas.openxmlformats.org/officeDocument/2006/relationships/hyperlink" Target="https://www.sec.gov/ix?doc=/Archives/edgar/data/0001571996/000157199621000007/dell-20210129.htm" TargetMode="External"/><Relationship Id="rId79" Type="http://schemas.openxmlformats.org/officeDocument/2006/relationships/hyperlink" Target="https://www.sec.gov/ix?doc=/Archives/edgar/data/0001571996/000157199621000007/dell-20210129.htm" TargetMode="External"/><Relationship Id="rId102" Type="http://schemas.openxmlformats.org/officeDocument/2006/relationships/hyperlink" Target="https://www.sec.gov/ix?doc=/Archives/edgar/data/0001571996/000157199621000007/dell-20210129.htm" TargetMode="External"/><Relationship Id="rId144" Type="http://schemas.openxmlformats.org/officeDocument/2006/relationships/hyperlink" Target="https://www.sec.gov/ix?doc=/Archives/edgar/data/0001571996/000157199621000007/dell-20210129.htm" TargetMode="External"/><Relationship Id="rId547" Type="http://schemas.openxmlformats.org/officeDocument/2006/relationships/hyperlink" Target="http://www.sec.gov/Archives/edgar/data/1571996/000157199618000004/exhibit1049_020218.htm" TargetMode="External"/><Relationship Id="rId589" Type="http://schemas.openxmlformats.org/officeDocument/2006/relationships/hyperlink" Target="https://www.sec.gov/Archives/edgar/data/1571996/000119312518360943/d673794dex101.htm" TargetMode="External"/><Relationship Id="rId90" Type="http://schemas.openxmlformats.org/officeDocument/2006/relationships/hyperlink" Target="https://www.sec.gov/ix?doc=/Archives/edgar/data/0001571996/000157199621000007/dell-20210129.htm" TargetMode="External"/><Relationship Id="rId186" Type="http://schemas.openxmlformats.org/officeDocument/2006/relationships/hyperlink" Target="https://www.sec.gov/ix?doc=/Archives/edgar/data/0001571996/000157199621000007/dell-20210129.htm" TargetMode="External"/><Relationship Id="rId351" Type="http://schemas.openxmlformats.org/officeDocument/2006/relationships/hyperlink" Target="https://www.sec.gov/ix?doc=/Archives/edgar/data/0001571996/000157199621000007/dell-20210129.htm" TargetMode="External"/><Relationship Id="rId393" Type="http://schemas.openxmlformats.org/officeDocument/2006/relationships/hyperlink" Target="http://www.sec.gov/Archives/edgar/data/1571996/000119312516706567/d238698dex42.htm" TargetMode="External"/><Relationship Id="rId407" Type="http://schemas.openxmlformats.org/officeDocument/2006/relationships/hyperlink" Target="http://www.sec.gov/Archives/edgar/data/1571996/000119312516706567/d238698dex49.htm" TargetMode="External"/><Relationship Id="rId449" Type="http://schemas.openxmlformats.org/officeDocument/2006/relationships/hyperlink" Target="https://www.sec.gov/Archives/edgar/data/1571996/000119312520102602/d912603dex41.htm" TargetMode="External"/><Relationship Id="rId614" Type="http://schemas.openxmlformats.org/officeDocument/2006/relationships/hyperlink" Target="https://www.sec.gov/Archives/edgar/data/0001571996/000157199621000007/exhibit211q4fy21.htm" TargetMode="External"/><Relationship Id="rId211" Type="http://schemas.openxmlformats.org/officeDocument/2006/relationships/hyperlink" Target="https://www.sec.gov/ix?doc=/Archives/edgar/data/0001571996/000157199621000007/dell-20210129.htm" TargetMode="External"/><Relationship Id="rId253" Type="http://schemas.openxmlformats.org/officeDocument/2006/relationships/hyperlink" Target="https://www.sec.gov/ix?doc=/Archives/edgar/data/0001571996/000157199621000007/dell-20210129.htm" TargetMode="External"/><Relationship Id="rId295" Type="http://schemas.openxmlformats.org/officeDocument/2006/relationships/hyperlink" Target="https://www.sec.gov/ix?doc=/Archives/edgar/data/0001571996/000157199621000007/dell-20210129.htm" TargetMode="External"/><Relationship Id="rId309" Type="http://schemas.openxmlformats.org/officeDocument/2006/relationships/hyperlink" Target="https://www.sec.gov/ix?doc=/Archives/edgar/data/0001571996/000157199621000007/dell-20210129.htm" TargetMode="External"/><Relationship Id="rId460" Type="http://schemas.openxmlformats.org/officeDocument/2006/relationships/hyperlink" Target="https://www.sec.gov/Archives/edgar/data/1571996/000119312520102602/d912603dex41.htm" TargetMode="External"/><Relationship Id="rId516" Type="http://schemas.openxmlformats.org/officeDocument/2006/relationships/hyperlink" Target="http://www.sec.gov/Archives/edgar/data/1124610/000112461018000012/vmw-222018x10kex101.htm" TargetMode="External"/><Relationship Id="rId48" Type="http://schemas.openxmlformats.org/officeDocument/2006/relationships/hyperlink" Target="https://www.sec.gov/ix?doc=/Archives/edgar/data/0001571996/000157199621000007/dell-20210129.htm" TargetMode="External"/><Relationship Id="rId113" Type="http://schemas.openxmlformats.org/officeDocument/2006/relationships/hyperlink" Target="https://www.sec.gov/ix?doc=/Archives/edgar/data/0001571996/000157199621000007/dell-20210129.htm" TargetMode="External"/><Relationship Id="rId320" Type="http://schemas.openxmlformats.org/officeDocument/2006/relationships/hyperlink" Target="https://www.sec.gov/ix?doc=/Archives/edgar/data/0001571996/000157199621000007/dell-20210129.htm" TargetMode="External"/><Relationship Id="rId558" Type="http://schemas.openxmlformats.org/officeDocument/2006/relationships/hyperlink" Target="http://www.sec.gov/Archives/edgar/data/1571996/000119312518293366/d681091dex1013.htm" TargetMode="External"/><Relationship Id="rId155" Type="http://schemas.openxmlformats.org/officeDocument/2006/relationships/hyperlink" Target="https://www.sec.gov/ix?doc=/Archives/edgar/data/0001571996/000157199621000007/dell-20210129.htm" TargetMode="External"/><Relationship Id="rId197" Type="http://schemas.openxmlformats.org/officeDocument/2006/relationships/hyperlink" Target="https://www.sec.gov/ix?doc=/Archives/edgar/data/0001571996/000157199621000007/dell-20210129.htm" TargetMode="External"/><Relationship Id="rId362" Type="http://schemas.openxmlformats.org/officeDocument/2006/relationships/hyperlink" Target="http://www.sec.gov/Archives/edgar/data/826083/000095013408006801/d55879exv4w1.htm" TargetMode="External"/><Relationship Id="rId418" Type="http://schemas.openxmlformats.org/officeDocument/2006/relationships/hyperlink" Target="http://www.sec.gov/Archives/edgar/data/1571996/000157199619000008/exhibit432_020119.htm" TargetMode="External"/><Relationship Id="rId625" Type="http://schemas.openxmlformats.org/officeDocument/2006/relationships/fontTable" Target="fontTable.xml"/><Relationship Id="rId222" Type="http://schemas.openxmlformats.org/officeDocument/2006/relationships/hyperlink" Target="https://www.sec.gov/ix?doc=/Archives/edgar/data/0001571996/000157199621000007/dell-20210129.htm" TargetMode="External"/><Relationship Id="rId264" Type="http://schemas.openxmlformats.org/officeDocument/2006/relationships/hyperlink" Target="https://www.sec.gov/ix?doc=/Archives/edgar/data/0001571996/000157199621000007/dell-20210129.htm" TargetMode="External"/><Relationship Id="rId471" Type="http://schemas.openxmlformats.org/officeDocument/2006/relationships/hyperlink" Target="https://www.sec.gov/Archives/edgar/data/1571996/000119312520102602/d912603dex44.htm" TargetMode="External"/><Relationship Id="rId17" Type="http://schemas.openxmlformats.org/officeDocument/2006/relationships/hyperlink" Target="https://www.sec.gov/ix?doc=/Archives/edgar/data/0001571996/000157199621000007/dell-20210129.htm" TargetMode="External"/><Relationship Id="rId59" Type="http://schemas.openxmlformats.org/officeDocument/2006/relationships/hyperlink" Target="https://www.sec.gov/ix?doc=/Archives/edgar/data/0001571996/000157199621000007/dell-20210129.htm" TargetMode="External"/><Relationship Id="rId124" Type="http://schemas.openxmlformats.org/officeDocument/2006/relationships/hyperlink" Target="https://www.sec.gov/ix?doc=/Archives/edgar/data/0001571996/000157199621000007/dell-20210129.htm" TargetMode="External"/><Relationship Id="rId527" Type="http://schemas.openxmlformats.org/officeDocument/2006/relationships/hyperlink" Target="http://www.sec.gov/Archives/edgar/data/1571996/000157199616000021/exhibit105_102816.htm" TargetMode="External"/><Relationship Id="rId569" Type="http://schemas.openxmlformats.org/officeDocument/2006/relationships/hyperlink" Target="http://www.sec.gov/Archives/edgar/data/1571996/000119312518293366/d681091dex1018.htm" TargetMode="External"/><Relationship Id="rId70" Type="http://schemas.openxmlformats.org/officeDocument/2006/relationships/hyperlink" Target="https://www.sec.gov/ix?doc=/Archives/edgar/data/0001571996/000157199621000007/dell-20210129.htm" TargetMode="External"/><Relationship Id="rId166" Type="http://schemas.openxmlformats.org/officeDocument/2006/relationships/hyperlink" Target="https://www.sec.gov/ix?doc=/Archives/edgar/data/0001571996/000157199621000007/dell-20210129.htm" TargetMode="External"/><Relationship Id="rId331" Type="http://schemas.openxmlformats.org/officeDocument/2006/relationships/hyperlink" Target="https://www.sec.gov/ix?doc=/Archives/edgar/data/0001571996/000157199621000007/dell-20210129.htm" TargetMode="External"/><Relationship Id="rId373" Type="http://schemas.openxmlformats.org/officeDocument/2006/relationships/hyperlink" Target="http://www.sec.gov/Archives/edgar/data/1571996/000119312516611855/d73946dex414.htm" TargetMode="External"/><Relationship Id="rId429" Type="http://schemas.openxmlformats.org/officeDocument/2006/relationships/hyperlink" Target="https://www.sec.gov/Archives/edgar/data/1571996/000119312519082281/d708174dex44.htm" TargetMode="External"/><Relationship Id="rId580" Type="http://schemas.openxmlformats.org/officeDocument/2006/relationships/hyperlink" Target="http://www.sec.gov/Archives/edgar/data/1571996/000119312518210339/d880259dex102.htm" TargetMode="External"/><Relationship Id="rId1" Type="http://schemas.openxmlformats.org/officeDocument/2006/relationships/styles" Target="styles.xml"/><Relationship Id="rId233" Type="http://schemas.openxmlformats.org/officeDocument/2006/relationships/hyperlink" Target="https://www.sec.gov/ix?doc=/Archives/edgar/data/0001571996/000157199621000007/dell-20210129.htm" TargetMode="External"/><Relationship Id="rId440" Type="http://schemas.openxmlformats.org/officeDocument/2006/relationships/hyperlink" Target="https://www.sec.gov/Archives/edgar/data/1571996/000157199620000017/exhibit440fy20.htm" TargetMode="External"/><Relationship Id="rId28" Type="http://schemas.openxmlformats.org/officeDocument/2006/relationships/hyperlink" Target="https://www.sec.gov/ix?doc=/Archives/edgar/data/0001571996/000157199621000007/dell-20210129.htm" TargetMode="External"/><Relationship Id="rId275" Type="http://schemas.openxmlformats.org/officeDocument/2006/relationships/hyperlink" Target="https://www.sec.gov/ix?doc=/Archives/edgar/data/0001571996/000157199621000007/dell-20210129.htm" TargetMode="External"/><Relationship Id="rId300" Type="http://schemas.openxmlformats.org/officeDocument/2006/relationships/hyperlink" Target="https://www.sec.gov/ix?doc=/Archives/edgar/data/0001571996/000157199621000007/dell-20210129.htm" TargetMode="External"/><Relationship Id="rId482" Type="http://schemas.openxmlformats.org/officeDocument/2006/relationships/hyperlink" Target="https://www.sec.gov/Archives/edgar/data/1571996/000119312520102602/d912603dex43.htm" TargetMode="External"/><Relationship Id="rId538" Type="http://schemas.openxmlformats.org/officeDocument/2006/relationships/hyperlink" Target="http://www.sec.gov/Archives/edgar/data/1571996/000157199617000004/exhibit1042_020317.htm" TargetMode="External"/><Relationship Id="rId81" Type="http://schemas.openxmlformats.org/officeDocument/2006/relationships/hyperlink" Target="https://www.sec.gov/ix?doc=/Archives/edgar/data/0001571996/000157199621000007/dell-20210129.htm" TargetMode="External"/><Relationship Id="rId135" Type="http://schemas.openxmlformats.org/officeDocument/2006/relationships/hyperlink" Target="https://www.sec.gov/ix?doc=/Archives/edgar/data/0001571996/000157199621000007/dell-20210129.htm" TargetMode="External"/><Relationship Id="rId177" Type="http://schemas.openxmlformats.org/officeDocument/2006/relationships/hyperlink" Target="https://www.sec.gov/ix?doc=/Archives/edgar/data/0001571996/000157199621000007/dell-20210129.htm" TargetMode="External"/><Relationship Id="rId342" Type="http://schemas.openxmlformats.org/officeDocument/2006/relationships/hyperlink" Target="https://www.sec.gov/ix?doc=/Archives/edgar/data/0001571996/000157199621000007/dell-20210129.htm" TargetMode="External"/><Relationship Id="rId384" Type="http://schemas.openxmlformats.org/officeDocument/2006/relationships/hyperlink" Target="http://www.sec.gov/Archives/edgar/data/1571996/000119312516629055/d214451dex41.htm" TargetMode="External"/><Relationship Id="rId591" Type="http://schemas.openxmlformats.org/officeDocument/2006/relationships/hyperlink" Target="https://www.sec.gov/Archives/edgar/data/1571996/000119312518360943/d673794dex102.htm" TargetMode="External"/><Relationship Id="rId605" Type="http://schemas.openxmlformats.org/officeDocument/2006/relationships/hyperlink" Target="https://www.sec.gov/Archives/edgar/data/1571996/000157199619000005/exhibit102formofprsu.htm" TargetMode="External"/><Relationship Id="rId202" Type="http://schemas.openxmlformats.org/officeDocument/2006/relationships/hyperlink" Target="https://www.sec.gov/ix?doc=/Archives/edgar/data/0001571996/000157199621000007/dell-20210129.htm" TargetMode="External"/><Relationship Id="rId244" Type="http://schemas.openxmlformats.org/officeDocument/2006/relationships/hyperlink" Target="https://www.sec.gov/ix?doc=/Archives/edgar/data/0001571996/000157199621000007/dell-20210129.htm" TargetMode="External"/><Relationship Id="rId39" Type="http://schemas.openxmlformats.org/officeDocument/2006/relationships/hyperlink" Target="https://www.sec.gov/ix?doc=/Archives/edgar/data/0001571996/000157199621000007/dell-20210129.htm" TargetMode="External"/><Relationship Id="rId286" Type="http://schemas.openxmlformats.org/officeDocument/2006/relationships/hyperlink" Target="https://www.sec.gov/ix?doc=/Archives/edgar/data/0001571996/000157199621000007/dell-20210129.htm" TargetMode="External"/><Relationship Id="rId451" Type="http://schemas.openxmlformats.org/officeDocument/2006/relationships/hyperlink" Target="https://www.sec.gov/Archives/edgar/data/1571996/000119312520102602/d912603dex41.htm" TargetMode="External"/><Relationship Id="rId493" Type="http://schemas.openxmlformats.org/officeDocument/2006/relationships/hyperlink" Target="http://www.sec.gov/Archives/edgar/data/1571996/000157199617000045/exhibit104_110317.htm" TargetMode="External"/><Relationship Id="rId507" Type="http://schemas.openxmlformats.org/officeDocument/2006/relationships/hyperlink" Target="http://www.sec.gov/Archives/edgar/data/1571996/000119312516537298/d73946dex107.htm" TargetMode="External"/><Relationship Id="rId549" Type="http://schemas.openxmlformats.org/officeDocument/2006/relationships/hyperlink" Target="http://www.sec.gov/Archives/edgar/data/1571996/000157199618000004/exhibit1051_020218.htm" TargetMode="External"/><Relationship Id="rId50" Type="http://schemas.openxmlformats.org/officeDocument/2006/relationships/hyperlink" Target="https://www.sec.gov/ix?doc=/Archives/edgar/data/0001571996/000157199621000007/dell-20210129.htm" TargetMode="External"/><Relationship Id="rId104" Type="http://schemas.openxmlformats.org/officeDocument/2006/relationships/hyperlink" Target="https://www.sec.gov/ix?doc=/Archives/edgar/data/0001571996/000157199621000007/dell-20210129.htm" TargetMode="External"/><Relationship Id="rId146" Type="http://schemas.openxmlformats.org/officeDocument/2006/relationships/hyperlink" Target="https://www.sec.gov/ix?doc=/Archives/edgar/data/0001571996/000157199621000007/dell-20210129.htm" TargetMode="External"/><Relationship Id="rId188" Type="http://schemas.openxmlformats.org/officeDocument/2006/relationships/hyperlink" Target="https://www.sec.gov/ix?doc=/Archives/edgar/data/0001571996/000157199621000007/dell-20210129.htm" TargetMode="External"/><Relationship Id="rId311" Type="http://schemas.openxmlformats.org/officeDocument/2006/relationships/hyperlink" Target="https://www.sec.gov/ix?doc=/Archives/edgar/data/0001571996/000157199621000007/dell-20210129.htm" TargetMode="External"/><Relationship Id="rId353" Type="http://schemas.openxmlformats.org/officeDocument/2006/relationships/hyperlink" Target="https://www.sec.gov/ix?doc=/Archives/edgar/data/0001571996/000157199621000007/dell-20210129.htm" TargetMode="External"/><Relationship Id="rId395" Type="http://schemas.openxmlformats.org/officeDocument/2006/relationships/hyperlink" Target="http://www.sec.gov/Archives/edgar/data/1571996/000119312516706567/d238698dex43.htm" TargetMode="External"/><Relationship Id="rId409" Type="http://schemas.openxmlformats.org/officeDocument/2006/relationships/hyperlink" Target="http://www.sec.gov/Archives/edgar/data/1571996/000119312516706567/d238698dex410.htm" TargetMode="External"/><Relationship Id="rId560" Type="http://schemas.openxmlformats.org/officeDocument/2006/relationships/hyperlink" Target="http://www.sec.gov/Archives/edgar/data/1571996/000119312518293366/d681091dex1014.htm" TargetMode="External"/><Relationship Id="rId92" Type="http://schemas.openxmlformats.org/officeDocument/2006/relationships/hyperlink" Target="https://www.sec.gov/ix?doc=/Archives/edgar/data/0001571996/000157199621000007/dell-20210129.htm" TargetMode="External"/><Relationship Id="rId213" Type="http://schemas.openxmlformats.org/officeDocument/2006/relationships/hyperlink" Target="https://www.sec.gov/ix?doc=/Archives/edgar/data/0001571996/000157199621000007/dell-20210129.htm" TargetMode="External"/><Relationship Id="rId420" Type="http://schemas.openxmlformats.org/officeDocument/2006/relationships/hyperlink" Target="https://www.sec.gov/Archives/edgar/data/1571996/000157199619000008/exhibit433_020109.htm" TargetMode="External"/><Relationship Id="rId616" Type="http://schemas.openxmlformats.org/officeDocument/2006/relationships/hyperlink" Target="https://www.sec.gov/Archives/edgar/data/0001571996/000157199621000007/exhibit231fy21.htm" TargetMode="External"/><Relationship Id="rId255" Type="http://schemas.openxmlformats.org/officeDocument/2006/relationships/hyperlink" Target="https://www.sec.gov/ix?doc=/Archives/edgar/data/0001571996/000157199621000007/dell-20210129.htm" TargetMode="External"/><Relationship Id="rId297" Type="http://schemas.openxmlformats.org/officeDocument/2006/relationships/hyperlink" Target="https://www.sec.gov/ix?doc=/Archives/edgar/data/0001571996/000157199621000007/dell-20210129.htm" TargetMode="External"/><Relationship Id="rId462" Type="http://schemas.openxmlformats.org/officeDocument/2006/relationships/hyperlink" Target="https://www.sec.gov/Archives/edgar/data/1571996/000119312520102602/d912603dex43.htm" TargetMode="External"/><Relationship Id="rId518" Type="http://schemas.openxmlformats.org/officeDocument/2006/relationships/hyperlink" Target="http://www.sec.gov/Archives/edgar/data/1571996/000119312516706567/d238698dex101.htm" TargetMode="External"/><Relationship Id="rId115" Type="http://schemas.openxmlformats.org/officeDocument/2006/relationships/hyperlink" Target="https://www.sec.gov/ix?doc=/Archives/edgar/data/0001571996/000157199621000007/dell-20210129.htm" TargetMode="External"/><Relationship Id="rId157" Type="http://schemas.openxmlformats.org/officeDocument/2006/relationships/hyperlink" Target="https://www.sec.gov/ix?doc=/Archives/edgar/data/0001571996/000157199621000007/dell-20210129.htm" TargetMode="External"/><Relationship Id="rId322" Type="http://schemas.openxmlformats.org/officeDocument/2006/relationships/hyperlink" Target="https://www.sec.gov/ix?doc=/Archives/edgar/data/0001571996/000157199621000007/dell-20210129.htm" TargetMode="External"/><Relationship Id="rId364" Type="http://schemas.openxmlformats.org/officeDocument/2006/relationships/hyperlink" Target="http://www.sec.gov/Archives/edgar/data/826083/000119312509073812/dex41.htm" TargetMode="External"/><Relationship Id="rId61" Type="http://schemas.openxmlformats.org/officeDocument/2006/relationships/hyperlink" Target="https://www.sec.gov/ix?doc=/Archives/edgar/data/0001571996/000157199621000007/dell-20210129.htm" TargetMode="External"/><Relationship Id="rId199" Type="http://schemas.openxmlformats.org/officeDocument/2006/relationships/hyperlink" Target="https://www.sec.gov/ix?doc=/Archives/edgar/data/0001571996/000157199621000007/dell-20210129.htm" TargetMode="External"/><Relationship Id="rId571" Type="http://schemas.openxmlformats.org/officeDocument/2006/relationships/hyperlink" Target="http://www.sec.gov/Archives/edgar/data/1571996/000119312518293366/d681091dex1019.htm" TargetMode="External"/><Relationship Id="rId19" Type="http://schemas.openxmlformats.org/officeDocument/2006/relationships/hyperlink" Target="https://www.sec.gov/ix?doc=/Archives/edgar/data/0001571996/000157199621000007/dell-20210129.htm" TargetMode="External"/><Relationship Id="rId224" Type="http://schemas.openxmlformats.org/officeDocument/2006/relationships/hyperlink" Target="https://www.sec.gov/ix?doc=/Archives/edgar/data/0001571996/000157199621000007/dell-20210129.htm" TargetMode="External"/><Relationship Id="rId266" Type="http://schemas.openxmlformats.org/officeDocument/2006/relationships/hyperlink" Target="https://www.sec.gov/ix?doc=/Archives/edgar/data/0001571996/000157199621000007/dell-20210129.htm" TargetMode="External"/><Relationship Id="rId431" Type="http://schemas.openxmlformats.org/officeDocument/2006/relationships/hyperlink" Target="https://www.sec.gov/Archives/edgar/data/1571996/000119312519082281/d708174dex45.htm" TargetMode="External"/><Relationship Id="rId473" Type="http://schemas.openxmlformats.org/officeDocument/2006/relationships/hyperlink" Target="https://www.sec.gov/Archives/edgar/data/1571996/000119312520102602/d912603dex44.htm" TargetMode="External"/><Relationship Id="rId529" Type="http://schemas.openxmlformats.org/officeDocument/2006/relationships/hyperlink" Target="http://www.sec.gov/Archives/edgar/data/1571996/000157199617000004/exhibit1038_020317.htm" TargetMode="External"/><Relationship Id="rId30" Type="http://schemas.openxmlformats.org/officeDocument/2006/relationships/hyperlink" Target="https://www.sec.gov/ix?doc=/Archives/edgar/data/0001571996/000157199621000007/dell-20210129.htm" TargetMode="External"/><Relationship Id="rId126" Type="http://schemas.openxmlformats.org/officeDocument/2006/relationships/hyperlink" Target="https://www.sec.gov/ix?doc=/Archives/edgar/data/0001571996/000157199621000007/dell-20210129.htm" TargetMode="External"/><Relationship Id="rId168" Type="http://schemas.openxmlformats.org/officeDocument/2006/relationships/hyperlink" Target="https://www.sec.gov/ix?doc=/Archives/edgar/data/0001571996/000157199621000007/dell-20210129.htm" TargetMode="External"/><Relationship Id="rId333" Type="http://schemas.openxmlformats.org/officeDocument/2006/relationships/hyperlink" Target="https://www.sec.gov/ix?doc=/Archives/edgar/data/0001571996/000157199621000007/dell-20210129.htm" TargetMode="External"/><Relationship Id="rId540" Type="http://schemas.openxmlformats.org/officeDocument/2006/relationships/hyperlink" Target="http://www.sec.gov/Archives/edgar/data/1571996/000119312517076981/d325592dex101.htm" TargetMode="External"/><Relationship Id="rId72" Type="http://schemas.openxmlformats.org/officeDocument/2006/relationships/hyperlink" Target="https://www.sec.gov/ix?doc=/Archives/edgar/data/0001571996/000157199621000007/dell-20210129.htm" TargetMode="External"/><Relationship Id="rId375" Type="http://schemas.openxmlformats.org/officeDocument/2006/relationships/hyperlink" Target="http://www.sec.gov/Archives/edgar/data/1571996/000119312516611855/d73946dex417.htm" TargetMode="External"/><Relationship Id="rId582" Type="http://schemas.openxmlformats.org/officeDocument/2006/relationships/hyperlink" Target="http://www.sec.gov/Archives/edgar/data/1571996/000119312518328110/d655711dex101.htm" TargetMode="External"/><Relationship Id="rId3" Type="http://schemas.openxmlformats.org/officeDocument/2006/relationships/webSettings" Target="webSettings.xml"/><Relationship Id="rId235" Type="http://schemas.openxmlformats.org/officeDocument/2006/relationships/hyperlink" Target="https://www.sec.gov/ix?doc=/Archives/edgar/data/0001571996/000157199621000007/dell-20210129.htm" TargetMode="External"/><Relationship Id="rId277" Type="http://schemas.openxmlformats.org/officeDocument/2006/relationships/hyperlink" Target="https://www.sec.gov/ix?doc=/Archives/edgar/data/0001571996/000157199621000007/dell-20210129.htm" TargetMode="External"/><Relationship Id="rId400" Type="http://schemas.openxmlformats.org/officeDocument/2006/relationships/hyperlink" Target="http://www.sec.gov/Archives/edgar/data/1571996/000119312516706567/d238698dex45.htm" TargetMode="External"/><Relationship Id="rId442" Type="http://schemas.openxmlformats.org/officeDocument/2006/relationships/hyperlink" Target="https://www.sec.gov/Archives/edgar/data/1571996/000157199620000017/exhibit440fy20.htm" TargetMode="External"/><Relationship Id="rId484" Type="http://schemas.openxmlformats.org/officeDocument/2006/relationships/hyperlink" Target="https://www.sec.gov/Archives/edgar/data/1571996/000119312520102602/d912603dex44.htm" TargetMode="External"/><Relationship Id="rId137" Type="http://schemas.openxmlformats.org/officeDocument/2006/relationships/hyperlink" Target="https://www.sec.gov/ix?doc=/Archives/edgar/data/0001571996/000157199621000007/dell-20210129.htm" TargetMode="External"/><Relationship Id="rId302" Type="http://schemas.openxmlformats.org/officeDocument/2006/relationships/hyperlink" Target="https://www.sec.gov/ix?doc=/Archives/edgar/data/0001571996/000157199621000007/dell-20210129.htm" TargetMode="External"/><Relationship Id="rId344" Type="http://schemas.openxmlformats.org/officeDocument/2006/relationships/hyperlink" Target="https://www.sec.gov/ix?doc=/Archives/edgar/data/0001571996/000157199621000007/dell-20210129.htm" TargetMode="External"/><Relationship Id="rId41" Type="http://schemas.openxmlformats.org/officeDocument/2006/relationships/hyperlink" Target="https://www.sec.gov/ix?doc=/Archives/edgar/data/0001571996/000157199621000007/dell-20210129.htm" TargetMode="External"/><Relationship Id="rId83" Type="http://schemas.openxmlformats.org/officeDocument/2006/relationships/hyperlink" Target="https://www.sec.gov/ix?doc=/Archives/edgar/data/0001571996/000157199621000007/dell-20210129.htm" TargetMode="External"/><Relationship Id="rId179" Type="http://schemas.openxmlformats.org/officeDocument/2006/relationships/hyperlink" Target="https://www.sec.gov/ix?doc=/Archives/edgar/data/0001571996/000157199621000007/dell-20210129.htm" TargetMode="External"/><Relationship Id="rId386" Type="http://schemas.openxmlformats.org/officeDocument/2006/relationships/hyperlink" Target="http://www.sec.gov/Archives/edgar/data/1571996/000119312516629055/d214451dex42.htm" TargetMode="External"/><Relationship Id="rId551" Type="http://schemas.openxmlformats.org/officeDocument/2006/relationships/hyperlink" Target="http://www.sec.gov/Archives/edgar/data/1571996/000119312518293366/d681091dex1010.htm" TargetMode="External"/><Relationship Id="rId593" Type="http://schemas.openxmlformats.org/officeDocument/2006/relationships/hyperlink" Target="https://www.sec.gov/Archives/edgar/data/1571996/000119312518360943/d673794dex103.htm" TargetMode="External"/><Relationship Id="rId607" Type="http://schemas.openxmlformats.org/officeDocument/2006/relationships/hyperlink" Target="https://www.sec.gov/ix?doc=/Archives/edgar/data/1571996/000119312519252192/d807029d8k.htm" TargetMode="External"/><Relationship Id="rId190" Type="http://schemas.openxmlformats.org/officeDocument/2006/relationships/hyperlink" Target="https://www.sec.gov/ix?doc=/Archives/edgar/data/0001571996/000157199621000007/dell-20210129.htm" TargetMode="External"/><Relationship Id="rId204" Type="http://schemas.openxmlformats.org/officeDocument/2006/relationships/hyperlink" Target="https://www.sec.gov/ix?doc=/Archives/edgar/data/0001571996/000157199621000007/dell-20210129.htm" TargetMode="External"/><Relationship Id="rId246" Type="http://schemas.openxmlformats.org/officeDocument/2006/relationships/hyperlink" Target="https://www.sec.gov/ix?doc=/Archives/edgar/data/0001571996/000157199621000007/dell-20210129.htm" TargetMode="External"/><Relationship Id="rId288" Type="http://schemas.openxmlformats.org/officeDocument/2006/relationships/hyperlink" Target="https://www.sec.gov/ix?doc=/Archives/edgar/data/0001571996/000157199621000007/dell-20210129.htm" TargetMode="External"/><Relationship Id="rId411" Type="http://schemas.openxmlformats.org/officeDocument/2006/relationships/hyperlink" Target="http://www.sec.gov/Archives/edgar/data/1571996/000157199616000021/exhibit411_102816.htm" TargetMode="External"/><Relationship Id="rId453" Type="http://schemas.openxmlformats.org/officeDocument/2006/relationships/hyperlink" Target="https://www.sec.gov/Archives/edgar/data/1571996/000119312520102602/d912603dex41.htm" TargetMode="External"/><Relationship Id="rId509" Type="http://schemas.openxmlformats.org/officeDocument/2006/relationships/hyperlink" Target="http://www.sec.gov/Archives/edgar/data/1571996/000157199617000004/exhibit1014_020317.htm" TargetMode="External"/><Relationship Id="rId106" Type="http://schemas.openxmlformats.org/officeDocument/2006/relationships/hyperlink" Target="https://www.sec.gov/ix?doc=/Archives/edgar/data/0001571996/000157199621000007/dell-20210129.htm" TargetMode="External"/><Relationship Id="rId313" Type="http://schemas.openxmlformats.org/officeDocument/2006/relationships/hyperlink" Target="https://www.sec.gov/ix?doc=/Archives/edgar/data/0001571996/000157199621000007/dell-20210129.htm" TargetMode="External"/><Relationship Id="rId495" Type="http://schemas.openxmlformats.org/officeDocument/2006/relationships/hyperlink" Target="http://www.sec.gov/Archives/edgar/data/1571996/000119312516537298/d73946dex1013.htm" TargetMode="External"/><Relationship Id="rId10" Type="http://schemas.openxmlformats.org/officeDocument/2006/relationships/hyperlink" Target="https://www.sec.gov/ix?doc=/Archives/edgar/data/0001571996/000157199621000007/dell-20210129.htm" TargetMode="External"/><Relationship Id="rId52" Type="http://schemas.openxmlformats.org/officeDocument/2006/relationships/hyperlink" Target="https://www.sec.gov/ix?doc=/Archives/edgar/data/0001571996/000157199621000007/dell-20210129.htm" TargetMode="External"/><Relationship Id="rId94" Type="http://schemas.openxmlformats.org/officeDocument/2006/relationships/hyperlink" Target="https://www.sec.gov/ix?doc=/Archives/edgar/data/0001571996/000157199621000007/dell-20210129.htm" TargetMode="External"/><Relationship Id="rId148" Type="http://schemas.openxmlformats.org/officeDocument/2006/relationships/hyperlink" Target="https://www.sec.gov/ix?doc=/Archives/edgar/data/0001571996/000157199621000007/dell-20210129.htm" TargetMode="External"/><Relationship Id="rId355" Type="http://schemas.openxmlformats.org/officeDocument/2006/relationships/hyperlink" Target="http://www.sec.gov/Archives/edgar/data/1571996/000119312518360943/d673794dex31.htm" TargetMode="External"/><Relationship Id="rId397" Type="http://schemas.openxmlformats.org/officeDocument/2006/relationships/hyperlink" Target="http://www.sec.gov/Archives/edgar/data/1571996/000119312516706567/d238698dex44.htm" TargetMode="External"/><Relationship Id="rId520" Type="http://schemas.openxmlformats.org/officeDocument/2006/relationships/hyperlink" Target="http://www.sec.gov/Archives/edgar/data/1571996/000119312516706567/d238698dex102.htm" TargetMode="External"/><Relationship Id="rId562" Type="http://schemas.openxmlformats.org/officeDocument/2006/relationships/hyperlink" Target="http://www.sec.gov/Archives/edgar/data/1571996/000119312518293366/d681091dex1015.htm" TargetMode="External"/><Relationship Id="rId618" Type="http://schemas.openxmlformats.org/officeDocument/2006/relationships/hyperlink" Target="https://www.sec.gov/Archives/edgar/data/0001571996/000157199621000007/exhibit311q4fy21.htm" TargetMode="External"/><Relationship Id="rId215" Type="http://schemas.openxmlformats.org/officeDocument/2006/relationships/hyperlink" Target="https://www.sec.gov/ix?doc=/Archives/edgar/data/0001571996/000157199621000007/dell-20210129.htm" TargetMode="External"/><Relationship Id="rId257" Type="http://schemas.openxmlformats.org/officeDocument/2006/relationships/hyperlink" Target="https://www.sec.gov/ix?doc=/Archives/edgar/data/0001571996/000157199621000007/dell-20210129.htm" TargetMode="External"/><Relationship Id="rId422" Type="http://schemas.openxmlformats.org/officeDocument/2006/relationships/hyperlink" Target="https://www.sec.gov/Archives/edgar/data/1571996/000119312519082281/d708174dex41.htm" TargetMode="External"/><Relationship Id="rId464" Type="http://schemas.openxmlformats.org/officeDocument/2006/relationships/hyperlink" Target="https://www.sec.gov/Archives/edgar/data/1571996/000119312520102602/d912603dex43.htm" TargetMode="External"/><Relationship Id="rId299" Type="http://schemas.openxmlformats.org/officeDocument/2006/relationships/hyperlink" Target="https://www.sec.gov/ix?doc=/Archives/edgar/data/0001571996/000157199621000007/dell-20210129.htm" TargetMode="External"/><Relationship Id="rId63" Type="http://schemas.openxmlformats.org/officeDocument/2006/relationships/hyperlink" Target="https://www.sec.gov/ix?doc=/Archives/edgar/data/0001571996/000157199621000007/dell-20210129.htm" TargetMode="External"/><Relationship Id="rId159" Type="http://schemas.openxmlformats.org/officeDocument/2006/relationships/hyperlink" Target="https://www.sec.gov/ix?doc=/Archives/edgar/data/0001571996/000157199621000007/dell-20210129.htm" TargetMode="External"/><Relationship Id="rId366" Type="http://schemas.openxmlformats.org/officeDocument/2006/relationships/hyperlink" Target="http://www.sec.gov/Archives/edgar/data/826083/000095012310085135/d75835exv4w1.htm" TargetMode="External"/><Relationship Id="rId573" Type="http://schemas.openxmlformats.org/officeDocument/2006/relationships/hyperlink" Target="http://www.sec.gov/Archives/edgar/data/1571996/000119312518293366/d681091dex1020.htm" TargetMode="External"/><Relationship Id="rId226" Type="http://schemas.openxmlformats.org/officeDocument/2006/relationships/hyperlink" Target="https://www.sec.gov/ix?doc=/Archives/edgar/data/0001571996/000157199621000007/dell-20210129.htm" TargetMode="External"/><Relationship Id="rId433" Type="http://schemas.openxmlformats.org/officeDocument/2006/relationships/hyperlink" Target="https://www.sec.gov/Archives/edgar/data/1571996/000119312519082281/d708174dex410.htm" TargetMode="External"/><Relationship Id="rId74" Type="http://schemas.openxmlformats.org/officeDocument/2006/relationships/hyperlink" Target="https://www.sec.gov/ix?doc=/Archives/edgar/data/0001571996/000157199621000007/dell-20210129.htm" TargetMode="External"/><Relationship Id="rId377" Type="http://schemas.openxmlformats.org/officeDocument/2006/relationships/hyperlink" Target="http://www.sec.gov/Archives/edgar/data/1571996/000119312516611855/d73946dex419.htm" TargetMode="External"/><Relationship Id="rId500" Type="http://schemas.openxmlformats.org/officeDocument/2006/relationships/hyperlink" Target="http://www.sec.gov/Archives/edgar/data/1571996/000157199617000004/exhibit104_020317.htm" TargetMode="External"/><Relationship Id="rId584" Type="http://schemas.openxmlformats.org/officeDocument/2006/relationships/hyperlink" Target="http://www.sec.gov/Archives/edgar/data/1571996/000119312518328110/d655711dex106.htm" TargetMode="External"/><Relationship Id="rId5" Type="http://schemas.openxmlformats.org/officeDocument/2006/relationships/endnotes" Target="endnotes.xml"/><Relationship Id="rId237" Type="http://schemas.openxmlformats.org/officeDocument/2006/relationships/hyperlink" Target="https://www.sec.gov/ix?doc=/Archives/edgar/data/0001571996/000157199621000007/dell-20210129.htm" TargetMode="External"/><Relationship Id="rId444" Type="http://schemas.openxmlformats.org/officeDocument/2006/relationships/hyperlink" Target="https://www.sec.gov/Archives/edgar/data/1571996/000157199620000017/exhibit441fy20.htm" TargetMode="External"/><Relationship Id="rId290" Type="http://schemas.openxmlformats.org/officeDocument/2006/relationships/hyperlink" Target="https://www.sec.gov/ix?doc=/Archives/edgar/data/0001571996/000157199621000007/dell-20210129.htm" TargetMode="External"/><Relationship Id="rId304" Type="http://schemas.openxmlformats.org/officeDocument/2006/relationships/hyperlink" Target="https://www.sec.gov/ix?doc=/Archives/edgar/data/0001571996/000157199621000007/dell-20210129.htm" TargetMode="External"/><Relationship Id="rId388" Type="http://schemas.openxmlformats.org/officeDocument/2006/relationships/hyperlink" Target="http://www.sec.gov/Archives/edgar/data/1571996/000119312516629055/d214451dex43.htm" TargetMode="External"/><Relationship Id="rId511" Type="http://schemas.openxmlformats.org/officeDocument/2006/relationships/hyperlink" Target="http://www.sec.gov/Archives/edgar/data/1571996/000119312516537298/d73946dex1015.htm" TargetMode="External"/><Relationship Id="rId609" Type="http://schemas.openxmlformats.org/officeDocument/2006/relationships/hyperlink" Target="https://www.sec.gov/Archives/edgar/data/0001571996/000157199621000007/exhibit1057fy21.htm" TargetMode="External"/><Relationship Id="rId85" Type="http://schemas.openxmlformats.org/officeDocument/2006/relationships/hyperlink" Target="https://www.sec.gov/ix?doc=/Archives/edgar/data/0001571996/000157199621000007/dell-20210129.htm" TargetMode="External"/><Relationship Id="rId150" Type="http://schemas.openxmlformats.org/officeDocument/2006/relationships/hyperlink" Target="https://www.sec.gov/ix?doc=/Archives/edgar/data/0001571996/000157199621000007/dell-20210129.htm" TargetMode="External"/><Relationship Id="rId595" Type="http://schemas.openxmlformats.org/officeDocument/2006/relationships/hyperlink" Target="https://www.sec.gov/Archives/edgar/data/1571996/000119312518360943/d673794dex105.htm" TargetMode="External"/><Relationship Id="rId248" Type="http://schemas.openxmlformats.org/officeDocument/2006/relationships/hyperlink" Target="https://www.sec.gov/ix?doc=/Archives/edgar/data/0001571996/000157199621000007/dell-20210129.htm" TargetMode="External"/><Relationship Id="rId455" Type="http://schemas.openxmlformats.org/officeDocument/2006/relationships/hyperlink" Target="https://www.sec.gov/Archives/edgar/data/1571996/000119312520102602/d912603dex42.htm" TargetMode="External"/><Relationship Id="rId12" Type="http://schemas.openxmlformats.org/officeDocument/2006/relationships/hyperlink" Target="https://www.sec.gov/ix?doc=/Archives/edgar/data/0001571996/000157199621000007/dell-20210129.htm" TargetMode="External"/><Relationship Id="rId315" Type="http://schemas.openxmlformats.org/officeDocument/2006/relationships/hyperlink" Target="https://www.sec.gov/ix?doc=/Archives/edgar/data/0001571996/000157199621000007/dell-20210129.htm" TargetMode="External"/><Relationship Id="rId522" Type="http://schemas.openxmlformats.org/officeDocument/2006/relationships/hyperlink" Target="http://www.sec.gov/Archives/edgar/data/1571996/000119312516706567/d238698dex103.htm" TargetMode="External"/><Relationship Id="rId96" Type="http://schemas.openxmlformats.org/officeDocument/2006/relationships/hyperlink" Target="https://www.sec.gov/ix?doc=/Archives/edgar/data/0001571996/000157199621000007/dell-20210129.htm" TargetMode="External"/><Relationship Id="rId161" Type="http://schemas.openxmlformats.org/officeDocument/2006/relationships/hyperlink" Target="https://www.sec.gov/ix?doc=/Archives/edgar/data/0001571996/000157199621000007/dell-20210129.htm" TargetMode="External"/><Relationship Id="rId399" Type="http://schemas.openxmlformats.org/officeDocument/2006/relationships/hyperlink" Target="http://www.sec.gov/Archives/edgar/data/1571996/000119312516706567/d238698dex45.htm" TargetMode="External"/><Relationship Id="rId259" Type="http://schemas.openxmlformats.org/officeDocument/2006/relationships/hyperlink" Target="https://www.sec.gov/ix?doc=/Archives/edgar/data/0001571996/000157199621000007/dell-20210129.htm" TargetMode="External"/><Relationship Id="rId466" Type="http://schemas.openxmlformats.org/officeDocument/2006/relationships/hyperlink" Target="https://www.sec.gov/Archives/edgar/data/1571996/000119312520102602/d912603dex43.htm" TargetMode="External"/><Relationship Id="rId23" Type="http://schemas.openxmlformats.org/officeDocument/2006/relationships/hyperlink" Target="https://www.sec.gov/ix?doc=/Archives/edgar/data/0001571996/000157199621000007/dell-20210129.htm" TargetMode="External"/><Relationship Id="rId119" Type="http://schemas.openxmlformats.org/officeDocument/2006/relationships/hyperlink" Target="https://www.sec.gov/ix?doc=/Archives/edgar/data/0001571996/000157199621000007/dell-20210129.htm" TargetMode="External"/><Relationship Id="rId326" Type="http://schemas.openxmlformats.org/officeDocument/2006/relationships/hyperlink" Target="https://www.sec.gov/ix?doc=/Archives/edgar/data/0001571996/000157199621000007/dell-20210129.htm" TargetMode="External"/><Relationship Id="rId533" Type="http://schemas.openxmlformats.org/officeDocument/2006/relationships/hyperlink" Target="http://www.sec.gov/Archives/edgar/data/1571996/000157199617000004/exhibit1040_020317.htm" TargetMode="External"/><Relationship Id="rId172" Type="http://schemas.openxmlformats.org/officeDocument/2006/relationships/hyperlink" Target="https://www.sec.gov/ix?doc=/Archives/edgar/data/0001571996/000157199621000007/dell-20210129.htm" TargetMode="External"/><Relationship Id="rId477" Type="http://schemas.openxmlformats.org/officeDocument/2006/relationships/hyperlink" Target="https://www.sec.gov/Archives/edgar/data/1571996/000157199620000034/exhibit45q1fy21.htm" TargetMode="External"/><Relationship Id="rId600" Type="http://schemas.openxmlformats.org/officeDocument/2006/relationships/hyperlink" Target="https://www.sec.gov/Archives/edgar/data/1571996/000119312518360943/d673794dex107.htm" TargetMode="External"/><Relationship Id="rId337" Type="http://schemas.openxmlformats.org/officeDocument/2006/relationships/hyperlink" Target="https://www.sec.gov/ix?doc=/Archives/edgar/data/0001571996/000157199621000007/dell-20210129.htm" TargetMode="External"/><Relationship Id="rId34" Type="http://schemas.openxmlformats.org/officeDocument/2006/relationships/hyperlink" Target="https://www.sec.gov/ix?doc=/Archives/edgar/data/0001571996/000157199621000007/dell-20210129.htm" TargetMode="External"/><Relationship Id="rId544" Type="http://schemas.openxmlformats.org/officeDocument/2006/relationships/hyperlink" Target="http://www.sec.gov/Archives/edgar/data/1571996/000157199617000037/exhibit102-thirdamendment.htm" TargetMode="External"/><Relationship Id="rId183" Type="http://schemas.openxmlformats.org/officeDocument/2006/relationships/hyperlink" Target="https://www.sec.gov/ix?doc=/Archives/edgar/data/0001571996/000157199621000007/dell-20210129.htm" TargetMode="External"/><Relationship Id="rId390" Type="http://schemas.openxmlformats.org/officeDocument/2006/relationships/hyperlink" Target="http://www.sec.gov/Archives/edgar/data/1571996/000119312516706567/d238698dex41.htm" TargetMode="External"/><Relationship Id="rId404" Type="http://schemas.openxmlformats.org/officeDocument/2006/relationships/hyperlink" Target="http://www.sec.gov/Archives/edgar/data/1571996/000119312516706567/d238698dex47.htm" TargetMode="External"/><Relationship Id="rId611" Type="http://schemas.openxmlformats.org/officeDocument/2006/relationships/hyperlink" Target="https://www.sec.gov/Archives/edgar/data/0001571996/000157199621000007/exhibit1057fy21.htm" TargetMode="External"/><Relationship Id="rId250" Type="http://schemas.openxmlformats.org/officeDocument/2006/relationships/hyperlink" Target="https://www.sec.gov/ix?doc=/Archives/edgar/data/0001571996/000157199621000007/dell-20210129.htm" TargetMode="External"/><Relationship Id="rId488" Type="http://schemas.openxmlformats.org/officeDocument/2006/relationships/hyperlink" Target="https://www.sec.gov/Archives/edgar/data/1571996/000157199620000051/exhibit41q3fy21.htm" TargetMode="External"/><Relationship Id="rId45" Type="http://schemas.openxmlformats.org/officeDocument/2006/relationships/hyperlink" Target="https://www.sec.gov/ix?doc=/Archives/edgar/data/0001571996/000157199621000007/dell-20210129.htm" TargetMode="External"/><Relationship Id="rId110" Type="http://schemas.openxmlformats.org/officeDocument/2006/relationships/hyperlink" Target="https://www.sec.gov/ix?doc=/Archives/edgar/data/0001571996/000157199621000007/dell-20210129.htm" TargetMode="External"/><Relationship Id="rId348" Type="http://schemas.openxmlformats.org/officeDocument/2006/relationships/hyperlink" Target="https://www.sec.gov/ix?doc=/Archives/edgar/data/0001571996/000157199621000007/dell-20210129.htm" TargetMode="External"/><Relationship Id="rId555" Type="http://schemas.openxmlformats.org/officeDocument/2006/relationships/hyperlink" Target="http://www.sec.gov/Archives/edgar/data/1571996/000119312518293366/d681091dex1012.htm" TargetMode="External"/><Relationship Id="rId194" Type="http://schemas.openxmlformats.org/officeDocument/2006/relationships/hyperlink" Target="https://www.sec.gov/ix?doc=/Archives/edgar/data/0001571996/000157199621000007/dell-20210129.htm" TargetMode="External"/><Relationship Id="rId208" Type="http://schemas.openxmlformats.org/officeDocument/2006/relationships/hyperlink" Target="https://www.sec.gov/ix?doc=/Archives/edgar/data/0001571996/000157199621000007/dell-20210129.htm" TargetMode="External"/><Relationship Id="rId415" Type="http://schemas.openxmlformats.org/officeDocument/2006/relationships/hyperlink" Target="http://www.sec.gov/Archives/edgar/data/1571996/000157199619000008/exhibit431_020119.htm" TargetMode="External"/><Relationship Id="rId622" Type="http://schemas.openxmlformats.org/officeDocument/2006/relationships/hyperlink" Target="https://www.sec.gov/Archives/edgar/data/0001571996/000157199621000007/exhibit321q4fy21.htm" TargetMode="External"/><Relationship Id="rId261" Type="http://schemas.openxmlformats.org/officeDocument/2006/relationships/hyperlink" Target="https://www.sec.gov/ix?doc=/Archives/edgar/data/0001571996/000157199621000007/dell-20210129.htm" TargetMode="External"/><Relationship Id="rId499" Type="http://schemas.openxmlformats.org/officeDocument/2006/relationships/hyperlink" Target="http://www.sec.gov/Archives/edgar/data/1571996/000157199617000004/exhibit104_020317.htm" TargetMode="External"/><Relationship Id="rId56" Type="http://schemas.openxmlformats.org/officeDocument/2006/relationships/hyperlink" Target="https://www.sec.gov/ix?doc=/Archives/edgar/data/0001571996/000157199621000007/dell-20210129.htm" TargetMode="External"/><Relationship Id="rId359" Type="http://schemas.openxmlformats.org/officeDocument/2006/relationships/hyperlink" Target="http://www.sec.gov/Archives/edgar/data/826083/0000950134-98-003605.txt" TargetMode="External"/><Relationship Id="rId566" Type="http://schemas.openxmlformats.org/officeDocument/2006/relationships/hyperlink" Target="http://www.sec.gov/Archives/edgar/data/1571996/000119312518293366/d681091dex1017.htm" TargetMode="External"/><Relationship Id="rId121" Type="http://schemas.openxmlformats.org/officeDocument/2006/relationships/hyperlink" Target="https://www.sec.gov/ix?doc=/Archives/edgar/data/0001571996/000157199621000007/dell-20210129.htm" TargetMode="External"/><Relationship Id="rId219" Type="http://schemas.openxmlformats.org/officeDocument/2006/relationships/hyperlink" Target="https://www.sec.gov/ix?doc=/Archives/edgar/data/0001571996/000157199621000007/dell-20210129.htm" TargetMode="External"/><Relationship Id="rId426" Type="http://schemas.openxmlformats.org/officeDocument/2006/relationships/hyperlink" Target="https://www.sec.gov/Archives/edgar/data/1571996/000119312519082281/d708174dex43.htm" TargetMode="External"/><Relationship Id="rId67" Type="http://schemas.openxmlformats.org/officeDocument/2006/relationships/hyperlink" Target="https://www.sec.gov/ix?doc=/Archives/edgar/data/0001571996/000157199621000007/dell-20210129.htm" TargetMode="External"/><Relationship Id="rId272" Type="http://schemas.openxmlformats.org/officeDocument/2006/relationships/hyperlink" Target="https://www.sec.gov/ix?doc=/Archives/edgar/data/0001571996/000157199621000007/dell-20210129.htm" TargetMode="External"/><Relationship Id="rId577" Type="http://schemas.openxmlformats.org/officeDocument/2006/relationships/hyperlink" Target="http://www.sec.gov/Archives/edgar/data/1571996/000157199619000032/a2013stockincentiveplanjul.htm" TargetMode="External"/><Relationship Id="rId132" Type="http://schemas.openxmlformats.org/officeDocument/2006/relationships/hyperlink" Target="https://www.sec.gov/ix?doc=/Archives/edgar/data/0001571996/000157199621000007/dell-20210129.htm" TargetMode="External"/><Relationship Id="rId437" Type="http://schemas.openxmlformats.org/officeDocument/2006/relationships/hyperlink" Target="https://www.sec.gov/Archives/edgar/data/1571996/000119312519082281/d708174dex4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107450</Words>
  <Characters>612465</Characters>
  <Application>Microsoft Office Word</Application>
  <DocSecurity>0</DocSecurity>
  <Lines>5103</Lines>
  <Paragraphs>1436</Paragraphs>
  <ScaleCrop>false</ScaleCrop>
  <Company/>
  <LinksUpToDate>false</LinksUpToDate>
  <CharactersWithSpaces>718479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2023-02-11T19:09:00Z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45E3ED72D46C8E535077E7636D0D57F2</vt:lpwstr>
  </property>
</Properties>
</file>